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107315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107315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0"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43"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BROADCOM LIMITED</w:t>
      </w:r>
    </w:p>
    <w:p>
      <w:pPr>
        <w:spacing w:after="0" w:line="7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9"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49"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480" w:right="180" w:hanging="472"/>
        <w:spacing w:after="0" w:line="264" w:lineRule="auto"/>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1"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-2788920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-2488565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-2051050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-1751330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-1450975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-739140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-438785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160655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205740</wp:posOffset>
            </wp:positionV>
            <wp:extent cx="2795905"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59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BROADCOM LIMITED</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Incorporated in the Republic of Singapore</w:t>
      </w:r>
    </w:p>
    <w:p>
      <w:pPr>
        <w:jc w:val="center"/>
        <w:ind w:right="-359"/>
        <w:spacing w:after="0"/>
        <w:rPr>
          <w:sz w:val="20"/>
          <w:szCs w:val="20"/>
          <w:color w:val="auto"/>
        </w:rPr>
      </w:pPr>
      <w:r>
        <w:rPr>
          <w:rFonts w:ascii="Arial" w:cs="Arial" w:eastAsia="Arial" w:hAnsi="Arial"/>
          <w:sz w:val="18"/>
          <w:szCs w:val="18"/>
          <w:b w:val="1"/>
          <w:bCs w:val="1"/>
          <w:color w:val="auto"/>
        </w:rPr>
        <w:t>Company Registration Number 201505572G</w:t>
      </w:r>
    </w:p>
    <w:p>
      <w:pPr>
        <w:spacing w:after="0" w:line="13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1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To Be Held on April 4, 2018</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left="200" w:right="260" w:firstLine="551"/>
        <w:spacing w:after="0" w:line="239" w:lineRule="auto"/>
        <w:rPr>
          <w:sz w:val="20"/>
          <w:szCs w:val="20"/>
          <w:color w:val="auto"/>
        </w:rPr>
      </w:pPr>
      <w:r>
        <w:rPr>
          <w:rFonts w:ascii="Arial" w:cs="Arial" w:eastAsia="Arial" w:hAnsi="Arial"/>
          <w:sz w:val="18"/>
          <w:szCs w:val="18"/>
          <w:color w:val="auto"/>
        </w:rPr>
        <w:t>You are cordially invited to attend, and NOTICE IS HEREBY GIVEN of, the 2018 Annual General Meeting of Shareholders (the “</w:t>
      </w:r>
      <w:r>
        <w:rPr>
          <w:rFonts w:ascii="Arial" w:cs="Arial" w:eastAsia="Arial" w:hAnsi="Arial"/>
          <w:sz w:val="18"/>
          <w:szCs w:val="18"/>
          <w:u w:val="single" w:color="auto"/>
          <w:color w:val="auto"/>
        </w:rPr>
        <w:t>2018 AGM</w:t>
      </w:r>
      <w:r>
        <w:rPr>
          <w:rFonts w:ascii="Arial" w:cs="Arial" w:eastAsia="Arial" w:hAnsi="Arial"/>
          <w:sz w:val="18"/>
          <w:szCs w:val="18"/>
          <w:color w:val="auto"/>
        </w:rPr>
        <w:t>”) of Broadcom Limited (“</w:t>
      </w:r>
      <w:r>
        <w:rPr>
          <w:rFonts w:ascii="Arial" w:cs="Arial" w:eastAsia="Arial" w:hAnsi="Arial"/>
          <w:sz w:val="18"/>
          <w:szCs w:val="18"/>
          <w:u w:val="single" w:color="auto"/>
          <w:color w:val="auto"/>
        </w:rPr>
        <w:t>Broadcom</w:t>
      </w:r>
      <w:r>
        <w:rPr>
          <w:rFonts w:ascii="Arial" w:cs="Arial" w:eastAsia="Arial" w:hAnsi="Arial"/>
          <w:sz w:val="18"/>
          <w:szCs w:val="18"/>
          <w:color w:val="auto"/>
        </w:rPr>
        <w:t>”), which will be held at 1320 Ridder Park Drive, San Jose, California 95131, U.S.A., at 11:00 a.m., Pacific Time, on Wednesday, April 4, 2018, for the following purposes, as more fully described in the proxy statement accompanying this notice (the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As Ordinary Business</w:t>
      </w:r>
    </w:p>
    <w:p>
      <w:pPr>
        <w:spacing w:after="0" w:line="112" w:lineRule="exact"/>
        <w:rPr>
          <w:sz w:val="20"/>
          <w:szCs w:val="20"/>
          <w:color w:val="auto"/>
        </w:rPr>
      </w:pPr>
    </w:p>
    <w:p>
      <w:pPr>
        <w:ind w:left="1280" w:right="20" w:hanging="536"/>
        <w:spacing w:after="0" w:line="246"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each of the following persons to our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to serve until the next annual general meeting of shareholders:</w:t>
      </w:r>
    </w:p>
    <w:p>
      <w:pPr>
        <w:spacing w:after="0" w:line="75" w:lineRule="exact"/>
        <w:rPr>
          <w:rFonts w:ascii="Arial" w:cs="Arial" w:eastAsia="Arial" w:hAnsi="Arial"/>
          <w:sz w:val="18"/>
          <w:szCs w:val="18"/>
          <w:color w:val="auto"/>
        </w:rPr>
      </w:pPr>
    </w:p>
    <w:p>
      <w:pPr>
        <w:ind w:left="1940" w:hanging="534"/>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Hock E. Tan;</w:t>
      </w:r>
    </w:p>
    <w:p>
      <w:pPr>
        <w:spacing w:after="0" w:line="90" w:lineRule="exact"/>
        <w:rPr>
          <w:rFonts w:ascii="Arial" w:cs="Arial" w:eastAsia="Arial" w:hAnsi="Arial"/>
          <w:sz w:val="18"/>
          <w:szCs w:val="18"/>
          <w:color w:val="auto"/>
        </w:rPr>
      </w:pPr>
    </w:p>
    <w:p>
      <w:pPr>
        <w:ind w:left="1940" w:hanging="534"/>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James V. Diller;</w:t>
      </w:r>
    </w:p>
    <w:p>
      <w:pPr>
        <w:spacing w:after="0" w:line="90" w:lineRule="exact"/>
        <w:rPr>
          <w:rFonts w:ascii="Arial" w:cs="Arial" w:eastAsia="Arial" w:hAnsi="Arial"/>
          <w:sz w:val="18"/>
          <w:szCs w:val="18"/>
          <w:color w:val="auto"/>
        </w:rPr>
      </w:pPr>
    </w:p>
    <w:p>
      <w:pPr>
        <w:ind w:left="1940" w:hanging="534"/>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Ms. Gayla J. Delly;</w:t>
      </w:r>
    </w:p>
    <w:p>
      <w:pPr>
        <w:spacing w:after="0" w:line="90" w:lineRule="exact"/>
        <w:rPr>
          <w:rFonts w:ascii="Arial" w:cs="Arial" w:eastAsia="Arial" w:hAnsi="Arial"/>
          <w:sz w:val="18"/>
          <w:szCs w:val="18"/>
          <w:color w:val="auto"/>
        </w:rPr>
      </w:pPr>
    </w:p>
    <w:p>
      <w:pPr>
        <w:ind w:left="1940" w:hanging="534"/>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Lewis C. Eggebrecht;</w:t>
      </w:r>
    </w:p>
    <w:p>
      <w:pPr>
        <w:spacing w:after="0" w:line="90" w:lineRule="exact"/>
        <w:rPr>
          <w:rFonts w:ascii="Arial" w:cs="Arial" w:eastAsia="Arial" w:hAnsi="Arial"/>
          <w:sz w:val="18"/>
          <w:szCs w:val="18"/>
          <w:color w:val="auto"/>
        </w:rPr>
      </w:pPr>
    </w:p>
    <w:p>
      <w:pPr>
        <w:ind w:left="1940" w:hanging="534"/>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Kenneth Y. Hao;</w:t>
      </w:r>
    </w:p>
    <w:p>
      <w:pPr>
        <w:spacing w:after="0" w:line="90" w:lineRule="exact"/>
        <w:rPr>
          <w:rFonts w:ascii="Arial" w:cs="Arial" w:eastAsia="Arial" w:hAnsi="Arial"/>
          <w:sz w:val="18"/>
          <w:szCs w:val="18"/>
          <w:color w:val="auto"/>
        </w:rPr>
      </w:pPr>
    </w:p>
    <w:p>
      <w:pPr>
        <w:ind w:left="1940" w:hanging="534"/>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Eddy W. Hartenstein;</w:t>
      </w:r>
    </w:p>
    <w:p>
      <w:pPr>
        <w:spacing w:after="0" w:line="90" w:lineRule="exact"/>
        <w:rPr>
          <w:rFonts w:ascii="Arial" w:cs="Arial" w:eastAsia="Arial" w:hAnsi="Arial"/>
          <w:sz w:val="18"/>
          <w:szCs w:val="18"/>
          <w:color w:val="auto"/>
        </w:rPr>
      </w:pPr>
    </w:p>
    <w:p>
      <w:pPr>
        <w:ind w:left="1940" w:hanging="534"/>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Check Kian Low;</w:t>
      </w:r>
    </w:p>
    <w:p>
      <w:pPr>
        <w:spacing w:after="0" w:line="90" w:lineRule="exact"/>
        <w:rPr>
          <w:rFonts w:ascii="Arial" w:cs="Arial" w:eastAsia="Arial" w:hAnsi="Arial"/>
          <w:sz w:val="18"/>
          <w:szCs w:val="18"/>
          <w:color w:val="auto"/>
        </w:rPr>
      </w:pPr>
    </w:p>
    <w:p>
      <w:pPr>
        <w:ind w:left="1940" w:hanging="534"/>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Donald Macleod;</w:t>
      </w:r>
    </w:p>
    <w:p>
      <w:pPr>
        <w:spacing w:after="0" w:line="90" w:lineRule="exact"/>
        <w:rPr>
          <w:rFonts w:ascii="Arial" w:cs="Arial" w:eastAsia="Arial" w:hAnsi="Arial"/>
          <w:sz w:val="18"/>
          <w:szCs w:val="18"/>
          <w:color w:val="auto"/>
        </w:rPr>
      </w:pPr>
    </w:p>
    <w:p>
      <w:pPr>
        <w:ind w:left="1940" w:hanging="534"/>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Peter J. Marks; and</w:t>
      </w:r>
    </w:p>
    <w:p>
      <w:pPr>
        <w:spacing w:after="0" w:line="90" w:lineRule="exact"/>
        <w:rPr>
          <w:rFonts w:ascii="Arial" w:cs="Arial" w:eastAsia="Arial" w:hAnsi="Arial"/>
          <w:sz w:val="18"/>
          <w:szCs w:val="18"/>
          <w:color w:val="auto"/>
        </w:rPr>
      </w:pPr>
    </w:p>
    <w:p>
      <w:pPr>
        <w:ind w:left="1940" w:hanging="534"/>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Dr. Henry Samueli.</w:t>
      </w:r>
    </w:p>
    <w:p>
      <w:pPr>
        <w:spacing w:after="0" w:line="90" w:lineRule="exact"/>
        <w:rPr>
          <w:rFonts w:ascii="Arial" w:cs="Arial" w:eastAsia="Arial" w:hAnsi="Arial"/>
          <w:sz w:val="18"/>
          <w:szCs w:val="18"/>
          <w:color w:val="auto"/>
        </w:rPr>
      </w:pPr>
    </w:p>
    <w:p>
      <w:pPr>
        <w:ind w:left="1280" w:right="20" w:hanging="536"/>
        <w:spacing w:after="0" w:line="239"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re-appointment of PricewaterhouseCoopers LLP to serve as our independent registered public accounting firm and independent Singapore auditor for the fiscal year ending November 4, 2018, and to authorize the Audit Committee of the Board to fix PricewaterhouseCoopers LLP’s remuneration for services provided through our 2019 Annual General Meeting of Shareholders (the “</w:t>
      </w:r>
      <w:r>
        <w:rPr>
          <w:rFonts w:ascii="Arial" w:cs="Arial" w:eastAsia="Arial" w:hAnsi="Arial"/>
          <w:sz w:val="18"/>
          <w:szCs w:val="18"/>
          <w:u w:val="single" w:color="auto"/>
          <w:color w:val="auto"/>
        </w:rPr>
        <w:t>2019 AGM</w:t>
      </w:r>
      <w:r>
        <w:rPr>
          <w:rFonts w:ascii="Arial" w:cs="Arial" w:eastAsia="Arial" w:hAnsi="Arial"/>
          <w:sz w:val="18"/>
          <w:szCs w:val="18"/>
          <w:color w:val="auto"/>
        </w:rPr>
        <w:t>”).</w:t>
      </w:r>
    </w:p>
    <w:p>
      <w:pPr>
        <w:spacing w:after="0" w:line="20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As Special Business</w:t>
      </w:r>
    </w:p>
    <w:p>
      <w:pPr>
        <w:spacing w:after="0" w:line="112" w:lineRule="exact"/>
        <w:rPr>
          <w:sz w:val="20"/>
          <w:szCs w:val="20"/>
          <w:color w:val="auto"/>
        </w:rPr>
      </w:pPr>
    </w:p>
    <w:p>
      <w:pPr>
        <w:ind w:left="1280" w:hanging="536"/>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pass the following as an Ordinary Resolution:</w:t>
      </w:r>
    </w:p>
    <w:p>
      <w:pPr>
        <w:spacing w:after="0" w:line="90" w:lineRule="exact"/>
        <w:rPr>
          <w:sz w:val="20"/>
          <w:szCs w:val="20"/>
          <w:color w:val="auto"/>
        </w:rPr>
      </w:pPr>
    </w:p>
    <w:p>
      <w:pPr>
        <w:jc w:val="both"/>
        <w:ind w:left="760" w:firstLine="523"/>
        <w:spacing w:after="0"/>
        <w:rPr>
          <w:sz w:val="20"/>
          <w:szCs w:val="20"/>
          <w:color w:val="auto"/>
        </w:rPr>
      </w:pPr>
      <w:r>
        <w:rPr>
          <w:rFonts w:ascii="Arial" w:cs="Arial" w:eastAsia="Arial" w:hAnsi="Arial"/>
          <w:sz w:val="18"/>
          <w:szCs w:val="18"/>
          <w:color w:val="auto"/>
        </w:rPr>
        <w:t>RESOLVED THAT, pursuant to the provisions of Section 161 of the Singapore Companies Act, Chapter 50 (the “</w:t>
      </w:r>
      <w:r>
        <w:rPr>
          <w:rFonts w:ascii="Arial" w:cs="Arial" w:eastAsia="Arial" w:hAnsi="Arial"/>
          <w:sz w:val="18"/>
          <w:szCs w:val="18"/>
          <w:u w:val="single" w:color="auto"/>
          <w:color w:val="auto"/>
        </w:rPr>
        <w:t>Singapore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Companies Act</w:t>
      </w:r>
      <w:r>
        <w:rPr>
          <w:rFonts w:ascii="Arial" w:cs="Arial" w:eastAsia="Arial" w:hAnsi="Arial"/>
          <w:sz w:val="18"/>
          <w:szCs w:val="18"/>
          <w:color w:val="auto"/>
        </w:rPr>
        <w:t>”), and also subject otherwise to the provisions of the Singapore Companies Act and our Constitution, authority be, and hereby is, given to our directors:</w:t>
      </w:r>
    </w:p>
    <w:p>
      <w:pPr>
        <w:spacing w:after="0" w:line="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to:</w:t>
      </w:r>
    </w:p>
    <w:p>
      <w:pPr>
        <w:spacing w:after="0" w:line="90" w:lineRule="exact"/>
        <w:rPr>
          <w:sz w:val="20"/>
          <w:szCs w:val="20"/>
          <w:color w:val="auto"/>
        </w:rPr>
      </w:pPr>
    </w:p>
    <w:p>
      <w:pPr>
        <w:ind w:left="2600" w:hanging="532"/>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allot and issue ordinary shares in our capital;</w:t>
      </w:r>
    </w:p>
    <w:p>
      <w:pPr>
        <w:spacing w:after="0" w:line="90" w:lineRule="exact"/>
        <w:rPr>
          <w:rFonts w:ascii="Arial" w:cs="Arial" w:eastAsia="Arial" w:hAnsi="Arial"/>
          <w:sz w:val="18"/>
          <w:szCs w:val="18"/>
          <w:color w:val="auto"/>
        </w:rPr>
      </w:pPr>
    </w:p>
    <w:p>
      <w:pPr>
        <w:ind w:left="2600" w:right="60" w:hanging="532"/>
        <w:spacing w:after="0" w:line="246" w:lineRule="auto"/>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the provisions of our Constitution, allot and issue Special Preference Shares (as defined below) bearing the rights and obligations as set out in our Constitution; and/or</w:t>
      </w:r>
    </w:p>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240" w:top="459" w:right="5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600" w:hanging="532"/>
        <w:spacing w:after="0" w:line="237" w:lineRule="auto"/>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grant or enter into, offers or agreements and issue options or other instruments (including the equity awards and equity-based securities pursuant to our equity-based incentive plans and agreements in effect or assumed from time to time) that might or would require ordinary shares to be allotted and issued, whether such allotment or issuance would occur during or after the expiration of this authority (including, but not limited to, the creation and issuance of warrants, rights, units, purchase contracts, debentures or other instruments (including debt instruments) convertible or exchangeable into ordinary shares),</w:t>
      </w:r>
    </w:p>
    <w:p>
      <w:pPr>
        <w:spacing w:after="0" w:line="84" w:lineRule="exact"/>
        <w:rPr>
          <w:sz w:val="20"/>
          <w:szCs w:val="20"/>
          <w:color w:val="auto"/>
        </w:rPr>
      </w:pPr>
    </w:p>
    <w:p>
      <w:pPr>
        <w:ind w:left="1300" w:right="140"/>
        <w:spacing w:after="0"/>
        <w:rPr>
          <w:sz w:val="20"/>
          <w:szCs w:val="20"/>
          <w:color w:val="auto"/>
        </w:rPr>
      </w:pPr>
      <w:r>
        <w:rPr>
          <w:rFonts w:ascii="Arial" w:cs="Arial" w:eastAsia="Arial" w:hAnsi="Arial"/>
          <w:sz w:val="18"/>
          <w:szCs w:val="18"/>
          <w:color w:val="auto"/>
        </w:rPr>
        <w:t>at any time to and/or with such persons and upon such terms and conditions, for such purposes and for such consideration as our directors may in their sole discretion deem fit, and with such rights or restrictions as our directors may think fit to impose and as are set forth in our Constitution; and</w:t>
      </w:r>
    </w:p>
    <w:p>
      <w:pPr>
        <w:spacing w:after="0" w:line="81" w:lineRule="exact"/>
        <w:rPr>
          <w:sz w:val="20"/>
          <w:szCs w:val="20"/>
          <w:color w:val="auto"/>
        </w:rPr>
      </w:pPr>
    </w:p>
    <w:p>
      <w:pPr>
        <w:ind w:left="1300" w:right="40" w:firstLine="6"/>
        <w:spacing w:after="0"/>
        <w:tabs>
          <w:tab w:leader="none" w:pos="157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allot and issue shares in our capital pursuant to any offer, agreement, award or other instrument made, granted, assumed or otherwise authorized by our directors while this resolution is or was in effect, regardless of whether the authority conferred by this resolution may have ceased to be in effect at the time of the allotment and issuance,</w:t>
      </w:r>
    </w:p>
    <w:p>
      <w:pPr>
        <w:spacing w:after="0" w:line="68"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and that such authority, if approved by our shareholders, shall continue in effect until the earlier of the conclusion of our 2019 AGM or the expiration of the period within which our 2019 AGM is required by law to be held.</w:t>
      </w:r>
    </w:p>
    <w:p>
      <w:pPr>
        <w:spacing w:after="0" w:line="75" w:lineRule="exact"/>
        <w:rPr>
          <w:sz w:val="20"/>
          <w:szCs w:val="20"/>
          <w:color w:val="auto"/>
        </w:rPr>
      </w:pPr>
    </w:p>
    <w:p>
      <w:pPr>
        <w:ind w:left="1280" w:hanging="536"/>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consider and put to a non-binding, advisory vote, the following resolution:</w:t>
      </w:r>
    </w:p>
    <w:p>
      <w:pPr>
        <w:spacing w:after="0" w:line="90" w:lineRule="exact"/>
        <w:rPr>
          <w:sz w:val="20"/>
          <w:szCs w:val="20"/>
          <w:color w:val="auto"/>
        </w:rPr>
      </w:pPr>
    </w:p>
    <w:p>
      <w:pPr>
        <w:ind w:left="640" w:right="200" w:firstLine="529"/>
        <w:spacing w:after="0"/>
        <w:rPr>
          <w:sz w:val="20"/>
          <w:szCs w:val="20"/>
          <w:color w:val="auto"/>
        </w:rPr>
      </w:pPr>
      <w:r>
        <w:rPr>
          <w:rFonts w:ascii="Arial" w:cs="Arial" w:eastAsia="Arial" w:hAnsi="Arial"/>
          <w:sz w:val="18"/>
          <w:szCs w:val="18"/>
          <w:color w:val="auto"/>
        </w:rPr>
        <w:t>RESOLVED THAT, shareholders approve, on an advisory basis, the compensation of Broadcom’s named executive officers, as disclosed in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and in the compensation tables and accompanying narrative disclosure under “</w:t>
      </w:r>
      <w:r>
        <w:rPr>
          <w:rFonts w:ascii="Arial" w:cs="Arial" w:eastAsia="Arial" w:hAnsi="Arial"/>
          <w:sz w:val="18"/>
          <w:szCs w:val="18"/>
          <w:i w:val="1"/>
          <w:iCs w:val="1"/>
          <w:color w:val="auto"/>
        </w:rPr>
        <w:t>Executive Compensation</w:t>
      </w:r>
      <w:r>
        <w:rPr>
          <w:rFonts w:ascii="Arial" w:cs="Arial" w:eastAsia="Arial" w:hAnsi="Arial"/>
          <w:sz w:val="18"/>
          <w:szCs w:val="18"/>
          <w:color w:val="auto"/>
        </w:rPr>
        <w:t>” in the accompanying Proxy Statement.</w:t>
      </w:r>
    </w:p>
    <w:p>
      <w:pPr>
        <w:spacing w:after="0" w:line="81" w:lineRule="exact"/>
        <w:rPr>
          <w:sz w:val="20"/>
          <w:szCs w:val="20"/>
          <w:color w:val="auto"/>
        </w:rPr>
      </w:pPr>
    </w:p>
    <w:p>
      <w:pPr>
        <w:jc w:val="both"/>
        <w:ind w:left="640" w:right="100" w:firstLine="529"/>
        <w:spacing w:after="0"/>
        <w:rPr>
          <w:sz w:val="20"/>
          <w:szCs w:val="20"/>
          <w:color w:val="auto"/>
        </w:rPr>
      </w:pPr>
      <w:r>
        <w:rPr>
          <w:rFonts w:ascii="Arial" w:cs="Arial" w:eastAsia="Arial" w:hAnsi="Arial"/>
          <w:sz w:val="18"/>
          <w:szCs w:val="18"/>
          <w:color w:val="auto"/>
        </w:rPr>
        <w:t>This resolution is being proposed to shareholders as required pursuant to Section 14A of the U.S. Securities Exchange Act of 1934, as amended. The shareholders’ vote on this resolution is advisory and non-binding in nature, will have no legal effect and will not be enforceable against Broadcom or our Board.</w:t>
      </w: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Ordinary Business</w:t>
      </w:r>
    </w:p>
    <w:p>
      <w:pPr>
        <w:spacing w:after="0" w:line="112" w:lineRule="exact"/>
        <w:rPr>
          <w:sz w:val="20"/>
          <w:szCs w:val="20"/>
          <w:color w:val="auto"/>
        </w:rPr>
      </w:pPr>
    </w:p>
    <w:p>
      <w:pPr>
        <w:ind w:left="1280" w:hanging="536"/>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transact any other business as may properly be transacted at the 2018 AGM.</w:t>
      </w: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About the 2018 Annual General Meeting of Shareholders</w:t>
      </w:r>
    </w:p>
    <w:p>
      <w:pPr>
        <w:spacing w:after="0" w:line="94" w:lineRule="exact"/>
        <w:rPr>
          <w:sz w:val="20"/>
          <w:szCs w:val="20"/>
          <w:color w:val="auto"/>
        </w:rPr>
      </w:pPr>
    </w:p>
    <w:p>
      <w:pPr>
        <w:ind w:left="200" w:right="60" w:firstLine="551"/>
        <w:spacing w:after="0" w:line="245" w:lineRule="auto"/>
        <w:rPr>
          <w:sz w:val="20"/>
          <w:szCs w:val="20"/>
          <w:color w:val="auto"/>
        </w:rPr>
      </w:pPr>
      <w:r>
        <w:rPr>
          <w:rFonts w:ascii="Arial" w:cs="Arial" w:eastAsia="Arial" w:hAnsi="Arial"/>
          <w:sz w:val="18"/>
          <w:szCs w:val="18"/>
          <w:i w:val="1"/>
          <w:iCs w:val="1"/>
          <w:color w:val="auto"/>
        </w:rPr>
        <w:t xml:space="preserve">Singapore Statutory Financial Statements. </w:t>
      </w:r>
      <w:r>
        <w:rPr>
          <w:rFonts w:ascii="Arial" w:cs="Arial" w:eastAsia="Arial" w:hAnsi="Arial"/>
          <w:sz w:val="18"/>
          <w:szCs w:val="18"/>
          <w:color w:val="auto"/>
        </w:rPr>
        <w:t>At the 2018 AGM, our shareholders will have the opportunity to discuss and ask</w:t>
      </w:r>
      <w:r>
        <w:rPr>
          <w:rFonts w:ascii="Arial" w:cs="Arial" w:eastAsia="Arial" w:hAnsi="Arial"/>
          <w:sz w:val="18"/>
          <w:szCs w:val="18"/>
          <w:i w:val="1"/>
          <w:iCs w:val="1"/>
          <w:color w:val="auto"/>
        </w:rPr>
        <w:t xml:space="preserve"> </w:t>
      </w:r>
      <w:r>
        <w:rPr>
          <w:rFonts w:ascii="Arial" w:cs="Arial" w:eastAsia="Arial" w:hAnsi="Arial"/>
          <w:sz w:val="18"/>
          <w:szCs w:val="18"/>
          <w:color w:val="auto"/>
        </w:rPr>
        <w:t>questions regarding our Singapore audited financial statements for our fiscal year ended October 29, 2017, together with the directors’ statement and auditors’ report thereon, in compliance with the laws of Singapore. Shareholder approval of our Singapore audited financial statements is not being sought by the Proxy Statement and will not be sought at the 2018 AGM.</w:t>
      </w:r>
    </w:p>
    <w:p>
      <w:pPr>
        <w:spacing w:after="0" w:line="127" w:lineRule="exact"/>
        <w:rPr>
          <w:sz w:val="20"/>
          <w:szCs w:val="20"/>
          <w:color w:val="auto"/>
        </w:rPr>
      </w:pPr>
    </w:p>
    <w:p>
      <w:pPr>
        <w:ind w:left="200" w:right="80" w:firstLine="551"/>
        <w:spacing w:after="0" w:line="245" w:lineRule="auto"/>
        <w:rPr>
          <w:sz w:val="20"/>
          <w:szCs w:val="20"/>
          <w:color w:val="auto"/>
        </w:rPr>
      </w:pPr>
      <w:r>
        <w:rPr>
          <w:rFonts w:ascii="Arial" w:cs="Arial" w:eastAsia="Arial" w:hAnsi="Arial"/>
          <w:sz w:val="18"/>
          <w:szCs w:val="18"/>
          <w:i w:val="1"/>
          <w:iCs w:val="1"/>
          <w:color w:val="auto"/>
        </w:rPr>
        <w:t xml:space="preserve">Proxy Materials on the Internet. </w:t>
      </w:r>
      <w:r>
        <w:rPr>
          <w:rFonts w:ascii="Arial" w:cs="Arial" w:eastAsia="Arial" w:hAnsi="Arial"/>
          <w:sz w:val="18"/>
          <w:szCs w:val="18"/>
          <w:color w:val="auto"/>
        </w:rPr>
        <w:t>We use the internet as the primary means of furnishing proxy materials to our beneficial owners.</w:t>
      </w:r>
      <w:r>
        <w:rPr>
          <w:rFonts w:ascii="Arial" w:cs="Arial" w:eastAsia="Arial" w:hAnsi="Arial"/>
          <w:sz w:val="18"/>
          <w:szCs w:val="18"/>
          <w:i w:val="1"/>
          <w:iCs w:val="1"/>
          <w:color w:val="auto"/>
        </w:rPr>
        <w:t xml:space="preserve"> </w:t>
      </w:r>
      <w:r>
        <w:rPr>
          <w:rFonts w:ascii="Arial" w:cs="Arial" w:eastAsia="Arial" w:hAnsi="Arial"/>
          <w:sz w:val="18"/>
          <w:szCs w:val="18"/>
          <w:color w:val="auto"/>
        </w:rPr>
        <w:t>We are sending a Notice of Internet Availability of Proxy Materials to our beneficial owners with instructions on how to access the proxy materials online or request a printed copy of the materials. We believe this allows us to provide our shareholders with the information they need, while lowering the costs of delivery and reducing the environmental impact of our annual general meeting of shareholders.</w:t>
      </w:r>
    </w:p>
    <w:p>
      <w:pPr>
        <w:spacing w:after="0" w:line="127" w:lineRule="exact"/>
        <w:rPr>
          <w:sz w:val="20"/>
          <w:szCs w:val="20"/>
          <w:color w:val="auto"/>
        </w:rPr>
      </w:pPr>
    </w:p>
    <w:p>
      <w:pPr>
        <w:ind w:left="200" w:right="60" w:firstLine="551"/>
        <w:spacing w:after="0" w:line="242" w:lineRule="auto"/>
        <w:rPr>
          <w:sz w:val="20"/>
          <w:szCs w:val="20"/>
          <w:color w:val="auto"/>
        </w:rPr>
      </w:pPr>
      <w:r>
        <w:rPr>
          <w:rFonts w:ascii="Arial" w:cs="Arial" w:eastAsia="Arial" w:hAnsi="Arial"/>
          <w:sz w:val="18"/>
          <w:szCs w:val="18"/>
          <w:i w:val="1"/>
          <w:iCs w:val="1"/>
          <w:color w:val="auto"/>
        </w:rPr>
        <w:t xml:space="preserve">Receipt of Notice; Eligibility to Vote at Annual General Meeting of Shareholders. </w:t>
      </w:r>
      <w:r>
        <w:rPr>
          <w:rFonts w:ascii="Arial" w:cs="Arial" w:eastAsia="Arial" w:hAnsi="Arial"/>
          <w:sz w:val="18"/>
          <w:szCs w:val="18"/>
          <w:color w:val="auto"/>
        </w:rPr>
        <w:t>Our Board has fixed the close of business on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12, 2018, as the record date for determining which of our shareholders are entitled to receive copies of this notice and the accompanying Proxy Statement or the Notice of Internet Availability of Proxy Materials. However, only holders of our ordinary shares and the holder of our non-economic voting preference shares (“</w:t>
      </w:r>
      <w:r>
        <w:rPr>
          <w:rFonts w:ascii="Arial" w:cs="Arial" w:eastAsia="Arial" w:hAnsi="Arial"/>
          <w:sz w:val="18"/>
          <w:szCs w:val="18"/>
          <w:u w:val="single" w:color="auto"/>
          <w:color w:val="auto"/>
        </w:rPr>
        <w:t>Special Voting Shares</w:t>
      </w:r>
      <w:r>
        <w:rPr>
          <w:rFonts w:ascii="Arial" w:cs="Arial" w:eastAsia="Arial" w:hAnsi="Arial"/>
          <w:sz w:val="18"/>
          <w:szCs w:val="18"/>
          <w:color w:val="auto"/>
        </w:rPr>
        <w:t>” or “</w:t>
      </w:r>
      <w:r>
        <w:rPr>
          <w:rFonts w:ascii="Arial" w:cs="Arial" w:eastAsia="Arial" w:hAnsi="Arial"/>
          <w:sz w:val="18"/>
          <w:szCs w:val="18"/>
          <w:u w:val="single" w:color="auto"/>
          <w:color w:val="auto"/>
        </w:rPr>
        <w:t>Special Preference Shares</w:t>
      </w:r>
      <w:r>
        <w:rPr>
          <w:rFonts w:ascii="Arial" w:cs="Arial" w:eastAsia="Arial" w:hAnsi="Arial"/>
          <w:sz w:val="18"/>
          <w:szCs w:val="18"/>
          <w:color w:val="auto"/>
        </w:rPr>
        <w:t>”) on April 4, 2018 will be entitled to vote at the 2018 AGM.</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551"/>
        <w:spacing w:after="0" w:line="272" w:lineRule="auto"/>
        <w:rPr>
          <w:sz w:val="20"/>
          <w:szCs w:val="20"/>
          <w:color w:val="auto"/>
        </w:rPr>
      </w:pPr>
      <w:r>
        <w:rPr>
          <w:rFonts w:ascii="Arial" w:cs="Arial" w:eastAsia="Arial" w:hAnsi="Arial"/>
          <w:sz w:val="17"/>
          <w:szCs w:val="17"/>
          <w:i w:val="1"/>
          <w:iCs w:val="1"/>
          <w:color w:val="auto"/>
        </w:rPr>
        <w:t xml:space="preserve">Quorum. </w:t>
      </w:r>
      <w:r>
        <w:rPr>
          <w:rFonts w:ascii="Arial" w:cs="Arial" w:eastAsia="Arial" w:hAnsi="Arial"/>
          <w:sz w:val="17"/>
          <w:szCs w:val="17"/>
          <w:color w:val="auto"/>
        </w:rPr>
        <w:t>Representation at the 2018 AGM of shareholders entitled to vote, in person or by proxy or by representative, and holding</w:t>
      </w:r>
      <w:r>
        <w:rPr>
          <w:rFonts w:ascii="Arial" w:cs="Arial" w:eastAsia="Arial" w:hAnsi="Arial"/>
          <w:sz w:val="17"/>
          <w:szCs w:val="17"/>
          <w:i w:val="1"/>
          <w:iCs w:val="1"/>
          <w:color w:val="auto"/>
        </w:rPr>
        <w:t xml:space="preserve"> </w:t>
      </w:r>
      <w:r>
        <w:rPr>
          <w:rFonts w:ascii="Arial" w:cs="Arial" w:eastAsia="Arial" w:hAnsi="Arial"/>
          <w:sz w:val="17"/>
          <w:szCs w:val="17"/>
          <w:color w:val="auto"/>
        </w:rPr>
        <w:t>among them at least a majority of all issued and outstanding ordinary shares and Special Voting Shares, treated as a single class, is required to constitute a quorum. Accordingly, it is important that your shares be represented at the 2018 AGM, either in person or by proxy.</w:t>
      </w:r>
    </w:p>
    <w:p>
      <w:pPr>
        <w:spacing w:after="0" w:line="105"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i w:val="1"/>
          <w:iCs w:val="1"/>
          <w:color w:val="auto"/>
        </w:rPr>
        <w:t xml:space="preserve">Proxies. </w:t>
      </w:r>
      <w:r>
        <w:rPr>
          <w:rFonts w:ascii="Arial" w:cs="Arial" w:eastAsia="Arial" w:hAnsi="Arial"/>
          <w:sz w:val="18"/>
          <w:szCs w:val="18"/>
          <w:color w:val="auto"/>
        </w:rPr>
        <w:t>A registered shareholder, entitled to attend and vote at the 2018 AGM, is entitled to appoint one or more proxies to attend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meeting and vote on his or her behalf. A proxy need not also be a shareholder. </w:t>
      </w:r>
      <w:r>
        <w:rPr>
          <w:rFonts w:ascii="Arial" w:cs="Arial" w:eastAsia="Arial" w:hAnsi="Arial"/>
          <w:sz w:val="18"/>
          <w:szCs w:val="18"/>
          <w:b w:val="1"/>
          <w:bCs w:val="1"/>
          <w:color w:val="auto"/>
        </w:rPr>
        <w:t>Whether or not you plan to attend the meeting,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please complete, date and sign the enclosed proxy card and return it in the enclosed envelope. </w:t>
      </w:r>
      <w:r>
        <w:rPr>
          <w:rFonts w:ascii="Arial" w:cs="Arial" w:eastAsia="Arial" w:hAnsi="Arial"/>
          <w:sz w:val="18"/>
          <w:szCs w:val="18"/>
          <w:color w:val="auto"/>
        </w:rPr>
        <w:t>A registered shareholder may</w:t>
      </w:r>
      <w:r>
        <w:rPr>
          <w:rFonts w:ascii="Arial" w:cs="Arial" w:eastAsia="Arial" w:hAnsi="Arial"/>
          <w:sz w:val="18"/>
          <w:szCs w:val="18"/>
          <w:b w:val="1"/>
          <w:bCs w:val="1"/>
          <w:color w:val="auto"/>
        </w:rPr>
        <w:t xml:space="preserve"> </w:t>
      </w:r>
      <w:r>
        <w:rPr>
          <w:rFonts w:ascii="Arial" w:cs="Arial" w:eastAsia="Arial" w:hAnsi="Arial"/>
          <w:sz w:val="18"/>
          <w:szCs w:val="18"/>
          <w:color w:val="auto"/>
        </w:rPr>
        <w:t>revoke his or her proxy at any time prior to the time it is voted. Registered shareholders who are present at the meeting may (but are not required) to revoke their proxies and vote in person. The collection, use and disclosure by us and our agents, representatives and service providers of a shareholder’s, and their proxies’ or representatives’, personal data in connection with the 2018 AGM and related solicitation of proxies is governed by Article 102 of our Constitution.</w:t>
      </w:r>
    </w:p>
    <w:p>
      <w:pPr>
        <w:spacing w:after="0" w:line="149" w:lineRule="exact"/>
        <w:rPr>
          <w:sz w:val="20"/>
          <w:szCs w:val="20"/>
          <w:color w:val="auto"/>
        </w:rPr>
      </w:pPr>
    </w:p>
    <w:p>
      <w:pPr>
        <w:ind w:left="200" w:right="280" w:firstLine="551"/>
        <w:spacing w:after="0"/>
        <w:rPr>
          <w:sz w:val="20"/>
          <w:szCs w:val="20"/>
          <w:color w:val="auto"/>
        </w:rPr>
      </w:pPr>
      <w:r>
        <w:rPr>
          <w:rFonts w:ascii="Arial" w:cs="Arial" w:eastAsia="Arial" w:hAnsi="Arial"/>
          <w:sz w:val="18"/>
          <w:szCs w:val="18"/>
          <w:color w:val="auto"/>
        </w:rPr>
        <w:t>If you are a beneficial owner of ordinary shares, you may vote by proxy over the Internet by following the instructions provided in the Notice of Internet Availability of Proxy Materials or, if you requested printed copies of the proxy materials by mail, you may vote by mail.</w:t>
      </w:r>
    </w:p>
    <w:p>
      <w:pPr>
        <w:spacing w:after="0" w:line="149"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Holders of restricted exchangeable units in our subsidiary, Broadcom Cayman, L.P. (the “</w:t>
      </w:r>
      <w:r>
        <w:rPr>
          <w:rFonts w:ascii="Arial" w:cs="Arial" w:eastAsia="Arial" w:hAnsi="Arial"/>
          <w:sz w:val="18"/>
          <w:szCs w:val="18"/>
          <w:u w:val="single" w:color="auto"/>
          <w:color w:val="auto"/>
        </w:rPr>
        <w:t>Partnership</w:t>
      </w:r>
      <w:r>
        <w:rPr>
          <w:rFonts w:ascii="Arial" w:cs="Arial" w:eastAsia="Arial" w:hAnsi="Arial"/>
          <w:sz w:val="18"/>
          <w:szCs w:val="18"/>
          <w:color w:val="auto"/>
        </w:rPr>
        <w:t>”), may instruct Computershare Trust Company, N.A. (“</w:t>
      </w:r>
      <w:r>
        <w:rPr>
          <w:rFonts w:ascii="Arial" w:cs="Arial" w:eastAsia="Arial" w:hAnsi="Arial"/>
          <w:sz w:val="18"/>
          <w:szCs w:val="18"/>
          <w:u w:val="single" w:color="auto"/>
          <w:color w:val="auto"/>
        </w:rPr>
        <w:t>Computershare</w:t>
      </w:r>
      <w:r>
        <w:rPr>
          <w:rFonts w:ascii="Arial" w:cs="Arial" w:eastAsia="Arial" w:hAnsi="Arial"/>
          <w:sz w:val="18"/>
          <w:szCs w:val="18"/>
          <w:color w:val="auto"/>
        </w:rPr>
        <w:t>”), as the registered shareholder of all of the outstanding Special Voting Shares, how to vote their corresponding number of Special Voting Shares, in accordance with the Voting Trust Agreement, dated February 1, 2016, by and among Broadcom, the Partnership and Computershare as trustee.</w:t>
      </w:r>
    </w:p>
    <w:p>
      <w:pPr>
        <w:spacing w:after="0" w:line="130" w:lineRule="exact"/>
        <w:rPr>
          <w:sz w:val="20"/>
          <w:szCs w:val="20"/>
          <w:color w:val="auto"/>
        </w:rPr>
      </w:pPr>
    </w:p>
    <w:p>
      <w:pPr>
        <w:ind w:left="200" w:right="80" w:firstLine="551"/>
        <w:spacing w:after="0" w:line="267" w:lineRule="auto"/>
        <w:rPr>
          <w:sz w:val="20"/>
          <w:szCs w:val="20"/>
          <w:color w:val="auto"/>
        </w:rPr>
      </w:pPr>
      <w:r>
        <w:rPr>
          <w:rFonts w:ascii="Arial" w:cs="Arial" w:eastAsia="Arial" w:hAnsi="Arial"/>
          <w:sz w:val="18"/>
          <w:szCs w:val="18"/>
          <w:color w:val="auto"/>
        </w:rPr>
        <w:t>For detailed information regarding eligibility to vote at, and voting procedures for, the 2018 AGM, please refer to “</w:t>
      </w:r>
      <w:r>
        <w:rPr>
          <w:rFonts w:ascii="Arial" w:cs="Arial" w:eastAsia="Arial" w:hAnsi="Arial"/>
          <w:sz w:val="18"/>
          <w:szCs w:val="18"/>
          <w:i w:val="1"/>
          <w:iCs w:val="1"/>
          <w:color w:val="auto"/>
        </w:rPr>
        <w:t>Voting Rights and</w:t>
      </w:r>
      <w:r>
        <w:rPr>
          <w:rFonts w:ascii="Arial" w:cs="Arial" w:eastAsia="Arial" w:hAnsi="Arial"/>
          <w:sz w:val="18"/>
          <w:szCs w:val="18"/>
          <w:color w:val="auto"/>
        </w:rPr>
        <w:t xml:space="preserve"> </w:t>
      </w:r>
      <w:r>
        <w:rPr>
          <w:rFonts w:ascii="Arial" w:cs="Arial" w:eastAsia="Arial" w:hAnsi="Arial"/>
          <w:sz w:val="18"/>
          <w:szCs w:val="18"/>
          <w:i w:val="1"/>
          <w:iCs w:val="1"/>
          <w:color w:val="auto"/>
        </w:rPr>
        <w:t>Solicitation of Proxies</w:t>
      </w:r>
      <w:r>
        <w:rPr>
          <w:rFonts w:ascii="Arial" w:cs="Arial" w:eastAsia="Arial" w:hAnsi="Arial"/>
          <w:sz w:val="18"/>
          <w:szCs w:val="18"/>
          <w:color w:val="auto"/>
        </w:rPr>
        <w:t>”, starting on page 1 of the accompanying Proxy Statement.</w:t>
      </w:r>
    </w:p>
    <w:p>
      <w:pPr>
        <w:spacing w:after="0" w:line="157" w:lineRule="exact"/>
        <w:rPr>
          <w:sz w:val="20"/>
          <w:szCs w:val="20"/>
          <w:color w:val="auto"/>
        </w:rPr>
      </w:pPr>
    </w:p>
    <w:p>
      <w:pPr>
        <w:ind w:left="200" w:right="120"/>
        <w:spacing w:after="0" w:line="244" w:lineRule="auto"/>
        <w:rPr>
          <w:sz w:val="20"/>
          <w:szCs w:val="20"/>
          <w:color w:val="auto"/>
        </w:rPr>
      </w:pPr>
      <w:r>
        <w:rPr>
          <w:rFonts w:ascii="Arial" w:cs="Arial" w:eastAsia="Arial" w:hAnsi="Arial"/>
          <w:sz w:val="18"/>
          <w:szCs w:val="18"/>
          <w:b w:val="1"/>
          <w:bCs w:val="1"/>
          <w:color w:val="auto"/>
        </w:rPr>
        <w:t>FOR ADMISSION TO THE ANNUAL GENERAL MEETING, EACH SHAREHOLDER WILL BE ASKED TO PRESENT VALID PICTURE IDENTIFICATION, SUCH AS A DRIVER’S LICENSE OR PASSPORT, AND PROOF OF OWNERSHIP OF OUR ORDINARY SHARES AS OF THE MEETING DATE, SUCH AS A RECENT BROKERAGE STATEMENT, REFLECTING SHARE OWNERSHIP, OR A LEGAL PROXY TO VOTE SPECIAL VOTING SHARES FROM COMPUTERSHARE TRUST COMPANY N.A. PLEASE SEE PAGE 3 OF THE PROXY STATEMENT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141605</wp:posOffset>
            </wp:positionV>
            <wp:extent cx="7002145" cy="930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93027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Shareholders to be held on April 4, 2018:</w:t>
      </w:r>
    </w:p>
    <w:p>
      <w:pPr>
        <w:spacing w:after="0" w:line="6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notice of meeting, Proxy Statement and annual report to shareholders are available at</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http://investors.broadcom.com/phoenix.zhtml?c=203541&amp;p=proxy.</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1012190" cy="454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21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Hock E. Tan</w:t>
      </w:r>
    </w:p>
    <w:p>
      <w:pPr>
        <w:ind w:left="200"/>
        <w:spacing w:after="0"/>
        <w:rPr>
          <w:sz w:val="20"/>
          <w:szCs w:val="20"/>
          <w:color w:val="auto"/>
        </w:rPr>
      </w:pPr>
      <w:r>
        <w:rPr>
          <w:rFonts w:ascii="Arial" w:cs="Arial" w:eastAsia="Arial" w:hAnsi="Arial"/>
          <w:sz w:val="18"/>
          <w:szCs w:val="18"/>
          <w:color w:val="auto"/>
        </w:rPr>
        <w:t>Director, Chief Executive Officer and President</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20, 2018</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You should read the entire accompanying Proxy Statement carefully prior to voting.</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220" w:type="dxa"/>
            <w:vAlign w:val="bottom"/>
            <w:gridSpan w:val="3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12"/>
          </w:tcPr>
          <w:p>
            <w:pPr>
              <w:jc w:val="center"/>
              <w:ind w:right="3400"/>
              <w:spacing w:after="0"/>
              <w:rPr>
                <w:sz w:val="20"/>
                <w:szCs w:val="20"/>
                <w:color w:val="auto"/>
              </w:rPr>
            </w:pPr>
            <w:r>
              <w:rPr>
                <w:rFonts w:ascii="Arial" w:cs="Arial" w:eastAsia="Arial" w:hAnsi="Arial"/>
                <w:sz w:val="18"/>
                <w:szCs w:val="18"/>
                <w:b w:val="1"/>
                <w:bCs w:val="1"/>
                <w:color w:val="auto"/>
              </w:rPr>
              <w:t>BROADCOM LIMITED</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20" w:type="dxa"/>
            <w:vAlign w:val="bottom"/>
            <w:gridSpan w:val="12"/>
          </w:tcPr>
          <w:p>
            <w:pPr>
              <w:jc w:val="center"/>
              <w:ind w:right="3380"/>
              <w:spacing w:after="0"/>
              <w:rPr>
                <w:sz w:val="20"/>
                <w:szCs w:val="20"/>
                <w:color w:val="auto"/>
              </w:rPr>
            </w:pPr>
            <w:r>
              <w:rPr>
                <w:rFonts w:ascii="Arial" w:cs="Arial" w:eastAsia="Arial" w:hAnsi="Arial"/>
                <w:sz w:val="18"/>
                <w:szCs w:val="18"/>
                <w:b w:val="1"/>
                <w:bCs w:val="1"/>
                <w:color w:val="auto"/>
                <w:w w:val="98"/>
              </w:rPr>
              <w:t>PROXY STATEMENT</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720" w:type="dxa"/>
            <w:vAlign w:val="bottom"/>
            <w:gridSpan w:val="11"/>
          </w:tcPr>
          <w:p>
            <w:pPr>
              <w:jc w:val="center"/>
              <w:ind w:right="4300"/>
              <w:spacing w:after="0" w:line="202" w:lineRule="exact"/>
              <w:rPr>
                <w:sz w:val="20"/>
                <w:szCs w:val="20"/>
                <w:color w:val="auto"/>
              </w:rPr>
            </w:pPr>
            <w:r>
              <w:rPr>
                <w:rFonts w:ascii="Arial" w:cs="Arial" w:eastAsia="Arial" w:hAnsi="Arial"/>
                <w:sz w:val="18"/>
                <w:szCs w:val="18"/>
                <w:b w:val="1"/>
                <w:bCs w:val="1"/>
                <w:color w:val="auto"/>
                <w:w w:val="99"/>
              </w:rPr>
              <w:t>FOR</w:t>
            </w: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80" w:type="dxa"/>
            <w:vAlign w:val="bottom"/>
            <w:gridSpan w:val="20"/>
          </w:tcPr>
          <w:p>
            <w:pPr>
              <w:jc w:val="center"/>
              <w:ind w:right="1740"/>
              <w:spacing w:after="0"/>
              <w:rPr>
                <w:sz w:val="20"/>
                <w:szCs w:val="20"/>
                <w:color w:val="auto"/>
              </w:rPr>
            </w:pPr>
            <w:r>
              <w:rPr>
                <w:rFonts w:ascii="Arial" w:cs="Arial" w:eastAsia="Arial" w:hAnsi="Arial"/>
                <w:sz w:val="18"/>
                <w:szCs w:val="18"/>
                <w:b w:val="1"/>
                <w:bCs w:val="1"/>
                <w:color w:val="auto"/>
                <w:w w:val="99"/>
              </w:rPr>
              <w:t>2018 ANNUAL GENERAL MEETING OF SHAREHOLDERS</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12"/>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0" w:type="dxa"/>
            <w:vAlign w:val="bottom"/>
          </w:tcPr>
          <w:p>
            <w:pPr>
              <w:spacing w:after="0"/>
              <w:rPr>
                <w:sz w:val="24"/>
                <w:szCs w:val="24"/>
                <w:color w:val="auto"/>
              </w:rPr>
            </w:pPr>
          </w:p>
        </w:tc>
        <w:tc>
          <w:tcPr>
            <w:tcW w:w="10020" w:type="dxa"/>
            <w:vAlign w:val="bottom"/>
            <w:gridSpan w:val="30"/>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ELECTRONIC DELIVERY OF OUR SHAREHOLDER COMMUNICATIONS</w:t>
              </w:r>
            </w:hyperlink>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10020" w:type="dxa"/>
            <w:vAlign w:val="bottom"/>
            <w:gridSpan w:val="30"/>
            <w:vMerge w:val="continue"/>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304"/>
        </w:trPr>
        <w:tc>
          <w:tcPr>
            <w:tcW w:w="200" w:type="dxa"/>
            <w:vAlign w:val="bottom"/>
          </w:tcPr>
          <w:p>
            <w:pPr>
              <w:spacing w:after="0"/>
              <w:rPr>
                <w:sz w:val="24"/>
                <w:szCs w:val="24"/>
                <w:color w:val="auto"/>
              </w:rPr>
            </w:pPr>
          </w:p>
        </w:tc>
        <w:tc>
          <w:tcPr>
            <w:tcW w:w="5980" w:type="dxa"/>
            <w:vAlign w:val="bottom"/>
            <w:tcBorders>
              <w:top w:val="single" w:sz="8" w:color="0000EE"/>
            </w:tcBorders>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INTERNET AVAILABILITY OF PROXY MATERIALS</w:t>
              </w:r>
            </w:hyperlink>
          </w:p>
        </w:tc>
        <w:tc>
          <w:tcPr>
            <w:tcW w:w="40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428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VOTING RIGHTS AND SOLICITATION OF PROXIES</w:t>
              </w:r>
            </w:hyperlink>
          </w:p>
        </w:tc>
        <w:tc>
          <w:tcPr>
            <w:tcW w:w="5740" w:type="dxa"/>
            <w:vAlign w:val="bottom"/>
            <w:gridSpan w:val="13"/>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10020" w:type="dxa"/>
            <w:vAlign w:val="bottom"/>
            <w:gridSpan w:val="3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PROPOSAL 1:</w:t>
              </w:r>
            </w:hyperlink>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580" w:type="dxa"/>
            <w:vAlign w:val="bottom"/>
            <w:gridSpan w:val="29"/>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ELECTION OF DIRECTORS</w:t>
              </w:r>
            </w:hyperlink>
          </w:p>
        </w:tc>
        <w:tc>
          <w:tcPr>
            <w:tcW w:w="9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10020" w:type="dxa"/>
            <w:vAlign w:val="bottom"/>
            <w:gridSpan w:val="3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CORPORATE GOVERNANCE</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260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DIRECTORS’ COMPENSATION</w:t>
              </w:r>
            </w:hyperlink>
          </w:p>
        </w:tc>
        <w:tc>
          <w:tcPr>
            <w:tcW w:w="7420" w:type="dxa"/>
            <w:vAlign w:val="bottom"/>
            <w:gridSpan w:val="21"/>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10020" w:type="dxa"/>
            <w:vAlign w:val="bottom"/>
            <w:gridSpan w:val="3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PROPOSAL 2:</w:t>
              </w:r>
            </w:hyperlink>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580" w:type="dxa"/>
            <w:vAlign w:val="bottom"/>
            <w:gridSpan w:val="29"/>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APPROVAL OF THE RE-APPOINTMENT OF INDEPENDENT REGISTERED PUBLIC ACCOUNTING FIRM AND</w:t>
              </w:r>
            </w:hyperlink>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600" w:type="dxa"/>
            <w:vAlign w:val="bottom"/>
            <w:tcBorders>
              <w:top w:val="single" w:sz="8" w:color="0000EE"/>
              <w:bottom w:val="single" w:sz="8" w:color="0000EE"/>
            </w:tcBorders>
            <w:gridSpan w:val="26"/>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INDEPENDENT SINGAPORE AUDITOR FOR FISCAL YEAR 2018 AND AUTHORIZATION OF THE AUDIT</w:t>
              </w:r>
            </w:hyperlink>
          </w:p>
        </w:tc>
        <w:tc>
          <w:tcPr>
            <w:tcW w:w="240" w:type="dxa"/>
            <w:vAlign w:val="bottom"/>
            <w:tcBorders>
              <w:top w:val="single" w:sz="8" w:color="0000EE"/>
            </w:tcBorders>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360" w:type="dxa"/>
            <w:vAlign w:val="bottom"/>
            <w:gridSpan w:val="28"/>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COMMITTEE TO FIX ITS REMUNERATION</w:t>
              </w:r>
            </w:hyperlink>
          </w:p>
        </w:tc>
        <w:tc>
          <w:tcPr>
            <w:tcW w:w="9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10020" w:type="dxa"/>
            <w:vAlign w:val="bottom"/>
            <w:gridSpan w:val="3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PROPOSAL 3:</w:t>
              </w:r>
            </w:hyperlink>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ORDINARY RESOLUTION TO AUTHORIZE SHARE ALLOTMENTS AND ISSUANCES</w:t>
              </w:r>
            </w:hyperlink>
          </w:p>
        </w:tc>
        <w:tc>
          <w:tcPr>
            <w:tcW w:w="2580" w:type="dxa"/>
            <w:vAlign w:val="bottom"/>
            <w:gridSpan w:val="4"/>
          </w:tcPr>
          <w:p>
            <w:pPr>
              <w:spacing w:after="0"/>
              <w:rPr>
                <w:sz w:val="15"/>
                <w:szCs w:val="15"/>
                <w:color w:val="auto"/>
              </w:rPr>
            </w:pPr>
          </w:p>
        </w:tc>
        <w:tc>
          <w:tcPr>
            <w:tcW w:w="9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10020" w:type="dxa"/>
            <w:vAlign w:val="bottom"/>
            <w:gridSpan w:val="3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PROPOSAL 4:</w:t>
              </w:r>
            </w:hyperlink>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6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NON-BINDING, ADVISORY VOTE TO APPROVE EXECUTIVE COMPENSATION</w:t>
              </w:r>
            </w:hyperlink>
          </w:p>
        </w:tc>
        <w:tc>
          <w:tcPr>
            <w:tcW w:w="3020" w:type="dxa"/>
            <w:vAlign w:val="bottom"/>
            <w:gridSpan w:val="5"/>
          </w:tcPr>
          <w:p>
            <w:pPr>
              <w:spacing w:after="0"/>
              <w:rPr>
                <w:sz w:val="15"/>
                <w:szCs w:val="15"/>
                <w:color w:val="auto"/>
              </w:rPr>
            </w:pPr>
          </w:p>
        </w:tc>
        <w:tc>
          <w:tcPr>
            <w:tcW w:w="9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10020" w:type="dxa"/>
            <w:vAlign w:val="bottom"/>
            <w:gridSpan w:val="3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EXECUTIVE OFFICERS</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10020" w:type="dxa"/>
            <w:vAlign w:val="bottom"/>
            <w:gridSpan w:val="3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COMPENSATION DISCUSSION AND ANALYSIS</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3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COMPENSATION COMMITTEE REPORT</w:t>
              </w:r>
            </w:hyperlink>
          </w:p>
        </w:tc>
        <w:tc>
          <w:tcPr>
            <w:tcW w:w="580" w:type="dxa"/>
            <w:vAlign w:val="bottom"/>
            <w:tcBorders>
              <w:top w:val="single" w:sz="8" w:color="0000EE"/>
            </w:tcBorders>
            <w:gridSpan w:val="2"/>
          </w:tcPr>
          <w:p>
            <w:pPr>
              <w:spacing w:after="0"/>
              <w:rPr>
                <w:sz w:val="24"/>
                <w:szCs w:val="24"/>
                <w:color w:val="auto"/>
              </w:rPr>
            </w:pPr>
          </w:p>
        </w:tc>
        <w:tc>
          <w:tcPr>
            <w:tcW w:w="6060" w:type="dxa"/>
            <w:vAlign w:val="bottom"/>
            <w:gridSpan w:val="17"/>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10020" w:type="dxa"/>
            <w:vAlign w:val="bottom"/>
            <w:gridSpan w:val="3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EXECUTIVE COMPENSATION</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980" w:type="dxa"/>
            <w:vAlign w:val="bottom"/>
            <w:tcBorders>
              <w:right w:val="single" w:sz="8" w:color="0000EE"/>
            </w:tcBorders>
            <w:gridSpan w:val="3"/>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10020" w:type="dxa"/>
            <w:vAlign w:val="bottom"/>
            <w:gridSpan w:val="3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EQUITY COMPENSATION PLAN INFORMATION</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2520" w:type="dxa"/>
            <w:vAlign w:val="bottom"/>
            <w:tcBorders>
              <w:top w:val="single" w:sz="8" w:color="0000EE"/>
              <w:bottom w:val="single" w:sz="8" w:color="0000EE"/>
            </w:tcBorders>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AUDIT COMMITTEE REPORT</w:t>
              </w:r>
            </w:hyperlink>
          </w:p>
        </w:tc>
        <w:tc>
          <w:tcPr>
            <w:tcW w:w="1460" w:type="dxa"/>
            <w:vAlign w:val="bottom"/>
            <w:tcBorders>
              <w:top w:val="single" w:sz="8" w:color="0000EE"/>
            </w:tcBorders>
            <w:gridSpan w:val="6"/>
          </w:tcPr>
          <w:p>
            <w:pPr>
              <w:spacing w:after="0"/>
              <w:rPr>
                <w:sz w:val="24"/>
                <w:szCs w:val="24"/>
                <w:color w:val="auto"/>
              </w:rPr>
            </w:pPr>
          </w:p>
        </w:tc>
        <w:tc>
          <w:tcPr>
            <w:tcW w:w="6040" w:type="dxa"/>
            <w:vAlign w:val="bottom"/>
            <w:gridSpan w:val="16"/>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8780" w:type="dxa"/>
            <w:vAlign w:val="bottom"/>
            <w:tcBorders>
              <w:bottom w:val="single" w:sz="8" w:color="0000EE"/>
            </w:tcBorders>
            <w:gridSpan w:val="27"/>
          </w:tcPr>
          <w:p>
            <w:pPr>
              <w:spacing w:after="0"/>
              <w:rPr>
                <w:rFonts w:ascii="Arial" w:cs="Arial" w:eastAsia="Arial" w:hAnsi="Arial"/>
                <w:sz w:val="18"/>
                <w:szCs w:val="18"/>
                <w:color w:val="0000EE"/>
                <w:w w:val="99"/>
              </w:rPr>
            </w:pPr>
            <w:hyperlink w:anchor="page67">
              <w:r>
                <w:rPr>
                  <w:rFonts w:ascii="Arial" w:cs="Arial" w:eastAsia="Arial" w:hAnsi="Arial"/>
                  <w:sz w:val="18"/>
                  <w:szCs w:val="18"/>
                  <w:color w:val="0000EE"/>
                  <w:w w:val="99"/>
                </w:rPr>
                <w:t>SECURITY OWNERSHIP OF CERTAIN BENEFICIAL OWNERS, DIRECTORS AND EXECUTIVE OFFICERS</w:t>
              </w:r>
            </w:hyperlink>
          </w:p>
        </w:tc>
        <w:tc>
          <w:tcPr>
            <w:tcW w:w="1240" w:type="dxa"/>
            <w:vAlign w:val="bottom"/>
            <w:gridSpan w:val="3"/>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10020" w:type="dxa"/>
            <w:vAlign w:val="bottom"/>
            <w:gridSpan w:val="3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PARTY TRANSACTIONS</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900" w:type="dxa"/>
            <w:vAlign w:val="bottom"/>
            <w:tcBorders>
              <w:left w:val="single" w:sz="8" w:color="0000EE"/>
            </w:tcBorders>
            <w:gridSpan w:val="6"/>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590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72">
              <w:r>
                <w:rPr>
                  <w:rFonts w:ascii="Arial" w:cs="Arial" w:eastAsia="Arial" w:hAnsi="Arial"/>
                  <w:sz w:val="18"/>
                  <w:szCs w:val="18"/>
                  <w:color w:val="0000EE"/>
                  <w:w w:val="99"/>
                </w:rPr>
                <w:t>SECTION 16(a) BENEFICIAL OWNERSHIP REPORTING COMPLIANCE</w:t>
              </w:r>
            </w:hyperlink>
          </w:p>
        </w:tc>
        <w:tc>
          <w:tcPr>
            <w:tcW w:w="4120" w:type="dxa"/>
            <w:vAlign w:val="bottom"/>
            <w:gridSpan w:val="9"/>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10020" w:type="dxa"/>
            <w:vAlign w:val="bottom"/>
            <w:gridSpan w:val="3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HOUSEHOLDING OF PROXY MATERIALS</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10020" w:type="dxa"/>
            <w:vAlign w:val="bottom"/>
            <w:gridSpan w:val="3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SHAREHOLDER PROPOSALS FOR THE 2019 ANNUAL GENERAL MEETING</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530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9"/>
              </w:rPr>
            </w:pPr>
            <w:hyperlink w:anchor="page74">
              <w:r>
                <w:rPr>
                  <w:rFonts w:ascii="Arial" w:cs="Arial" w:eastAsia="Arial" w:hAnsi="Arial"/>
                  <w:sz w:val="18"/>
                  <w:szCs w:val="18"/>
                  <w:color w:val="0000EE"/>
                  <w:w w:val="99"/>
                </w:rPr>
                <w:t>INCORPORATION OF CERTAIN DOCUMENTS BY REFERENCE</w:t>
              </w:r>
            </w:hyperlink>
          </w:p>
        </w:tc>
        <w:tc>
          <w:tcPr>
            <w:tcW w:w="1080" w:type="dxa"/>
            <w:vAlign w:val="bottom"/>
            <w:tcBorders>
              <w:top w:val="single" w:sz="8" w:color="0000EE"/>
            </w:tcBorders>
            <w:gridSpan w:val="5"/>
          </w:tcPr>
          <w:p>
            <w:pPr>
              <w:spacing w:after="0"/>
              <w:rPr>
                <w:sz w:val="24"/>
                <w:szCs w:val="24"/>
                <w:color w:val="auto"/>
              </w:rPr>
            </w:pPr>
          </w:p>
        </w:tc>
        <w:tc>
          <w:tcPr>
            <w:tcW w:w="3640" w:type="dxa"/>
            <w:vAlign w:val="bottom"/>
            <w:gridSpan w:val="6"/>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10020" w:type="dxa"/>
            <w:vAlign w:val="bottom"/>
            <w:gridSpan w:val="3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SINGAPORE STATUTORY FINANCIAL STATEMENTS</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15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8"/>
              </w:rPr>
            </w:pPr>
            <w:hyperlink w:anchor="page75">
              <w:r>
                <w:rPr>
                  <w:rFonts w:ascii="Arial" w:cs="Arial" w:eastAsia="Arial" w:hAnsi="Arial"/>
                  <w:sz w:val="18"/>
                  <w:szCs w:val="18"/>
                  <w:color w:val="0000EE"/>
                  <w:w w:val="98"/>
                </w:rPr>
                <w:t>OTHER MATTERS</w:t>
              </w:r>
            </w:hyperlink>
          </w:p>
        </w:tc>
        <w:tc>
          <w:tcPr>
            <w:tcW w:w="2860" w:type="dxa"/>
            <w:vAlign w:val="bottom"/>
            <w:tcBorders>
              <w:top w:val="single" w:sz="8" w:color="0000EE"/>
            </w:tcBorders>
            <w:gridSpan w:val="13"/>
          </w:tcPr>
          <w:p>
            <w:pPr>
              <w:spacing w:after="0"/>
              <w:rPr>
                <w:sz w:val="24"/>
                <w:szCs w:val="24"/>
                <w:color w:val="auto"/>
              </w:rPr>
            </w:pPr>
          </w:p>
        </w:tc>
        <w:tc>
          <w:tcPr>
            <w:tcW w:w="5620" w:type="dxa"/>
            <w:vAlign w:val="bottom"/>
            <w:gridSpan w:val="12"/>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80" w:type="dxa"/>
            <w:vAlign w:val="bottom"/>
            <w:tcBorders>
              <w:bottom w:val="single" w:sz="8" w:color="0000EE"/>
            </w:tcBorders>
            <w:gridSpan w:val="22"/>
          </w:tcPr>
          <w:p>
            <w:pPr>
              <w:spacing w:after="0" w:line="182" w:lineRule="exact"/>
              <w:rPr>
                <w:rFonts w:ascii="Arial" w:cs="Arial" w:eastAsia="Arial" w:hAnsi="Arial"/>
                <w:sz w:val="18"/>
                <w:szCs w:val="18"/>
                <w:color w:val="0000EE"/>
                <w:w w:val="98"/>
              </w:rPr>
            </w:pPr>
            <w:hyperlink w:anchor="page76">
              <w:r>
                <w:rPr>
                  <w:rFonts w:ascii="Arial" w:cs="Arial" w:eastAsia="Arial" w:hAnsi="Arial"/>
                  <w:sz w:val="18"/>
                  <w:szCs w:val="18"/>
                  <w:color w:val="0000EE"/>
                  <w:w w:val="98"/>
                </w:rPr>
                <w:t>APPENDIX A: SINGAPORE STATUTORY FINANCIAL STATEMENTS</w:t>
              </w:r>
            </w:hyperlink>
          </w:p>
        </w:tc>
        <w:tc>
          <w:tcPr>
            <w:tcW w:w="4000" w:type="dxa"/>
            <w:vAlign w:val="bottom"/>
            <w:gridSpan w:val="7"/>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580" w:type="dxa"/>
            <w:vAlign w:val="bottom"/>
            <w:gridSpan w:val="29"/>
          </w:tcPr>
          <w:p>
            <w:pPr>
              <w:spacing w:after="0" w:line="182" w:lineRule="exact"/>
              <w:rPr>
                <w:rFonts w:ascii="Arial" w:cs="Arial" w:eastAsia="Arial" w:hAnsi="Arial"/>
                <w:sz w:val="18"/>
                <w:szCs w:val="18"/>
                <w:color w:val="0000EE"/>
              </w:rPr>
            </w:pPr>
            <w:hyperlink w:anchor="page202">
              <w:r>
                <w:rPr>
                  <w:rFonts w:ascii="Arial" w:cs="Arial" w:eastAsia="Arial" w:hAnsi="Arial"/>
                  <w:sz w:val="18"/>
                  <w:szCs w:val="18"/>
                  <w:color w:val="0000EE"/>
                </w:rPr>
                <w:t>APPENDIX B: DRIVING DIRECTIONS</w:t>
              </w:r>
            </w:hyperlink>
          </w:p>
        </w:tc>
        <w:tc>
          <w:tcPr>
            <w:tcW w:w="52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ELECTRONIC DELIVERY OF OUR SHAREHOLDER COMMUNICATIONS</w:t>
      </w:r>
    </w:p>
    <w:p>
      <w:pPr>
        <w:spacing w:after="0" w:line="180"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strongly encourage our shareholders to conserve natural resources, as well as significantly reduce our printing and mailing costs, by signing up to receive shareholder communications via e-mail. With electronic delivery, we will notify you when our annual reports and proxy statements are available on the Internet. Electronic delivery can also help reduce the number of bulky documents in your personal files and eliminate duplicate mailings. To sign up for electronic delivery:</w:t>
      </w:r>
    </w:p>
    <w:p>
      <w:pPr>
        <w:spacing w:after="0" w:line="107" w:lineRule="exact"/>
        <w:rPr>
          <w:sz w:val="20"/>
          <w:szCs w:val="20"/>
          <w:color w:val="auto"/>
        </w:rPr>
      </w:pPr>
    </w:p>
    <w:p>
      <w:pPr>
        <w:ind w:left="1280" w:right="180" w:hanging="536"/>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If you are a registered shareholder (i.e., you hold your Broadcom ordinary shares in your own name through our transfer agent, Computershare Trust Company, N.A.), visit: </w:t>
      </w:r>
      <w:r>
        <w:rPr>
          <w:rFonts w:ascii="Arial" w:cs="Arial" w:eastAsia="Arial" w:hAnsi="Arial"/>
          <w:sz w:val="18"/>
          <w:szCs w:val="18"/>
          <w:u w:val="single" w:color="auto"/>
          <w:color w:val="auto"/>
        </w:rPr>
        <w:t>www-us.computershare.com/investor/</w:t>
      </w:r>
      <w:r>
        <w:rPr>
          <w:rFonts w:ascii="Arial" w:cs="Arial" w:eastAsia="Arial" w:hAnsi="Arial"/>
          <w:sz w:val="18"/>
          <w:szCs w:val="18"/>
          <w:color w:val="auto"/>
        </w:rPr>
        <w:t xml:space="preserve"> or call (877) 373-6374 within the U.S., U.S. Territories and Canada, or +1 (781) 575-3100 outside the U.S., U.S. Territories and Canada.</w:t>
      </w:r>
    </w:p>
    <w:p>
      <w:pPr>
        <w:spacing w:after="0" w:line="108" w:lineRule="exact"/>
        <w:rPr>
          <w:rFonts w:ascii="Arial" w:cs="Arial" w:eastAsia="Arial" w:hAnsi="Arial"/>
          <w:sz w:val="18"/>
          <w:szCs w:val="18"/>
          <w:color w:val="auto"/>
        </w:rPr>
      </w:pPr>
    </w:p>
    <w:p>
      <w:pPr>
        <w:ind w:left="1280" w:right="180" w:hanging="536"/>
        <w:spacing w:after="0" w:line="246"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 are a beneficial holder (i.e., your ordinary shares are held by a broker, bank or other nominee), the voting instruction form provided by most brokers or banks will contain instructions for enrolling in electronic delivery.</w:t>
      </w:r>
    </w:p>
    <w:p>
      <w:pPr>
        <w:spacing w:after="0" w:line="143"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Your electronic delivery enrollment will be effective until you cancel it. If you have questions about electronic delivery, please call Computershare at the number above or your broker or bank.</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163830</wp:posOffset>
            </wp:positionV>
            <wp:extent cx="7002145" cy="930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93027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w:t>
      </w:r>
    </w:p>
    <w:p>
      <w:pPr>
        <w:spacing w:after="0" w:line="1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Annual Meeting of Shareholders to be held on April 4, 2018:</w:t>
      </w:r>
    </w:p>
    <w:p>
      <w:pPr>
        <w:spacing w:after="0" w:line="6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notice of meeting, proxy statement and annual report to shareholders are available at</w:t>
      </w:r>
    </w:p>
    <w:p>
      <w:pPr>
        <w:spacing w:after="0" w:line="1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http://investors.broadcom.com/phoenix.zhtml?c=203541&amp;p=proxy.</w:t>
      </w: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w:t>
      </w:r>
    </w:p>
    <w:p>
      <w:pPr>
        <w:spacing w:after="0" w:line="1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w:t>
      </w:r>
    </w:p>
    <w:p>
      <w:pPr>
        <w:jc w:val="center"/>
        <w:ind w:right="-259"/>
        <w:spacing w:after="0" w:line="234" w:lineRule="auto"/>
        <w:rPr>
          <w:sz w:val="20"/>
          <w:szCs w:val="20"/>
          <w:color w:val="auto"/>
        </w:rPr>
      </w:pPr>
      <w:r>
        <w:rPr>
          <w:rFonts w:ascii="Arial" w:cs="Arial" w:eastAsia="Arial" w:hAnsi="Arial"/>
          <w:sz w:val="18"/>
          <w:szCs w:val="18"/>
          <w:b w:val="1"/>
          <w:bCs w:val="1"/>
          <w:color w:val="auto"/>
        </w:rPr>
        <w:t>2018 ANNUAL GENERAL MEETING</w:t>
      </w:r>
    </w:p>
    <w:p>
      <w:pPr>
        <w:jc w:val="center"/>
        <w:ind w:right="-259"/>
        <w:spacing w:after="0" w:line="235" w:lineRule="auto"/>
        <w:rPr>
          <w:sz w:val="20"/>
          <w:szCs w:val="20"/>
          <w:color w:val="auto"/>
        </w:rPr>
      </w:pPr>
      <w:r>
        <w:rPr>
          <w:rFonts w:ascii="Arial" w:cs="Arial" w:eastAsia="Arial" w:hAnsi="Arial"/>
          <w:sz w:val="18"/>
          <w:szCs w:val="18"/>
          <w:b w:val="1"/>
          <w:bCs w:val="1"/>
          <w:color w:val="auto"/>
        </w:rPr>
        <w:t>of</w:t>
      </w:r>
    </w:p>
    <w:p>
      <w:pPr>
        <w:jc w:val="center"/>
        <w:ind w:right="-259"/>
        <w:spacing w:after="0" w:line="235" w:lineRule="auto"/>
        <w:rPr>
          <w:sz w:val="20"/>
          <w:szCs w:val="20"/>
          <w:color w:val="auto"/>
        </w:rPr>
      </w:pPr>
      <w:r>
        <w:rPr>
          <w:rFonts w:ascii="Arial" w:cs="Arial" w:eastAsia="Arial" w:hAnsi="Arial"/>
          <w:sz w:val="18"/>
          <w:szCs w:val="18"/>
          <w:b w:val="1"/>
          <w:bCs w:val="1"/>
          <w:color w:val="auto"/>
        </w:rPr>
        <w:t>SHAREHOLDERS</w:t>
      </w:r>
    </w:p>
    <w:p>
      <w:pPr>
        <w:jc w:val="center"/>
        <w:ind w:right="-259"/>
        <w:spacing w:after="0" w:line="235" w:lineRule="auto"/>
        <w:rPr>
          <w:sz w:val="20"/>
          <w:szCs w:val="20"/>
          <w:color w:val="auto"/>
        </w:rPr>
      </w:pPr>
      <w:r>
        <w:rPr>
          <w:rFonts w:ascii="Arial" w:cs="Arial" w:eastAsia="Arial" w:hAnsi="Arial"/>
          <w:sz w:val="18"/>
          <w:szCs w:val="18"/>
          <w:b w:val="1"/>
          <w:bCs w:val="1"/>
          <w:color w:val="auto"/>
        </w:rPr>
        <w:t>of</w:t>
      </w:r>
    </w:p>
    <w:p>
      <w:pPr>
        <w:jc w:val="center"/>
        <w:ind w:right="-259"/>
        <w:spacing w:after="0"/>
        <w:rPr>
          <w:sz w:val="20"/>
          <w:szCs w:val="20"/>
          <w:color w:val="auto"/>
        </w:rPr>
      </w:pPr>
      <w:r>
        <w:rPr>
          <w:rFonts w:ascii="Arial" w:cs="Arial" w:eastAsia="Arial" w:hAnsi="Arial"/>
          <w:sz w:val="18"/>
          <w:szCs w:val="18"/>
          <w:b w:val="1"/>
          <w:bCs w:val="1"/>
          <w:color w:val="auto"/>
        </w:rPr>
        <w:t>BROADCOM LIMITED</w:t>
      </w:r>
    </w:p>
    <w:p>
      <w:pPr>
        <w:spacing w:after="0" w:line="6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To Be Held on Wednesday, April 4, 2018</w:t>
      </w:r>
    </w:p>
    <w:p>
      <w:pPr>
        <w:spacing w:after="0" w:line="1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11:00 a.m. (Pacific Time) at</w:t>
      </w:r>
    </w:p>
    <w:p>
      <w:pPr>
        <w:jc w:val="center"/>
        <w:ind w:right="-259"/>
        <w:spacing w:after="0"/>
        <w:rPr>
          <w:sz w:val="20"/>
          <w:szCs w:val="20"/>
          <w:color w:val="auto"/>
        </w:rPr>
      </w:pPr>
      <w:r>
        <w:rPr>
          <w:rFonts w:ascii="Arial" w:cs="Arial" w:eastAsia="Arial" w:hAnsi="Arial"/>
          <w:sz w:val="18"/>
          <w:szCs w:val="18"/>
          <w:b w:val="1"/>
          <w:bCs w:val="1"/>
          <w:color w:val="auto"/>
        </w:rPr>
        <w:t>1320 Ridder Park Drive, San Jose, California 95131, U.S.A.</w:t>
      </w:r>
    </w:p>
    <w:p>
      <w:pPr>
        <w:spacing w:after="0" w:line="158"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are making this proxy statement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available in connection with the solicitation by the board of directors of Broadcom Limited (the “</w:t>
      </w:r>
      <w:r>
        <w:rPr>
          <w:rFonts w:ascii="Arial" w:cs="Arial" w:eastAsia="Arial" w:hAnsi="Arial"/>
          <w:sz w:val="18"/>
          <w:szCs w:val="18"/>
          <w:u w:val="single" w:color="auto"/>
          <w:color w:val="auto"/>
        </w:rPr>
        <w:t>Board</w:t>
      </w:r>
      <w:r>
        <w:rPr>
          <w:rFonts w:ascii="Arial" w:cs="Arial" w:eastAsia="Arial" w:hAnsi="Arial"/>
          <w:sz w:val="18"/>
          <w:szCs w:val="18"/>
          <w:color w:val="auto"/>
        </w:rPr>
        <w:t>”) of proxies to be voted at the 2018 Annual General Meeting of Shareholders, or at any adjournments or postponements thereof (the “</w:t>
      </w:r>
      <w:r>
        <w:rPr>
          <w:rFonts w:ascii="Arial" w:cs="Arial" w:eastAsia="Arial" w:hAnsi="Arial"/>
          <w:sz w:val="18"/>
          <w:szCs w:val="18"/>
          <w:u w:val="single" w:color="auto"/>
          <w:color w:val="auto"/>
        </w:rPr>
        <w:t>2018 AGM</w:t>
      </w:r>
      <w:r>
        <w:rPr>
          <w:rFonts w:ascii="Arial" w:cs="Arial" w:eastAsia="Arial" w:hAnsi="Arial"/>
          <w:sz w:val="18"/>
          <w:szCs w:val="18"/>
          <w:color w:val="auto"/>
        </w:rPr>
        <w:t>”), for the purposes set forth in the accompanying Notice of Annual General Meeting of Shareholders (the “</w:t>
      </w: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148"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Broadcom Limited is the successor to Avago Technologies Limited (“</w:t>
      </w:r>
      <w:r>
        <w:rPr>
          <w:rFonts w:ascii="Arial" w:cs="Arial" w:eastAsia="Arial" w:hAnsi="Arial"/>
          <w:sz w:val="18"/>
          <w:szCs w:val="18"/>
          <w:u w:val="single" w:color="auto"/>
          <w:color w:val="auto"/>
        </w:rPr>
        <w:t>Avago</w:t>
      </w:r>
      <w:r>
        <w:rPr>
          <w:rFonts w:ascii="Arial" w:cs="Arial" w:eastAsia="Arial" w:hAnsi="Arial"/>
          <w:sz w:val="18"/>
          <w:szCs w:val="18"/>
          <w:color w:val="auto"/>
        </w:rPr>
        <w:t>”). Following Avago’s acquisition of Broadcom Corporation (“</w:t>
      </w:r>
      <w:r>
        <w:rPr>
          <w:rFonts w:ascii="Arial" w:cs="Arial" w:eastAsia="Arial" w:hAnsi="Arial"/>
          <w:sz w:val="18"/>
          <w:szCs w:val="18"/>
          <w:u w:val="single" w:color="auto"/>
          <w:color w:val="auto"/>
        </w:rPr>
        <w:t>BRCM</w:t>
      </w:r>
      <w:r>
        <w:rPr>
          <w:rFonts w:ascii="Arial" w:cs="Arial" w:eastAsia="Arial" w:hAnsi="Arial"/>
          <w:sz w:val="18"/>
          <w:szCs w:val="18"/>
          <w:color w:val="auto"/>
        </w:rPr>
        <w:t>”) on February 1, 2016, Broadcom Limited became the ultimate parent holding company of Avago and BRCM. Information reported in this Proxy Statement for the period prior to this acquisition relates to our predecessor, Avago. Unless the context otherwise requires, references in this Proxy Statement to “</w:t>
      </w:r>
      <w:r>
        <w:rPr>
          <w:rFonts w:ascii="Arial" w:cs="Arial" w:eastAsia="Arial" w:hAnsi="Arial"/>
          <w:sz w:val="18"/>
          <w:szCs w:val="18"/>
          <w:u w:val="single" w:color="auto"/>
          <w:color w:val="auto"/>
        </w:rPr>
        <w:t>Broadcom</w:t>
      </w:r>
      <w:r>
        <w:rPr>
          <w:rFonts w:ascii="Arial" w:cs="Arial" w:eastAsia="Arial" w:hAnsi="Arial"/>
          <w:sz w:val="18"/>
          <w:szCs w:val="18"/>
          <w:color w:val="auto"/>
        </w:rPr>
        <w:t>,” “</w:t>
      </w:r>
      <w:r>
        <w:rPr>
          <w:rFonts w:ascii="Arial" w:cs="Arial" w:eastAsia="Arial" w:hAnsi="Arial"/>
          <w:sz w:val="18"/>
          <w:szCs w:val="18"/>
          <w:u w:val="single" w:color="auto"/>
          <w:color w:val="auto"/>
        </w:rPr>
        <w:t>the Company</w:t>
      </w:r>
      <w:r>
        <w:rPr>
          <w:rFonts w:ascii="Arial" w:cs="Arial" w:eastAsia="Arial" w:hAnsi="Arial"/>
          <w:sz w:val="18"/>
          <w:szCs w:val="18"/>
          <w:color w:val="auto"/>
        </w:rPr>
        <w:t>,” “</w:t>
      </w:r>
      <w:r>
        <w:rPr>
          <w:rFonts w:ascii="Arial" w:cs="Arial" w:eastAsia="Arial" w:hAnsi="Arial"/>
          <w:sz w:val="18"/>
          <w:szCs w:val="18"/>
          <w:u w:val="single" w:color="auto"/>
          <w:color w:val="auto"/>
        </w:rPr>
        <w:t>our Company</w:t>
      </w:r>
      <w:r>
        <w:rPr>
          <w:rFonts w:ascii="Arial" w:cs="Arial" w:eastAsia="Arial" w:hAnsi="Arial"/>
          <w:sz w:val="18"/>
          <w:szCs w:val="18"/>
          <w:color w:val="auto"/>
        </w:rPr>
        <w:t>,” “</w:t>
      </w:r>
      <w:r>
        <w:rPr>
          <w:rFonts w:ascii="Arial" w:cs="Arial" w:eastAsia="Arial" w:hAnsi="Arial"/>
          <w:sz w:val="18"/>
          <w:szCs w:val="18"/>
          <w:u w:val="single" w:color="auto"/>
          <w:color w:val="auto"/>
        </w:rPr>
        <w:t>we</w:t>
      </w:r>
      <w:r>
        <w:rPr>
          <w:rFonts w:ascii="Arial" w:cs="Arial" w:eastAsia="Arial" w:hAnsi="Arial"/>
          <w:sz w:val="18"/>
          <w:szCs w:val="18"/>
          <w:color w:val="auto"/>
        </w:rPr>
        <w:t>,” “</w:t>
      </w:r>
      <w:r>
        <w:rPr>
          <w:rFonts w:ascii="Arial" w:cs="Arial" w:eastAsia="Arial" w:hAnsi="Arial"/>
          <w:sz w:val="18"/>
          <w:szCs w:val="18"/>
          <w:u w:val="single" w:color="auto"/>
          <w:color w:val="auto"/>
        </w:rPr>
        <w:t>our</w:t>
      </w:r>
      <w:r>
        <w:rPr>
          <w:rFonts w:ascii="Arial" w:cs="Arial" w:eastAsia="Arial" w:hAnsi="Arial"/>
          <w:sz w:val="18"/>
          <w:szCs w:val="18"/>
          <w:color w:val="auto"/>
        </w:rPr>
        <w:t>,” “</w:t>
      </w:r>
      <w:r>
        <w:rPr>
          <w:rFonts w:ascii="Arial" w:cs="Arial" w:eastAsia="Arial" w:hAnsi="Arial"/>
          <w:sz w:val="18"/>
          <w:szCs w:val="18"/>
          <w:u w:val="single" w:color="auto"/>
          <w:color w:val="auto"/>
        </w:rPr>
        <w:t>us</w:t>
      </w:r>
      <w:r>
        <w:rPr>
          <w:rFonts w:ascii="Arial" w:cs="Arial" w:eastAsia="Arial" w:hAnsi="Arial"/>
          <w:sz w:val="18"/>
          <w:szCs w:val="18"/>
          <w:color w:val="auto"/>
        </w:rPr>
        <w:t>” and similar terms are to Broadcom Limited from and after the effective time of this acquisition.</w:t>
      </w:r>
    </w:p>
    <w:p>
      <w:pPr>
        <w:spacing w:after="0" w:line="131" w:lineRule="exact"/>
        <w:rPr>
          <w:sz w:val="20"/>
          <w:szCs w:val="20"/>
          <w:color w:val="auto"/>
        </w:rPr>
      </w:pPr>
    </w:p>
    <w:p>
      <w:pPr>
        <w:ind w:left="200" w:right="220" w:firstLine="551"/>
        <w:spacing w:after="0" w:line="267" w:lineRule="auto"/>
        <w:rPr>
          <w:sz w:val="20"/>
          <w:szCs w:val="20"/>
          <w:color w:val="auto"/>
        </w:rPr>
      </w:pPr>
      <w:r>
        <w:rPr>
          <w:rFonts w:ascii="Arial" w:cs="Arial" w:eastAsia="Arial" w:hAnsi="Arial"/>
          <w:sz w:val="18"/>
          <w:szCs w:val="18"/>
          <w:i w:val="1"/>
          <w:iCs w:val="1"/>
          <w:color w:val="auto"/>
        </w:rPr>
        <w:t xml:space="preserve">Proxy Mailing. </w:t>
      </w:r>
      <w:r>
        <w:rPr>
          <w:rFonts w:ascii="Arial" w:cs="Arial" w:eastAsia="Arial" w:hAnsi="Arial"/>
          <w:sz w:val="18"/>
          <w:szCs w:val="18"/>
          <w:color w:val="auto"/>
        </w:rPr>
        <w:t>This Proxy Statement, the enclosed proxy card and the Notice were first made available on or about February 20,</w:t>
      </w:r>
      <w:r>
        <w:rPr>
          <w:rFonts w:ascii="Arial" w:cs="Arial" w:eastAsia="Arial" w:hAnsi="Arial"/>
          <w:sz w:val="18"/>
          <w:szCs w:val="18"/>
          <w:i w:val="1"/>
          <w:iCs w:val="1"/>
          <w:color w:val="auto"/>
        </w:rPr>
        <w:t xml:space="preserve"> </w:t>
      </w:r>
      <w:r>
        <w:rPr>
          <w:rFonts w:ascii="Arial" w:cs="Arial" w:eastAsia="Arial" w:hAnsi="Arial"/>
          <w:sz w:val="18"/>
          <w:szCs w:val="18"/>
          <w:color w:val="auto"/>
        </w:rPr>
        <w:t>2018 to our shareholders as of February 12, 2018.</w:t>
      </w:r>
    </w:p>
    <w:p>
      <w:pPr>
        <w:spacing w:after="0" w:line="107" w:lineRule="exact"/>
        <w:rPr>
          <w:sz w:val="20"/>
          <w:szCs w:val="20"/>
          <w:color w:val="auto"/>
        </w:rPr>
      </w:pPr>
    </w:p>
    <w:p>
      <w:pPr>
        <w:ind w:left="200" w:right="140" w:firstLine="551"/>
        <w:spacing w:after="0" w:line="241" w:lineRule="auto"/>
        <w:rPr>
          <w:sz w:val="20"/>
          <w:szCs w:val="20"/>
          <w:color w:val="auto"/>
        </w:rPr>
      </w:pPr>
      <w:r>
        <w:rPr>
          <w:rFonts w:ascii="Arial" w:cs="Arial" w:eastAsia="Arial" w:hAnsi="Arial"/>
          <w:sz w:val="18"/>
          <w:szCs w:val="18"/>
          <w:i w:val="1"/>
          <w:iCs w:val="1"/>
          <w:color w:val="auto"/>
        </w:rPr>
        <w:t xml:space="preserve">Costs of Solicitation. </w:t>
      </w:r>
      <w:r>
        <w:rPr>
          <w:rFonts w:ascii="Arial" w:cs="Arial" w:eastAsia="Arial" w:hAnsi="Arial"/>
          <w:sz w:val="18"/>
          <w:szCs w:val="18"/>
          <w:color w:val="auto"/>
        </w:rPr>
        <w:t>We will bear the cost of soliciting proxies. We have retained D. F. King &amp; Co., Inc., an independent proxy</w:t>
      </w:r>
      <w:r>
        <w:rPr>
          <w:rFonts w:ascii="Arial" w:cs="Arial" w:eastAsia="Arial" w:hAnsi="Arial"/>
          <w:sz w:val="18"/>
          <w:szCs w:val="18"/>
          <w:i w:val="1"/>
          <w:iCs w:val="1"/>
          <w:color w:val="auto"/>
        </w:rPr>
        <w:t xml:space="preserve"> </w:t>
      </w:r>
      <w:r>
        <w:rPr>
          <w:rFonts w:ascii="Arial" w:cs="Arial" w:eastAsia="Arial" w:hAnsi="Arial"/>
          <w:sz w:val="18"/>
          <w:szCs w:val="18"/>
          <w:color w:val="auto"/>
        </w:rPr>
        <w:t>solicitation firm, to assist us in soliciting proxies for an estimated fee of $15,000 plus reimbursement of reasonable expenses. We and/or our agents, including certain of our officers, directors and employees, may solicit proxies by mail, telephone, e-mail, fax or in person. No additional compensation will be paid to our officers, directors or employees for such services. We will reimburse banks, brokerage firms and other custodians, nominees, trustees and fiduciaries for reasonable out-of-pocket expenses incurred by them in sending proxy materials to and soliciting proxies from beneficial holders of our ordinary shares or non-economic voting preference shares.</w:t>
      </w:r>
    </w:p>
    <w:p>
      <w:pPr>
        <w:spacing w:after="0" w:line="130" w:lineRule="exact"/>
        <w:rPr>
          <w:sz w:val="20"/>
          <w:szCs w:val="20"/>
          <w:color w:val="auto"/>
        </w:rPr>
      </w:pPr>
    </w:p>
    <w:p>
      <w:pPr>
        <w:ind w:left="200" w:right="340" w:firstLine="551"/>
        <w:spacing w:after="0" w:line="251" w:lineRule="auto"/>
        <w:rPr>
          <w:sz w:val="20"/>
          <w:szCs w:val="20"/>
          <w:color w:val="auto"/>
        </w:rPr>
      </w:pPr>
      <w:r>
        <w:rPr>
          <w:rFonts w:ascii="Arial" w:cs="Arial" w:eastAsia="Arial" w:hAnsi="Arial"/>
          <w:sz w:val="18"/>
          <w:szCs w:val="18"/>
          <w:i w:val="1"/>
          <w:iCs w:val="1"/>
          <w:color w:val="auto"/>
        </w:rPr>
        <w:t xml:space="preserve">Our Registered Office. </w:t>
      </w:r>
      <w:r>
        <w:rPr>
          <w:rFonts w:ascii="Arial" w:cs="Arial" w:eastAsia="Arial" w:hAnsi="Arial"/>
          <w:sz w:val="18"/>
          <w:szCs w:val="18"/>
          <w:color w:val="auto"/>
        </w:rPr>
        <w:t>The mailing address of our registered office is 1 Yishun Avenue 7, Singapore 768923. Please note,</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that any communications from holders of our ordinary shares should be directed to the attention of our Chief Legal Officer at Broadcom Limited, 1320 Ridder Park Drive, San Jose, California 95131, U.S.A.</w:t>
      </w:r>
    </w:p>
    <w:p>
      <w:pPr>
        <w:spacing w:after="0" w:line="120" w:lineRule="exact"/>
        <w:rPr>
          <w:sz w:val="20"/>
          <w:szCs w:val="20"/>
          <w:color w:val="auto"/>
        </w:rPr>
      </w:pPr>
    </w:p>
    <w:p>
      <w:pPr>
        <w:ind w:left="200" w:right="40" w:firstLine="551"/>
        <w:spacing w:after="0" w:line="251" w:lineRule="auto"/>
        <w:rPr>
          <w:sz w:val="20"/>
          <w:szCs w:val="20"/>
          <w:color w:val="auto"/>
        </w:rPr>
      </w:pPr>
      <w:r>
        <w:rPr>
          <w:rFonts w:ascii="Arial" w:cs="Arial" w:eastAsia="Arial" w:hAnsi="Arial"/>
          <w:sz w:val="18"/>
          <w:szCs w:val="18"/>
          <w:i w:val="1"/>
          <w:iCs w:val="1"/>
          <w:color w:val="auto"/>
        </w:rPr>
        <w:t xml:space="preserve">Financial Statements; Presentation. </w:t>
      </w:r>
      <w:r>
        <w:rPr>
          <w:rFonts w:ascii="Arial" w:cs="Arial" w:eastAsia="Arial" w:hAnsi="Arial"/>
          <w:sz w:val="18"/>
          <w:szCs w:val="18"/>
          <w:color w:val="auto"/>
        </w:rPr>
        <w:t>In accordance with the laws of Singapore, our Singapore statutory financial statements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ended October 29, 2017 are provided with this Proxy Statement. Except as otherwise stated herein, all monetary amounts in this Proxy Statement have been presented in U.S. dollars.</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VOTING RIGHTS AND SOLICITATION OF PROXIES</w:t>
      </w:r>
    </w:p>
    <w:p>
      <w:pPr>
        <w:spacing w:after="0" w:line="234" w:lineRule="exact"/>
        <w:rPr>
          <w:sz w:val="20"/>
          <w:szCs w:val="20"/>
          <w:color w:val="auto"/>
        </w:rPr>
      </w:pPr>
    </w:p>
    <w:p>
      <w:pPr>
        <w:ind w:left="200" w:right="160" w:firstLine="551"/>
        <w:spacing w:after="0" w:line="275" w:lineRule="auto"/>
        <w:rPr>
          <w:sz w:val="20"/>
          <w:szCs w:val="20"/>
          <w:color w:val="auto"/>
        </w:rPr>
      </w:pPr>
      <w:r>
        <w:rPr>
          <w:rFonts w:ascii="Arial" w:cs="Arial" w:eastAsia="Arial" w:hAnsi="Arial"/>
          <w:sz w:val="17"/>
          <w:szCs w:val="17"/>
          <w:color w:val="auto"/>
        </w:rPr>
        <w:t>We have two classes of shares outstanding, (i) our ordinary shares, no par value, and (ii) our non-economic voting preference shares, no par value (the “</w:t>
      </w:r>
      <w:r>
        <w:rPr>
          <w:rFonts w:ascii="Arial" w:cs="Arial" w:eastAsia="Arial" w:hAnsi="Arial"/>
          <w:sz w:val="17"/>
          <w:szCs w:val="17"/>
          <w:u w:val="single" w:color="auto"/>
          <w:color w:val="auto"/>
        </w:rPr>
        <w:t>Special Voting Shares</w:t>
      </w:r>
      <w:r>
        <w:rPr>
          <w:rFonts w:ascii="Arial" w:cs="Arial" w:eastAsia="Arial" w:hAnsi="Arial"/>
          <w:sz w:val="17"/>
          <w:szCs w:val="17"/>
          <w:color w:val="auto"/>
        </w:rPr>
        <w:t>” or “</w:t>
      </w:r>
      <w:r>
        <w:rPr>
          <w:rFonts w:ascii="Arial" w:cs="Arial" w:eastAsia="Arial" w:hAnsi="Arial"/>
          <w:sz w:val="17"/>
          <w:szCs w:val="17"/>
          <w:u w:val="single" w:color="auto"/>
          <w:color w:val="auto"/>
        </w:rPr>
        <w:t>Special Preference Shares</w:t>
      </w:r>
      <w:r>
        <w:rPr>
          <w:rFonts w:ascii="Arial" w:cs="Arial" w:eastAsia="Arial" w:hAnsi="Arial"/>
          <w:sz w:val="17"/>
          <w:szCs w:val="17"/>
          <w:color w:val="auto"/>
        </w:rPr>
        <w:t>”), with each class of shares having one vote per share.</w:t>
      </w:r>
    </w:p>
    <w:p>
      <w:pPr>
        <w:spacing w:after="0" w:line="119" w:lineRule="exact"/>
        <w:rPr>
          <w:sz w:val="20"/>
          <w:szCs w:val="20"/>
          <w:color w:val="auto"/>
        </w:rPr>
      </w:pPr>
    </w:p>
    <w:p>
      <w:pPr>
        <w:jc w:val="both"/>
        <w:ind w:left="200" w:right="120" w:firstLine="551"/>
        <w:spacing w:after="0"/>
        <w:rPr>
          <w:sz w:val="20"/>
          <w:szCs w:val="20"/>
          <w:color w:val="auto"/>
        </w:rPr>
      </w:pPr>
      <w:r>
        <w:rPr>
          <w:rFonts w:ascii="Arial" w:cs="Arial" w:eastAsia="Arial" w:hAnsi="Arial"/>
          <w:sz w:val="18"/>
          <w:szCs w:val="18"/>
          <w:color w:val="auto"/>
        </w:rPr>
        <w:t>All Special Voting Shares outstanding are held by Computershare Trust Company, N.A. (“</w:t>
      </w:r>
      <w:r>
        <w:rPr>
          <w:rFonts w:ascii="Arial" w:cs="Arial" w:eastAsia="Arial" w:hAnsi="Arial"/>
          <w:sz w:val="18"/>
          <w:szCs w:val="18"/>
          <w:u w:val="single" w:color="auto"/>
          <w:color w:val="auto"/>
        </w:rPr>
        <w:t>Computershare</w:t>
      </w:r>
      <w:r>
        <w:rPr>
          <w:rFonts w:ascii="Arial" w:cs="Arial" w:eastAsia="Arial" w:hAnsi="Arial"/>
          <w:sz w:val="18"/>
          <w:szCs w:val="18"/>
          <w:color w:val="auto"/>
        </w:rPr>
        <w:t>”) pursuant to the Voting Trust Agreement, dated February 1, 2016 (the “</w:t>
      </w:r>
      <w:r>
        <w:rPr>
          <w:rFonts w:ascii="Arial" w:cs="Arial" w:eastAsia="Arial" w:hAnsi="Arial"/>
          <w:sz w:val="18"/>
          <w:szCs w:val="18"/>
          <w:u w:val="single" w:color="auto"/>
          <w:color w:val="auto"/>
        </w:rPr>
        <w:t>Voting Trust</w:t>
      </w:r>
      <w:r>
        <w:rPr>
          <w:rFonts w:ascii="Arial" w:cs="Arial" w:eastAsia="Arial" w:hAnsi="Arial"/>
          <w:sz w:val="18"/>
          <w:szCs w:val="18"/>
          <w:color w:val="auto"/>
        </w:rPr>
        <w:t>”), among Broadcom, Broadcom Cayman L.P., a subsidiary of Broadcom (the “</w:t>
      </w:r>
      <w:r>
        <w:rPr>
          <w:rFonts w:ascii="Arial" w:cs="Arial" w:eastAsia="Arial" w:hAnsi="Arial"/>
          <w:sz w:val="18"/>
          <w:szCs w:val="18"/>
          <w:u w:val="single" w:color="auto"/>
          <w:color w:val="auto"/>
        </w:rPr>
        <w:t>Partnership</w:t>
      </w:r>
      <w:r>
        <w:rPr>
          <w:rFonts w:ascii="Arial" w:cs="Arial" w:eastAsia="Arial" w:hAnsi="Arial"/>
          <w:sz w:val="18"/>
          <w:szCs w:val="18"/>
          <w:color w:val="auto"/>
        </w:rPr>
        <w:t>”), and Computershare, as trustee (the</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24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The number of Special Voting Shares outstanding is equal to the number of outstanding restricted exchangeable units in the Partnership (the “</w:t>
      </w:r>
      <w:r>
        <w:rPr>
          <w:rFonts w:ascii="Arial" w:cs="Arial" w:eastAsia="Arial" w:hAnsi="Arial"/>
          <w:sz w:val="18"/>
          <w:szCs w:val="18"/>
          <w:u w:val="single" w:color="auto"/>
          <w:color w:val="auto"/>
        </w:rPr>
        <w:t>Restricted Units</w:t>
      </w:r>
      <w:r>
        <w:rPr>
          <w:rFonts w:ascii="Arial" w:cs="Arial" w:eastAsia="Arial" w:hAnsi="Arial"/>
          <w:sz w:val="18"/>
          <w:szCs w:val="18"/>
          <w:color w:val="auto"/>
        </w:rPr>
        <w:t>”). As of February 1, 2017, the Restricted Units are exchangeable for our ordinary shares, on a one-for-one basis, which obligation we may elect to settle either in cash or in ordinary shares, at our option.</w:t>
      </w:r>
    </w:p>
    <w:p>
      <w:pPr>
        <w:spacing w:after="0" w:line="149" w:lineRule="exact"/>
        <w:rPr>
          <w:sz w:val="20"/>
          <w:szCs w:val="20"/>
          <w:color w:val="auto"/>
        </w:rPr>
      </w:pPr>
    </w:p>
    <w:p>
      <w:pPr>
        <w:ind w:left="200" w:right="460" w:firstLine="551"/>
        <w:spacing w:after="0" w:line="246" w:lineRule="auto"/>
        <w:rPr>
          <w:sz w:val="20"/>
          <w:szCs w:val="20"/>
          <w:color w:val="auto"/>
        </w:rPr>
      </w:pPr>
      <w:r>
        <w:rPr>
          <w:rFonts w:ascii="Arial" w:cs="Arial" w:eastAsia="Arial" w:hAnsi="Arial"/>
          <w:sz w:val="18"/>
          <w:szCs w:val="18"/>
          <w:color w:val="auto"/>
        </w:rPr>
        <w:t>Ordinary shares and Special Voting Shares issued and outstanding on April 4, 2018 are entitled to be voted at the 2018 AGM, voting together as a single class, on each matter being put before the meeting.</w:t>
      </w:r>
    </w:p>
    <w:p>
      <w:pPr>
        <w:spacing w:after="0" w:line="143"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If you are a holder of Restricted Units, you are entitled to direct the Trustee to vote one Special Voting Share for each Restricted Unit that you hold, pursuant to the terms of the Voting Trust.</w:t>
      </w:r>
    </w:p>
    <w:p>
      <w:pPr>
        <w:spacing w:after="0" w:line="125" w:lineRule="exact"/>
        <w:rPr>
          <w:sz w:val="20"/>
          <w:szCs w:val="20"/>
          <w:color w:val="auto"/>
        </w:rPr>
      </w:pPr>
    </w:p>
    <w:p>
      <w:pPr>
        <w:ind w:left="200" w:right="100" w:firstLine="551"/>
        <w:spacing w:after="0" w:line="245" w:lineRule="auto"/>
        <w:rPr>
          <w:sz w:val="20"/>
          <w:szCs w:val="20"/>
          <w:color w:val="auto"/>
        </w:rPr>
      </w:pPr>
      <w:r>
        <w:rPr>
          <w:rFonts w:ascii="Arial" w:cs="Arial" w:eastAsia="Arial" w:hAnsi="Arial"/>
          <w:sz w:val="18"/>
          <w:szCs w:val="18"/>
          <w:i w:val="1"/>
          <w:iCs w:val="1"/>
          <w:color w:val="auto"/>
        </w:rPr>
        <w:t xml:space="preserve">Record Date. </w:t>
      </w:r>
      <w:r>
        <w:rPr>
          <w:rFonts w:ascii="Arial" w:cs="Arial" w:eastAsia="Arial" w:hAnsi="Arial"/>
          <w:sz w:val="18"/>
          <w:szCs w:val="18"/>
          <w:color w:val="auto"/>
        </w:rPr>
        <w:t>The close of business on February 12, 2018, is the record date for holders of our ordinary shares and Special Voting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entitled to receive notice of the 2018 AGM (the “</w:t>
      </w:r>
      <w:r>
        <w:rPr>
          <w:rFonts w:ascii="Arial" w:cs="Arial" w:eastAsia="Arial" w:hAnsi="Arial"/>
          <w:sz w:val="18"/>
          <w:szCs w:val="18"/>
          <w:u w:val="single" w:color="auto"/>
          <w:color w:val="auto"/>
        </w:rPr>
        <w:t>Record Date</w:t>
      </w:r>
      <w:r>
        <w:rPr>
          <w:rFonts w:ascii="Arial" w:cs="Arial" w:eastAsia="Arial" w:hAnsi="Arial"/>
          <w:sz w:val="18"/>
          <w:szCs w:val="18"/>
          <w:color w:val="auto"/>
        </w:rPr>
        <w:t>”). As of the Record Date, we had 410,487,054 ordinary shares and 22,097,111 Special Voting Shares issued and outstanding, and there were 22,097,111 Restricted Units in the Partnership issued and outstanding.</w:t>
      </w:r>
    </w:p>
    <w:p>
      <w:pPr>
        <w:spacing w:after="0" w:line="127" w:lineRule="exact"/>
        <w:rPr>
          <w:sz w:val="20"/>
          <w:szCs w:val="20"/>
          <w:color w:val="auto"/>
        </w:rPr>
      </w:pPr>
    </w:p>
    <w:p>
      <w:pPr>
        <w:ind w:left="200" w:right="340" w:firstLine="551"/>
        <w:spacing w:after="0" w:line="267" w:lineRule="auto"/>
        <w:rPr>
          <w:sz w:val="20"/>
          <w:szCs w:val="20"/>
          <w:color w:val="auto"/>
        </w:rPr>
      </w:pPr>
      <w:r>
        <w:rPr>
          <w:rFonts w:ascii="Arial" w:cs="Arial" w:eastAsia="Arial" w:hAnsi="Arial"/>
          <w:sz w:val="18"/>
          <w:szCs w:val="18"/>
          <w:i w:val="1"/>
          <w:iCs w:val="1"/>
          <w:color w:val="auto"/>
        </w:rPr>
        <w:t xml:space="preserve">Voting Instructions. </w:t>
      </w:r>
      <w:r>
        <w:rPr>
          <w:rFonts w:ascii="Arial" w:cs="Arial" w:eastAsia="Arial" w:hAnsi="Arial"/>
          <w:sz w:val="18"/>
          <w:szCs w:val="18"/>
          <w:color w:val="auto"/>
        </w:rPr>
        <w:t>Unless otherwise noted below, voting instructions for all ordinary shares and Special Voting Shares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by 9:00 a.m. (Pacific Time) on April 2, 2018.</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Ordinary Shares</w:t>
      </w:r>
    </w:p>
    <w:p>
      <w:pPr>
        <w:spacing w:after="0" w:line="158" w:lineRule="exact"/>
        <w:rPr>
          <w:sz w:val="20"/>
          <w:szCs w:val="20"/>
          <w:color w:val="auto"/>
        </w:rPr>
      </w:pPr>
    </w:p>
    <w:p>
      <w:pPr>
        <w:jc w:val="both"/>
        <w:ind w:left="200" w:right="680" w:firstLine="551"/>
        <w:spacing w:after="0"/>
        <w:rPr>
          <w:sz w:val="20"/>
          <w:szCs w:val="20"/>
          <w:color w:val="auto"/>
        </w:rPr>
      </w:pPr>
      <w:r>
        <w:rPr>
          <w:rFonts w:ascii="Arial" w:cs="Arial" w:eastAsia="Arial" w:hAnsi="Arial"/>
          <w:sz w:val="18"/>
          <w:szCs w:val="18"/>
          <w:color w:val="auto"/>
        </w:rPr>
        <w:t>If your ordinary shares are registered directly in your name with our transfer agent, Computershare, you are the “registered shareholder” with respect to those shares. If your shares are held by a brokerage firm, bank, trustee or other nominee, you are the “beneficial owner” of shares held in “street name”.</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Registered Holders</w:t>
      </w:r>
    </w:p>
    <w:p>
      <w:pPr>
        <w:spacing w:after="0" w:line="122" w:lineRule="exact"/>
        <w:rPr>
          <w:sz w:val="20"/>
          <w:szCs w:val="20"/>
          <w:color w:val="auto"/>
        </w:rPr>
      </w:pPr>
    </w:p>
    <w:p>
      <w:pPr>
        <w:ind w:left="200" w:right="140" w:firstLine="551"/>
        <w:spacing w:after="0"/>
        <w:rPr>
          <w:sz w:val="20"/>
          <w:szCs w:val="20"/>
          <w:color w:val="auto"/>
        </w:rPr>
      </w:pPr>
      <w:r>
        <w:rPr>
          <w:rFonts w:ascii="Arial" w:cs="Arial" w:eastAsia="Arial" w:hAnsi="Arial"/>
          <w:sz w:val="18"/>
          <w:szCs w:val="18"/>
          <w:color w:val="auto"/>
        </w:rPr>
        <w:t>A registered shareholder entitled to attend and vote at the 2018 AGM may vote in person at the meeting or by completing and returning the enclosed proxy card. A registered shareholder has the right to revoke his or her proxy at any time prior to voting at the 2018 AGM by:</w:t>
      </w:r>
    </w:p>
    <w:p>
      <w:pPr>
        <w:spacing w:after="0" w:line="81" w:lineRule="exact"/>
        <w:rPr>
          <w:sz w:val="20"/>
          <w:szCs w:val="20"/>
          <w:color w:val="auto"/>
        </w:rPr>
      </w:pPr>
    </w:p>
    <w:p>
      <w:pPr>
        <w:ind w:left="1620" w:right="200" w:hanging="876"/>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submitting a subsequently dated proxy, which, if not delivered in person at the meeting, must be received by us at c/o Proxy Services, c/o Computershare Investor Services, P.O. Box 43101, Providence, RI 02940-5067, no later than 9:00 a.m. (Pacific Time) on April 2, 2018; or</w:t>
      </w:r>
    </w:p>
    <w:p>
      <w:pPr>
        <w:spacing w:after="0" w:line="81" w:lineRule="exact"/>
        <w:rPr>
          <w:rFonts w:ascii="Arial" w:cs="Arial" w:eastAsia="Arial" w:hAnsi="Arial"/>
          <w:sz w:val="18"/>
          <w:szCs w:val="18"/>
          <w:color w:val="auto"/>
        </w:rPr>
      </w:pPr>
    </w:p>
    <w:p>
      <w:pPr>
        <w:ind w:left="1620" w:hanging="876"/>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attending the meeting and voting in person.</w:t>
      </w:r>
    </w:p>
    <w:p>
      <w:pPr>
        <w:spacing w:after="0" w:line="212" w:lineRule="exact"/>
        <w:rPr>
          <w:sz w:val="20"/>
          <w:szCs w:val="20"/>
          <w:color w:val="auto"/>
        </w:rPr>
      </w:pPr>
    </w:p>
    <w:p>
      <w:pPr>
        <w:ind w:left="200" w:right="120" w:firstLine="551"/>
        <w:spacing w:after="0" w:line="246" w:lineRule="auto"/>
        <w:rPr>
          <w:sz w:val="20"/>
          <w:szCs w:val="20"/>
          <w:color w:val="auto"/>
        </w:rPr>
      </w:pPr>
      <w:r>
        <w:rPr>
          <w:rFonts w:ascii="Arial" w:cs="Arial" w:eastAsia="Arial" w:hAnsi="Arial"/>
          <w:sz w:val="18"/>
          <w:szCs w:val="18"/>
          <w:color w:val="auto"/>
        </w:rPr>
        <w:t>If you are an institution holding your shares in a participant account with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vote your shares through DTC’s procedures. You may not vote your shares in person at the 2018 AGM unless you obtain a legal proxy from DTC.</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Beneficial Owners</w:t>
      </w:r>
    </w:p>
    <w:p>
      <w:pPr>
        <w:spacing w:after="0" w:line="122"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If you are a beneficial owner of shares, you have the right to instruct the broker, bank or other nominee that holds your shares on how to vote them. Your broker, bank or nominee will send you a voting instruction form for you to use to direct how your shares should be voted. Your shares must be voted by such time as may be specified by your broker, bank or nominee, which may be earlier than 9:00 a.m. (Pacific Time) on April 2, 2018. If you wish to change or revoke your voting instructions, you must contact your broker, bank or other nominee holding your ordinary shares and follow their instructions. You may not vote your shares in person at the 2018 AGM unless you obtain a legal proxy from your broker, bank or other nominee giving you the right to vote the shares.</w:t>
      </w:r>
    </w:p>
    <w:p>
      <w:pPr>
        <w:spacing w:after="0" w:line="151"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If you hold ordinary shares as, or through, a participant in DTC, we understand that in order for your vote to be counted at the 2018 AGM, you must have been a holder of ordinary shares as at, and with effect from the Record Date. If you become a beneficial owner of ordinary shares after the Record Date but before the meeting date and you wish to vote your shares at the 2018 AGM, you must become a registered shareholder prior to the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meeting date and (i) request a proxy card and return it to Computershare Investor Services in accordance with the procedures noted above or (ii) attend the meeting and vote in person. Please contact your broker, bank or other nominee holding your shares if you wish to become a registered shareholder.</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Special Voting Shares</w:t>
      </w:r>
    </w:p>
    <w:p>
      <w:pPr>
        <w:spacing w:after="0" w:line="90"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Only the Trustee may vote Special Voting Shares, either by proxy or in person at the 2018 AGM. If you hold Restricted Units, you must instruct the Trustee on how to vote your corresponding number of Special Voting Shares. The Trustee will inform you as to how such voting instructions are to be given to the Trustee, including the date and time by which such instructions must be received by the Trustee. If you wish to change or revoke your voting instructions, you must contact the Trustee and follow the Trustee’s instructions. If you do not provide instructions to the Trustee on how to vote the Special Voting Shares corresponding to your Restricted Units, those shares will not be voted at the 2018 AGM. You may not vote at or attend the 2018 AGM unless you obtain a legal proxy from the Trustee, giving you the right to vote your corresponding number of Special Voting Shares.</w:t>
      </w:r>
    </w:p>
    <w:p>
      <w:pPr>
        <w:spacing w:after="0" w:line="149"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If you exchange any Restricted Units after the Record Date but prior to the 2018 AGM, a corresponding number of Special Voting Shares will be cancelled, and the related voting rights under the Voting Trust with respect to those Restricted Units will be terminated and will not be exercised at the 2018 AGM. If you receive ordinary shares upon exchange of your Restricted Units and you wish to vote those shares at the 2018 AGM, you must become a registered shareholder prior to the meeting date and (i) request a proxy card and return it to Computershare Investor Services in accordance with the procedures noted above or (ii) attend the meeting and vote in person. Please contact your broker, bank or other nominee holding your shares if you wish to become a registered shareholder.</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Meeting Attendance and Admission</w:t>
      </w:r>
      <w:r>
        <w:rPr>
          <w:rFonts w:ascii="Arial" w:cs="Arial" w:eastAsia="Arial" w:hAnsi="Arial"/>
          <w:sz w:val="18"/>
          <w:szCs w:val="18"/>
          <w:color w:val="auto"/>
        </w:rPr>
        <w:t>. If you are a registered shareholder on April 4, 2018, you are entitled to attend the 2018 AGM.</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 you are a beneficial owner of shares held in “street name”, in order to attend the 2018 AGM you will need to bring a letter or recent account statement from that broker, bank or other nominee that confirms you are the beneficial owner of those shares, as well as a picture identification, such as a valid driver’s license or passport, for purposes of personal identification.</w:t>
      </w:r>
    </w:p>
    <w:p>
      <w:pPr>
        <w:spacing w:after="0" w:line="127" w:lineRule="exact"/>
        <w:rPr>
          <w:sz w:val="20"/>
          <w:szCs w:val="20"/>
          <w:color w:val="auto"/>
        </w:rPr>
      </w:pPr>
    </w:p>
    <w:p>
      <w:pPr>
        <w:ind w:left="200" w:firstLine="551"/>
        <w:spacing w:after="0" w:line="253" w:lineRule="auto"/>
        <w:rPr>
          <w:sz w:val="20"/>
          <w:szCs w:val="20"/>
          <w:color w:val="auto"/>
        </w:rPr>
      </w:pPr>
      <w:r>
        <w:rPr>
          <w:rFonts w:ascii="Arial" w:cs="Arial" w:eastAsia="Arial" w:hAnsi="Arial"/>
          <w:sz w:val="18"/>
          <w:szCs w:val="18"/>
          <w:b w:val="1"/>
          <w:bCs w:val="1"/>
          <w:color w:val="auto"/>
        </w:rPr>
        <w:t>Holders of Restricted Units wishing to attend the 2018 AGM must bring a legal proxy from the Trustee in respect of the corresponding number of Special Voting Shares, as well as picture identification, such as a valid driver’s license or passport, for purposes of personal identification.</w:t>
      </w:r>
    </w:p>
    <w:p>
      <w:pPr>
        <w:spacing w:after="0" w:line="119" w:lineRule="exact"/>
        <w:rPr>
          <w:sz w:val="20"/>
          <w:szCs w:val="20"/>
          <w:color w:val="auto"/>
        </w:rPr>
      </w:pPr>
    </w:p>
    <w:p>
      <w:pPr>
        <w:ind w:left="200" w:right="340" w:firstLine="551"/>
        <w:spacing w:after="0" w:line="251" w:lineRule="auto"/>
        <w:rPr>
          <w:sz w:val="20"/>
          <w:szCs w:val="20"/>
          <w:color w:val="auto"/>
        </w:rPr>
      </w:pPr>
      <w:r>
        <w:rPr>
          <w:rFonts w:ascii="Arial" w:cs="Arial" w:eastAsia="Arial" w:hAnsi="Arial"/>
          <w:sz w:val="18"/>
          <w:szCs w:val="18"/>
          <w:i w:val="1"/>
          <w:iCs w:val="1"/>
          <w:color w:val="auto"/>
        </w:rPr>
        <w:t xml:space="preserve">Quorum. </w:t>
      </w:r>
      <w:r>
        <w:rPr>
          <w:rFonts w:ascii="Arial" w:cs="Arial" w:eastAsia="Arial" w:hAnsi="Arial"/>
          <w:sz w:val="18"/>
          <w:szCs w:val="18"/>
          <w:color w:val="auto"/>
        </w:rPr>
        <w:t>Representation at the 2018 AGM of shareholders entitled to vote, in person or by proxy or representative, and holding</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them at least a majority of all issued and outstanding ordinary shares and Special Voting Shares, treated as a single class, is required to constitute a quorum.</w:t>
      </w:r>
    </w:p>
    <w:p>
      <w:pPr>
        <w:spacing w:after="0" w:line="120" w:lineRule="exact"/>
        <w:rPr>
          <w:sz w:val="20"/>
          <w:szCs w:val="20"/>
          <w:color w:val="auto"/>
        </w:rPr>
      </w:pPr>
    </w:p>
    <w:p>
      <w:pPr>
        <w:ind w:left="200" w:right="100" w:firstLine="551"/>
        <w:spacing w:after="0" w:line="241" w:lineRule="auto"/>
        <w:rPr>
          <w:sz w:val="20"/>
          <w:szCs w:val="20"/>
          <w:color w:val="auto"/>
        </w:rPr>
      </w:pPr>
      <w:r>
        <w:rPr>
          <w:rFonts w:ascii="Arial" w:cs="Arial" w:eastAsia="Arial" w:hAnsi="Arial"/>
          <w:sz w:val="18"/>
          <w:szCs w:val="18"/>
          <w:i w:val="1"/>
          <w:iCs w:val="1"/>
          <w:color w:val="auto"/>
        </w:rPr>
        <w:t xml:space="preserve">Proxies. </w:t>
      </w:r>
      <w:r>
        <w:rPr>
          <w:rFonts w:ascii="Arial" w:cs="Arial" w:eastAsia="Arial" w:hAnsi="Arial"/>
          <w:sz w:val="18"/>
          <w:szCs w:val="18"/>
          <w:color w:val="auto"/>
        </w:rPr>
        <w:t>Ordinary shares and Special Voting Shares represented by proxies that are properly executed and received by us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instructions set forth in the Notice will be voted by the individuals named therein—Hock E. Tan, Thomas H. Krause, Jr. or Mark D. Brazeal or any of them, with full power of substitution (together, the “</w:t>
      </w:r>
      <w:r>
        <w:rPr>
          <w:rFonts w:ascii="Arial" w:cs="Arial" w:eastAsia="Arial" w:hAnsi="Arial"/>
          <w:sz w:val="18"/>
          <w:szCs w:val="18"/>
          <w:u w:val="single" w:color="auto"/>
          <w:color w:val="auto"/>
        </w:rPr>
        <w:t>Proxy Holders</w:t>
      </w:r>
      <w:r>
        <w:rPr>
          <w:rFonts w:ascii="Arial" w:cs="Arial" w:eastAsia="Arial" w:hAnsi="Arial"/>
          <w:sz w:val="18"/>
          <w:szCs w:val="18"/>
          <w:color w:val="auto"/>
        </w:rPr>
        <w:t>”)—at the 2018 AGM in accordance with the shareholders’ instructions set forth in the proxy. A Proxy Holder need not also be a shareholder. The collection, use and disclosure by us and our agents, representatives and service providers of a shareholder’s, and their proxies’ or representatives’, personal data in connection with the 2018 AGM and related solicitation of proxies is governed by Article 102 of our Constitution.</w:t>
      </w:r>
    </w:p>
    <w:p>
      <w:pPr>
        <w:spacing w:after="0" w:line="126" w:lineRule="exact"/>
        <w:rPr>
          <w:sz w:val="20"/>
          <w:szCs w:val="20"/>
          <w:color w:val="auto"/>
        </w:rPr>
      </w:pPr>
    </w:p>
    <w:p>
      <w:pPr>
        <w:ind w:left="200" w:right="200" w:firstLine="551"/>
        <w:spacing w:after="0" w:line="271" w:lineRule="auto"/>
        <w:rPr>
          <w:sz w:val="20"/>
          <w:szCs w:val="20"/>
          <w:color w:val="auto"/>
        </w:rPr>
      </w:pPr>
      <w:r>
        <w:rPr>
          <w:rFonts w:ascii="Arial" w:cs="Arial" w:eastAsia="Arial" w:hAnsi="Arial"/>
          <w:sz w:val="18"/>
          <w:szCs w:val="18"/>
          <w:b w:val="1"/>
          <w:bCs w:val="1"/>
          <w:color w:val="auto"/>
        </w:rPr>
        <w:t>If you sign and return your proxy but do not indicate how your ordinary shares are to be voted, then shares represented by proxies will be voted by the Proxy Holders in accordance with our Board’s recommendations as follows:</w:t>
      </w:r>
    </w:p>
    <w:p>
      <w:pPr>
        <w:spacing w:after="0" w:line="140" w:lineRule="exact"/>
        <w:rPr>
          <w:sz w:val="20"/>
          <w:szCs w:val="20"/>
          <w:color w:val="auto"/>
        </w:rPr>
      </w:pPr>
    </w:p>
    <w:p>
      <w:pPr>
        <w:ind w:left="1840" w:hanging="434"/>
        <w:spacing w:after="0"/>
        <w:tabs>
          <w:tab w:leader="none" w:pos="1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FOR the election of each of our Board nominees named in Proposals 1(a) to 1(j); and</w:t>
      </w:r>
    </w:p>
    <w:p>
      <w:pPr>
        <w:spacing w:after="0" w:line="198" w:lineRule="exact"/>
        <w:rPr>
          <w:rFonts w:ascii="Arial" w:cs="Arial" w:eastAsia="Arial" w:hAnsi="Arial"/>
          <w:sz w:val="18"/>
          <w:szCs w:val="18"/>
          <w:b w:val="1"/>
          <w:bCs w:val="1"/>
          <w:color w:val="auto"/>
        </w:rPr>
      </w:pPr>
    </w:p>
    <w:p>
      <w:pPr>
        <w:ind w:left="1840" w:hanging="434"/>
        <w:spacing w:after="0"/>
        <w:tabs>
          <w:tab w:leader="none" w:pos="1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FOR each of Proposals 2 to 4.</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Management does not know of any matters to be presented at the 2018 AGM other than those set forth in this Proxy Statement and in the accompanying Notice, nor have we received notice of any matter by the deadline prescribed by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Rule 14a-4(c). Without limiting our ability to apply the advance notice provisions in our Constitution with respect to the procedures that must be followed for a matter to be properly presented at an annual general meeting of shareholders, if other matters should properly come before the 2018 AGM, the Proxy Holders will vote on such matters in accordance with their best judgment.</w:t>
      </w:r>
    </w:p>
    <w:p>
      <w:pPr>
        <w:spacing w:after="0" w:line="131" w:lineRule="exact"/>
        <w:rPr>
          <w:sz w:val="20"/>
          <w:szCs w:val="20"/>
          <w:color w:val="auto"/>
        </w:rPr>
      </w:pPr>
    </w:p>
    <w:p>
      <w:pPr>
        <w:ind w:left="200" w:right="140" w:firstLine="551"/>
        <w:spacing w:after="0" w:line="267" w:lineRule="auto"/>
        <w:rPr>
          <w:sz w:val="20"/>
          <w:szCs w:val="20"/>
          <w:color w:val="auto"/>
        </w:rPr>
      </w:pPr>
      <w:r>
        <w:rPr>
          <w:rFonts w:ascii="Arial" w:cs="Arial" w:eastAsia="Arial" w:hAnsi="Arial"/>
          <w:sz w:val="18"/>
          <w:szCs w:val="18"/>
          <w:i w:val="1"/>
          <w:iCs w:val="1"/>
          <w:color w:val="auto"/>
        </w:rPr>
        <w:t xml:space="preserve">Required Vote. </w:t>
      </w:r>
      <w:r>
        <w:rPr>
          <w:rFonts w:ascii="Arial" w:cs="Arial" w:eastAsia="Arial" w:hAnsi="Arial"/>
          <w:sz w:val="18"/>
          <w:szCs w:val="18"/>
          <w:color w:val="auto"/>
        </w:rPr>
        <w:t>Holders of ordinary shares and Special Voting Shares will vote together as a single class for each of the proposals</w:t>
      </w:r>
      <w:r>
        <w:rPr>
          <w:rFonts w:ascii="Arial" w:cs="Arial" w:eastAsia="Arial" w:hAnsi="Arial"/>
          <w:sz w:val="18"/>
          <w:szCs w:val="18"/>
          <w:i w:val="1"/>
          <w:iCs w:val="1"/>
          <w:color w:val="auto"/>
        </w:rPr>
        <w:t xml:space="preserve"> </w:t>
      </w:r>
      <w:r>
        <w:rPr>
          <w:rFonts w:ascii="Arial" w:cs="Arial" w:eastAsia="Arial" w:hAnsi="Arial"/>
          <w:sz w:val="18"/>
          <w:szCs w:val="18"/>
          <w:color w:val="auto"/>
        </w:rPr>
        <w:t>to be voted upon at the 2018 AGM. The vote required for each proposal is as follows:</w:t>
      </w:r>
    </w:p>
    <w:p>
      <w:pPr>
        <w:spacing w:after="0" w:line="165" w:lineRule="exact"/>
        <w:rPr>
          <w:sz w:val="20"/>
          <w:szCs w:val="20"/>
          <w:color w:val="auto"/>
        </w:rPr>
      </w:pPr>
    </w:p>
    <w:tbl>
      <w:tblPr>
        <w:tblLayout w:type="fixed"/>
        <w:tblInd w:w="760" w:type="dxa"/>
        <w:tblCellMar>
          <w:top w:w="0" w:type="dxa"/>
          <w:left w:w="0" w:type="dxa"/>
          <w:bottom w:w="0" w:type="dxa"/>
          <w:right w:w="0" w:type="dxa"/>
        </w:tblCellMar>
      </w:tblP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Proposals 1(a) to (j) (election of directors):</w:t>
            </w:r>
          </w:p>
        </w:tc>
        <w:tc>
          <w:tcPr>
            <w:tcW w:w="1960" w:type="dxa"/>
            <w:vAlign w:val="bottom"/>
          </w:tcPr>
          <w:p>
            <w:pPr>
              <w:ind w:left="260"/>
              <w:spacing w:after="0"/>
              <w:rPr>
                <w:sz w:val="20"/>
                <w:szCs w:val="20"/>
                <w:color w:val="auto"/>
              </w:rPr>
            </w:pPr>
            <w:r>
              <w:rPr>
                <w:rFonts w:ascii="Arial" w:cs="Arial" w:eastAsia="Arial" w:hAnsi="Arial"/>
                <w:sz w:val="18"/>
                <w:szCs w:val="18"/>
                <w:color w:val="auto"/>
                <w:w w:val="99"/>
              </w:rPr>
              <w:t>Majority of votes cast</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w w:val="99"/>
              </w:rPr>
              <w:t>Proposal 2</w:t>
            </w:r>
          </w:p>
        </w:tc>
        <w:tc>
          <w:tcPr>
            <w:tcW w:w="4300" w:type="dxa"/>
            <w:vAlign w:val="bottom"/>
          </w:tcPr>
          <w:p>
            <w:pPr>
              <w:ind w:left="20"/>
              <w:spacing w:after="0"/>
              <w:rPr>
                <w:sz w:val="20"/>
                <w:szCs w:val="20"/>
                <w:color w:val="auto"/>
              </w:rPr>
            </w:pPr>
            <w:r>
              <w:rPr>
                <w:rFonts w:ascii="Arial" w:cs="Arial" w:eastAsia="Arial" w:hAnsi="Arial"/>
                <w:sz w:val="18"/>
                <w:szCs w:val="18"/>
                <w:color w:val="auto"/>
              </w:rPr>
              <w:t>(re-appointment of PricewaterhouseCoopers LLP):</w:t>
            </w:r>
          </w:p>
        </w:tc>
        <w:tc>
          <w:tcPr>
            <w:tcW w:w="1960" w:type="dxa"/>
            <w:vAlign w:val="bottom"/>
          </w:tcPr>
          <w:p>
            <w:pPr>
              <w:ind w:left="260"/>
              <w:spacing w:after="0"/>
              <w:rPr>
                <w:sz w:val="20"/>
                <w:szCs w:val="20"/>
                <w:color w:val="auto"/>
              </w:rPr>
            </w:pPr>
            <w:r>
              <w:rPr>
                <w:rFonts w:ascii="Arial" w:cs="Arial" w:eastAsia="Arial" w:hAnsi="Arial"/>
                <w:sz w:val="18"/>
                <w:szCs w:val="18"/>
                <w:color w:val="auto"/>
                <w:w w:val="99"/>
              </w:rPr>
              <w:t>Majority of votes cast</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w w:val="99"/>
              </w:rPr>
              <w:t>Proposal 3</w:t>
            </w:r>
          </w:p>
        </w:tc>
        <w:tc>
          <w:tcPr>
            <w:tcW w:w="4300" w:type="dxa"/>
            <w:vAlign w:val="bottom"/>
          </w:tcPr>
          <w:p>
            <w:pPr>
              <w:ind w:left="20"/>
              <w:spacing w:after="0"/>
              <w:rPr>
                <w:sz w:val="20"/>
                <w:szCs w:val="20"/>
                <w:color w:val="auto"/>
              </w:rPr>
            </w:pPr>
            <w:r>
              <w:rPr>
                <w:rFonts w:ascii="Arial" w:cs="Arial" w:eastAsia="Arial" w:hAnsi="Arial"/>
                <w:sz w:val="18"/>
                <w:szCs w:val="18"/>
                <w:color w:val="auto"/>
              </w:rPr>
              <w:t>(authorization of share allotments and issuances):</w:t>
            </w:r>
          </w:p>
        </w:tc>
        <w:tc>
          <w:tcPr>
            <w:tcW w:w="1960" w:type="dxa"/>
            <w:vAlign w:val="bottom"/>
          </w:tcPr>
          <w:p>
            <w:pPr>
              <w:ind w:left="260"/>
              <w:spacing w:after="0"/>
              <w:rPr>
                <w:sz w:val="20"/>
                <w:szCs w:val="20"/>
                <w:color w:val="auto"/>
              </w:rPr>
            </w:pPr>
            <w:r>
              <w:rPr>
                <w:rFonts w:ascii="Arial" w:cs="Arial" w:eastAsia="Arial" w:hAnsi="Arial"/>
                <w:sz w:val="18"/>
                <w:szCs w:val="18"/>
                <w:color w:val="auto"/>
                <w:w w:val="99"/>
              </w:rPr>
              <w:t>Majority of votes cast</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w w:val="99"/>
              </w:rPr>
              <w:t>Proposal 4</w:t>
            </w:r>
          </w:p>
        </w:tc>
        <w:tc>
          <w:tcPr>
            <w:tcW w:w="4300" w:type="dxa"/>
            <w:vAlign w:val="bottom"/>
          </w:tcPr>
          <w:p>
            <w:pPr>
              <w:ind w:left="20"/>
              <w:spacing w:after="0"/>
              <w:rPr>
                <w:sz w:val="20"/>
                <w:szCs w:val="20"/>
                <w:color w:val="auto"/>
              </w:rPr>
            </w:pPr>
            <w:r>
              <w:rPr>
                <w:rFonts w:ascii="Arial" w:cs="Arial" w:eastAsia="Arial" w:hAnsi="Arial"/>
                <w:sz w:val="18"/>
                <w:szCs w:val="18"/>
                <w:color w:val="auto"/>
              </w:rPr>
              <w:t>(advisory vote on executive compensation):</w:t>
            </w:r>
          </w:p>
        </w:tc>
        <w:tc>
          <w:tcPr>
            <w:tcW w:w="1960" w:type="dxa"/>
            <w:vAlign w:val="bottom"/>
          </w:tcPr>
          <w:p>
            <w:pPr>
              <w:ind w:left="260"/>
              <w:spacing w:after="0"/>
              <w:rPr>
                <w:sz w:val="20"/>
                <w:szCs w:val="20"/>
                <w:color w:val="auto"/>
              </w:rPr>
            </w:pPr>
            <w:r>
              <w:rPr>
                <w:rFonts w:ascii="Arial" w:cs="Arial" w:eastAsia="Arial" w:hAnsi="Arial"/>
                <w:sz w:val="18"/>
                <w:szCs w:val="18"/>
                <w:color w:val="auto"/>
                <w:w w:val="99"/>
              </w:rPr>
              <w:t>Majority of votes cast</w:t>
            </w:r>
          </w:p>
        </w:tc>
      </w:tr>
    </w:tbl>
    <w:p>
      <w:pPr>
        <w:spacing w:after="0" w:line="148"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Proposal 4 is being proposed to shareholders as required pursuant to Section 14A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Shareholders’ vote on Proposal 4 is advisory and non-binding in nature, will have no legal effect and will not be enforceable against us or our Board.</w:t>
      </w:r>
    </w:p>
    <w:p>
      <w:pPr>
        <w:spacing w:after="0" w:line="131" w:lineRule="exact"/>
        <w:rPr>
          <w:sz w:val="20"/>
          <w:szCs w:val="20"/>
          <w:color w:val="auto"/>
        </w:rPr>
      </w:pPr>
    </w:p>
    <w:p>
      <w:pPr>
        <w:ind w:left="200" w:right="60" w:firstLine="551"/>
        <w:spacing w:after="0" w:line="256" w:lineRule="auto"/>
        <w:rPr>
          <w:sz w:val="20"/>
          <w:szCs w:val="20"/>
          <w:color w:val="auto"/>
        </w:rPr>
      </w:pPr>
      <w:r>
        <w:rPr>
          <w:rFonts w:ascii="Arial" w:cs="Arial" w:eastAsia="Arial" w:hAnsi="Arial"/>
          <w:sz w:val="17"/>
          <w:szCs w:val="17"/>
          <w:i w:val="1"/>
          <w:iCs w:val="1"/>
          <w:color w:val="auto"/>
        </w:rPr>
        <w:t xml:space="preserve">Abstentions and Broker Non-Votes. </w:t>
      </w:r>
      <w:r>
        <w:rPr>
          <w:rFonts w:ascii="Arial" w:cs="Arial" w:eastAsia="Arial" w:hAnsi="Arial"/>
          <w:sz w:val="17"/>
          <w:szCs w:val="17"/>
          <w:color w:val="auto"/>
        </w:rPr>
        <w:t>Abstentions and “broker non-votes” are counted in determining whether a quorum is present at</w:t>
      </w:r>
      <w:r>
        <w:rPr>
          <w:rFonts w:ascii="Arial" w:cs="Arial" w:eastAsia="Arial" w:hAnsi="Arial"/>
          <w:sz w:val="17"/>
          <w:szCs w:val="17"/>
          <w:i w:val="1"/>
          <w:iCs w:val="1"/>
          <w:color w:val="auto"/>
        </w:rPr>
        <w:t xml:space="preserve"> </w:t>
      </w:r>
      <w:r>
        <w:rPr>
          <w:rFonts w:ascii="Arial" w:cs="Arial" w:eastAsia="Arial" w:hAnsi="Arial"/>
          <w:sz w:val="17"/>
          <w:szCs w:val="17"/>
          <w:color w:val="auto"/>
        </w:rPr>
        <w:t>the 2018 AGM, but are not counted in, and have no effect on, determining whether a proposal has been approved. A “broker non-vote” occurs when a broker, bank or other nominee holding ordinary shares on behalf of a beneficial owner cannot vote those shares because it</w:t>
      </w:r>
    </w:p>
    <w:p>
      <w:pPr>
        <w:ind w:left="200" w:firstLine="4"/>
        <w:spacing w:after="0" w:line="238" w:lineRule="auto"/>
        <w:tabs>
          <w:tab w:leader="none" w:pos="4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has not received voting instructions from such beneficial owner and (2) lacks discretionary voting power to vote those shares. If you are a beneficial owner of ordinary shares, your broker, bank or other nominee is entitled to vote your shares on “routine” matters, even if it does not receive voting instructions from you. The routine matters to be voted on at the 2018 AGM are Proposals 2 and 3. Without instructions from the beneficial owner, a broker, bank or other nominee will not be entitled to vote shares held for a beneficial owner on Proposals 1(a) to (j) and 4, which are non-routine matters.</w:t>
      </w:r>
    </w:p>
    <w:p>
      <w:pPr>
        <w:spacing w:after="0" w:line="131" w:lineRule="exact"/>
        <w:rPr>
          <w:sz w:val="20"/>
          <w:szCs w:val="20"/>
          <w:color w:val="auto"/>
        </w:rPr>
      </w:pPr>
    </w:p>
    <w:p>
      <w:pPr>
        <w:ind w:left="200" w:right="60" w:firstLine="551"/>
        <w:spacing w:after="0" w:line="245" w:lineRule="auto"/>
        <w:rPr>
          <w:sz w:val="20"/>
          <w:szCs w:val="20"/>
          <w:color w:val="auto"/>
        </w:rPr>
      </w:pPr>
      <w:r>
        <w:rPr>
          <w:rFonts w:ascii="Arial" w:cs="Arial" w:eastAsia="Arial" w:hAnsi="Arial"/>
          <w:sz w:val="18"/>
          <w:szCs w:val="18"/>
          <w:i w:val="1"/>
          <w:iCs w:val="1"/>
          <w:color w:val="auto"/>
        </w:rPr>
        <w:t xml:space="preserve">Voting Procedures and Tabulation. </w:t>
      </w:r>
      <w:r>
        <w:rPr>
          <w:rFonts w:ascii="Arial" w:cs="Arial" w:eastAsia="Arial" w:hAnsi="Arial"/>
          <w:sz w:val="18"/>
          <w:szCs w:val="18"/>
          <w:color w:val="auto"/>
        </w:rPr>
        <w:t>We have appointed a representative of Computershare as the inspector of elections of the 2018</w:t>
      </w:r>
      <w:r>
        <w:rPr>
          <w:rFonts w:ascii="Arial" w:cs="Arial" w:eastAsia="Arial" w:hAnsi="Arial"/>
          <w:sz w:val="18"/>
          <w:szCs w:val="18"/>
          <w:i w:val="1"/>
          <w:iCs w:val="1"/>
          <w:color w:val="auto"/>
        </w:rPr>
        <w:t xml:space="preserve"> </w:t>
      </w:r>
      <w:r>
        <w:rPr>
          <w:rFonts w:ascii="Arial" w:cs="Arial" w:eastAsia="Arial" w:hAnsi="Arial"/>
          <w:sz w:val="18"/>
          <w:szCs w:val="18"/>
          <w:color w:val="auto"/>
        </w:rPr>
        <w:t>AGM. The inspector of elections will determine the number of ordinary shares and Special Voting Shares outstanding and represented at the 2018 AGM and the validity of proxies and ballots, and will count and tabulate all votes. The determination of the inspector as to the validity of proxies will be final and binding.</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1:</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ELECTION OF DIRECTORS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Pursuant to the Singapore Companies Act, Chapter 50 (the “</w:t>
      </w:r>
      <w:r>
        <w:rPr>
          <w:rFonts w:ascii="Arial" w:cs="Arial" w:eastAsia="Arial" w:hAnsi="Arial"/>
          <w:sz w:val="18"/>
          <w:szCs w:val="18"/>
          <w:u w:val="single" w:color="auto"/>
          <w:color w:val="auto"/>
        </w:rPr>
        <w:t>Singapore Companies Act</w:t>
      </w:r>
      <w:r>
        <w:rPr>
          <w:rFonts w:ascii="Arial" w:cs="Arial" w:eastAsia="Arial" w:hAnsi="Arial"/>
          <w:sz w:val="18"/>
          <w:szCs w:val="18"/>
          <w:color w:val="auto"/>
        </w:rPr>
        <w:t>”) and our Constitution, our Board must have at least one director who ordinarily resides in Singapore. Our Constitution also stipulates that our Board consist of no more than 13 directors. Our Board currently consists of 10 members.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Nominees</w:t>
      </w:r>
    </w:p>
    <w:p>
      <w:pPr>
        <w:spacing w:after="0" w:line="126"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Each director is elected annually at the annual general meeting of shareholders to hold office until the next annual general meeting of shareholders. Upon the recommendation of the Nominating and Corporate Governance Committee, our Board has nominated the 10 individuals below for election as directors, all of whom are currently directors. Our Board expects that each of the nominees listed below will be available to serve as a director. Shareholders may not vote their proxies for a greater number of persons than the number of nominees named below.</w:t>
      </w:r>
    </w:p>
    <w:p>
      <w:pPr>
        <w:spacing w:after="0" w:line="149"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considering whether the director nominees have the experience, qualifications, attributes and skills, taken as a whole, to serve as directors of Broadcom, in light of our business and structure, the Nominating and Corporate Governance Committee and our Board focused primarily on the information discussed in each of the director nominee’s biographical information set forth below. Our Board believes that each nominee has the relevant experience, personal and professional integrity, the ability to make independent, analytical inquiries, experience with and understanding of our business and business environment, and the willingness and ability to devote adequate time to Board duties. We also believe that the director nominees together have the skills and experience to form a board that is well suited to oversee our Company.</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certain information concerning the nominees for directors of Broadcom as of February 12, 2018.</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225"/>
        </w:trPr>
        <w:tc>
          <w:tcPr>
            <w:tcW w:w="2800" w:type="dxa"/>
            <w:vAlign w:val="bottom"/>
          </w:tcPr>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Hock E. Tan</w:t>
            </w:r>
          </w:p>
        </w:tc>
        <w:tc>
          <w:tcPr>
            <w:tcW w:w="8200" w:type="dxa"/>
            <w:vAlign w:val="bottom"/>
            <w:gridSpan w:val="5"/>
          </w:tcPr>
          <w:p>
            <w:pPr>
              <w:ind w:left="620"/>
              <w:spacing w:after="0"/>
              <w:rPr>
                <w:sz w:val="20"/>
                <w:szCs w:val="20"/>
                <w:color w:val="auto"/>
              </w:rPr>
            </w:pPr>
            <w:r>
              <w:rPr>
                <w:rFonts w:ascii="Arial" w:cs="Arial" w:eastAsia="Arial" w:hAnsi="Arial"/>
                <w:sz w:val="18"/>
                <w:szCs w:val="18"/>
                <w:color w:val="auto"/>
              </w:rPr>
              <w:t>Mr. Tan has served as our President and Chief Executive Officer since March 2006. From</w:t>
            </w:r>
          </w:p>
        </w:tc>
      </w:tr>
      <w:tr>
        <w:trPr>
          <w:trHeight w:val="203"/>
        </w:trPr>
        <w:tc>
          <w:tcPr>
            <w:tcW w:w="2800" w:type="dxa"/>
            <w:vAlign w:val="bottom"/>
          </w:tcPr>
          <w:p>
            <w:pPr>
              <w:ind w:left="360"/>
              <w:spacing w:after="0" w:line="202" w:lineRule="exact"/>
              <w:rPr>
                <w:sz w:val="20"/>
                <w:szCs w:val="20"/>
                <w:color w:val="auto"/>
              </w:rPr>
            </w:pPr>
            <w:r>
              <w:rPr>
                <w:rFonts w:ascii="Arial" w:cs="Arial" w:eastAsia="Arial" w:hAnsi="Arial"/>
                <w:sz w:val="18"/>
                <w:szCs w:val="18"/>
                <w:color w:val="auto"/>
              </w:rPr>
              <w:t>Age 66</w:t>
            </w:r>
          </w:p>
        </w:tc>
        <w:tc>
          <w:tcPr>
            <w:tcW w:w="8200" w:type="dxa"/>
            <w:vAlign w:val="bottom"/>
            <w:gridSpan w:val="5"/>
          </w:tcPr>
          <w:p>
            <w:pPr>
              <w:ind w:left="620"/>
              <w:spacing w:after="0" w:line="202" w:lineRule="exact"/>
              <w:rPr>
                <w:sz w:val="20"/>
                <w:szCs w:val="20"/>
                <w:color w:val="auto"/>
              </w:rPr>
            </w:pPr>
            <w:r>
              <w:rPr>
                <w:rFonts w:ascii="Arial" w:cs="Arial" w:eastAsia="Arial" w:hAnsi="Arial"/>
                <w:sz w:val="18"/>
                <w:szCs w:val="18"/>
                <w:color w:val="auto"/>
              </w:rPr>
              <w:t>September 2005 to January 2008, he served as Chairman of the board of directors of</w:t>
            </w:r>
          </w:p>
        </w:tc>
      </w:tr>
      <w:tr>
        <w:trPr>
          <w:trHeight w:val="176"/>
        </w:trPr>
        <w:tc>
          <w:tcPr>
            <w:tcW w:w="2800" w:type="dxa"/>
            <w:vAlign w:val="bottom"/>
          </w:tcPr>
          <w:p>
            <w:pPr>
              <w:ind w:left="360"/>
              <w:spacing w:after="0" w:line="176" w:lineRule="exact"/>
              <w:rPr>
                <w:sz w:val="20"/>
                <w:szCs w:val="20"/>
                <w:color w:val="auto"/>
              </w:rPr>
            </w:pPr>
            <w:r>
              <w:rPr>
                <w:rFonts w:ascii="Arial" w:cs="Arial" w:eastAsia="Arial" w:hAnsi="Arial"/>
                <w:sz w:val="18"/>
                <w:szCs w:val="18"/>
                <w:color w:val="auto"/>
              </w:rPr>
              <w:t>President, Chief</w:t>
            </w:r>
          </w:p>
        </w:tc>
        <w:tc>
          <w:tcPr>
            <w:tcW w:w="8200" w:type="dxa"/>
            <w:vAlign w:val="bottom"/>
            <w:gridSpan w:val="5"/>
          </w:tcPr>
          <w:p>
            <w:pPr>
              <w:ind w:left="620"/>
              <w:spacing w:after="0" w:line="176" w:lineRule="exact"/>
              <w:rPr>
                <w:sz w:val="20"/>
                <w:szCs w:val="20"/>
                <w:color w:val="auto"/>
              </w:rPr>
            </w:pPr>
            <w:r>
              <w:rPr>
                <w:rFonts w:ascii="Arial" w:cs="Arial" w:eastAsia="Arial" w:hAnsi="Arial"/>
                <w:sz w:val="18"/>
                <w:szCs w:val="18"/>
                <w:color w:val="auto"/>
                <w:w w:val="99"/>
              </w:rPr>
              <w:t>Integrated Device Technology, Inc. (“IDT”). Prior to becoming chairman of IDT, Mr. Tan was the</w:t>
            </w:r>
          </w:p>
        </w:tc>
      </w:tr>
      <w:tr>
        <w:trPr>
          <w:trHeight w:val="20"/>
        </w:trPr>
        <w:tc>
          <w:tcPr>
            <w:tcW w:w="28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3"/>
        </w:trPr>
        <w:tc>
          <w:tcPr>
            <w:tcW w:w="2800" w:type="dxa"/>
            <w:vAlign w:val="bottom"/>
          </w:tcPr>
          <w:p>
            <w:pPr>
              <w:ind w:left="360"/>
              <w:spacing w:after="0" w:line="182" w:lineRule="exact"/>
              <w:rPr>
                <w:sz w:val="20"/>
                <w:szCs w:val="20"/>
                <w:color w:val="auto"/>
              </w:rPr>
            </w:pPr>
            <w:r>
              <w:rPr>
                <w:rFonts w:ascii="Arial" w:cs="Arial" w:eastAsia="Arial" w:hAnsi="Arial"/>
                <w:sz w:val="18"/>
                <w:szCs w:val="18"/>
                <w:color w:val="auto"/>
              </w:rPr>
              <w:t>Executive Officer and</w:t>
            </w:r>
          </w:p>
        </w:tc>
        <w:tc>
          <w:tcPr>
            <w:tcW w:w="8200" w:type="dxa"/>
            <w:vAlign w:val="bottom"/>
            <w:gridSpan w:val="5"/>
          </w:tcPr>
          <w:p>
            <w:pPr>
              <w:ind w:left="620"/>
              <w:spacing w:after="0" w:line="182" w:lineRule="exact"/>
              <w:rPr>
                <w:sz w:val="20"/>
                <w:szCs w:val="20"/>
                <w:color w:val="auto"/>
              </w:rPr>
            </w:pPr>
            <w:r>
              <w:rPr>
                <w:rFonts w:ascii="Arial" w:cs="Arial" w:eastAsia="Arial" w:hAnsi="Arial"/>
                <w:sz w:val="18"/>
                <w:szCs w:val="18"/>
                <w:color w:val="auto"/>
              </w:rPr>
              <w:t>President and Chief Executive Officer of Integrated Circuit Systems, Inc. (“ICS”), from June</w:t>
            </w:r>
          </w:p>
        </w:tc>
      </w:tr>
      <w:tr>
        <w:trPr>
          <w:trHeight w:val="20"/>
        </w:trPr>
        <w:tc>
          <w:tcPr>
            <w:tcW w:w="280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9"/>
        </w:trPr>
        <w:tc>
          <w:tcPr>
            <w:tcW w:w="2800" w:type="dxa"/>
            <w:vAlign w:val="bottom"/>
          </w:tcPr>
          <w:p>
            <w:pPr>
              <w:ind w:left="360"/>
              <w:spacing w:after="0"/>
              <w:rPr>
                <w:sz w:val="20"/>
                <w:szCs w:val="20"/>
                <w:color w:val="auto"/>
              </w:rPr>
            </w:pPr>
            <w:r>
              <w:rPr>
                <w:rFonts w:ascii="Arial" w:cs="Arial" w:eastAsia="Arial" w:hAnsi="Arial"/>
                <w:sz w:val="18"/>
                <w:szCs w:val="18"/>
                <w:color w:val="auto"/>
              </w:rPr>
              <w:t>Director since</w:t>
            </w:r>
          </w:p>
        </w:tc>
        <w:tc>
          <w:tcPr>
            <w:tcW w:w="8200" w:type="dxa"/>
            <w:vAlign w:val="bottom"/>
            <w:gridSpan w:val="5"/>
          </w:tcPr>
          <w:p>
            <w:pPr>
              <w:ind w:left="620"/>
              <w:spacing w:after="0"/>
              <w:rPr>
                <w:sz w:val="20"/>
                <w:szCs w:val="20"/>
                <w:color w:val="auto"/>
              </w:rPr>
            </w:pPr>
            <w:r>
              <w:rPr>
                <w:rFonts w:ascii="Arial" w:cs="Arial" w:eastAsia="Arial" w:hAnsi="Arial"/>
                <w:sz w:val="18"/>
                <w:szCs w:val="18"/>
                <w:color w:val="auto"/>
                <w:w w:val="99"/>
              </w:rPr>
              <w:t>1999 to September 2005. Prior to ICS, Mr. Tan was Vice President of Finance with Commodore</w:t>
            </w:r>
          </w:p>
        </w:tc>
      </w:tr>
      <w:tr>
        <w:trPr>
          <w:trHeight w:val="203"/>
        </w:trPr>
        <w:tc>
          <w:tcPr>
            <w:tcW w:w="2800" w:type="dxa"/>
            <w:vAlign w:val="bottom"/>
          </w:tcPr>
          <w:p>
            <w:pPr>
              <w:ind w:left="360"/>
              <w:spacing w:after="0" w:line="202" w:lineRule="exact"/>
              <w:rPr>
                <w:sz w:val="20"/>
                <w:szCs w:val="20"/>
                <w:color w:val="auto"/>
              </w:rPr>
            </w:pPr>
            <w:r>
              <w:rPr>
                <w:rFonts w:ascii="Arial" w:cs="Arial" w:eastAsia="Arial" w:hAnsi="Arial"/>
                <w:sz w:val="18"/>
                <w:szCs w:val="18"/>
                <w:color w:val="auto"/>
              </w:rPr>
              <w:t>March 2006</w:t>
            </w:r>
          </w:p>
        </w:tc>
        <w:tc>
          <w:tcPr>
            <w:tcW w:w="8200" w:type="dxa"/>
            <w:vAlign w:val="bottom"/>
            <w:gridSpan w:val="5"/>
          </w:tcPr>
          <w:p>
            <w:pPr>
              <w:ind w:left="620"/>
              <w:spacing w:after="0" w:line="202" w:lineRule="exact"/>
              <w:rPr>
                <w:sz w:val="20"/>
                <w:szCs w:val="20"/>
                <w:color w:val="auto"/>
              </w:rPr>
            </w:pPr>
            <w:r>
              <w:rPr>
                <w:rFonts w:ascii="Arial" w:cs="Arial" w:eastAsia="Arial" w:hAnsi="Arial"/>
                <w:sz w:val="18"/>
                <w:szCs w:val="18"/>
                <w:color w:val="auto"/>
              </w:rPr>
              <w:t>International, Ltd. from 1992 to 1994, and previously held senior management positions with</w:t>
            </w:r>
          </w:p>
        </w:tc>
      </w:tr>
      <w:tr>
        <w:trPr>
          <w:trHeight w:val="203"/>
        </w:trPr>
        <w:tc>
          <w:tcPr>
            <w:tcW w:w="2800" w:type="dxa"/>
            <w:vAlign w:val="bottom"/>
          </w:tcPr>
          <w:p>
            <w:pPr>
              <w:spacing w:after="0"/>
              <w:rPr>
                <w:sz w:val="17"/>
                <w:szCs w:val="17"/>
                <w:color w:val="auto"/>
              </w:rPr>
            </w:pPr>
          </w:p>
        </w:tc>
        <w:tc>
          <w:tcPr>
            <w:tcW w:w="8200" w:type="dxa"/>
            <w:vAlign w:val="bottom"/>
            <w:gridSpan w:val="5"/>
          </w:tcPr>
          <w:p>
            <w:pPr>
              <w:ind w:left="620"/>
              <w:spacing w:after="0" w:line="202" w:lineRule="exact"/>
              <w:rPr>
                <w:sz w:val="20"/>
                <w:szCs w:val="20"/>
                <w:color w:val="auto"/>
              </w:rPr>
            </w:pPr>
            <w:r>
              <w:rPr>
                <w:rFonts w:ascii="Arial" w:cs="Arial" w:eastAsia="Arial" w:hAnsi="Arial"/>
                <w:sz w:val="18"/>
                <w:szCs w:val="18"/>
                <w:color w:val="auto"/>
                <w:w w:val="99"/>
              </w:rPr>
              <w:t>PepsiCo, Inc. and General Motors Corporation. Mr. Tan served as managing director of Pacven</w:t>
            </w:r>
          </w:p>
        </w:tc>
      </w:tr>
      <w:tr>
        <w:trPr>
          <w:trHeight w:val="203"/>
        </w:trPr>
        <w:tc>
          <w:tcPr>
            <w:tcW w:w="2800" w:type="dxa"/>
            <w:vAlign w:val="bottom"/>
          </w:tcPr>
          <w:p>
            <w:pPr>
              <w:spacing w:after="0"/>
              <w:rPr>
                <w:sz w:val="17"/>
                <w:szCs w:val="17"/>
                <w:color w:val="auto"/>
              </w:rPr>
            </w:pPr>
          </w:p>
        </w:tc>
        <w:tc>
          <w:tcPr>
            <w:tcW w:w="8200" w:type="dxa"/>
            <w:vAlign w:val="bottom"/>
            <w:gridSpan w:val="5"/>
          </w:tcPr>
          <w:p>
            <w:pPr>
              <w:ind w:left="620"/>
              <w:spacing w:after="0" w:line="202" w:lineRule="exact"/>
              <w:rPr>
                <w:sz w:val="20"/>
                <w:szCs w:val="20"/>
                <w:color w:val="auto"/>
              </w:rPr>
            </w:pPr>
            <w:r>
              <w:rPr>
                <w:rFonts w:ascii="Arial" w:cs="Arial" w:eastAsia="Arial" w:hAnsi="Arial"/>
                <w:sz w:val="18"/>
                <w:szCs w:val="18"/>
                <w:color w:val="auto"/>
              </w:rPr>
              <w:t>Investment, Ltd., a venture capital fund in Singapore from 1988 to 1992, and served as</w:t>
            </w:r>
          </w:p>
        </w:tc>
      </w:tr>
      <w:tr>
        <w:trPr>
          <w:trHeight w:val="203"/>
        </w:trPr>
        <w:tc>
          <w:tcPr>
            <w:tcW w:w="2800" w:type="dxa"/>
            <w:vAlign w:val="bottom"/>
          </w:tcPr>
          <w:p>
            <w:pPr>
              <w:spacing w:after="0"/>
              <w:rPr>
                <w:sz w:val="17"/>
                <w:szCs w:val="17"/>
                <w:color w:val="auto"/>
              </w:rPr>
            </w:pPr>
          </w:p>
        </w:tc>
        <w:tc>
          <w:tcPr>
            <w:tcW w:w="8200" w:type="dxa"/>
            <w:vAlign w:val="bottom"/>
            <w:gridSpan w:val="5"/>
          </w:tcPr>
          <w:p>
            <w:pPr>
              <w:ind w:left="620"/>
              <w:spacing w:after="0" w:line="202" w:lineRule="exact"/>
              <w:rPr>
                <w:sz w:val="20"/>
                <w:szCs w:val="20"/>
                <w:color w:val="auto"/>
              </w:rPr>
            </w:pPr>
            <w:r>
              <w:rPr>
                <w:rFonts w:ascii="Arial" w:cs="Arial" w:eastAsia="Arial" w:hAnsi="Arial"/>
                <w:sz w:val="18"/>
                <w:szCs w:val="18"/>
                <w:color w:val="auto"/>
              </w:rPr>
              <w:t>managing director for Hume Industries Ltd. in Malaysia from 1983 to 1988. Mr. Tan’s</w:t>
            </w:r>
          </w:p>
        </w:tc>
      </w:tr>
      <w:tr>
        <w:trPr>
          <w:trHeight w:val="203"/>
        </w:trPr>
        <w:tc>
          <w:tcPr>
            <w:tcW w:w="2800" w:type="dxa"/>
            <w:vAlign w:val="bottom"/>
          </w:tcPr>
          <w:p>
            <w:pPr>
              <w:spacing w:after="0"/>
              <w:rPr>
                <w:sz w:val="17"/>
                <w:szCs w:val="17"/>
                <w:color w:val="auto"/>
              </w:rPr>
            </w:pPr>
          </w:p>
        </w:tc>
        <w:tc>
          <w:tcPr>
            <w:tcW w:w="8200" w:type="dxa"/>
            <w:vAlign w:val="bottom"/>
            <w:gridSpan w:val="5"/>
          </w:tcPr>
          <w:p>
            <w:pPr>
              <w:ind w:left="620"/>
              <w:spacing w:after="0" w:line="202" w:lineRule="exact"/>
              <w:rPr>
                <w:sz w:val="20"/>
                <w:szCs w:val="20"/>
                <w:color w:val="auto"/>
              </w:rPr>
            </w:pPr>
            <w:r>
              <w:rPr>
                <w:rFonts w:ascii="Arial" w:cs="Arial" w:eastAsia="Arial" w:hAnsi="Arial"/>
                <w:sz w:val="18"/>
                <w:szCs w:val="18"/>
                <w:color w:val="auto"/>
              </w:rPr>
              <w:t>qualifications to serve on our Board include his role as our Chief Executive Officer, his</w:t>
            </w:r>
          </w:p>
        </w:tc>
      </w:tr>
      <w:tr>
        <w:trPr>
          <w:trHeight w:val="203"/>
        </w:trPr>
        <w:tc>
          <w:tcPr>
            <w:tcW w:w="2800" w:type="dxa"/>
            <w:vAlign w:val="bottom"/>
          </w:tcPr>
          <w:p>
            <w:pPr>
              <w:spacing w:after="0"/>
              <w:rPr>
                <w:sz w:val="17"/>
                <w:szCs w:val="17"/>
                <w:color w:val="auto"/>
              </w:rPr>
            </w:pPr>
          </w:p>
        </w:tc>
        <w:tc>
          <w:tcPr>
            <w:tcW w:w="8200" w:type="dxa"/>
            <w:vAlign w:val="bottom"/>
            <w:gridSpan w:val="5"/>
          </w:tcPr>
          <w:p>
            <w:pPr>
              <w:ind w:left="620"/>
              <w:spacing w:after="0" w:line="202" w:lineRule="exact"/>
              <w:rPr>
                <w:sz w:val="20"/>
                <w:szCs w:val="20"/>
                <w:color w:val="auto"/>
              </w:rPr>
            </w:pPr>
            <w:r>
              <w:rPr>
                <w:rFonts w:ascii="Arial" w:cs="Arial" w:eastAsia="Arial" w:hAnsi="Arial"/>
                <w:sz w:val="18"/>
                <w:szCs w:val="18"/>
                <w:color w:val="auto"/>
              </w:rPr>
              <w:t>extensive career in the technology industry in general and in the semiconductor industry in</w:t>
            </w:r>
          </w:p>
        </w:tc>
      </w:tr>
      <w:tr>
        <w:trPr>
          <w:trHeight w:val="203"/>
        </w:trPr>
        <w:tc>
          <w:tcPr>
            <w:tcW w:w="2800" w:type="dxa"/>
            <w:vAlign w:val="bottom"/>
          </w:tcPr>
          <w:p>
            <w:pPr>
              <w:spacing w:after="0"/>
              <w:rPr>
                <w:sz w:val="17"/>
                <w:szCs w:val="17"/>
                <w:color w:val="auto"/>
              </w:rPr>
            </w:pPr>
          </w:p>
        </w:tc>
        <w:tc>
          <w:tcPr>
            <w:tcW w:w="8200" w:type="dxa"/>
            <w:vAlign w:val="bottom"/>
            <w:gridSpan w:val="5"/>
          </w:tcPr>
          <w:p>
            <w:pPr>
              <w:ind w:left="620"/>
              <w:spacing w:after="0" w:line="202" w:lineRule="exact"/>
              <w:rPr>
                <w:sz w:val="20"/>
                <w:szCs w:val="20"/>
                <w:color w:val="auto"/>
              </w:rPr>
            </w:pPr>
            <w:r>
              <w:rPr>
                <w:rFonts w:ascii="Arial" w:cs="Arial" w:eastAsia="Arial" w:hAnsi="Arial"/>
                <w:sz w:val="18"/>
                <w:szCs w:val="18"/>
                <w:color w:val="auto"/>
              </w:rPr>
              <w:t>particular, including service as the chairman of the board of directors of a publicly-traded</w:t>
            </w:r>
          </w:p>
        </w:tc>
      </w:tr>
      <w:tr>
        <w:trPr>
          <w:trHeight w:val="203"/>
        </w:trPr>
        <w:tc>
          <w:tcPr>
            <w:tcW w:w="2800" w:type="dxa"/>
            <w:vAlign w:val="bottom"/>
          </w:tcPr>
          <w:p>
            <w:pPr>
              <w:spacing w:after="0"/>
              <w:rPr>
                <w:sz w:val="17"/>
                <w:szCs w:val="17"/>
                <w:color w:val="auto"/>
              </w:rPr>
            </w:pPr>
          </w:p>
        </w:tc>
        <w:tc>
          <w:tcPr>
            <w:tcW w:w="8200" w:type="dxa"/>
            <w:vAlign w:val="bottom"/>
            <w:gridSpan w:val="5"/>
          </w:tcPr>
          <w:p>
            <w:pPr>
              <w:ind w:left="620"/>
              <w:spacing w:after="0" w:line="202" w:lineRule="exact"/>
              <w:rPr>
                <w:sz w:val="20"/>
                <w:szCs w:val="20"/>
                <w:color w:val="auto"/>
              </w:rPr>
            </w:pPr>
            <w:r>
              <w:rPr>
                <w:rFonts w:ascii="Arial" w:cs="Arial" w:eastAsia="Arial" w:hAnsi="Arial"/>
                <w:sz w:val="18"/>
                <w:szCs w:val="18"/>
                <w:color w:val="auto"/>
              </w:rPr>
              <w:t>semiconductor company, and his extensive knowledge of our business developed over the</w:t>
            </w:r>
          </w:p>
        </w:tc>
      </w:tr>
      <w:tr>
        <w:trPr>
          <w:trHeight w:val="217"/>
        </w:trPr>
        <w:tc>
          <w:tcPr>
            <w:tcW w:w="2800" w:type="dxa"/>
            <w:vAlign w:val="bottom"/>
          </w:tcPr>
          <w:p>
            <w:pPr>
              <w:spacing w:after="0"/>
              <w:rPr>
                <w:sz w:val="18"/>
                <w:szCs w:val="18"/>
                <w:color w:val="auto"/>
              </w:rPr>
            </w:pPr>
          </w:p>
        </w:tc>
        <w:tc>
          <w:tcPr>
            <w:tcW w:w="8200" w:type="dxa"/>
            <w:vAlign w:val="bottom"/>
            <w:gridSpan w:val="5"/>
          </w:tcPr>
          <w:p>
            <w:pPr>
              <w:ind w:left="620"/>
              <w:spacing w:after="0"/>
              <w:rPr>
                <w:sz w:val="20"/>
                <w:szCs w:val="20"/>
                <w:color w:val="auto"/>
              </w:rPr>
            </w:pPr>
            <w:r>
              <w:rPr>
                <w:rFonts w:ascii="Arial" w:cs="Arial" w:eastAsia="Arial" w:hAnsi="Arial"/>
                <w:sz w:val="18"/>
                <w:szCs w:val="18"/>
                <w:color w:val="auto"/>
              </w:rPr>
              <w:t>course of his career at our Company.</w:t>
            </w:r>
          </w:p>
        </w:tc>
      </w:tr>
      <w:tr>
        <w:trPr>
          <w:trHeight w:val="350"/>
        </w:trPr>
        <w:tc>
          <w:tcPr>
            <w:tcW w:w="2800" w:type="dxa"/>
            <w:vAlign w:val="bottom"/>
          </w:tcPr>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James V. Diller</w:t>
            </w:r>
          </w:p>
        </w:tc>
        <w:tc>
          <w:tcPr>
            <w:tcW w:w="8200" w:type="dxa"/>
            <w:vAlign w:val="bottom"/>
            <w:gridSpan w:val="5"/>
          </w:tcPr>
          <w:p>
            <w:pPr>
              <w:ind w:left="620"/>
              <w:spacing w:after="0"/>
              <w:rPr>
                <w:sz w:val="20"/>
                <w:szCs w:val="20"/>
                <w:color w:val="auto"/>
              </w:rPr>
            </w:pPr>
            <w:r>
              <w:rPr>
                <w:rFonts w:ascii="Arial" w:cs="Arial" w:eastAsia="Arial" w:hAnsi="Arial"/>
                <w:sz w:val="18"/>
                <w:szCs w:val="18"/>
                <w:color w:val="auto"/>
              </w:rPr>
              <w:t>Mr. Diller was a founder of PMC-Sierra, Inc., serving as PMC’s Chief Executive Officer from</w:t>
            </w:r>
          </w:p>
        </w:tc>
      </w:tr>
      <w:tr>
        <w:trPr>
          <w:trHeight w:val="203"/>
        </w:trPr>
        <w:tc>
          <w:tcPr>
            <w:tcW w:w="2800" w:type="dxa"/>
            <w:vAlign w:val="bottom"/>
          </w:tcPr>
          <w:p>
            <w:pPr>
              <w:ind w:left="360"/>
              <w:spacing w:after="0" w:line="202" w:lineRule="exact"/>
              <w:rPr>
                <w:sz w:val="20"/>
                <w:szCs w:val="20"/>
                <w:color w:val="auto"/>
              </w:rPr>
            </w:pPr>
            <w:r>
              <w:rPr>
                <w:rFonts w:ascii="Arial" w:cs="Arial" w:eastAsia="Arial" w:hAnsi="Arial"/>
                <w:sz w:val="18"/>
                <w:szCs w:val="18"/>
                <w:color w:val="auto"/>
              </w:rPr>
              <w:t>Age 82</w:t>
            </w:r>
          </w:p>
        </w:tc>
        <w:tc>
          <w:tcPr>
            <w:tcW w:w="8200" w:type="dxa"/>
            <w:vAlign w:val="bottom"/>
            <w:gridSpan w:val="5"/>
          </w:tcPr>
          <w:p>
            <w:pPr>
              <w:ind w:left="620"/>
              <w:spacing w:after="0" w:line="202" w:lineRule="exact"/>
              <w:rPr>
                <w:sz w:val="20"/>
                <w:szCs w:val="20"/>
                <w:color w:val="auto"/>
              </w:rPr>
            </w:pPr>
            <w:r>
              <w:rPr>
                <w:rFonts w:ascii="Arial" w:cs="Arial" w:eastAsia="Arial" w:hAnsi="Arial"/>
                <w:sz w:val="18"/>
                <w:szCs w:val="18"/>
                <w:color w:val="auto"/>
              </w:rPr>
              <w:t>1983 to July 1997 and President from 1983 to July 1993. Mr. Diller also served as a director of</w:t>
            </w:r>
          </w:p>
        </w:tc>
      </w:tr>
      <w:tr>
        <w:trPr>
          <w:trHeight w:val="203"/>
        </w:trPr>
        <w:tc>
          <w:tcPr>
            <w:tcW w:w="2800" w:type="dxa"/>
            <w:vAlign w:val="bottom"/>
          </w:tcPr>
          <w:p>
            <w:pPr>
              <w:ind w:left="360"/>
              <w:spacing w:after="0" w:line="202" w:lineRule="exact"/>
              <w:rPr>
                <w:sz w:val="20"/>
                <w:szCs w:val="20"/>
                <w:color w:val="auto"/>
              </w:rPr>
            </w:pPr>
            <w:r>
              <w:rPr>
                <w:rFonts w:ascii="Arial" w:cs="Arial" w:eastAsia="Arial" w:hAnsi="Arial"/>
                <w:sz w:val="18"/>
                <w:szCs w:val="18"/>
                <w:color w:val="auto"/>
              </w:rPr>
              <w:t>Chairman of the Board</w:t>
            </w:r>
          </w:p>
        </w:tc>
        <w:tc>
          <w:tcPr>
            <w:tcW w:w="8200" w:type="dxa"/>
            <w:vAlign w:val="bottom"/>
            <w:gridSpan w:val="5"/>
          </w:tcPr>
          <w:p>
            <w:pPr>
              <w:ind w:left="620"/>
              <w:spacing w:after="0" w:line="202" w:lineRule="exact"/>
              <w:rPr>
                <w:sz w:val="20"/>
                <w:szCs w:val="20"/>
                <w:color w:val="auto"/>
              </w:rPr>
            </w:pPr>
            <w:r>
              <w:rPr>
                <w:rFonts w:ascii="Arial" w:cs="Arial" w:eastAsia="Arial" w:hAnsi="Arial"/>
                <w:sz w:val="18"/>
                <w:szCs w:val="18"/>
                <w:color w:val="auto"/>
                <w:w w:val="99"/>
              </w:rPr>
              <w:t>PMC since its formation in 1983 until December 2013. Mr. Diller was Chairman of PMC’s board</w:t>
            </w:r>
          </w:p>
        </w:tc>
      </w:tr>
      <w:tr>
        <w:trPr>
          <w:trHeight w:val="203"/>
        </w:trPr>
        <w:tc>
          <w:tcPr>
            <w:tcW w:w="2800" w:type="dxa"/>
            <w:vAlign w:val="bottom"/>
          </w:tcPr>
          <w:p>
            <w:pPr>
              <w:ind w:left="360"/>
              <w:spacing w:after="0" w:line="202" w:lineRule="exact"/>
              <w:rPr>
                <w:sz w:val="20"/>
                <w:szCs w:val="20"/>
                <w:color w:val="auto"/>
              </w:rPr>
            </w:pPr>
            <w:r>
              <w:rPr>
                <w:rFonts w:ascii="Arial" w:cs="Arial" w:eastAsia="Arial" w:hAnsi="Arial"/>
                <w:sz w:val="18"/>
                <w:szCs w:val="18"/>
                <w:color w:val="auto"/>
              </w:rPr>
              <w:t>Director since</w:t>
            </w:r>
          </w:p>
        </w:tc>
        <w:tc>
          <w:tcPr>
            <w:tcW w:w="8200" w:type="dxa"/>
            <w:vAlign w:val="bottom"/>
            <w:gridSpan w:val="5"/>
          </w:tcPr>
          <w:p>
            <w:pPr>
              <w:ind w:left="620"/>
              <w:spacing w:after="0" w:line="202" w:lineRule="exact"/>
              <w:rPr>
                <w:sz w:val="20"/>
                <w:szCs w:val="20"/>
                <w:color w:val="auto"/>
              </w:rPr>
            </w:pPr>
            <w:r>
              <w:rPr>
                <w:rFonts w:ascii="Arial" w:cs="Arial" w:eastAsia="Arial" w:hAnsi="Arial"/>
                <w:sz w:val="18"/>
                <w:szCs w:val="18"/>
                <w:color w:val="auto"/>
                <w:w w:val="99"/>
              </w:rPr>
              <w:t>of directors from July 1993 until February 2000, and was its Vice Chairman from February 2000</w:t>
            </w:r>
          </w:p>
        </w:tc>
      </w:tr>
      <w:tr>
        <w:trPr>
          <w:trHeight w:val="203"/>
        </w:trPr>
        <w:tc>
          <w:tcPr>
            <w:tcW w:w="2800" w:type="dxa"/>
            <w:vAlign w:val="bottom"/>
          </w:tcPr>
          <w:p>
            <w:pPr>
              <w:ind w:left="360"/>
              <w:spacing w:after="0" w:line="202" w:lineRule="exact"/>
              <w:rPr>
                <w:sz w:val="20"/>
                <w:szCs w:val="20"/>
                <w:color w:val="auto"/>
              </w:rPr>
            </w:pPr>
            <w:r>
              <w:rPr>
                <w:rFonts w:ascii="Arial" w:cs="Arial" w:eastAsia="Arial" w:hAnsi="Arial"/>
                <w:sz w:val="18"/>
                <w:szCs w:val="18"/>
                <w:color w:val="auto"/>
              </w:rPr>
              <w:t>April 2006</w:t>
            </w:r>
          </w:p>
        </w:tc>
        <w:tc>
          <w:tcPr>
            <w:tcW w:w="8200" w:type="dxa"/>
            <w:vAlign w:val="bottom"/>
            <w:gridSpan w:val="5"/>
          </w:tcPr>
          <w:p>
            <w:pPr>
              <w:ind w:left="620"/>
              <w:spacing w:after="0" w:line="202" w:lineRule="exact"/>
              <w:rPr>
                <w:sz w:val="20"/>
                <w:szCs w:val="20"/>
                <w:color w:val="auto"/>
              </w:rPr>
            </w:pPr>
            <w:r>
              <w:rPr>
                <w:rFonts w:ascii="Arial" w:cs="Arial" w:eastAsia="Arial" w:hAnsi="Arial"/>
                <w:sz w:val="18"/>
                <w:szCs w:val="18"/>
                <w:color w:val="auto"/>
              </w:rPr>
              <w:t>until December 2013. Mr. Diller served as a director of Intersil Corporation from May 2002 to</w:t>
            </w:r>
          </w:p>
        </w:tc>
      </w:tr>
      <w:tr>
        <w:trPr>
          <w:trHeight w:val="217"/>
        </w:trPr>
        <w:tc>
          <w:tcPr>
            <w:tcW w:w="2800" w:type="dxa"/>
            <w:vAlign w:val="bottom"/>
          </w:tcPr>
          <w:p>
            <w:pPr>
              <w:spacing w:after="0"/>
              <w:rPr>
                <w:sz w:val="18"/>
                <w:szCs w:val="18"/>
                <w:color w:val="auto"/>
              </w:rPr>
            </w:pPr>
          </w:p>
        </w:tc>
        <w:tc>
          <w:tcPr>
            <w:tcW w:w="8200" w:type="dxa"/>
            <w:vAlign w:val="bottom"/>
            <w:gridSpan w:val="5"/>
          </w:tcPr>
          <w:p>
            <w:pPr>
              <w:ind w:left="620"/>
              <w:spacing w:after="0"/>
              <w:rPr>
                <w:sz w:val="20"/>
                <w:szCs w:val="20"/>
                <w:color w:val="auto"/>
              </w:rPr>
            </w:pPr>
            <w:r>
              <w:rPr>
                <w:rFonts w:ascii="Arial" w:cs="Arial" w:eastAsia="Arial" w:hAnsi="Arial"/>
                <w:sz w:val="18"/>
                <w:szCs w:val="18"/>
                <w:color w:val="auto"/>
              </w:rPr>
              <w:t>April 2015 and as its interim President</w:t>
            </w:r>
          </w:p>
        </w:tc>
      </w:tr>
      <w:tr>
        <w:trPr>
          <w:trHeight w:val="351"/>
        </w:trPr>
        <w:tc>
          <w:tcPr>
            <w:tcW w:w="2800" w:type="dxa"/>
            <w:vAlign w:val="bottom"/>
          </w:tcPr>
          <w:p>
            <w:pPr>
              <w:spacing w:after="0"/>
              <w:rPr>
                <w:sz w:val="24"/>
                <w:szCs w:val="24"/>
                <w:color w:val="auto"/>
              </w:rPr>
            </w:pPr>
          </w:p>
        </w:tc>
        <w:tc>
          <w:tcPr>
            <w:tcW w:w="3540" w:type="dxa"/>
            <w:vAlign w:val="bottom"/>
          </w:tcPr>
          <w:p>
            <w:pPr>
              <w:ind w:left="26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8260" w:type="dxa"/>
            <w:vAlign w:val="bottom"/>
            <w:gridSpan w:val="7"/>
          </w:tcPr>
          <w:p>
            <w:pPr>
              <w:ind w:left="680"/>
              <w:spacing w:after="0"/>
              <w:rPr>
                <w:sz w:val="20"/>
                <w:szCs w:val="20"/>
                <w:color w:val="auto"/>
              </w:rPr>
            </w:pPr>
            <w:r>
              <w:rPr>
                <w:rFonts w:ascii="Arial" w:cs="Arial" w:eastAsia="Arial" w:hAnsi="Arial"/>
                <w:sz w:val="18"/>
                <w:szCs w:val="18"/>
                <w:color w:val="auto"/>
              </w:rPr>
              <w:t>and Chief Executive Officer from December 2012 to March 2013. Mr. Diller’s qualifications to</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serve on our Board include his more than 50 years of experience in semiconductor company</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w w:val="99"/>
              </w:rPr>
              <w:t>management and oversight in positions such as Chief Executive Officer, President and General</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Manager and chairman of the board of directors, and his experience as a product development</w:t>
            </w:r>
          </w:p>
        </w:tc>
      </w:tr>
      <w:tr>
        <w:trPr>
          <w:trHeight w:val="217"/>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60" w:type="dxa"/>
            <w:vAlign w:val="bottom"/>
            <w:gridSpan w:val="7"/>
          </w:tcPr>
          <w:p>
            <w:pPr>
              <w:ind w:left="680"/>
              <w:spacing w:after="0"/>
              <w:rPr>
                <w:sz w:val="20"/>
                <w:szCs w:val="20"/>
                <w:color w:val="auto"/>
              </w:rPr>
            </w:pPr>
            <w:r>
              <w:rPr>
                <w:rFonts w:ascii="Arial" w:cs="Arial" w:eastAsia="Arial" w:hAnsi="Arial"/>
                <w:sz w:val="18"/>
                <w:szCs w:val="18"/>
                <w:color w:val="auto"/>
              </w:rPr>
              <w:t>engineer.</w:t>
            </w:r>
          </w:p>
        </w:tc>
      </w:tr>
      <w:tr>
        <w:trPr>
          <w:trHeight w:val="378"/>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Gayla J. Delly</w:t>
            </w:r>
          </w:p>
        </w:tc>
        <w:tc>
          <w:tcPr>
            <w:tcW w:w="8260" w:type="dxa"/>
            <w:vAlign w:val="bottom"/>
            <w:gridSpan w:val="7"/>
          </w:tcPr>
          <w:p>
            <w:pPr>
              <w:ind w:left="680"/>
              <w:spacing w:after="0"/>
              <w:rPr>
                <w:sz w:val="20"/>
                <w:szCs w:val="20"/>
                <w:color w:val="auto"/>
              </w:rPr>
            </w:pPr>
            <w:r>
              <w:rPr>
                <w:rFonts w:ascii="Arial" w:cs="Arial" w:eastAsia="Arial" w:hAnsi="Arial"/>
                <w:sz w:val="18"/>
                <w:szCs w:val="18"/>
                <w:color w:val="auto"/>
              </w:rPr>
              <w:t>Ms. Delly served as Chief Executive Officer of Benchmark Electronics Inc. (“Benchmark”), a</w:t>
            </w:r>
          </w:p>
        </w:tc>
      </w:tr>
      <w:tr>
        <w:trPr>
          <w:trHeight w:val="20"/>
        </w:trPr>
        <w:tc>
          <w:tcPr>
            <w:tcW w:w="294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940" w:type="dxa"/>
            <w:vAlign w:val="bottom"/>
            <w:gridSpan w:val="2"/>
          </w:tcPr>
          <w:p>
            <w:pPr>
              <w:ind w:left="560"/>
              <w:spacing w:after="0"/>
              <w:rPr>
                <w:sz w:val="20"/>
                <w:szCs w:val="20"/>
                <w:color w:val="auto"/>
              </w:rPr>
            </w:pPr>
            <w:r>
              <w:rPr>
                <w:rFonts w:ascii="Arial" w:cs="Arial" w:eastAsia="Arial" w:hAnsi="Arial"/>
                <w:sz w:val="18"/>
                <w:szCs w:val="18"/>
                <w:color w:val="auto"/>
              </w:rPr>
              <w:t>Age 58</w:t>
            </w:r>
          </w:p>
        </w:tc>
        <w:tc>
          <w:tcPr>
            <w:tcW w:w="8260" w:type="dxa"/>
            <w:vAlign w:val="bottom"/>
            <w:gridSpan w:val="7"/>
          </w:tcPr>
          <w:p>
            <w:pPr>
              <w:ind w:left="680"/>
              <w:spacing w:after="0"/>
              <w:rPr>
                <w:sz w:val="20"/>
                <w:szCs w:val="20"/>
                <w:color w:val="auto"/>
              </w:rPr>
            </w:pPr>
            <w:r>
              <w:rPr>
                <w:rFonts w:ascii="Arial" w:cs="Arial" w:eastAsia="Arial" w:hAnsi="Arial"/>
                <w:sz w:val="18"/>
                <w:szCs w:val="18"/>
                <w:color w:val="auto"/>
              </w:rPr>
              <w:t>company that provides contract manufacturing, design, engineering, test and distribution</w:t>
            </w:r>
          </w:p>
        </w:tc>
      </w:tr>
      <w:tr>
        <w:trPr>
          <w:trHeight w:val="203"/>
        </w:trPr>
        <w:tc>
          <w:tcPr>
            <w:tcW w:w="294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Director since</w:t>
            </w: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services to manufacturers of computers, medical devices, telecommunications equipment and</w:t>
            </w:r>
          </w:p>
        </w:tc>
      </w:tr>
      <w:tr>
        <w:trPr>
          <w:trHeight w:val="203"/>
        </w:trPr>
        <w:tc>
          <w:tcPr>
            <w:tcW w:w="294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December 2017</w:t>
            </w: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industrial control and test instruments, from January 2012 to September 2016, and served as a</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w w:val="99"/>
              </w:rPr>
              <w:t>director from 2011 to September 2016. At Benchmark, she previously served as President from</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2006 to December 2011, Executive Vice President and Chief Financial Officer from 2001 to</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2006, and as Corporate Controller and Treasurer from 1995 to 2001. Ms. Delly is a certified</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public accountant and was a senior audit manager at KPMG before joining Benchmark.</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Ms. Delly serves as an independent director of Flowserve Corporation, a public company listed</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on the New York Stock Exchange, and serves as chair of Flowserve’s audit committee and a</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member of its corporate governance and nominating committee. Ms. Delly’s qualifications to</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serve on our Board include her leadership experience in senior executive and financial</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management positions, her international manufacturing experience, her education and</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experience as an accounting professional, and her experience serving as a director of other</w:t>
            </w:r>
          </w:p>
        </w:tc>
      </w:tr>
      <w:tr>
        <w:trPr>
          <w:trHeight w:val="217"/>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60" w:type="dxa"/>
            <w:vAlign w:val="bottom"/>
            <w:gridSpan w:val="7"/>
          </w:tcPr>
          <w:p>
            <w:pPr>
              <w:ind w:left="680"/>
              <w:spacing w:after="0"/>
              <w:rPr>
                <w:sz w:val="20"/>
                <w:szCs w:val="20"/>
                <w:color w:val="auto"/>
              </w:rPr>
            </w:pPr>
            <w:r>
              <w:rPr>
                <w:rFonts w:ascii="Arial" w:cs="Arial" w:eastAsia="Arial" w:hAnsi="Arial"/>
                <w:sz w:val="18"/>
                <w:szCs w:val="18"/>
                <w:color w:val="auto"/>
              </w:rPr>
              <w:t>public companies.</w:t>
            </w:r>
          </w:p>
        </w:tc>
      </w:tr>
      <w:tr>
        <w:trPr>
          <w:trHeight w:val="404"/>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Lewis C. Eggebrecht</w:t>
            </w:r>
          </w:p>
        </w:tc>
        <w:tc>
          <w:tcPr>
            <w:tcW w:w="8260" w:type="dxa"/>
            <w:vAlign w:val="bottom"/>
            <w:gridSpan w:val="7"/>
          </w:tcPr>
          <w:p>
            <w:pPr>
              <w:ind w:left="680"/>
              <w:spacing w:after="0"/>
              <w:rPr>
                <w:sz w:val="20"/>
                <w:szCs w:val="20"/>
                <w:color w:val="auto"/>
              </w:rPr>
            </w:pPr>
            <w:r>
              <w:rPr>
                <w:rFonts w:ascii="Arial" w:cs="Arial" w:eastAsia="Arial" w:hAnsi="Arial"/>
                <w:sz w:val="18"/>
                <w:szCs w:val="18"/>
                <w:color w:val="auto"/>
              </w:rPr>
              <w:t>Mr. Eggebrecht served as Vice President and Chief Scientist of ICS from 1998 through May</w:t>
            </w:r>
          </w:p>
        </w:tc>
      </w:tr>
      <w:tr>
        <w:trPr>
          <w:trHeight w:val="203"/>
        </w:trPr>
        <w:tc>
          <w:tcPr>
            <w:tcW w:w="294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Age 74</w:t>
            </w: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w w:val="99"/>
              </w:rPr>
              <w:t>2003. Mr. Eggebrecht has held various other technical and executive management positions for</w:t>
            </w:r>
          </w:p>
        </w:tc>
      </w:tr>
      <w:tr>
        <w:trPr>
          <w:trHeight w:val="203"/>
        </w:trPr>
        <w:tc>
          <w:tcPr>
            <w:tcW w:w="294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Director since</w:t>
            </w: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more than 30 years, including as Chief Multimedia Architect at Phillips Semiconductor</w:t>
            </w:r>
          </w:p>
        </w:tc>
      </w:tr>
      <w:tr>
        <w:trPr>
          <w:trHeight w:val="203"/>
        </w:trPr>
        <w:tc>
          <w:tcPr>
            <w:tcW w:w="294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April 2014</w:t>
            </w: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Manufacturing Inc., as Graphics Architect at S3 Graphics Limited, and Vice President of</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Research and Development at Commodore International Limited, and as a small systems</w:t>
            </w:r>
          </w:p>
        </w:tc>
      </w:tr>
      <w:tr>
        <w:trPr>
          <w:trHeight w:val="176"/>
        </w:trPr>
        <w:tc>
          <w:tcPr>
            <w:tcW w:w="1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260" w:type="dxa"/>
            <w:vAlign w:val="bottom"/>
            <w:gridSpan w:val="7"/>
          </w:tcPr>
          <w:p>
            <w:pPr>
              <w:ind w:left="680"/>
              <w:spacing w:after="0" w:line="176" w:lineRule="exact"/>
              <w:rPr>
                <w:sz w:val="20"/>
                <w:szCs w:val="20"/>
                <w:color w:val="auto"/>
              </w:rPr>
            </w:pPr>
            <w:r>
              <w:rPr>
                <w:rFonts w:ascii="Arial" w:cs="Arial" w:eastAsia="Arial" w:hAnsi="Arial"/>
                <w:sz w:val="18"/>
                <w:szCs w:val="18"/>
                <w:color w:val="auto"/>
              </w:rPr>
              <w:t>architect for 15 years at International Business Machines Corporation (“IBM”). While at IBM,</w:t>
            </w:r>
          </w:p>
        </w:tc>
      </w:tr>
      <w:tr>
        <w:trPr>
          <w:trHeight w:val="20"/>
        </w:trPr>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60" w:type="dxa"/>
            <w:vAlign w:val="bottom"/>
            <w:gridSpan w:val="7"/>
          </w:tcPr>
          <w:p>
            <w:pPr>
              <w:ind w:left="680"/>
              <w:spacing w:after="0"/>
              <w:rPr>
                <w:sz w:val="20"/>
                <w:szCs w:val="20"/>
                <w:color w:val="auto"/>
              </w:rPr>
            </w:pPr>
            <w:r>
              <w:rPr>
                <w:rFonts w:ascii="Arial" w:cs="Arial" w:eastAsia="Arial" w:hAnsi="Arial"/>
                <w:sz w:val="18"/>
                <w:szCs w:val="18"/>
                <w:color w:val="auto"/>
              </w:rPr>
              <w:t>Mr. Eggebrecht was the Chief Architect and Design Team Leader on the original IBM PC. He</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has also previously served on the board of directors of a number of public and private</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companies. Mr. Eggebrecht holds six patents on the IBM PC and has authored two books on</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PC architecture, over 20 IBM Technical Disclosure Bulletins and trade press articles.</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Mr. Eggebrecht’s qualifications to serve on our Board include his extensive experience in</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personal computer architecture, integrated circuit design and networking, wireless and timing</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technologies, as well as his experience serving on the board of directors of other public</w:t>
            </w:r>
          </w:p>
        </w:tc>
      </w:tr>
      <w:tr>
        <w:trPr>
          <w:trHeight w:val="217"/>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60" w:type="dxa"/>
            <w:vAlign w:val="bottom"/>
            <w:gridSpan w:val="7"/>
          </w:tcPr>
          <w:p>
            <w:pPr>
              <w:ind w:left="680"/>
              <w:spacing w:after="0"/>
              <w:rPr>
                <w:sz w:val="20"/>
                <w:szCs w:val="20"/>
                <w:color w:val="auto"/>
              </w:rPr>
            </w:pPr>
            <w:r>
              <w:rPr>
                <w:rFonts w:ascii="Arial" w:cs="Arial" w:eastAsia="Arial" w:hAnsi="Arial"/>
                <w:sz w:val="18"/>
                <w:szCs w:val="18"/>
                <w:color w:val="auto"/>
              </w:rPr>
              <w:t>technology companies.</w:t>
            </w:r>
          </w:p>
        </w:tc>
      </w:tr>
      <w:tr>
        <w:trPr>
          <w:trHeight w:val="378"/>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Kenneth Y. Hao</w:t>
            </w:r>
          </w:p>
        </w:tc>
        <w:tc>
          <w:tcPr>
            <w:tcW w:w="8260" w:type="dxa"/>
            <w:vAlign w:val="bottom"/>
            <w:gridSpan w:val="7"/>
          </w:tcPr>
          <w:p>
            <w:pPr>
              <w:ind w:left="680"/>
              <w:spacing w:after="0"/>
              <w:rPr>
                <w:sz w:val="20"/>
                <w:szCs w:val="20"/>
                <w:color w:val="auto"/>
              </w:rPr>
            </w:pPr>
            <w:r>
              <w:rPr>
                <w:rFonts w:ascii="Arial" w:cs="Arial" w:eastAsia="Arial" w:hAnsi="Arial"/>
                <w:sz w:val="18"/>
                <w:szCs w:val="18"/>
                <w:color w:val="auto"/>
              </w:rPr>
              <w:t>Mr. Hao is a Managing Partner and Managing Director of Silver Lake Partners (“Silver Lake”).</w:t>
            </w:r>
          </w:p>
        </w:tc>
      </w:tr>
      <w:tr>
        <w:trPr>
          <w:trHeight w:val="20"/>
        </w:trPr>
        <w:tc>
          <w:tcPr>
            <w:tcW w:w="2940" w:type="dxa"/>
            <w:vAlign w:val="bottom"/>
            <w:gridSpan w:val="2"/>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940" w:type="dxa"/>
            <w:vAlign w:val="bottom"/>
            <w:gridSpan w:val="2"/>
          </w:tcPr>
          <w:p>
            <w:pPr>
              <w:ind w:left="560"/>
              <w:spacing w:after="0"/>
              <w:rPr>
                <w:sz w:val="20"/>
                <w:szCs w:val="20"/>
                <w:color w:val="auto"/>
              </w:rPr>
            </w:pPr>
            <w:r>
              <w:rPr>
                <w:rFonts w:ascii="Arial" w:cs="Arial" w:eastAsia="Arial" w:hAnsi="Arial"/>
                <w:sz w:val="18"/>
                <w:szCs w:val="18"/>
                <w:color w:val="auto"/>
              </w:rPr>
              <w:t>Age 49</w:t>
            </w:r>
          </w:p>
        </w:tc>
        <w:tc>
          <w:tcPr>
            <w:tcW w:w="8260" w:type="dxa"/>
            <w:vAlign w:val="bottom"/>
            <w:gridSpan w:val="7"/>
          </w:tcPr>
          <w:p>
            <w:pPr>
              <w:ind w:left="680"/>
              <w:spacing w:after="0"/>
              <w:rPr>
                <w:sz w:val="20"/>
                <w:szCs w:val="20"/>
                <w:color w:val="auto"/>
              </w:rPr>
            </w:pPr>
            <w:r>
              <w:rPr>
                <w:rFonts w:ascii="Arial" w:cs="Arial" w:eastAsia="Arial" w:hAnsi="Arial"/>
                <w:sz w:val="18"/>
                <w:szCs w:val="18"/>
                <w:color w:val="auto"/>
              </w:rPr>
              <w:t>Prior to joining Silver Lake in 2000, Mr. Hao was an investment banker with Hambrecht &amp; Quist</w:t>
            </w:r>
          </w:p>
        </w:tc>
      </w:tr>
      <w:tr>
        <w:trPr>
          <w:trHeight w:val="203"/>
        </w:trPr>
        <w:tc>
          <w:tcPr>
            <w:tcW w:w="294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Director since</w:t>
            </w: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for 10 years, most recently serving as a Managing Director in the Technology Investment</w:t>
            </w:r>
          </w:p>
        </w:tc>
      </w:tr>
      <w:tr>
        <w:trPr>
          <w:trHeight w:val="203"/>
        </w:trPr>
        <w:tc>
          <w:tcPr>
            <w:tcW w:w="294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September 2005</w:t>
            </w: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Banking group. Mr. Hao has spent his career investing in and advising technology companies.</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w w:val="99"/>
              </w:rPr>
              <w:t>Mr. Hao also serves or has served on the board of directors of a number of Silver Lake portfolio</w:t>
            </w:r>
          </w:p>
        </w:tc>
      </w:tr>
      <w:tr>
        <w:trPr>
          <w:trHeight w:val="203"/>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60" w:type="dxa"/>
            <w:vAlign w:val="bottom"/>
            <w:gridSpan w:val="7"/>
          </w:tcPr>
          <w:p>
            <w:pPr>
              <w:ind w:left="680"/>
              <w:spacing w:after="0" w:line="202" w:lineRule="exact"/>
              <w:rPr>
                <w:sz w:val="20"/>
                <w:szCs w:val="20"/>
                <w:color w:val="auto"/>
              </w:rPr>
            </w:pPr>
            <w:r>
              <w:rPr>
                <w:rFonts w:ascii="Arial" w:cs="Arial" w:eastAsia="Arial" w:hAnsi="Arial"/>
                <w:sz w:val="18"/>
                <w:szCs w:val="18"/>
                <w:color w:val="auto"/>
              </w:rPr>
              <w:t>companies, including Symantec Corporation, where he also serves on its compensation and</w:t>
            </w:r>
          </w:p>
        </w:tc>
      </w:tr>
      <w:tr>
        <w:trPr>
          <w:trHeight w:val="217"/>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60" w:type="dxa"/>
            <w:vAlign w:val="bottom"/>
            <w:gridSpan w:val="7"/>
          </w:tcPr>
          <w:p>
            <w:pPr>
              <w:ind w:left="680"/>
              <w:spacing w:after="0"/>
              <w:rPr>
                <w:sz w:val="20"/>
                <w:szCs w:val="20"/>
                <w:color w:val="auto"/>
              </w:rPr>
            </w:pPr>
            <w:r>
              <w:rPr>
                <w:rFonts w:ascii="Arial" w:cs="Arial" w:eastAsia="Arial" w:hAnsi="Arial"/>
                <w:sz w:val="18"/>
                <w:szCs w:val="18"/>
                <w:color w:val="auto"/>
              </w:rPr>
              <w:t>leadership development</w:t>
            </w:r>
          </w:p>
        </w:tc>
      </w:tr>
      <w:tr>
        <w:trPr>
          <w:trHeight w:val="351"/>
        </w:trPr>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360" w:type="dxa"/>
            <w:vAlign w:val="bottom"/>
          </w:tcPr>
          <w:p>
            <w:pPr>
              <w:ind w:left="27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200"/>
          </w:cols>
          <w:pgMar w:left="240" w:top="446" w:right="45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0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8300" w:type="dxa"/>
            <w:vAlign w:val="bottom"/>
            <w:gridSpan w:val="3"/>
          </w:tcPr>
          <w:p>
            <w:pPr>
              <w:ind w:left="720"/>
              <w:spacing w:after="0"/>
              <w:rPr>
                <w:sz w:val="20"/>
                <w:szCs w:val="20"/>
                <w:color w:val="auto"/>
              </w:rPr>
            </w:pPr>
            <w:r>
              <w:rPr>
                <w:rFonts w:ascii="Arial" w:cs="Arial" w:eastAsia="Arial" w:hAnsi="Arial"/>
                <w:sz w:val="18"/>
                <w:szCs w:val="18"/>
                <w:color w:val="auto"/>
              </w:rPr>
              <w:t>committee. Mr. Hao’s qualifications to serve on our Board include his depth of experience in</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financial and investment matters and his familiarity with a broad range of companies in</w:t>
            </w:r>
          </w:p>
        </w:tc>
      </w:tr>
      <w:tr>
        <w:trPr>
          <w:trHeight w:val="217"/>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300" w:type="dxa"/>
            <w:vAlign w:val="bottom"/>
            <w:gridSpan w:val="3"/>
          </w:tcPr>
          <w:p>
            <w:pPr>
              <w:ind w:left="720"/>
              <w:spacing w:after="0"/>
              <w:rPr>
                <w:sz w:val="20"/>
                <w:szCs w:val="20"/>
                <w:color w:val="auto"/>
              </w:rPr>
            </w:pPr>
            <w:r>
              <w:rPr>
                <w:rFonts w:ascii="Arial" w:cs="Arial" w:eastAsia="Arial" w:hAnsi="Arial"/>
                <w:sz w:val="18"/>
                <w:szCs w:val="18"/>
                <w:color w:val="auto"/>
              </w:rPr>
              <w:t>technology industries.</w:t>
            </w:r>
          </w:p>
        </w:tc>
      </w:tr>
      <w:tr>
        <w:trPr>
          <w:trHeight w:val="404"/>
        </w:trPr>
        <w:tc>
          <w:tcPr>
            <w:tcW w:w="2900" w:type="dxa"/>
            <w:vAlign w:val="bottom"/>
            <w:gridSpan w:val="2"/>
          </w:tcPr>
          <w:p>
            <w:pPr>
              <w:ind w:left="20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Eddy W. Hartenstein</w:t>
            </w:r>
          </w:p>
        </w:tc>
        <w:tc>
          <w:tcPr>
            <w:tcW w:w="8300" w:type="dxa"/>
            <w:vAlign w:val="bottom"/>
            <w:gridSpan w:val="3"/>
          </w:tcPr>
          <w:p>
            <w:pPr>
              <w:ind w:left="720"/>
              <w:spacing w:after="0"/>
              <w:rPr>
                <w:sz w:val="20"/>
                <w:szCs w:val="20"/>
                <w:color w:val="auto"/>
              </w:rPr>
            </w:pPr>
            <w:r>
              <w:rPr>
                <w:rFonts w:ascii="Arial" w:cs="Arial" w:eastAsia="Arial" w:hAnsi="Arial"/>
                <w:sz w:val="18"/>
                <w:szCs w:val="18"/>
                <w:color w:val="auto"/>
              </w:rPr>
              <w:t>Mr. Hartenstein was the publisher and Chief Executive Officer of the Los Angeles Times from</w:t>
            </w:r>
          </w:p>
        </w:tc>
      </w:tr>
      <w:tr>
        <w:trPr>
          <w:trHeight w:val="203"/>
        </w:trPr>
        <w:tc>
          <w:tcPr>
            <w:tcW w:w="29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Age 67</w:t>
            </w: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August 2008 to August 2014. In addition, he served as co-President of the Tribune Company</w:t>
            </w:r>
          </w:p>
        </w:tc>
      </w:tr>
      <w:tr>
        <w:trPr>
          <w:trHeight w:val="203"/>
        </w:trPr>
        <w:tc>
          <w:tcPr>
            <w:tcW w:w="29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Director since</w:t>
            </w: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from October 2010 to May 2011 and as President and Chief Executive Officer from May 2011</w:t>
            </w:r>
          </w:p>
        </w:tc>
      </w:tr>
      <w:tr>
        <w:trPr>
          <w:trHeight w:val="203"/>
        </w:trPr>
        <w:tc>
          <w:tcPr>
            <w:tcW w:w="29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February 2016</w:t>
            </w: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9"/>
              </w:rPr>
              <w:t>to January 2013. Previously, Mr. Hartenstein was Vice Chairman and a member of the board of</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directors of The DIRECTV Group Inc. (formerly Hughes Electronics Corp.), from December</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2003 until his retirement in December 2004. He served as Chairman and Chief Executive</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Officer of DIRECTV Inc. from late 2001 through 2004 and as President from its inception in</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1990 to 2001. He currently serves as a director of tronc, Inc. (formerly known as Tribune</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Publishing Company); as lead independent director of the board of SIRIUS XM Holdings Inc.,</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where he also serves on the audit committee; and as a director of TiVo Corporation, where he</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also serves on the compensation and strategic committees. Mr. Hartenstein also served as a</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director of BRCM from June 2008 through January 2016; SanDisk Corporation from 2005 to</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May 2016; Rovi Corporation from September 2015 until its acquisition by TiVo in September</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2016; and as a director of Yahoo, Inc. from April 2016 to June 2017. Mr. Hartenstein’s</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qualifications to serve on our Board include his business leadership and extensive senior</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management experience, including successfully creating and entering new markets, as well as</w:t>
            </w:r>
          </w:p>
        </w:tc>
      </w:tr>
      <w:tr>
        <w:trPr>
          <w:trHeight w:val="217"/>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300" w:type="dxa"/>
            <w:vAlign w:val="bottom"/>
            <w:gridSpan w:val="3"/>
          </w:tcPr>
          <w:p>
            <w:pPr>
              <w:ind w:left="720"/>
              <w:spacing w:after="0"/>
              <w:rPr>
                <w:sz w:val="20"/>
                <w:szCs w:val="20"/>
                <w:color w:val="auto"/>
              </w:rPr>
            </w:pPr>
            <w:r>
              <w:rPr>
                <w:rFonts w:ascii="Arial" w:cs="Arial" w:eastAsia="Arial" w:hAnsi="Arial"/>
                <w:sz w:val="18"/>
                <w:szCs w:val="18"/>
                <w:color w:val="auto"/>
              </w:rPr>
              <w:t>his considerable public company directorial and governance experience.</w:t>
            </w:r>
          </w:p>
        </w:tc>
      </w:tr>
      <w:tr>
        <w:trPr>
          <w:trHeight w:val="404"/>
        </w:trPr>
        <w:tc>
          <w:tcPr>
            <w:tcW w:w="2900" w:type="dxa"/>
            <w:vAlign w:val="bottom"/>
            <w:gridSpan w:val="2"/>
          </w:tcPr>
          <w:p>
            <w:pPr>
              <w:ind w:left="200"/>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color w:val="auto"/>
              </w:rPr>
              <w:t>Check Kian Low</w:t>
            </w:r>
          </w:p>
        </w:tc>
        <w:tc>
          <w:tcPr>
            <w:tcW w:w="8300" w:type="dxa"/>
            <w:vAlign w:val="bottom"/>
            <w:gridSpan w:val="3"/>
          </w:tcPr>
          <w:p>
            <w:pPr>
              <w:ind w:left="720"/>
              <w:spacing w:after="0"/>
              <w:rPr>
                <w:sz w:val="20"/>
                <w:szCs w:val="20"/>
                <w:color w:val="auto"/>
              </w:rPr>
            </w:pPr>
            <w:r>
              <w:rPr>
                <w:rFonts w:ascii="Arial" w:cs="Arial" w:eastAsia="Arial" w:hAnsi="Arial"/>
                <w:sz w:val="18"/>
                <w:szCs w:val="18"/>
                <w:color w:val="auto"/>
              </w:rPr>
              <w:t>Mr. Low was one of the founding partners and is a director of NewSmith Capital Partners LLP,</w:t>
            </w:r>
          </w:p>
        </w:tc>
      </w:tr>
      <w:tr>
        <w:trPr>
          <w:trHeight w:val="203"/>
        </w:trPr>
        <w:tc>
          <w:tcPr>
            <w:tcW w:w="29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Age 58</w:t>
            </w: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an independent partnership providing corporate finance advice and investment management</w:t>
            </w:r>
          </w:p>
        </w:tc>
      </w:tr>
      <w:tr>
        <w:trPr>
          <w:trHeight w:val="203"/>
        </w:trPr>
        <w:tc>
          <w:tcPr>
            <w:tcW w:w="29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Director since</w:t>
            </w: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services, for which he manages the Asia Pacific offices. He is also an owner, and has served</w:t>
            </w:r>
          </w:p>
        </w:tc>
      </w:tr>
      <w:tr>
        <w:trPr>
          <w:trHeight w:val="203"/>
        </w:trPr>
        <w:tc>
          <w:tcPr>
            <w:tcW w:w="29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December 2016</w:t>
            </w: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as a director of, Cluny Capital Limited (BVI) since February 2007. Prior to founding NewSmith</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in 2003, Mr. Low served as Senior Vice-President and Member of the Executive Management</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9"/>
              </w:rPr>
              <w:t>Committee of Merrill Lynch &amp; Co., as well as its Chairman for the Asia Pacific Region, where he</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held various positions since the start of his employment with that firm in October 1995. Mr. Low</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serves as the lead independent director of Singapore Telecommunications Limited, a public</w:t>
            </w:r>
          </w:p>
        </w:tc>
      </w:tr>
      <w:tr>
        <w:trPr>
          <w:trHeight w:val="176"/>
        </w:trPr>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300" w:type="dxa"/>
            <w:vAlign w:val="bottom"/>
            <w:gridSpan w:val="3"/>
          </w:tcPr>
          <w:p>
            <w:pPr>
              <w:ind w:left="720"/>
              <w:spacing w:after="0" w:line="176" w:lineRule="exact"/>
              <w:rPr>
                <w:sz w:val="20"/>
                <w:szCs w:val="20"/>
                <w:color w:val="auto"/>
              </w:rPr>
            </w:pPr>
            <w:r>
              <w:rPr>
                <w:rFonts w:ascii="Arial" w:cs="Arial" w:eastAsia="Arial" w:hAnsi="Arial"/>
                <w:sz w:val="18"/>
                <w:szCs w:val="18"/>
                <w:color w:val="auto"/>
              </w:rPr>
              <w:t>company listed on the Singapore Exchange Securities Trading Limited (“SGX-ST”), where he</w:t>
            </w:r>
          </w:p>
        </w:tc>
      </w:tr>
      <w:tr>
        <w:trPr>
          <w:trHeight w:val="20"/>
        </w:trPr>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300" w:type="dxa"/>
            <w:vAlign w:val="bottom"/>
            <w:gridSpan w:val="3"/>
          </w:tcPr>
          <w:p>
            <w:pPr>
              <w:ind w:left="720"/>
              <w:spacing w:after="0"/>
              <w:rPr>
                <w:sz w:val="20"/>
                <w:szCs w:val="20"/>
                <w:color w:val="auto"/>
              </w:rPr>
            </w:pPr>
            <w:r>
              <w:rPr>
                <w:rFonts w:ascii="Arial" w:cs="Arial" w:eastAsia="Arial" w:hAnsi="Arial"/>
                <w:sz w:val="18"/>
                <w:szCs w:val="18"/>
                <w:color w:val="auto"/>
              </w:rPr>
              <w:t>also serves on the corporate governance &amp; nominations and finance &amp; investment</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committees. He also serves on the board of directors of a number of private companies and is</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a trustee of the Singapore London School of Economics Trust and the Nanyang Technological</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University. Mr. Low previously served as a director of the following public companies listed on</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the SGX-ST: Neptune Orient Lines Limited from April 2011 to June 2016, Fibrechem</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Technologies Limited from January 2005 to September 2012 and Singapore Exchange Limited</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from July 2000 to October 2011. Mr. Low’s qualifications to serve on our Board include his</w:t>
            </w:r>
          </w:p>
        </w:tc>
      </w:tr>
      <w:tr>
        <w:trPr>
          <w:trHeight w:val="203"/>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3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considerable public company directorial experience with Singapore-based companies, as well</w:t>
            </w:r>
          </w:p>
        </w:tc>
      </w:tr>
      <w:tr>
        <w:trPr>
          <w:trHeight w:val="217"/>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300" w:type="dxa"/>
            <w:vAlign w:val="bottom"/>
            <w:gridSpan w:val="3"/>
          </w:tcPr>
          <w:p>
            <w:pPr>
              <w:ind w:left="720"/>
              <w:spacing w:after="0"/>
              <w:rPr>
                <w:sz w:val="20"/>
                <w:szCs w:val="20"/>
                <w:color w:val="auto"/>
              </w:rPr>
            </w:pPr>
            <w:r>
              <w:rPr>
                <w:rFonts w:ascii="Arial" w:cs="Arial" w:eastAsia="Arial" w:hAnsi="Arial"/>
                <w:sz w:val="18"/>
                <w:szCs w:val="18"/>
                <w:color w:val="auto"/>
              </w:rPr>
              <w:t>as his considerable executive management and financial and investment experience.</w:t>
            </w:r>
          </w:p>
        </w:tc>
      </w:tr>
      <w:tr>
        <w:trPr>
          <w:trHeight w:val="351"/>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80" w:type="dxa"/>
            <w:vAlign w:val="bottom"/>
          </w:tcPr>
          <w:p>
            <w:pPr>
              <w:ind w:left="276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00"/>
          </w:cols>
          <w:pgMar w:left="240" w:top="446" w:right="45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00" w:type="dxa"/>
            <w:vAlign w:val="bottom"/>
          </w:tcPr>
          <w:p>
            <w:pPr>
              <w:spacing w:after="0"/>
              <w:rPr>
                <w:sz w:val="17"/>
                <w:szCs w:val="17"/>
                <w:color w:val="auto"/>
              </w:rPr>
            </w:pPr>
          </w:p>
        </w:tc>
      </w:tr>
      <w:tr>
        <w:trPr>
          <w:trHeight w:val="519"/>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color w:val="auto"/>
              </w:rPr>
              <w:t>Donald Macleod</w:t>
            </w:r>
          </w:p>
        </w:tc>
        <w:tc>
          <w:tcPr>
            <w:tcW w:w="8220" w:type="dxa"/>
            <w:vAlign w:val="bottom"/>
            <w:gridSpan w:val="3"/>
          </w:tcPr>
          <w:p>
            <w:pPr>
              <w:ind w:left="620"/>
              <w:spacing w:after="0"/>
              <w:rPr>
                <w:sz w:val="20"/>
                <w:szCs w:val="20"/>
                <w:color w:val="auto"/>
              </w:rPr>
            </w:pPr>
            <w:r>
              <w:rPr>
                <w:rFonts w:ascii="Arial" w:cs="Arial" w:eastAsia="Arial" w:hAnsi="Arial"/>
                <w:sz w:val="18"/>
                <w:szCs w:val="18"/>
                <w:color w:val="auto"/>
              </w:rPr>
              <w:t>Mr. Macleod served as President and Chief Executive Officer of National Semiconductor</w:t>
            </w:r>
          </w:p>
        </w:tc>
      </w:tr>
      <w:tr>
        <w:trPr>
          <w:trHeight w:val="176"/>
        </w:trPr>
        <w:tc>
          <w:tcPr>
            <w:tcW w:w="3000" w:type="dxa"/>
            <w:vAlign w:val="bottom"/>
            <w:gridSpan w:val="2"/>
          </w:tcPr>
          <w:p>
            <w:pPr>
              <w:ind w:left="560"/>
              <w:spacing w:after="0" w:line="176" w:lineRule="exact"/>
              <w:rPr>
                <w:sz w:val="20"/>
                <w:szCs w:val="20"/>
                <w:color w:val="auto"/>
              </w:rPr>
            </w:pPr>
            <w:r>
              <w:rPr>
                <w:rFonts w:ascii="Arial" w:cs="Arial" w:eastAsia="Arial" w:hAnsi="Arial"/>
                <w:sz w:val="18"/>
                <w:szCs w:val="18"/>
                <w:color w:val="auto"/>
              </w:rPr>
              <w:t>Age 69</w:t>
            </w:r>
          </w:p>
        </w:tc>
        <w:tc>
          <w:tcPr>
            <w:tcW w:w="8220" w:type="dxa"/>
            <w:vAlign w:val="bottom"/>
            <w:gridSpan w:val="3"/>
          </w:tcPr>
          <w:p>
            <w:pPr>
              <w:ind w:left="620"/>
              <w:spacing w:after="0" w:line="176" w:lineRule="exact"/>
              <w:rPr>
                <w:sz w:val="20"/>
                <w:szCs w:val="20"/>
                <w:color w:val="auto"/>
              </w:rPr>
            </w:pPr>
            <w:r>
              <w:rPr>
                <w:rFonts w:ascii="Arial" w:cs="Arial" w:eastAsia="Arial" w:hAnsi="Arial"/>
                <w:sz w:val="18"/>
                <w:szCs w:val="18"/>
                <w:color w:val="auto"/>
              </w:rPr>
              <w:t>Corporation (“NSC”) from November 2009 to September 2011, when NSC was acquired by</w:t>
            </w:r>
          </w:p>
        </w:tc>
      </w:tr>
      <w:tr>
        <w:trPr>
          <w:trHeight w:val="20"/>
        </w:trPr>
        <w:tc>
          <w:tcPr>
            <w:tcW w:w="30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09"/>
        </w:trPr>
        <w:tc>
          <w:tcPr>
            <w:tcW w:w="3000" w:type="dxa"/>
            <w:vAlign w:val="bottom"/>
            <w:gridSpan w:val="2"/>
          </w:tcPr>
          <w:p>
            <w:pPr>
              <w:ind w:left="560"/>
              <w:spacing w:after="0"/>
              <w:rPr>
                <w:sz w:val="20"/>
                <w:szCs w:val="20"/>
                <w:color w:val="auto"/>
              </w:rPr>
            </w:pPr>
            <w:r>
              <w:rPr>
                <w:rFonts w:ascii="Arial" w:cs="Arial" w:eastAsia="Arial" w:hAnsi="Arial"/>
                <w:sz w:val="18"/>
                <w:szCs w:val="18"/>
                <w:color w:val="auto"/>
              </w:rPr>
              <w:t>Director since</w:t>
            </w:r>
          </w:p>
        </w:tc>
        <w:tc>
          <w:tcPr>
            <w:tcW w:w="8220" w:type="dxa"/>
            <w:vAlign w:val="bottom"/>
            <w:gridSpan w:val="3"/>
          </w:tcPr>
          <w:p>
            <w:pPr>
              <w:ind w:left="620"/>
              <w:spacing w:after="0"/>
              <w:rPr>
                <w:sz w:val="20"/>
                <w:szCs w:val="20"/>
                <w:color w:val="auto"/>
              </w:rPr>
            </w:pPr>
            <w:r>
              <w:rPr>
                <w:rFonts w:ascii="Arial" w:cs="Arial" w:eastAsia="Arial" w:hAnsi="Arial"/>
                <w:sz w:val="18"/>
                <w:szCs w:val="18"/>
                <w:color w:val="auto"/>
              </w:rPr>
              <w:t>Texas Instruments Incorporated. He served as its President and Chief Operating Officer from</w:t>
            </w:r>
          </w:p>
        </w:tc>
      </w:tr>
      <w:tr>
        <w:trPr>
          <w:trHeight w:val="203"/>
        </w:trPr>
        <w:tc>
          <w:tcPr>
            <w:tcW w:w="3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November 2007</w:t>
            </w: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the beginning of 2005 until November 2009, and before that he held various other executive</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w w:val="99"/>
              </w:rPr>
              <w:t>and senior management positions at the company including Executive Vice President and Chief</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Operating Officer and Executive Vice President, Finance and Chief Financial Officer.</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Mr. Macleod serves as a director of Knowles Corporation, where he also serves on its</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nominating &amp; governance and compensation committees. Mr. Macleod also serves on the</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board of directors of a number of private companies and business organizations. Mr. Macleod</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served as the Chairman of the board of directors of NSC from May 2010 to September 2011</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and as the Chairman of the board of directors of Intersil Corporation from December 2012 until</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its acquisition in February 2017 by Renesas Electronics Corporation. Mr. Macleod’s</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qualifications to serve on our Board include his more than 30 years of experience in senior</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management and executive positions in the semiconductor industry, both in Europe and in the</w:t>
            </w:r>
          </w:p>
        </w:tc>
      </w:tr>
      <w:tr>
        <w:trPr>
          <w:trHeight w:val="217"/>
        </w:trPr>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20" w:type="dxa"/>
            <w:vAlign w:val="bottom"/>
            <w:gridSpan w:val="3"/>
          </w:tcPr>
          <w:p>
            <w:pPr>
              <w:ind w:left="620"/>
              <w:spacing w:after="0"/>
              <w:rPr>
                <w:sz w:val="20"/>
                <w:szCs w:val="20"/>
                <w:color w:val="auto"/>
              </w:rPr>
            </w:pPr>
            <w:r>
              <w:rPr>
                <w:rFonts w:ascii="Arial" w:cs="Arial" w:eastAsia="Arial" w:hAnsi="Arial"/>
                <w:sz w:val="18"/>
                <w:szCs w:val="18"/>
                <w:color w:val="auto"/>
              </w:rPr>
              <w:t>United States, and his accounting and finance qualifications and experience.</w:t>
            </w:r>
          </w:p>
        </w:tc>
      </w:tr>
      <w:tr>
        <w:trPr>
          <w:trHeight w:val="404"/>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Peter J. Marks</w:t>
            </w:r>
          </w:p>
        </w:tc>
        <w:tc>
          <w:tcPr>
            <w:tcW w:w="8220" w:type="dxa"/>
            <w:vAlign w:val="bottom"/>
            <w:gridSpan w:val="3"/>
          </w:tcPr>
          <w:p>
            <w:pPr>
              <w:ind w:left="620"/>
              <w:spacing w:after="0"/>
              <w:rPr>
                <w:sz w:val="20"/>
                <w:szCs w:val="20"/>
                <w:color w:val="auto"/>
              </w:rPr>
            </w:pPr>
            <w:r>
              <w:rPr>
                <w:rFonts w:ascii="Arial" w:cs="Arial" w:eastAsia="Arial" w:hAnsi="Arial"/>
                <w:sz w:val="18"/>
                <w:szCs w:val="18"/>
                <w:color w:val="auto"/>
              </w:rPr>
              <w:t>Mr. Marks is the Chief Executive Officer of Executive Consultant, which he founded in 2013,</w:t>
            </w:r>
          </w:p>
        </w:tc>
      </w:tr>
      <w:tr>
        <w:trPr>
          <w:trHeight w:val="203"/>
        </w:trPr>
        <w:tc>
          <w:tcPr>
            <w:tcW w:w="3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Age 64</w:t>
            </w: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where he advises business leaders on leadership. Prior to this, Mr. Marks served in various</w:t>
            </w:r>
          </w:p>
        </w:tc>
      </w:tr>
      <w:tr>
        <w:trPr>
          <w:trHeight w:val="203"/>
        </w:trPr>
        <w:tc>
          <w:tcPr>
            <w:tcW w:w="3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Director since</w:t>
            </w: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senior management roles with Robert Bosch GmbH, which he originally joined in 1977 and</w:t>
            </w:r>
          </w:p>
        </w:tc>
      </w:tr>
      <w:tr>
        <w:trPr>
          <w:trHeight w:val="203"/>
        </w:trPr>
        <w:tc>
          <w:tcPr>
            <w:tcW w:w="3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December 2013</w:t>
            </w: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where he remained until December 2011. Most recently, from 2006 until his departure in</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December 2011, Mr. Marks served as Chairman, President and Chief Executive Officer of</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Robert Bosch LLC, where he managed all of its business sectors in the Americas, and as a</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member of Board of Management of Robert Bosch GmbH, with responsibility for worldwide</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coordination for manufacturing and capital investment. Prior to that he also served as a senior</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executive of Robert Bosch GmbH responsible for various divisions: automotive electronics,</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semiconductors, body electronics/electric drivers and energy systems. Mr. Marks’ qualifications</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to serve on our Board include his extensive leadership experience in senior management and</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executive positions with a large, multinational organization, as well as his familiarity with</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operational and strategic issues relating to technology focused companies with international</w:t>
            </w:r>
          </w:p>
        </w:tc>
      </w:tr>
      <w:tr>
        <w:trPr>
          <w:trHeight w:val="217"/>
        </w:trPr>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20" w:type="dxa"/>
            <w:vAlign w:val="bottom"/>
            <w:gridSpan w:val="3"/>
          </w:tcPr>
          <w:p>
            <w:pPr>
              <w:ind w:left="620"/>
              <w:spacing w:after="0"/>
              <w:rPr>
                <w:sz w:val="20"/>
                <w:szCs w:val="20"/>
                <w:color w:val="auto"/>
              </w:rPr>
            </w:pPr>
            <w:r>
              <w:rPr>
                <w:rFonts w:ascii="Arial" w:cs="Arial" w:eastAsia="Arial" w:hAnsi="Arial"/>
                <w:sz w:val="18"/>
                <w:szCs w:val="18"/>
                <w:color w:val="auto"/>
              </w:rPr>
              <w:t>operations.</w:t>
            </w:r>
          </w:p>
        </w:tc>
      </w:tr>
      <w:tr>
        <w:trPr>
          <w:trHeight w:val="404"/>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color w:val="auto"/>
              </w:rPr>
              <w:t>Henry Samueli, Ph.D.</w:t>
            </w:r>
          </w:p>
        </w:tc>
        <w:tc>
          <w:tcPr>
            <w:tcW w:w="8220" w:type="dxa"/>
            <w:vAlign w:val="bottom"/>
            <w:gridSpan w:val="3"/>
          </w:tcPr>
          <w:p>
            <w:pPr>
              <w:ind w:left="620"/>
              <w:spacing w:after="0"/>
              <w:rPr>
                <w:sz w:val="20"/>
                <w:szCs w:val="20"/>
                <w:color w:val="auto"/>
              </w:rPr>
            </w:pPr>
            <w:r>
              <w:rPr>
                <w:rFonts w:ascii="Arial" w:cs="Arial" w:eastAsia="Arial" w:hAnsi="Arial"/>
                <w:sz w:val="18"/>
                <w:szCs w:val="18"/>
                <w:color w:val="auto"/>
              </w:rPr>
              <w:t>Dr. Samueli has served as our Chief Technical Officer since February 1, 2016. He was a</w:t>
            </w:r>
          </w:p>
        </w:tc>
      </w:tr>
      <w:tr>
        <w:trPr>
          <w:trHeight w:val="203"/>
        </w:trPr>
        <w:tc>
          <w:tcPr>
            <w:tcW w:w="3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Age 63</w:t>
            </w: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co-founder of BRCM and served as its Chief Technical Officer from its inception in 1991 to May</w:t>
            </w:r>
          </w:p>
        </w:tc>
      </w:tr>
      <w:tr>
        <w:trPr>
          <w:trHeight w:val="203"/>
        </w:trPr>
        <w:tc>
          <w:tcPr>
            <w:tcW w:w="3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Chief Technical Officer</w:t>
            </w: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2008 and from December 2009 through January 2016. Dr. Samueli also served as BRCM’s</w:t>
            </w:r>
          </w:p>
        </w:tc>
      </w:tr>
      <w:tr>
        <w:trPr>
          <w:trHeight w:val="203"/>
        </w:trPr>
        <w:tc>
          <w:tcPr>
            <w:tcW w:w="3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and Director since</w:t>
            </w: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Vice President of Research and Development from 1991 to May 2003 and as a technology</w:t>
            </w:r>
          </w:p>
        </w:tc>
      </w:tr>
      <w:tr>
        <w:trPr>
          <w:trHeight w:val="203"/>
        </w:trPr>
        <w:tc>
          <w:tcPr>
            <w:tcW w:w="3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February 2016</w:t>
            </w: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advisor from May 2008 to December 2009. Dr. Samueli has also been a Professor in the</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Electrical Engineering Department at the University of California, Los Angeles since 1985 (on</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leave of absence since 1995) and a Distinguished Adjunct Professor in the Electrical</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Engineering and Computer Science Department of the University of California, Irvine since</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2003. Prior to BRCM, Dr. Samueli was the Chief Scientist and one of the founders of PairGain</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Technologies. From 1980 until 1985, he was employed in various engineering management</w:t>
            </w:r>
          </w:p>
        </w:tc>
      </w:tr>
      <w:tr>
        <w:trPr>
          <w:trHeight w:val="203"/>
        </w:trPr>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20" w:type="dxa"/>
            <w:vAlign w:val="bottom"/>
            <w:gridSpan w:val="3"/>
          </w:tcPr>
          <w:p>
            <w:pPr>
              <w:ind w:left="620"/>
              <w:spacing w:after="0" w:line="202" w:lineRule="exact"/>
              <w:rPr>
                <w:sz w:val="20"/>
                <w:szCs w:val="20"/>
                <w:color w:val="auto"/>
              </w:rPr>
            </w:pPr>
            <w:r>
              <w:rPr>
                <w:rFonts w:ascii="Arial" w:cs="Arial" w:eastAsia="Arial" w:hAnsi="Arial"/>
                <w:sz w:val="18"/>
                <w:szCs w:val="18"/>
                <w:color w:val="auto"/>
                <w:w w:val="99"/>
              </w:rPr>
              <w:t>positions in the Electronics and Technology Division of TRW, Inc. Dr. Samueli is a Fellow of the</w:t>
            </w:r>
          </w:p>
        </w:tc>
      </w:tr>
      <w:tr>
        <w:trPr>
          <w:trHeight w:val="217"/>
        </w:trPr>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20" w:type="dxa"/>
            <w:vAlign w:val="bottom"/>
            <w:gridSpan w:val="3"/>
          </w:tcPr>
          <w:p>
            <w:pPr>
              <w:ind w:left="620"/>
              <w:spacing w:after="0"/>
              <w:rPr>
                <w:sz w:val="20"/>
                <w:szCs w:val="20"/>
                <w:color w:val="auto"/>
              </w:rPr>
            </w:pPr>
            <w:r>
              <w:rPr>
                <w:rFonts w:ascii="Arial" w:cs="Arial" w:eastAsia="Arial" w:hAnsi="Arial"/>
                <w:sz w:val="18"/>
                <w:szCs w:val="18"/>
                <w:color w:val="auto"/>
              </w:rPr>
              <w:t>Institute of Electrical and</w:t>
            </w:r>
          </w:p>
        </w:tc>
      </w:tr>
      <w:tr>
        <w:trPr>
          <w:trHeight w:val="351"/>
        </w:trPr>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20" w:type="dxa"/>
            <w:vAlign w:val="bottom"/>
            <w:gridSpan w:val="3"/>
          </w:tcPr>
          <w:p>
            <w:pPr>
              <w:ind w:left="266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20"/>
          </w:cols>
          <w:pgMar w:left="240" w:top="446"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20" w:right="40"/>
        <w:spacing w:after="0" w:line="236" w:lineRule="auto"/>
        <w:rPr>
          <w:sz w:val="20"/>
          <w:szCs w:val="20"/>
          <w:color w:val="auto"/>
        </w:rPr>
      </w:pPr>
      <w:r>
        <w:rPr>
          <w:rFonts w:ascii="Arial" w:cs="Arial" w:eastAsia="Arial" w:hAnsi="Arial"/>
          <w:sz w:val="18"/>
          <w:szCs w:val="18"/>
          <w:color w:val="auto"/>
        </w:rPr>
        <w:t>Electronics Engineers (IEEE), a Fellow of the American Academy of Arts and Sciences, and a Member of the National Academy of Engineering. Dr. Samueli served as Chairman or Co-Chairman of the board of directors of BRCM from 1991 to May 2008 and from May 2011 to January 2016. He received a B.S., M.S. and Ph.D. in Electrical Engineering from the University of California, Los Angeles. He is a named inventor in 75 U.S. patents. Dr. Samueli’s qualifications to serve on our Board include his over 35 years of advanced engineering and leadership experience in the fields of communications systems and semiconductors. In addition, his co-founding of BRCM and his service as its Chief Technical Officer provide unique insights into, and understanding of, our operations, technologies and industry.</w:t>
      </w:r>
    </w:p>
    <w:p>
      <w:pPr>
        <w:spacing w:after="0" w:line="153"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Mr. Low is our Singapore resident director. Due to the Singapore Companies Act requirement that we have at least one director who ordinarily resides in Singapore in office at all times, in the event that Mr. Low is not elected at the 2018 AGM, he will continue to serve as a director after the 2018 AGM until his qualifying successor (i.e., a Singapore resident director) is appointed.</w:t>
      </w:r>
    </w:p>
    <w:p>
      <w:pPr>
        <w:spacing w:after="0" w:line="149" w:lineRule="exact"/>
        <w:rPr>
          <w:sz w:val="20"/>
          <w:szCs w:val="20"/>
          <w:color w:val="auto"/>
        </w:rPr>
      </w:pPr>
    </w:p>
    <w:p>
      <w:pPr>
        <w:ind w:left="200" w:firstLine="551"/>
        <w:spacing w:after="0" w:line="253" w:lineRule="auto"/>
        <w:rPr>
          <w:sz w:val="20"/>
          <w:szCs w:val="20"/>
          <w:color w:val="auto"/>
        </w:rPr>
      </w:pPr>
      <w:r>
        <w:rPr>
          <w:rFonts w:ascii="Arial" w:cs="Arial" w:eastAsia="Arial" w:hAnsi="Arial"/>
          <w:sz w:val="17"/>
          <w:szCs w:val="17"/>
          <w:color w:val="auto"/>
        </w:rPr>
        <w:t>In the event that a director resigns from our Board or otherwise becomes unwilling or unable to serve after the mailing of this Proxy Statement but before the 2018 AGM, our intention would be to make a public announcement of such resignation and either reduce the size of our Board or appoint a substitute nominee in accordance with our Constitution. If we reduce the size of our Board, this would reduce the number of director nominees to be elected at the 2018 AGM. Votes received in respect of such director would not be counted in such circumstances. In the event that we instead propose to elect a different director nominee at the 2018 AGM to fill any such vacancy, it is intended that the shares represented by the proxy will be voted for such substitute nominee as may be designated by our Board.</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136" w:lineRule="exact"/>
        <w:rPr>
          <w:sz w:val="20"/>
          <w:szCs w:val="20"/>
          <w:color w:val="auto"/>
        </w:rPr>
      </w:pPr>
    </w:p>
    <w:p>
      <w:pPr>
        <w:ind w:left="200" w:right="260" w:firstLine="551"/>
        <w:spacing w:after="0" w:line="271" w:lineRule="auto"/>
        <w:rPr>
          <w:sz w:val="20"/>
          <w:szCs w:val="20"/>
          <w:color w:val="auto"/>
        </w:rPr>
      </w:pPr>
      <w:r>
        <w:rPr>
          <w:rFonts w:ascii="Arial" w:cs="Arial" w:eastAsia="Arial" w:hAnsi="Arial"/>
          <w:sz w:val="18"/>
          <w:szCs w:val="18"/>
          <w:b w:val="1"/>
          <w:bCs w:val="1"/>
          <w:color w:val="auto"/>
        </w:rPr>
        <w:t>Our Board recommends a vote FOR the election of each of the director nominees in Proposals 1(a) to (j) listed above to our Board.</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99"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Our Constitution gives our Board general powers to manage our business. Our Board oversees and provides policy guidance on our strategic and business planning processes, oversees the conduct of our business by senior management and is principally responsible for the succession planning for our key executives, including our President and Chief Executive Officer.</w:t>
      </w:r>
    </w:p>
    <w:p>
      <w:pPr>
        <w:spacing w:after="0" w:line="149" w:lineRule="exact"/>
        <w:rPr>
          <w:sz w:val="20"/>
          <w:szCs w:val="20"/>
          <w:color w:val="auto"/>
        </w:rPr>
      </w:pPr>
    </w:p>
    <w:p>
      <w:pPr>
        <w:ind w:left="200" w:right="420" w:firstLine="551"/>
        <w:spacing w:after="0" w:line="239" w:lineRule="auto"/>
        <w:rPr>
          <w:sz w:val="20"/>
          <w:szCs w:val="20"/>
          <w:color w:val="auto"/>
        </w:rPr>
      </w:pPr>
      <w:r>
        <w:rPr>
          <w:rFonts w:ascii="Arial" w:cs="Arial" w:eastAsia="Arial" w:hAnsi="Arial"/>
          <w:sz w:val="18"/>
          <w:szCs w:val="18"/>
          <w:color w:val="auto"/>
        </w:rPr>
        <w:t>Our Board held 6 meetings during the fiscal year ended October 29, 2017 (“</w:t>
      </w:r>
      <w:r>
        <w:rPr>
          <w:rFonts w:ascii="Arial" w:cs="Arial" w:eastAsia="Arial" w:hAnsi="Arial"/>
          <w:sz w:val="18"/>
          <w:szCs w:val="18"/>
          <w:u w:val="single" w:color="auto"/>
          <w:color w:val="auto"/>
        </w:rPr>
        <w:t>Fiscal Year 2017</w:t>
      </w:r>
      <w:r>
        <w:rPr>
          <w:rFonts w:ascii="Arial" w:cs="Arial" w:eastAsia="Arial" w:hAnsi="Arial"/>
          <w:sz w:val="18"/>
          <w:szCs w:val="18"/>
          <w:color w:val="auto"/>
        </w:rPr>
        <w:t>”). During Fiscal Year 2017, each director attended at least 75% of the aggregate number of meetings of our Board and all committees of our Board on which he or she served, counting only those meetings during which such person was a member of our Board and of the relevant committee(s). Our independent directors met at regularly scheduled executive sessions without management participation.</w:t>
      </w:r>
    </w:p>
    <w:p>
      <w:pPr>
        <w:spacing w:after="0" w:line="148"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Our Board has adopted a policy that encourages each director to attend the annual general meetings of our shareholders. All of our directors then serving attended our 2017 Annual General Meeting of Shareholders (“</w:t>
      </w:r>
      <w:r>
        <w:rPr>
          <w:rFonts w:ascii="Arial" w:cs="Arial" w:eastAsia="Arial" w:hAnsi="Arial"/>
          <w:sz w:val="18"/>
          <w:szCs w:val="18"/>
          <w:u w:val="single" w:color="auto"/>
          <w:color w:val="auto"/>
        </w:rPr>
        <w:t>2017 AGM</w:t>
      </w:r>
      <w:r>
        <w:rPr>
          <w:rFonts w:ascii="Arial" w:cs="Arial" w:eastAsia="Arial" w:hAnsi="Arial"/>
          <w:sz w:val="18"/>
          <w:szCs w:val="18"/>
          <w:color w:val="auto"/>
        </w:rPr>
        <w: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Our Board annually reviews the independence of each director and nominee for director and considers whether any director or nominee for director has a material relationship with us that could compromise his or her ability to exercise independent judgment in carrying out his or her responsibilities. Our Board has made the determination that transactions or relationships between us and an entity where a director or nominee for director serves as a non-employee director and/or is the beneficial owner, directly or indirectly of less than 10% of such entity, or where a director or nominee for director serves on a non-employee advisory board of, or in a non-employee advisory capacity to, such an entity, are presumed immaterial for the purposes of assessing a director’s independence.</w:t>
      </w:r>
    </w:p>
    <w:p>
      <w:pPr>
        <w:spacing w:after="0" w:line="151"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reviewing the directors’ independence, with respect to Mr. Hao, our Board considered that (i) from time to time, representatives of Silver Lake have provided advice and assistance to us in connection with obtaining debt financing for acquisition transactions, for which no payment is made and (ii) Silver Lake offered to provide up to $5 billion in convertible debt financing in connection with our proposed acquisition of Qualcomm Incorporated (“</w:t>
      </w:r>
      <w:r>
        <w:rPr>
          <w:rFonts w:ascii="Arial" w:cs="Arial" w:eastAsia="Arial" w:hAnsi="Arial"/>
          <w:sz w:val="18"/>
          <w:szCs w:val="18"/>
          <w:u w:val="single" w:color="auto"/>
          <w:color w:val="auto"/>
        </w:rPr>
        <w:t>Qualcomm</w:t>
      </w:r>
      <w:r>
        <w:rPr>
          <w:rFonts w:ascii="Arial" w:cs="Arial" w:eastAsia="Arial" w:hAnsi="Arial"/>
          <w:sz w:val="18"/>
          <w:szCs w:val="18"/>
          <w:color w:val="auto"/>
        </w:rPr>
        <w:t>”). Our Board also considered our commercial relationships with Silver Lake portfolio companies (a) of which Mr. Hao serves as a director and/or (b) in which Silver Lake has an ownership interest of 10% or more (and in each such case, Mr. Hao’s indirect personal interest is less than 1%). Transactions between each of these companies and Broadcom represented less than 5% of Broadcom’s and the other entity’s revenue in their respective 2016 and 2017 fiscal years.</w:t>
      </w:r>
    </w:p>
    <w:p>
      <w:pPr>
        <w:spacing w:after="0" w:line="149"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As a result of its review, our Board has determined that Messrs. Diller, Eggebrecht, Hao, Hartenstein, Low, Macleod and Marks and Ms. Delly, representing eight of our 10 director nominees are currently “independent directors” as defined under the applicable rules and regulations of the SEC and the Nasdaq Stock Market (“</w:t>
      </w:r>
      <w:r>
        <w:rPr>
          <w:rFonts w:ascii="Arial" w:cs="Arial" w:eastAsia="Arial" w:hAnsi="Arial"/>
          <w:sz w:val="18"/>
          <w:szCs w:val="18"/>
          <w:u w:val="single" w:color="auto"/>
          <w:color w:val="auto"/>
        </w:rPr>
        <w:t>Nasdaq</w:t>
      </w:r>
      <w:r>
        <w:rPr>
          <w:rFonts w:ascii="Arial" w:cs="Arial" w:eastAsia="Arial" w:hAnsi="Arial"/>
          <w:sz w:val="18"/>
          <w:szCs w:val="18"/>
          <w:color w:val="auto"/>
        </w:rPr>
        <w:t>”). In addition, our Board has determined that each of the members of:</w:t>
      </w:r>
    </w:p>
    <w:p>
      <w:pPr>
        <w:spacing w:after="0" w:line="68" w:lineRule="exact"/>
        <w:rPr>
          <w:sz w:val="20"/>
          <w:szCs w:val="20"/>
          <w:color w:val="auto"/>
        </w:rPr>
      </w:pPr>
    </w:p>
    <w:p>
      <w:pPr>
        <w:ind w:left="1060" w:right="660" w:hanging="424"/>
        <w:spacing w:after="0" w:line="24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Audit Committee meets the additional requirements for financial literacy, and satisfies the heightened independence standards established by the SEC and Nasdaq for membership of that committee; and</w:t>
      </w:r>
    </w:p>
    <w:p>
      <w:pPr>
        <w:spacing w:after="0" w:line="61" w:lineRule="exact"/>
        <w:rPr>
          <w:rFonts w:ascii="Arial" w:cs="Arial" w:eastAsia="Arial" w:hAnsi="Arial"/>
          <w:sz w:val="18"/>
          <w:szCs w:val="18"/>
          <w:color w:val="auto"/>
        </w:rPr>
      </w:pPr>
    </w:p>
    <w:p>
      <w:pPr>
        <w:ind w:left="1060" w:right="600" w:hanging="424"/>
        <w:spacing w:after="0" w:line="24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Compensation Committee satisfies the heightened independence standards established by the SEC and Nasdaq for membership of that committee, and is a non-employee director within the meaning of Section 16 of the Exchange Act.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99"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Our Board has an Audit Committee, a Compensation Committee, a Nominating and Corporate Governance Committee and an Executive Committee. Each committee can engage outside experts, advisors and counsel to assist the committee in its work. The table below provides the membership for each of the committees as of February 12, 2018, and the number of meetings held by each committee during Fiscal Year 2017.</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560" w:type="dxa"/>
            <w:vAlign w:val="bottom"/>
            <w:shd w:val="clear" w:color="auto" w:fill="7F7F7F"/>
          </w:tcPr>
          <w:p>
            <w:pPr>
              <w:spacing w:after="0"/>
              <w:rPr>
                <w:sz w:val="16"/>
                <w:szCs w:val="16"/>
                <w:color w:val="auto"/>
              </w:rPr>
            </w:pPr>
          </w:p>
        </w:tc>
        <w:tc>
          <w:tcPr>
            <w:tcW w:w="1220" w:type="dxa"/>
            <w:vAlign w:val="bottom"/>
            <w:shd w:val="clear" w:color="auto" w:fill="7F7F7F"/>
          </w:tcPr>
          <w:p>
            <w:pPr>
              <w:spacing w:after="0"/>
              <w:rPr>
                <w:sz w:val="16"/>
                <w:szCs w:val="16"/>
                <w:color w:val="auto"/>
              </w:rPr>
            </w:pPr>
          </w:p>
        </w:tc>
        <w:tc>
          <w:tcPr>
            <w:tcW w:w="1400" w:type="dxa"/>
            <w:vAlign w:val="bottom"/>
            <w:shd w:val="clear" w:color="auto" w:fill="7F7F7F"/>
          </w:tcPr>
          <w:p>
            <w:pPr>
              <w:spacing w:after="0"/>
              <w:rPr>
                <w:sz w:val="16"/>
                <w:szCs w:val="16"/>
                <w:color w:val="auto"/>
              </w:rPr>
            </w:pPr>
          </w:p>
        </w:tc>
        <w:tc>
          <w:tcPr>
            <w:tcW w:w="15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Nominating and</w:t>
            </w:r>
          </w:p>
        </w:tc>
        <w:tc>
          <w:tcPr>
            <w:tcW w:w="1260" w:type="dxa"/>
            <w:vAlign w:val="bottom"/>
            <w:shd w:val="clear" w:color="auto" w:fill="7F7F7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shd w:val="clear" w:color="auto" w:fill="7F7F7F"/>
          </w:tcPr>
          <w:p>
            <w:pPr>
              <w:spacing w:after="0"/>
              <w:rPr>
                <w:sz w:val="16"/>
                <w:szCs w:val="16"/>
                <w:color w:val="auto"/>
              </w:rPr>
            </w:pPr>
          </w:p>
        </w:tc>
        <w:tc>
          <w:tcPr>
            <w:tcW w:w="1220" w:type="dxa"/>
            <w:vAlign w:val="bottom"/>
            <w:shd w:val="clear" w:color="auto" w:fill="7F7F7F"/>
          </w:tcPr>
          <w:p>
            <w:pPr>
              <w:spacing w:after="0"/>
              <w:rPr>
                <w:sz w:val="16"/>
                <w:szCs w:val="16"/>
                <w:color w:val="auto"/>
              </w:rPr>
            </w:pPr>
          </w:p>
        </w:tc>
        <w:tc>
          <w:tcPr>
            <w:tcW w:w="1400" w:type="dxa"/>
            <w:vAlign w:val="bottom"/>
            <w:shd w:val="clear" w:color="auto" w:fill="7F7F7F"/>
          </w:tcPr>
          <w:p>
            <w:pPr>
              <w:spacing w:after="0"/>
              <w:rPr>
                <w:sz w:val="16"/>
                <w:szCs w:val="16"/>
                <w:color w:val="auto"/>
              </w:rPr>
            </w:pPr>
          </w:p>
        </w:tc>
        <w:tc>
          <w:tcPr>
            <w:tcW w:w="15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Corporate</w:t>
            </w:r>
          </w:p>
        </w:tc>
        <w:tc>
          <w:tcPr>
            <w:tcW w:w="1260" w:type="dxa"/>
            <w:vAlign w:val="bottom"/>
            <w:vMerge w:val="restart"/>
            <w:shd w:val="clear" w:color="auto" w:fill="7F7F7F"/>
          </w:tcPr>
          <w:p>
            <w:pPr>
              <w:ind w:left="260"/>
              <w:spacing w:after="0"/>
              <w:rPr>
                <w:sz w:val="20"/>
                <w:szCs w:val="20"/>
                <w:color w:val="auto"/>
              </w:rPr>
            </w:pPr>
            <w:r>
              <w:rPr>
                <w:rFonts w:ascii="Arial" w:cs="Arial" w:eastAsia="Arial" w:hAnsi="Arial"/>
                <w:sz w:val="16"/>
                <w:szCs w:val="16"/>
                <w:b w:val="1"/>
                <w:bCs w:val="1"/>
                <w:color w:val="FFFFFF"/>
              </w:rPr>
              <w:t>Executive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60" w:type="dxa"/>
            <w:vAlign w:val="bottom"/>
            <w:shd w:val="clear" w:color="auto" w:fill="7F7F7F"/>
          </w:tcPr>
          <w:p>
            <w:pPr>
              <w:spacing w:after="0"/>
              <w:rPr>
                <w:sz w:val="15"/>
                <w:szCs w:val="15"/>
                <w:color w:val="auto"/>
              </w:rPr>
            </w:pPr>
          </w:p>
        </w:tc>
        <w:tc>
          <w:tcPr>
            <w:tcW w:w="1220" w:type="dxa"/>
            <w:vAlign w:val="bottom"/>
            <w:shd w:val="clear" w:color="auto" w:fill="7F7F7F"/>
          </w:tcPr>
          <w:p>
            <w:pPr>
              <w:ind w:left="460"/>
              <w:spacing w:after="0" w:line="176" w:lineRule="exact"/>
              <w:rPr>
                <w:sz w:val="20"/>
                <w:szCs w:val="20"/>
                <w:color w:val="auto"/>
              </w:rPr>
            </w:pPr>
            <w:r>
              <w:rPr>
                <w:rFonts w:ascii="Arial" w:cs="Arial" w:eastAsia="Arial" w:hAnsi="Arial"/>
                <w:sz w:val="16"/>
                <w:szCs w:val="16"/>
                <w:b w:val="1"/>
                <w:bCs w:val="1"/>
                <w:color w:val="FFFFFF"/>
              </w:rPr>
              <w:t>Audit</w:t>
            </w:r>
          </w:p>
        </w:tc>
        <w:tc>
          <w:tcPr>
            <w:tcW w:w="1400" w:type="dxa"/>
            <w:vAlign w:val="bottom"/>
            <w:shd w:val="clear" w:color="auto" w:fill="7F7F7F"/>
          </w:tcPr>
          <w:p>
            <w:pPr>
              <w:ind w:left="140"/>
              <w:spacing w:after="0" w:line="176" w:lineRule="exact"/>
              <w:rPr>
                <w:sz w:val="20"/>
                <w:szCs w:val="20"/>
                <w:color w:val="auto"/>
              </w:rPr>
            </w:pPr>
            <w:r>
              <w:rPr>
                <w:rFonts w:ascii="Arial" w:cs="Arial" w:eastAsia="Arial" w:hAnsi="Arial"/>
                <w:sz w:val="16"/>
                <w:szCs w:val="16"/>
                <w:b w:val="1"/>
                <w:bCs w:val="1"/>
                <w:color w:val="FFFFFF"/>
              </w:rPr>
              <w:t>Compensation</w:t>
            </w:r>
          </w:p>
        </w:tc>
        <w:tc>
          <w:tcPr>
            <w:tcW w:w="1580" w:type="dxa"/>
            <w:vAlign w:val="bottom"/>
            <w:shd w:val="clear" w:color="auto" w:fill="7F7F7F"/>
          </w:tcPr>
          <w:p>
            <w:pPr>
              <w:jc w:val="center"/>
              <w:spacing w:after="0" w:line="176" w:lineRule="exact"/>
              <w:rPr>
                <w:sz w:val="20"/>
                <w:szCs w:val="20"/>
                <w:color w:val="auto"/>
              </w:rPr>
            </w:pPr>
            <w:r>
              <w:rPr>
                <w:rFonts w:ascii="Arial" w:cs="Arial" w:eastAsia="Arial" w:hAnsi="Arial"/>
                <w:sz w:val="16"/>
                <w:szCs w:val="16"/>
                <w:b w:val="1"/>
                <w:bCs w:val="1"/>
                <w:color w:val="FFFFFF"/>
              </w:rPr>
              <w:t>Governance</w:t>
            </w:r>
          </w:p>
        </w:tc>
        <w:tc>
          <w:tcPr>
            <w:tcW w:w="1260" w:type="dxa"/>
            <w:vAlign w:val="bottom"/>
            <w:vMerge w:val="continue"/>
            <w:shd w:val="clear" w:color="auto" w:fill="7F7F7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60" w:type="dxa"/>
            <w:vAlign w:val="bottom"/>
            <w:shd w:val="clear" w:color="auto" w:fill="7F7F7F"/>
          </w:tcPr>
          <w:p>
            <w:pPr>
              <w:ind w:left="80"/>
              <w:spacing w:after="0"/>
              <w:rPr>
                <w:sz w:val="20"/>
                <w:szCs w:val="20"/>
                <w:color w:val="auto"/>
              </w:rPr>
            </w:pPr>
            <w:r>
              <w:rPr>
                <w:rFonts w:ascii="Arial" w:cs="Arial" w:eastAsia="Arial" w:hAnsi="Arial"/>
                <w:sz w:val="16"/>
                <w:szCs w:val="16"/>
                <w:b w:val="1"/>
                <w:bCs w:val="1"/>
                <w:color w:val="FFFFFF"/>
              </w:rPr>
              <w:t>Director</w:t>
            </w:r>
          </w:p>
        </w:tc>
        <w:tc>
          <w:tcPr>
            <w:tcW w:w="1220" w:type="dxa"/>
            <w:vAlign w:val="bottom"/>
            <w:shd w:val="clear" w:color="auto" w:fill="7F7F7F"/>
          </w:tcPr>
          <w:p>
            <w:pPr>
              <w:ind w:left="260"/>
              <w:spacing w:after="0"/>
              <w:rPr>
                <w:sz w:val="20"/>
                <w:szCs w:val="20"/>
                <w:color w:val="auto"/>
              </w:rPr>
            </w:pPr>
            <w:r>
              <w:rPr>
                <w:rFonts w:ascii="Arial" w:cs="Arial" w:eastAsia="Arial" w:hAnsi="Arial"/>
                <w:sz w:val="16"/>
                <w:szCs w:val="16"/>
                <w:b w:val="1"/>
                <w:bCs w:val="1"/>
                <w:color w:val="FFFFFF"/>
              </w:rPr>
              <w:t>Committee</w:t>
            </w:r>
          </w:p>
        </w:tc>
        <w:tc>
          <w:tcPr>
            <w:tcW w:w="1400" w:type="dxa"/>
            <w:vAlign w:val="bottom"/>
            <w:shd w:val="clear" w:color="auto" w:fill="7F7F7F"/>
          </w:tcPr>
          <w:p>
            <w:pPr>
              <w:ind w:left="280"/>
              <w:spacing w:after="0"/>
              <w:rPr>
                <w:sz w:val="20"/>
                <w:szCs w:val="20"/>
                <w:color w:val="auto"/>
              </w:rPr>
            </w:pPr>
            <w:r>
              <w:rPr>
                <w:rFonts w:ascii="Arial" w:cs="Arial" w:eastAsia="Arial" w:hAnsi="Arial"/>
                <w:sz w:val="16"/>
                <w:szCs w:val="16"/>
                <w:b w:val="1"/>
                <w:bCs w:val="1"/>
                <w:color w:val="FFFFFF"/>
              </w:rPr>
              <w:t>Committee</w:t>
            </w:r>
          </w:p>
        </w:tc>
        <w:tc>
          <w:tcPr>
            <w:tcW w:w="15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1260" w:type="dxa"/>
            <w:vAlign w:val="bottom"/>
            <w:shd w:val="clear" w:color="auto" w:fill="7F7F7F"/>
          </w:tcPr>
          <w:p>
            <w:pPr>
              <w:ind w:left="220"/>
              <w:spacing w:after="0"/>
              <w:rPr>
                <w:sz w:val="20"/>
                <w:szCs w:val="20"/>
                <w:color w:val="auto"/>
              </w:rPr>
            </w:pPr>
            <w:r>
              <w:rPr>
                <w:rFonts w:ascii="Arial" w:cs="Arial" w:eastAsia="Arial" w:hAnsi="Arial"/>
                <w:sz w:val="16"/>
                <w:szCs w:val="16"/>
                <w:b w:val="1"/>
                <w:bCs w:val="1"/>
                <w:color w:val="FFFFFF"/>
              </w:rPr>
              <w:t>Committee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tcPr>
          <w:p>
            <w:pPr>
              <w:spacing w:after="0" w:line="189" w:lineRule="exact"/>
              <w:rPr>
                <w:sz w:val="20"/>
                <w:szCs w:val="20"/>
                <w:color w:val="auto"/>
              </w:rPr>
            </w:pPr>
            <w:r>
              <w:rPr>
                <w:rFonts w:ascii="Arial" w:cs="Arial" w:eastAsia="Arial" w:hAnsi="Arial"/>
                <w:sz w:val="17"/>
                <w:szCs w:val="17"/>
                <w:color w:val="auto"/>
              </w:rPr>
              <w:t>James V. Diller</w:t>
            </w:r>
          </w:p>
        </w:tc>
        <w:tc>
          <w:tcPr>
            <w:tcW w:w="1220" w:type="dxa"/>
            <w:vAlign w:val="bottom"/>
          </w:tcPr>
          <w:p>
            <w:pPr>
              <w:spacing w:after="0"/>
              <w:rPr>
                <w:sz w:val="16"/>
                <w:szCs w:val="16"/>
                <w:color w:val="auto"/>
              </w:rPr>
            </w:pPr>
          </w:p>
        </w:tc>
        <w:tc>
          <w:tcPr>
            <w:tcW w:w="1400" w:type="dxa"/>
            <w:vAlign w:val="bottom"/>
          </w:tcPr>
          <w:p>
            <w:pPr>
              <w:ind w:left="680"/>
              <w:spacing w:after="0" w:line="189" w:lineRule="exact"/>
              <w:rPr>
                <w:sz w:val="20"/>
                <w:szCs w:val="20"/>
                <w:color w:val="auto"/>
              </w:rPr>
            </w:pPr>
            <w:r>
              <w:rPr>
                <w:rFonts w:ascii="Arial" w:cs="Arial" w:eastAsia="Arial" w:hAnsi="Arial"/>
                <w:sz w:val="17"/>
                <w:szCs w:val="17"/>
                <w:color w:val="auto"/>
              </w:rPr>
              <w:t>X</w:t>
            </w:r>
          </w:p>
        </w:tc>
        <w:tc>
          <w:tcPr>
            <w:tcW w:w="1580" w:type="dxa"/>
            <w:vAlign w:val="bottom"/>
          </w:tcPr>
          <w:p>
            <w:pPr>
              <w:ind w:left="720"/>
              <w:spacing w:after="0" w:line="189" w:lineRule="exact"/>
              <w:rPr>
                <w:sz w:val="20"/>
                <w:szCs w:val="20"/>
                <w:color w:val="auto"/>
              </w:rPr>
            </w:pPr>
            <w:r>
              <w:rPr>
                <w:rFonts w:ascii="Arial" w:cs="Arial" w:eastAsia="Arial" w:hAnsi="Arial"/>
                <w:sz w:val="17"/>
                <w:szCs w:val="17"/>
                <w:color w:val="auto"/>
              </w:rPr>
              <w:t>X(C)</w:t>
            </w:r>
          </w:p>
        </w:tc>
        <w:tc>
          <w:tcPr>
            <w:tcW w:w="1260" w:type="dxa"/>
            <w:vAlign w:val="bottom"/>
          </w:tcPr>
          <w:p>
            <w:pPr>
              <w:ind w:left="620"/>
              <w:spacing w:after="0" w:line="189" w:lineRule="exact"/>
              <w:rPr>
                <w:sz w:val="20"/>
                <w:szCs w:val="20"/>
                <w:color w:val="auto"/>
              </w:rPr>
            </w:pPr>
            <w:r>
              <w:rPr>
                <w:rFonts w:ascii="Arial" w:cs="Arial" w:eastAsia="Arial" w:hAnsi="Arial"/>
                <w:sz w:val="17"/>
                <w:szCs w:val="17"/>
                <w:color w:val="auto"/>
              </w:rPr>
              <w:t>X(C)</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shd w:val="clear" w:color="auto" w:fill="BFBFBF"/>
          </w:tcPr>
          <w:p>
            <w:pPr>
              <w:spacing w:after="0" w:line="189" w:lineRule="exact"/>
              <w:rPr>
                <w:sz w:val="20"/>
                <w:szCs w:val="20"/>
                <w:color w:val="auto"/>
              </w:rPr>
            </w:pPr>
            <w:r>
              <w:rPr>
                <w:rFonts w:ascii="Arial" w:cs="Arial" w:eastAsia="Arial" w:hAnsi="Arial"/>
                <w:sz w:val="17"/>
                <w:szCs w:val="17"/>
                <w:color w:val="auto"/>
              </w:rPr>
              <w:t>Gayla J. Delly</w:t>
            </w:r>
            <w:r>
              <w:rPr>
                <w:rFonts w:ascii="Arial" w:cs="Arial" w:eastAsia="Arial" w:hAnsi="Arial"/>
                <w:sz w:val="14"/>
                <w:szCs w:val="14"/>
                <w:color w:val="auto"/>
              </w:rPr>
              <w:t>(1)</w:t>
            </w:r>
          </w:p>
        </w:tc>
        <w:tc>
          <w:tcPr>
            <w:tcW w:w="1220" w:type="dxa"/>
            <w:vAlign w:val="bottom"/>
            <w:shd w:val="clear" w:color="auto" w:fill="BFBFBF"/>
          </w:tcPr>
          <w:p>
            <w:pPr>
              <w:ind w:left="640"/>
              <w:spacing w:after="0" w:line="189" w:lineRule="exact"/>
              <w:rPr>
                <w:sz w:val="20"/>
                <w:szCs w:val="20"/>
                <w:color w:val="auto"/>
              </w:rPr>
            </w:pPr>
            <w:r>
              <w:rPr>
                <w:rFonts w:ascii="Arial" w:cs="Arial" w:eastAsia="Arial" w:hAnsi="Arial"/>
                <w:sz w:val="17"/>
                <w:szCs w:val="17"/>
                <w:color w:val="auto"/>
              </w:rPr>
              <w:t>X</w:t>
            </w:r>
          </w:p>
        </w:tc>
        <w:tc>
          <w:tcPr>
            <w:tcW w:w="1400" w:type="dxa"/>
            <w:vAlign w:val="bottom"/>
            <w:shd w:val="clear" w:color="auto" w:fill="BFBFBF"/>
          </w:tcPr>
          <w:p>
            <w:pPr>
              <w:spacing w:after="0"/>
              <w:rPr>
                <w:sz w:val="16"/>
                <w:szCs w:val="16"/>
                <w:color w:val="auto"/>
              </w:rPr>
            </w:pPr>
          </w:p>
        </w:tc>
        <w:tc>
          <w:tcPr>
            <w:tcW w:w="1580" w:type="dxa"/>
            <w:vAlign w:val="bottom"/>
            <w:shd w:val="clear" w:color="auto" w:fill="BFBFBF"/>
          </w:tcPr>
          <w:p>
            <w:pPr>
              <w:ind w:left="720"/>
              <w:spacing w:after="0" w:line="189" w:lineRule="exact"/>
              <w:rPr>
                <w:sz w:val="20"/>
                <w:szCs w:val="20"/>
                <w:color w:val="auto"/>
              </w:rPr>
            </w:pPr>
            <w:r>
              <w:rPr>
                <w:rFonts w:ascii="Arial" w:cs="Arial" w:eastAsia="Arial" w:hAnsi="Arial"/>
                <w:sz w:val="17"/>
                <w:szCs w:val="17"/>
                <w:color w:val="auto"/>
              </w:rPr>
              <w:t>X</w:t>
            </w:r>
          </w:p>
        </w:tc>
        <w:tc>
          <w:tcPr>
            <w:tcW w:w="126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tcPr>
          <w:p>
            <w:pPr>
              <w:spacing w:after="0" w:line="189" w:lineRule="exact"/>
              <w:rPr>
                <w:sz w:val="20"/>
                <w:szCs w:val="20"/>
                <w:color w:val="auto"/>
              </w:rPr>
            </w:pPr>
            <w:r>
              <w:rPr>
                <w:rFonts w:ascii="Arial" w:cs="Arial" w:eastAsia="Arial" w:hAnsi="Arial"/>
                <w:sz w:val="17"/>
                <w:szCs w:val="17"/>
                <w:color w:val="auto"/>
              </w:rPr>
              <w:t>Lewis C. Eggebrecht</w:t>
            </w:r>
          </w:p>
        </w:tc>
        <w:tc>
          <w:tcPr>
            <w:tcW w:w="1220" w:type="dxa"/>
            <w:vAlign w:val="bottom"/>
          </w:tcPr>
          <w:p>
            <w:pPr>
              <w:spacing w:after="0"/>
              <w:rPr>
                <w:sz w:val="16"/>
                <w:szCs w:val="16"/>
                <w:color w:val="auto"/>
              </w:rPr>
            </w:pPr>
          </w:p>
        </w:tc>
        <w:tc>
          <w:tcPr>
            <w:tcW w:w="1400" w:type="dxa"/>
            <w:vAlign w:val="bottom"/>
          </w:tcPr>
          <w:p>
            <w:pPr>
              <w:ind w:left="680"/>
              <w:spacing w:after="0" w:line="189" w:lineRule="exact"/>
              <w:rPr>
                <w:sz w:val="20"/>
                <w:szCs w:val="20"/>
                <w:color w:val="auto"/>
              </w:rPr>
            </w:pPr>
            <w:r>
              <w:rPr>
                <w:rFonts w:ascii="Arial" w:cs="Arial" w:eastAsia="Arial" w:hAnsi="Arial"/>
                <w:sz w:val="17"/>
                <w:szCs w:val="17"/>
                <w:color w:val="auto"/>
              </w:rPr>
              <w:t>X</w:t>
            </w:r>
          </w:p>
        </w:tc>
        <w:tc>
          <w:tcPr>
            <w:tcW w:w="1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shd w:val="clear" w:color="auto" w:fill="BFBFBF"/>
          </w:tcPr>
          <w:p>
            <w:pPr>
              <w:spacing w:after="0" w:line="189" w:lineRule="exact"/>
              <w:rPr>
                <w:sz w:val="20"/>
                <w:szCs w:val="20"/>
                <w:color w:val="auto"/>
              </w:rPr>
            </w:pPr>
            <w:r>
              <w:rPr>
                <w:rFonts w:ascii="Arial" w:cs="Arial" w:eastAsia="Arial" w:hAnsi="Arial"/>
                <w:sz w:val="17"/>
                <w:szCs w:val="17"/>
                <w:color w:val="auto"/>
              </w:rPr>
              <w:t>Eddy W. Hartenstein</w:t>
            </w:r>
          </w:p>
        </w:tc>
        <w:tc>
          <w:tcPr>
            <w:tcW w:w="1220" w:type="dxa"/>
            <w:vAlign w:val="bottom"/>
            <w:shd w:val="clear" w:color="auto" w:fill="BFBFBF"/>
          </w:tcPr>
          <w:p>
            <w:pPr>
              <w:ind w:left="640"/>
              <w:spacing w:after="0" w:line="189" w:lineRule="exact"/>
              <w:rPr>
                <w:sz w:val="20"/>
                <w:szCs w:val="20"/>
                <w:color w:val="auto"/>
              </w:rPr>
            </w:pPr>
            <w:r>
              <w:rPr>
                <w:rFonts w:ascii="Arial" w:cs="Arial" w:eastAsia="Arial" w:hAnsi="Arial"/>
                <w:sz w:val="17"/>
                <w:szCs w:val="17"/>
                <w:color w:val="auto"/>
              </w:rPr>
              <w:t>X</w:t>
            </w:r>
          </w:p>
        </w:tc>
        <w:tc>
          <w:tcPr>
            <w:tcW w:w="1400" w:type="dxa"/>
            <w:vAlign w:val="bottom"/>
            <w:shd w:val="clear" w:color="auto" w:fill="BFBFBF"/>
          </w:tcPr>
          <w:p>
            <w:pPr>
              <w:ind w:left="680"/>
              <w:spacing w:after="0" w:line="189" w:lineRule="exact"/>
              <w:rPr>
                <w:sz w:val="20"/>
                <w:szCs w:val="20"/>
                <w:color w:val="auto"/>
              </w:rPr>
            </w:pPr>
            <w:r>
              <w:rPr>
                <w:rFonts w:ascii="Arial" w:cs="Arial" w:eastAsia="Arial" w:hAnsi="Arial"/>
                <w:sz w:val="17"/>
                <w:szCs w:val="17"/>
                <w:color w:val="auto"/>
              </w:rPr>
              <w:t>X(C)</w:t>
            </w:r>
          </w:p>
        </w:tc>
        <w:tc>
          <w:tcPr>
            <w:tcW w:w="1580" w:type="dxa"/>
            <w:vAlign w:val="bottom"/>
            <w:shd w:val="clear" w:color="auto" w:fill="BFBFBF"/>
          </w:tcPr>
          <w:p>
            <w:pPr>
              <w:spacing w:after="0"/>
              <w:rPr>
                <w:sz w:val="16"/>
                <w:szCs w:val="16"/>
                <w:color w:val="auto"/>
              </w:rPr>
            </w:pPr>
          </w:p>
        </w:tc>
        <w:tc>
          <w:tcPr>
            <w:tcW w:w="1260" w:type="dxa"/>
            <w:vAlign w:val="bottom"/>
            <w:shd w:val="clear" w:color="auto" w:fill="BFBFBF"/>
          </w:tcPr>
          <w:p>
            <w:pPr>
              <w:ind w:left="620"/>
              <w:spacing w:after="0" w:line="189"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tcPr>
          <w:p>
            <w:pPr>
              <w:spacing w:after="0" w:line="189" w:lineRule="exact"/>
              <w:rPr>
                <w:sz w:val="20"/>
                <w:szCs w:val="20"/>
                <w:color w:val="auto"/>
              </w:rPr>
            </w:pPr>
            <w:r>
              <w:rPr>
                <w:rFonts w:ascii="Arial" w:cs="Arial" w:eastAsia="Arial" w:hAnsi="Arial"/>
                <w:sz w:val="17"/>
                <w:szCs w:val="17"/>
                <w:color w:val="auto"/>
              </w:rPr>
              <w:t>Check Kian Low</w:t>
            </w:r>
          </w:p>
        </w:tc>
        <w:tc>
          <w:tcPr>
            <w:tcW w:w="1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80" w:type="dxa"/>
            <w:vAlign w:val="bottom"/>
          </w:tcPr>
          <w:p>
            <w:pPr>
              <w:ind w:left="720"/>
              <w:spacing w:after="0" w:line="189" w:lineRule="exact"/>
              <w:rPr>
                <w:sz w:val="20"/>
                <w:szCs w:val="20"/>
                <w:color w:val="auto"/>
              </w:rPr>
            </w:pPr>
            <w:r>
              <w:rPr>
                <w:rFonts w:ascii="Arial" w:cs="Arial" w:eastAsia="Arial" w:hAnsi="Arial"/>
                <w:sz w:val="17"/>
                <w:szCs w:val="17"/>
                <w:color w:val="auto"/>
              </w:rPr>
              <w:t>X</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shd w:val="clear" w:color="auto" w:fill="BFBFBF"/>
          </w:tcPr>
          <w:p>
            <w:pPr>
              <w:spacing w:after="0" w:line="189" w:lineRule="exact"/>
              <w:rPr>
                <w:sz w:val="20"/>
                <w:szCs w:val="20"/>
                <w:color w:val="auto"/>
              </w:rPr>
            </w:pPr>
            <w:r>
              <w:rPr>
                <w:rFonts w:ascii="Arial" w:cs="Arial" w:eastAsia="Arial" w:hAnsi="Arial"/>
                <w:sz w:val="17"/>
                <w:szCs w:val="17"/>
                <w:color w:val="auto"/>
              </w:rPr>
              <w:t>Donald Macleod</w:t>
            </w:r>
          </w:p>
        </w:tc>
        <w:tc>
          <w:tcPr>
            <w:tcW w:w="1220" w:type="dxa"/>
            <w:vAlign w:val="bottom"/>
            <w:shd w:val="clear" w:color="auto" w:fill="BFBFBF"/>
          </w:tcPr>
          <w:p>
            <w:pPr>
              <w:ind w:left="640"/>
              <w:spacing w:after="0" w:line="189" w:lineRule="exact"/>
              <w:rPr>
                <w:sz w:val="20"/>
                <w:szCs w:val="20"/>
                <w:color w:val="auto"/>
              </w:rPr>
            </w:pPr>
            <w:r>
              <w:rPr>
                <w:rFonts w:ascii="Arial" w:cs="Arial" w:eastAsia="Arial" w:hAnsi="Arial"/>
                <w:sz w:val="17"/>
                <w:szCs w:val="17"/>
                <w:color w:val="auto"/>
              </w:rPr>
              <w:t>X(C)</w:t>
            </w:r>
          </w:p>
        </w:tc>
        <w:tc>
          <w:tcPr>
            <w:tcW w:w="1400" w:type="dxa"/>
            <w:vAlign w:val="bottom"/>
            <w:shd w:val="clear" w:color="auto" w:fill="BFBFBF"/>
          </w:tcPr>
          <w:p>
            <w:pPr>
              <w:ind w:left="680"/>
              <w:spacing w:after="0" w:line="189" w:lineRule="exact"/>
              <w:rPr>
                <w:sz w:val="20"/>
                <w:szCs w:val="20"/>
                <w:color w:val="auto"/>
              </w:rPr>
            </w:pPr>
            <w:r>
              <w:rPr>
                <w:rFonts w:ascii="Arial" w:cs="Arial" w:eastAsia="Arial" w:hAnsi="Arial"/>
                <w:sz w:val="17"/>
                <w:szCs w:val="17"/>
                <w:color w:val="auto"/>
              </w:rPr>
              <w:t>X</w:t>
            </w:r>
          </w:p>
        </w:tc>
        <w:tc>
          <w:tcPr>
            <w:tcW w:w="1580" w:type="dxa"/>
            <w:vAlign w:val="bottom"/>
            <w:shd w:val="clear" w:color="auto" w:fill="BFBFBF"/>
          </w:tcPr>
          <w:p>
            <w:pPr>
              <w:spacing w:after="0"/>
              <w:rPr>
                <w:sz w:val="16"/>
                <w:szCs w:val="16"/>
                <w:color w:val="auto"/>
              </w:rPr>
            </w:pPr>
          </w:p>
        </w:tc>
        <w:tc>
          <w:tcPr>
            <w:tcW w:w="1260" w:type="dxa"/>
            <w:vAlign w:val="bottom"/>
            <w:shd w:val="clear" w:color="auto" w:fill="BFBFBF"/>
          </w:tcPr>
          <w:p>
            <w:pPr>
              <w:ind w:left="620"/>
              <w:spacing w:after="0" w:line="189"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tcPr>
          <w:p>
            <w:pPr>
              <w:spacing w:after="0" w:line="189" w:lineRule="exact"/>
              <w:rPr>
                <w:sz w:val="20"/>
                <w:szCs w:val="20"/>
                <w:color w:val="auto"/>
              </w:rPr>
            </w:pPr>
            <w:r>
              <w:rPr>
                <w:rFonts w:ascii="Arial" w:cs="Arial" w:eastAsia="Arial" w:hAnsi="Arial"/>
                <w:sz w:val="17"/>
                <w:szCs w:val="17"/>
                <w:color w:val="auto"/>
              </w:rPr>
              <w:t>Peter J. Marks</w:t>
            </w:r>
          </w:p>
        </w:tc>
        <w:tc>
          <w:tcPr>
            <w:tcW w:w="1220" w:type="dxa"/>
            <w:vAlign w:val="bottom"/>
          </w:tcPr>
          <w:p>
            <w:pPr>
              <w:ind w:left="640"/>
              <w:spacing w:after="0" w:line="189" w:lineRule="exact"/>
              <w:rPr>
                <w:sz w:val="20"/>
                <w:szCs w:val="20"/>
                <w:color w:val="auto"/>
              </w:rPr>
            </w:pPr>
            <w:r>
              <w:rPr>
                <w:rFonts w:ascii="Arial" w:cs="Arial" w:eastAsia="Arial" w:hAnsi="Arial"/>
                <w:sz w:val="17"/>
                <w:szCs w:val="17"/>
                <w:color w:val="auto"/>
              </w:rPr>
              <w:t>X</w:t>
            </w:r>
          </w:p>
        </w:tc>
        <w:tc>
          <w:tcPr>
            <w:tcW w:w="1400" w:type="dxa"/>
            <w:vAlign w:val="bottom"/>
          </w:tcPr>
          <w:p>
            <w:pPr>
              <w:spacing w:after="0"/>
              <w:rPr>
                <w:sz w:val="16"/>
                <w:szCs w:val="16"/>
                <w:color w:val="auto"/>
              </w:rPr>
            </w:pPr>
          </w:p>
        </w:tc>
        <w:tc>
          <w:tcPr>
            <w:tcW w:w="1580" w:type="dxa"/>
            <w:vAlign w:val="bottom"/>
          </w:tcPr>
          <w:p>
            <w:pPr>
              <w:ind w:left="720"/>
              <w:spacing w:after="0" w:line="189" w:lineRule="exact"/>
              <w:rPr>
                <w:sz w:val="20"/>
                <w:szCs w:val="20"/>
                <w:color w:val="auto"/>
              </w:rPr>
            </w:pPr>
            <w:r>
              <w:rPr>
                <w:rFonts w:ascii="Arial" w:cs="Arial" w:eastAsia="Arial" w:hAnsi="Arial"/>
                <w:sz w:val="17"/>
                <w:szCs w:val="17"/>
                <w:color w:val="auto"/>
              </w:rPr>
              <w:t>X</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shd w:val="clear" w:color="auto" w:fill="BFBFBF"/>
          </w:tcPr>
          <w:p>
            <w:pPr>
              <w:spacing w:after="0" w:line="183" w:lineRule="exact"/>
              <w:rPr>
                <w:sz w:val="20"/>
                <w:szCs w:val="20"/>
                <w:color w:val="auto"/>
              </w:rPr>
            </w:pPr>
            <w:r>
              <w:rPr>
                <w:rFonts w:ascii="Arial" w:cs="Arial" w:eastAsia="Arial" w:hAnsi="Arial"/>
                <w:sz w:val="17"/>
                <w:szCs w:val="17"/>
                <w:color w:val="auto"/>
              </w:rPr>
              <w:t>Hock E. Tan</w:t>
            </w:r>
          </w:p>
        </w:tc>
        <w:tc>
          <w:tcPr>
            <w:tcW w:w="1220" w:type="dxa"/>
            <w:vAlign w:val="bottom"/>
            <w:shd w:val="clear" w:color="auto" w:fill="BFBFBF"/>
          </w:tcPr>
          <w:p>
            <w:pPr>
              <w:spacing w:after="0"/>
              <w:rPr>
                <w:sz w:val="15"/>
                <w:szCs w:val="15"/>
                <w:color w:val="auto"/>
              </w:rPr>
            </w:pPr>
          </w:p>
        </w:tc>
        <w:tc>
          <w:tcPr>
            <w:tcW w:w="1400" w:type="dxa"/>
            <w:vAlign w:val="bottom"/>
            <w:shd w:val="clear" w:color="auto" w:fill="BFBFBF"/>
          </w:tcPr>
          <w:p>
            <w:pPr>
              <w:spacing w:after="0"/>
              <w:rPr>
                <w:sz w:val="15"/>
                <w:szCs w:val="15"/>
                <w:color w:val="auto"/>
              </w:rPr>
            </w:pPr>
          </w:p>
        </w:tc>
        <w:tc>
          <w:tcPr>
            <w:tcW w:w="1580" w:type="dxa"/>
            <w:vAlign w:val="bottom"/>
            <w:shd w:val="clear" w:color="auto" w:fill="BFBFBF"/>
          </w:tcPr>
          <w:p>
            <w:pPr>
              <w:spacing w:after="0"/>
              <w:rPr>
                <w:sz w:val="15"/>
                <w:szCs w:val="15"/>
                <w:color w:val="auto"/>
              </w:rPr>
            </w:pPr>
          </w:p>
        </w:tc>
        <w:tc>
          <w:tcPr>
            <w:tcW w:w="1260" w:type="dxa"/>
            <w:vAlign w:val="bottom"/>
            <w:shd w:val="clear" w:color="auto" w:fill="BFBFBF"/>
          </w:tcPr>
          <w:p>
            <w:pPr>
              <w:ind w:left="620"/>
              <w:spacing w:after="0" w:line="18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60" w:type="dxa"/>
            <w:vAlign w:val="bottom"/>
            <w:shd w:val="clear" w:color="auto" w:fill="BFBFBF"/>
          </w:tcPr>
          <w:p>
            <w:pPr>
              <w:spacing w:after="0"/>
              <w:rPr>
                <w:sz w:val="20"/>
                <w:szCs w:val="20"/>
                <w:color w:val="auto"/>
              </w:rPr>
            </w:pPr>
            <w:r>
              <w:rPr>
                <w:rFonts w:ascii="Arial" w:cs="Arial" w:eastAsia="Arial" w:hAnsi="Arial"/>
                <w:sz w:val="17"/>
                <w:szCs w:val="17"/>
                <w:color w:val="auto"/>
              </w:rPr>
              <w:t>Number of meetings in Fiscal Year 2017</w:t>
            </w:r>
          </w:p>
        </w:tc>
        <w:tc>
          <w:tcPr>
            <w:tcW w:w="1220" w:type="dxa"/>
            <w:vAlign w:val="bottom"/>
            <w:shd w:val="clear" w:color="auto" w:fill="BFBFBF"/>
          </w:tcPr>
          <w:p>
            <w:pPr>
              <w:ind w:left="660"/>
              <w:spacing w:after="0"/>
              <w:rPr>
                <w:sz w:val="20"/>
                <w:szCs w:val="20"/>
                <w:color w:val="auto"/>
              </w:rPr>
            </w:pPr>
            <w:r>
              <w:rPr>
                <w:rFonts w:ascii="Arial" w:cs="Arial" w:eastAsia="Arial" w:hAnsi="Arial"/>
                <w:sz w:val="17"/>
                <w:szCs w:val="17"/>
                <w:color w:val="auto"/>
              </w:rPr>
              <w:t>8</w:t>
            </w:r>
          </w:p>
        </w:tc>
        <w:tc>
          <w:tcPr>
            <w:tcW w:w="1400" w:type="dxa"/>
            <w:vAlign w:val="bottom"/>
            <w:shd w:val="clear" w:color="auto" w:fill="BFBFBF"/>
          </w:tcPr>
          <w:p>
            <w:pPr>
              <w:ind w:left="700"/>
              <w:spacing w:after="0"/>
              <w:rPr>
                <w:sz w:val="20"/>
                <w:szCs w:val="20"/>
                <w:color w:val="auto"/>
              </w:rPr>
            </w:pPr>
            <w:r>
              <w:rPr>
                <w:rFonts w:ascii="Arial" w:cs="Arial" w:eastAsia="Arial" w:hAnsi="Arial"/>
                <w:sz w:val="17"/>
                <w:szCs w:val="17"/>
                <w:color w:val="auto"/>
              </w:rPr>
              <w:t>6</w:t>
            </w:r>
          </w:p>
        </w:tc>
        <w:tc>
          <w:tcPr>
            <w:tcW w:w="1580" w:type="dxa"/>
            <w:vAlign w:val="bottom"/>
            <w:shd w:val="clear" w:color="auto" w:fill="BFBFBF"/>
          </w:tcPr>
          <w:p>
            <w:pPr>
              <w:ind w:left="740"/>
              <w:spacing w:after="0"/>
              <w:rPr>
                <w:sz w:val="20"/>
                <w:szCs w:val="20"/>
                <w:color w:val="auto"/>
              </w:rPr>
            </w:pPr>
            <w:r>
              <w:rPr>
                <w:rFonts w:ascii="Arial" w:cs="Arial" w:eastAsia="Arial" w:hAnsi="Arial"/>
                <w:sz w:val="17"/>
                <w:szCs w:val="17"/>
                <w:color w:val="auto"/>
              </w:rPr>
              <w:t>4</w:t>
            </w:r>
          </w:p>
        </w:tc>
        <w:tc>
          <w:tcPr>
            <w:tcW w:w="1260" w:type="dxa"/>
            <w:vAlign w:val="bottom"/>
            <w:shd w:val="clear" w:color="auto" w:fill="BFBFBF"/>
          </w:tcPr>
          <w:p>
            <w:pPr>
              <w:ind w:left="6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977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57" w:lineRule="exact"/>
        <w:rPr>
          <w:sz w:val="20"/>
          <w:szCs w:val="20"/>
          <w:color w:val="auto"/>
        </w:rPr>
      </w:pPr>
    </w:p>
    <w:p>
      <w:pPr>
        <w:ind w:left="740" w:hanging="53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Denotes the Chairperson of the committee.</w:t>
      </w:r>
    </w:p>
    <w:p>
      <w:pPr>
        <w:spacing w:after="0" w:line="5" w:lineRule="exact"/>
        <w:rPr>
          <w:sz w:val="20"/>
          <w:szCs w:val="20"/>
          <w:color w:val="auto"/>
        </w:rPr>
      </w:pPr>
    </w:p>
    <w:p>
      <w:pPr>
        <w:ind w:left="740" w:right="340" w:hanging="536"/>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Ms. Delly was appointed to the Audit Committee and the Nominating and Corporate Governance Committee in December 2017, in connection with her appointment to the Board.</w:t>
      </w:r>
    </w:p>
    <w:p>
      <w:pPr>
        <w:spacing w:after="0" w:line="139"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functions performed by these committees, which are set forth in more detail in their respective charters, are summarized below. Each of the Audit Committee, the Compensation Committee and the Nominating and Corporate Governance Committee operates under a charter that satisfies the applicable standards of the SEC and Nasdaq. The charters for all four committees are available in the “Investor Center—Corporate Governance—Documents” section of our website (</w:t>
      </w:r>
      <w:r>
        <w:rPr>
          <w:rFonts w:ascii="Arial" w:cs="Arial" w:eastAsia="Arial" w:hAnsi="Arial"/>
          <w:sz w:val="18"/>
          <w:szCs w:val="18"/>
          <w:u w:val="single" w:color="auto"/>
          <w:color w:val="auto"/>
        </w:rPr>
        <w:t>http://investors.broadcom.com/phoenix.zhtml?c=203541&amp;p=irol-govhighlights</w:t>
      </w:r>
      <w:r>
        <w:rPr>
          <w:rFonts w:ascii="Arial" w:cs="Arial" w:eastAsia="Arial" w:hAnsi="Arial"/>
          <w:sz w:val="18"/>
          <w:szCs w:val="18"/>
          <w:color w:val="auto"/>
        </w:rPr>
        <w:t>). Shareholders may also request a copy in print from: Investor Relations, Broadcom Limited, 1320 Ridder Park Drive, San Jose, California 95131, U.S.A.</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is responsible for assisting our Board with its oversight responsibilities regarding the following:</w:t>
      </w:r>
    </w:p>
    <w:p>
      <w:pPr>
        <w:spacing w:after="0" w:line="77" w:lineRule="exact"/>
        <w:rPr>
          <w:sz w:val="20"/>
          <w:szCs w:val="20"/>
          <w:color w:val="auto"/>
        </w:rPr>
      </w:pPr>
    </w:p>
    <w:p>
      <w:pPr>
        <w:ind w:left="1280" w:hanging="428"/>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 and internal controls;</w:t>
      </w:r>
    </w:p>
    <w:p>
      <w:pPr>
        <w:spacing w:after="0" w:line="76" w:lineRule="exact"/>
        <w:rPr>
          <w:rFonts w:ascii="Arial" w:cs="Arial" w:eastAsia="Arial" w:hAnsi="Arial"/>
          <w:sz w:val="18"/>
          <w:szCs w:val="18"/>
          <w:color w:val="auto"/>
        </w:rPr>
      </w:pPr>
    </w:p>
    <w:p>
      <w:pPr>
        <w:ind w:left="1280" w:right="120" w:hanging="428"/>
        <w:spacing w:after="0" w:line="246"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appointment, compensation, retention, qualifications and independence of our independent registered public accounting firm;</w:t>
      </w:r>
    </w:p>
    <w:p>
      <w:pPr>
        <w:spacing w:after="0" w:line="61" w:lineRule="exact"/>
        <w:rPr>
          <w:rFonts w:ascii="Arial" w:cs="Arial" w:eastAsia="Arial" w:hAnsi="Arial"/>
          <w:sz w:val="18"/>
          <w:szCs w:val="18"/>
          <w:color w:val="auto"/>
        </w:rPr>
      </w:pPr>
    </w:p>
    <w:p>
      <w:pPr>
        <w:ind w:left="1280" w:hanging="428"/>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117" w:lineRule="exact"/>
        <w:rPr>
          <w:rFonts w:ascii="Arial" w:cs="Arial" w:eastAsia="Arial" w:hAnsi="Arial"/>
          <w:sz w:val="18"/>
          <w:szCs w:val="18"/>
          <w:color w:val="auto"/>
        </w:rPr>
      </w:pPr>
    </w:p>
    <w:p>
      <w:pPr>
        <w:ind w:left="1280" w:hanging="428"/>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and</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158" w:lineRule="exact"/>
        <w:rPr>
          <w:sz w:val="20"/>
          <w:szCs w:val="20"/>
          <w:color w:val="auto"/>
        </w:rPr>
      </w:pPr>
    </w:p>
    <w:p>
      <w:pPr>
        <w:ind w:left="200" w:right="460" w:firstLine="551"/>
        <w:spacing w:after="0" w:line="246" w:lineRule="auto"/>
        <w:rPr>
          <w:sz w:val="20"/>
          <w:szCs w:val="20"/>
          <w:color w:val="auto"/>
        </w:rPr>
      </w:pPr>
      <w:r>
        <w:rPr>
          <w:rFonts w:ascii="Arial" w:cs="Arial" w:eastAsia="Arial" w:hAnsi="Arial"/>
          <w:sz w:val="18"/>
          <w:szCs w:val="18"/>
          <w:color w:val="auto"/>
        </w:rPr>
        <w:t>Our Board has determined that Ms. Delly and Mr. Macleod are each an audit committee financial expert under applicable SEC rules, and has the requisite financial sophistication required by applicable Nasdaq rules.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Committee is responsible for:</w:t>
      </w:r>
    </w:p>
    <w:p>
      <w:pPr>
        <w:spacing w:after="0" w:line="77" w:lineRule="exact"/>
        <w:rPr>
          <w:sz w:val="20"/>
          <w:szCs w:val="20"/>
          <w:color w:val="auto"/>
        </w:rPr>
      </w:pPr>
    </w:p>
    <w:p>
      <w:pPr>
        <w:ind w:left="1280" w:hanging="428"/>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determining our executives’ base compensation and incentive compensation (other than that of our Chief Executive Officer);</w:t>
      </w:r>
    </w:p>
    <w:p>
      <w:pPr>
        <w:spacing w:after="0" w:line="76" w:lineRule="exact"/>
        <w:rPr>
          <w:rFonts w:ascii="Arial" w:cs="Arial" w:eastAsia="Arial" w:hAnsi="Arial"/>
          <w:sz w:val="18"/>
          <w:szCs w:val="18"/>
          <w:color w:val="auto"/>
        </w:rPr>
      </w:pPr>
    </w:p>
    <w:p>
      <w:pPr>
        <w:ind w:left="1280" w:right="60" w:hanging="428"/>
        <w:spacing w:after="0" w:line="246"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input and recommendations to the independent members of our Board (the “</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regarding our Chief Executive Officer’s compensation;</w:t>
      </w:r>
    </w:p>
    <w:p>
      <w:pPr>
        <w:spacing w:after="0" w:line="61" w:lineRule="exact"/>
        <w:rPr>
          <w:rFonts w:ascii="Arial" w:cs="Arial" w:eastAsia="Arial" w:hAnsi="Arial"/>
          <w:sz w:val="18"/>
          <w:szCs w:val="18"/>
          <w:color w:val="auto"/>
        </w:rPr>
      </w:pPr>
    </w:p>
    <w:p>
      <w:pPr>
        <w:ind w:left="1280" w:right="200" w:hanging="428"/>
        <w:spacing w:after="0" w:line="246"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designing (in consultation with management or our Board) and evaluating our compensation plans, policies and programs, and recommending same to our Board for approval; and</w:t>
      </w:r>
    </w:p>
    <w:p>
      <w:pPr>
        <w:spacing w:after="0" w:line="61" w:lineRule="exact"/>
        <w:rPr>
          <w:rFonts w:ascii="Arial" w:cs="Arial" w:eastAsia="Arial" w:hAnsi="Arial"/>
          <w:sz w:val="18"/>
          <w:szCs w:val="18"/>
          <w:color w:val="auto"/>
        </w:rPr>
      </w:pPr>
    </w:p>
    <w:p>
      <w:pPr>
        <w:ind w:left="1280" w:hanging="428"/>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administering our equity-based plans and approving the terms of equity-based grants pursuant to those plans.</w:t>
      </w:r>
    </w:p>
    <w:p>
      <w:pPr>
        <w:spacing w:after="0" w:line="104" w:lineRule="exact"/>
        <w:rPr>
          <w:sz w:val="20"/>
          <w:szCs w:val="20"/>
          <w:color w:val="auto"/>
        </w:rPr>
      </w:pPr>
    </w:p>
    <w:p>
      <w:pPr>
        <w:jc w:val="both"/>
        <w:ind w:left="200" w:right="240" w:firstLine="551"/>
        <w:spacing w:after="0"/>
        <w:rPr>
          <w:sz w:val="20"/>
          <w:szCs w:val="20"/>
          <w:color w:val="auto"/>
        </w:rPr>
      </w:pPr>
      <w:r>
        <w:rPr>
          <w:rFonts w:ascii="Arial" w:cs="Arial" w:eastAsia="Arial" w:hAnsi="Arial"/>
          <w:sz w:val="18"/>
          <w:szCs w:val="18"/>
          <w:color w:val="auto"/>
        </w:rPr>
        <w:t>To the extent permitted by applicable law, our Constitution and the Nasdaq rules, the Compensation Committee may delegate its responsibilities to a subcommittee or to individual directors or executive officers, and may authorize members of our Human Resources department to carry out certain administrative duties regarding our compensation programs.</w:t>
      </w:r>
    </w:p>
    <w:p>
      <w:pPr>
        <w:spacing w:after="0" w:line="149" w:lineRule="exact"/>
        <w:rPr>
          <w:sz w:val="20"/>
          <w:szCs w:val="20"/>
          <w:color w:val="auto"/>
        </w:rPr>
      </w:pPr>
    </w:p>
    <w:p>
      <w:pPr>
        <w:jc w:val="both"/>
        <w:ind w:left="200" w:right="460" w:firstLine="551"/>
        <w:spacing w:after="0"/>
        <w:rPr>
          <w:sz w:val="20"/>
          <w:szCs w:val="20"/>
          <w:color w:val="auto"/>
        </w:rPr>
      </w:pPr>
      <w:r>
        <w:rPr>
          <w:rFonts w:ascii="Arial" w:cs="Arial" w:eastAsia="Arial" w:hAnsi="Arial"/>
          <w:sz w:val="18"/>
          <w:szCs w:val="18"/>
          <w:color w:val="auto"/>
        </w:rPr>
        <w:t>For information on the processes and procedures followed by the Compensation Committee and our Board, and the role of its compensation consultant and our Chief Executive Officer, in the consideration and determination of executive compensation, see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beginning on page 26 of this Proxy Statement.</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Nominating and Corporate Governance Committee is responsible for:</w:t>
      </w:r>
    </w:p>
    <w:p>
      <w:pPr>
        <w:spacing w:after="0" w:line="77" w:lineRule="exact"/>
        <w:rPr>
          <w:sz w:val="20"/>
          <w:szCs w:val="20"/>
          <w:color w:val="auto"/>
        </w:rPr>
      </w:pPr>
    </w:p>
    <w:p>
      <w:pPr>
        <w:ind w:left="1280" w:hanging="428"/>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and recommending to our Board qualified candidates to become directors;</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the annual evaluation of our Board and its committees; and</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taking a leadership role in shaping our corporate governance policies and procedures.</w:t>
      </w:r>
    </w:p>
    <w:p>
      <w:pPr>
        <w:spacing w:after="0" w:line="158"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The Nominating and Corporate Governance Committee will consider candidates for director who are recommended by its members, by other Board members and members of our management, as well as those identified by any third-party search firms retained by it to assist in identifying and evaluating possible candidates. The Nominating and Corporate Governance Committee will also consider recommendations for director candidates submitted by our shareholders if they meet the specific criteria set forth under “</w:t>
      </w:r>
      <w:r>
        <w:rPr>
          <w:rFonts w:ascii="Arial" w:cs="Arial" w:eastAsia="Arial" w:hAnsi="Arial"/>
          <w:sz w:val="18"/>
          <w:szCs w:val="18"/>
          <w:i w:val="1"/>
          <w:iCs w:val="1"/>
          <w:color w:val="auto"/>
        </w:rPr>
        <w:t>Shareholder</w:t>
      </w:r>
      <w:r>
        <w:rPr>
          <w:rFonts w:ascii="Arial" w:cs="Arial" w:eastAsia="Arial" w:hAnsi="Arial"/>
          <w:sz w:val="18"/>
          <w:szCs w:val="18"/>
          <w:color w:val="auto"/>
        </w:rPr>
        <w:t xml:space="preserve"> </w:t>
      </w:r>
      <w:r>
        <w:rPr>
          <w:rFonts w:ascii="Arial" w:cs="Arial" w:eastAsia="Arial" w:hAnsi="Arial"/>
          <w:sz w:val="18"/>
          <w:szCs w:val="18"/>
          <w:i w:val="1"/>
          <w:iCs w:val="1"/>
          <w:color w:val="auto"/>
        </w:rPr>
        <w:t>Nominations to Our Board of Directors</w:t>
      </w:r>
      <w:r>
        <w:rPr>
          <w:rFonts w:ascii="Arial" w:cs="Arial" w:eastAsia="Arial" w:hAnsi="Arial"/>
          <w:sz w:val="18"/>
          <w:szCs w:val="18"/>
          <w:color w:val="auto"/>
        </w:rPr>
        <w:t>” below. The Nominating and Corporate Governance Committee will evaluate and recommend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qualified candidates for election, re-election or appointment to our Board, as applicable.</w:t>
      </w:r>
    </w:p>
    <w:p>
      <w:pPr>
        <w:spacing w:after="0" w:line="151"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When evaluating director candidates, the Nominating and Corporate Governance Committee seeks to ensure that our Board has the requisite skills, experience and expertise and that its members consist of persons with appropriately diverse and independent backgrounds. The Nominating and Corporate Governance Committee will consider all aspects of a candidate’s qualifications in the context of the needs of Broadcom, including: independence from management; personal and professional integrity, ethics and values; experience and expertise as an officer in corporate management; experience in our industry and international business and familiarity with Broadcom; experience as a board member of another publicly traded company; practical and mature business judgment; current Board size and composition and the extent to which a candidate would fill a present need on our Board; and the other ongoing commitments and obligations of the candidate. The Nominating and Corporate Governance Committee also routinely considers diversity as part of their deliberations, including with respect to the appointment of Ms. Delly to the Board, which is discussed below. However, the Nominating and Corporate Governance Committee does not have any minimum criteria for director candidates. Consideration of new director candidates will typically involve a series of internal discussions, review of information concerning candidates and interviews with selected candidates. Ms. Delly,</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who joined our Board in December 2017, was first suggested as a prospective Board candidate by a third party search firm retained by the Nominating and Corporate Governance Committee. Ms. Delly was then evaluated by the Nominating and Corporate Governance Committee according to its practice described above.</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99"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The Executive Committee has the authority, among other things and subject to specified limitations, to review and approve on behalf of our Board:</w:t>
      </w:r>
    </w:p>
    <w:p>
      <w:pPr>
        <w:spacing w:after="0" w:line="62" w:lineRule="exact"/>
        <w:rPr>
          <w:sz w:val="20"/>
          <w:szCs w:val="20"/>
          <w:color w:val="auto"/>
        </w:rPr>
      </w:pPr>
    </w:p>
    <w:p>
      <w:pPr>
        <w:ind w:left="1280" w:hanging="428"/>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investments, acquisitions, dispositions and capital expenditures;</w:t>
      </w:r>
    </w:p>
    <w:p>
      <w:pPr>
        <w:spacing w:after="0" w:line="76" w:lineRule="exact"/>
        <w:rPr>
          <w:rFonts w:ascii="Arial" w:cs="Arial" w:eastAsia="Arial" w:hAnsi="Arial"/>
          <w:sz w:val="18"/>
          <w:szCs w:val="18"/>
          <w:color w:val="auto"/>
        </w:rPr>
      </w:pPr>
    </w:p>
    <w:p>
      <w:pPr>
        <w:ind w:left="1280" w:right="440" w:hanging="428"/>
        <w:spacing w:after="0" w:line="246" w:lineRule="auto"/>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or incremental debt financings or borrowings, or amendments thereto, or refinancings thereof, including convertible debt; and</w:t>
      </w:r>
    </w:p>
    <w:p>
      <w:pPr>
        <w:spacing w:after="0" w:line="61" w:lineRule="exact"/>
        <w:rPr>
          <w:rFonts w:ascii="Arial" w:cs="Arial" w:eastAsia="Arial" w:hAnsi="Arial"/>
          <w:sz w:val="18"/>
          <w:szCs w:val="18"/>
          <w:color w:val="auto"/>
        </w:rPr>
      </w:pPr>
    </w:p>
    <w:p>
      <w:pPr>
        <w:ind w:left="1280" w:hanging="428"/>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treasury, cash management and other banking matters.</w:t>
      </w:r>
    </w:p>
    <w:p>
      <w:pPr>
        <w:spacing w:after="0" w:line="63" w:lineRule="exact"/>
        <w:rPr>
          <w:sz w:val="20"/>
          <w:szCs w:val="20"/>
          <w:color w:val="auto"/>
        </w:rPr>
      </w:pPr>
    </w:p>
    <w:p>
      <w:pPr>
        <w:ind w:left="200" w:right="600" w:firstLine="551"/>
        <w:spacing w:after="0" w:line="246" w:lineRule="auto"/>
        <w:rPr>
          <w:sz w:val="20"/>
          <w:szCs w:val="20"/>
          <w:color w:val="auto"/>
        </w:rPr>
      </w:pPr>
      <w:r>
        <w:rPr>
          <w:rFonts w:ascii="Arial" w:cs="Arial" w:eastAsia="Arial" w:hAnsi="Arial"/>
          <w:sz w:val="18"/>
          <w:szCs w:val="18"/>
          <w:color w:val="auto"/>
        </w:rPr>
        <w:t>In addition, the Executive Committee may review and provide recommendations to our Board on matters requiring full Board approval, including:</w:t>
      </w:r>
    </w:p>
    <w:p>
      <w:pPr>
        <w:spacing w:after="0" w:line="62" w:lineRule="exact"/>
        <w:rPr>
          <w:sz w:val="20"/>
          <w:szCs w:val="20"/>
          <w:color w:val="auto"/>
        </w:rPr>
      </w:pPr>
    </w:p>
    <w:p>
      <w:pPr>
        <w:ind w:left="1280" w:hanging="428"/>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opportunities, strategies and proposals, and other strategic matters;</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plans, annual budgets, targets, operational plans, capital structure and dividend policy;</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proposed transactions that exceed the Executive Committee’s approval thresholds; and</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efficient organization and management structure of our Company.</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 and Role in Risk Management</w:t>
      </w:r>
    </w:p>
    <w:p>
      <w:pPr>
        <w:spacing w:after="0" w:line="85"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Our Board believes that Broadcom and its shareholders are best served by a Board leadership structure in which the roles of the Chief Executive Officer and the Chairman of the Board are held by different individuals. Under this structure our Chief Executive Officer is generally responsible for setting the strategic direction of our Company and for the day-to-day leadership of our operations. The Chairman provides strong independent leadership to assist our Board in fulfilling its role of overseeing the management of Broadcom and our risk management practices, approves the agenda for meetings of our Board and presides over Board meetings and over the meetings of our independent directors in executive session. Currently, Mr. Tan serves as our President and Chief Executive Officer and Mr. Diller, an independent director, serves as Chairman of the Board.</w:t>
      </w:r>
    </w:p>
    <w:p>
      <w:pPr>
        <w:spacing w:after="0" w:line="149"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Board is responsible for overseeing the management of risks facing our Company, both as a whole and through its committees. Our Board regularly reviews and discusses with management information regarding our operations, liquidity and credit, as well as the risks associated with each. The Audit Committee reviews and discusses with management significant financial, legal and regulatory risks and the steps management takes to monitor, control and report such exposures. It also oversees our periodic enterprise-wide risk evaluations conducted by our management. The Compensation Committee oversees management of risks relating to our compensation plans and programs for executives and employees in general. The Nominating and Corporate Governance Committee oversees management of risks associated with corporate governance, director independence and conflicts of interest. Additional details regarding the responsibilities of each of these committees are discussed in more detail above, under “</w:t>
      </w:r>
      <w:r>
        <w:rPr>
          <w:rFonts w:ascii="Arial" w:cs="Arial" w:eastAsia="Arial" w:hAnsi="Arial"/>
          <w:sz w:val="18"/>
          <w:szCs w:val="18"/>
          <w:i w:val="1"/>
          <w:iCs w:val="1"/>
          <w:color w:val="auto"/>
        </w:rPr>
        <w:t>Board Committees</w:t>
      </w:r>
      <w:r>
        <w:rPr>
          <w:rFonts w:ascii="Arial" w:cs="Arial" w:eastAsia="Arial" w:hAnsi="Arial"/>
          <w:sz w:val="18"/>
          <w:szCs w:val="18"/>
          <w:color w:val="auto"/>
        </w:rPr>
        <w:t>”. The committees report regularly to our Board on matters relating to the specific areas of risk the committees oversee. Members of management report, at least annually, on our risk management policies and practices to the relevant committees and to the full Board.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5"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The current members of the Compensation Committee, Messrs. Diller, Eggebrecht, Hartenstein and Macleod, are not, and have never been, officers or employees of Broadcom. During Fiscal Year 2017, none of our executive officers served on the board of directors or compensation committee of any other entity that has one or more executive officers serving as a member of our Board or the Compensation Committee.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Assessment and Compensation Practices</w:t>
      </w:r>
    </w:p>
    <w:p>
      <w:pPr>
        <w:spacing w:after="0" w:line="99"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Our management conducted its annual review of our compensation policies and practices for our employees, as they relate to our risk management, in January 2018, and reported their findings to the Compensation Committee. Management has concluded that our compensation policies and practices (described in more detail under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and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below) balance short- and long-term goals and awards, as well as the mix of the cash and equity components. Based</w:t>
      </w:r>
      <w:r>
        <w:rPr>
          <w:rFonts w:ascii="Arial" w:cs="Arial" w:eastAsia="Arial" w:hAnsi="Arial"/>
          <w:sz w:val="18"/>
          <w:szCs w:val="18"/>
          <w:i w:val="1"/>
          <w:iCs w:val="1"/>
          <w:color w:val="auto"/>
        </w:rPr>
        <w:t xml:space="preserve"> </w:t>
      </w:r>
      <w:r>
        <w:rPr>
          <w:rFonts w:ascii="Arial" w:cs="Arial" w:eastAsia="Arial" w:hAnsi="Arial"/>
          <w:sz w:val="18"/>
          <w:szCs w:val="18"/>
          <w:color w:val="auto"/>
        </w:rPr>
        <w:t>upon this review, management believes the elements of our compensation programs do not encourage unnecessary or excessive risk-taking, and are not reasonably likely to have a material adverse effect on our Company in the future.</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Communications With Our Board</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Holders of our ordinary shares may communicate with our Board at the following address: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w:t>
      </w:r>
    </w:p>
    <w:p>
      <w:pPr>
        <w:ind w:left="760"/>
        <w:spacing w:after="0" w:line="234" w:lineRule="auto"/>
        <w:rPr>
          <w:sz w:val="20"/>
          <w:szCs w:val="20"/>
          <w:color w:val="auto"/>
        </w:rPr>
      </w:pPr>
      <w:r>
        <w:rPr>
          <w:rFonts w:ascii="Arial" w:cs="Arial" w:eastAsia="Arial" w:hAnsi="Arial"/>
          <w:sz w:val="18"/>
          <w:szCs w:val="18"/>
          <w:color w:val="auto"/>
        </w:rPr>
        <w:t>Broadcom Limited</w:t>
      </w:r>
    </w:p>
    <w:p>
      <w:pPr>
        <w:ind w:left="760"/>
        <w:spacing w:after="0" w:line="235" w:lineRule="auto"/>
        <w:rPr>
          <w:sz w:val="20"/>
          <w:szCs w:val="20"/>
          <w:color w:val="auto"/>
        </w:rPr>
      </w:pPr>
      <w:r>
        <w:rPr>
          <w:rFonts w:ascii="Arial" w:cs="Arial" w:eastAsia="Arial" w:hAnsi="Arial"/>
          <w:sz w:val="18"/>
          <w:szCs w:val="18"/>
          <w:color w:val="auto"/>
        </w:rPr>
        <w:t>c/o Chief Legal Officer</w:t>
      </w:r>
    </w:p>
    <w:p>
      <w:pPr>
        <w:ind w:left="760"/>
        <w:spacing w:after="0" w:line="235" w:lineRule="auto"/>
        <w:rPr>
          <w:sz w:val="20"/>
          <w:szCs w:val="20"/>
          <w:color w:val="auto"/>
        </w:rPr>
      </w:pPr>
      <w:r>
        <w:rPr>
          <w:rFonts w:ascii="Arial" w:cs="Arial" w:eastAsia="Arial" w:hAnsi="Arial"/>
          <w:sz w:val="18"/>
          <w:szCs w:val="18"/>
          <w:color w:val="auto"/>
        </w:rPr>
        <w:t>1320 Ridder Park Drive</w:t>
      </w:r>
    </w:p>
    <w:p>
      <w:pPr>
        <w:ind w:left="760"/>
        <w:spacing w:after="0" w:line="235" w:lineRule="auto"/>
        <w:rPr>
          <w:sz w:val="20"/>
          <w:szCs w:val="20"/>
          <w:color w:val="auto"/>
        </w:rPr>
      </w:pPr>
      <w:r>
        <w:rPr>
          <w:rFonts w:ascii="Arial" w:cs="Arial" w:eastAsia="Arial" w:hAnsi="Arial"/>
          <w:sz w:val="18"/>
          <w:szCs w:val="18"/>
          <w:color w:val="auto"/>
        </w:rPr>
        <w:t>San Jose, California 95131</w:t>
      </w:r>
    </w:p>
    <w:p>
      <w:pPr>
        <w:ind w:left="760"/>
        <w:spacing w:after="0"/>
        <w:rPr>
          <w:sz w:val="20"/>
          <w:szCs w:val="20"/>
          <w:color w:val="auto"/>
        </w:rPr>
      </w:pPr>
      <w:r>
        <w:rPr>
          <w:rFonts w:ascii="Arial" w:cs="Arial" w:eastAsia="Arial" w:hAnsi="Arial"/>
          <w:sz w:val="18"/>
          <w:szCs w:val="18"/>
          <w:color w:val="auto"/>
        </w:rPr>
        <w:t>U.S.A.</w:t>
      </w:r>
    </w:p>
    <w:p>
      <w:pPr>
        <w:spacing w:after="0" w:line="158" w:lineRule="exact"/>
        <w:rPr>
          <w:sz w:val="20"/>
          <w:szCs w:val="20"/>
          <w:color w:val="auto"/>
        </w:rPr>
      </w:pPr>
    </w:p>
    <w:p>
      <w:pPr>
        <w:ind w:left="200" w:right="300" w:firstLine="551"/>
        <w:spacing w:after="0"/>
        <w:rPr>
          <w:sz w:val="20"/>
          <w:szCs w:val="20"/>
          <w:color w:val="auto"/>
        </w:rPr>
      </w:pPr>
      <w:r>
        <w:rPr>
          <w:rFonts w:ascii="Arial" w:cs="Arial" w:eastAsia="Arial" w:hAnsi="Arial"/>
          <w:sz w:val="18"/>
          <w:szCs w:val="18"/>
          <w:color w:val="auto"/>
        </w:rPr>
        <w:t>Communications are distributed to our Board or to any individual director, as appropriate, depending on the facts and circumstances outlined in the communication. Communications that are unduly hostile, threatening, illegal or similarly unsuitable will be excluded, but will be made available to any director upon request.</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Nominations to Our Board of Directors</w:t>
      </w:r>
    </w:p>
    <w:p>
      <w:pPr>
        <w:spacing w:after="0" w:line="99"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Under our Constitution, no person is eligible for appointment as a director at any general meeting of shareholders (including an incumbent director), without the recommendation of our Board for election. In addition, a person may be appointed as director if such person is proposed by (a) a shareholder or shareholders who in aggregate hold(s) more than 50% of the total number of our issued and paid-up ordinary shares (excluding treasury shares), which shareholder or shareholders, not less than 10 days before, or (b) a shareholder or shareholders who in aggregate hold(s) more than five percent of the total number of our issued and paid-up ordinary shares (excluding treasury shares), which shareholder or shareholders, not less than 120 days before, the date of the notice provided to shareholders in connection with the general meeting lodges at our registered office in Singapore a written notice signed by such shareholder or shareholders (other than the person to be proposed for appointment), who (i) are qualified to attend and vote at the meeting for which such notice is given, and (ii) have held ordinary shares representing the prescribed threshold in (a) or (b) above, for a continuous period of at least one year prior to the date on which such notice is given. Such a notice must also include the consent of the person nominated to serve as a director, if elected, as well as the information specified below.</w:t>
      </w:r>
    </w:p>
    <w:p>
      <w:pPr>
        <w:spacing w:after="0" w:line="152" w:lineRule="exact"/>
        <w:rPr>
          <w:sz w:val="20"/>
          <w:szCs w:val="20"/>
          <w:color w:val="auto"/>
        </w:rPr>
      </w:pPr>
    </w:p>
    <w:p>
      <w:pPr>
        <w:ind w:left="200" w:right="380" w:firstLine="551"/>
        <w:spacing w:after="0"/>
        <w:rPr>
          <w:sz w:val="20"/>
          <w:szCs w:val="20"/>
          <w:color w:val="auto"/>
        </w:rPr>
      </w:pPr>
      <w:r>
        <w:rPr>
          <w:rFonts w:ascii="Arial" w:cs="Arial" w:eastAsia="Arial" w:hAnsi="Arial"/>
          <w:sz w:val="18"/>
          <w:szCs w:val="18"/>
          <w:color w:val="auto"/>
        </w:rPr>
        <w:t>Holders of our ordinary shares can recommend qualified candidates for our Board by submitting recommendations to our Chief Legal Officer Broadcom Limited, 1320 Ridder Park Drive, San Jose, California 95131, U.S.A. Submissions that include the following requirements will be forwarded to our Nominating and Corporate Governance Committee for review and consideration:</w:t>
      </w:r>
    </w:p>
    <w:p>
      <w:pPr>
        <w:spacing w:after="0" w:line="68" w:lineRule="exact"/>
        <w:rPr>
          <w:sz w:val="20"/>
          <w:szCs w:val="20"/>
          <w:color w:val="auto"/>
        </w:rPr>
      </w:pPr>
    </w:p>
    <w:p>
      <w:pPr>
        <w:ind w:left="1280" w:hanging="428"/>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candidate’s name and personal and business addresses;</w:t>
      </w:r>
    </w:p>
    <w:p>
      <w:pPr>
        <w:spacing w:after="0" w:line="76" w:lineRule="exact"/>
        <w:rPr>
          <w:rFonts w:ascii="Arial" w:cs="Arial" w:eastAsia="Arial" w:hAnsi="Arial"/>
          <w:sz w:val="18"/>
          <w:szCs w:val="18"/>
          <w:color w:val="auto"/>
        </w:rPr>
      </w:pPr>
    </w:p>
    <w:p>
      <w:pPr>
        <w:jc w:val="both"/>
        <w:ind w:left="1280" w:right="440" w:hanging="428"/>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resume or curriculum vitae describing the candidate’s principal occupation, business experience, education and other relevant qualifications, and an explanation that clearly indicates how he or she has the necessary experience, skills and qualifications to serve as a director;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80" w:right="280" w:hanging="428"/>
        <w:spacing w:after="0" w:line="239"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description of any relationship, agreement or understanding between the candidate or any affiliate of the candidate and any customer, supplier or competitor of our, or any other relationship or understanding that might be relevant to a determination of the independence of the candidate as director, or affect the independent status of our independent registered public accounting firm;</w:t>
      </w:r>
    </w:p>
    <w:p>
      <w:pPr>
        <w:spacing w:after="0" w:line="66" w:lineRule="exact"/>
        <w:rPr>
          <w:rFonts w:ascii="Arial" w:cs="Arial" w:eastAsia="Arial" w:hAnsi="Arial"/>
          <w:sz w:val="18"/>
          <w:szCs w:val="18"/>
          <w:color w:val="auto"/>
        </w:rPr>
      </w:pPr>
    </w:p>
    <w:p>
      <w:pPr>
        <w:ind w:left="1280" w:right="140" w:hanging="428"/>
        <w:spacing w:after="0" w:line="238"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statement as to whether or not, during the past 10 years, the candidate has been convicted in a criminal proceeding (excluding minor traffic violations) and, if so, the dates, the nature of the conviction, the name or other disposition of the case, and whether the individual has been involved in any other legal proceeding during the past 10 years, and any other information that would be required under SEC rules to be included in a proxy statement soliciting proxies for the election of such candidate as a director;</w:t>
      </w:r>
    </w:p>
    <w:p>
      <w:pPr>
        <w:spacing w:after="0" w:line="67" w:lineRule="exact"/>
        <w:rPr>
          <w:rFonts w:ascii="Arial" w:cs="Arial" w:eastAsia="Arial" w:hAnsi="Arial"/>
          <w:sz w:val="18"/>
          <w:szCs w:val="18"/>
          <w:color w:val="auto"/>
        </w:rPr>
      </w:pPr>
    </w:p>
    <w:p>
      <w:pPr>
        <w:ind w:left="1280" w:right="360" w:hanging="428"/>
        <w:spacing w:after="0" w:line="246"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signed statement from the candidate that he or she consents to serve on our Board if elected and that he or she is not disqualified under the Singapore Companies Act from acting as a director; and</w:t>
      </w:r>
    </w:p>
    <w:p>
      <w:pPr>
        <w:spacing w:after="0" w:line="61" w:lineRule="exact"/>
        <w:rPr>
          <w:rFonts w:ascii="Arial" w:cs="Arial" w:eastAsia="Arial" w:hAnsi="Arial"/>
          <w:sz w:val="18"/>
          <w:szCs w:val="18"/>
          <w:color w:val="auto"/>
        </w:rPr>
      </w:pPr>
    </w:p>
    <w:p>
      <w:pPr>
        <w:ind w:left="1280" w:right="200" w:hanging="428"/>
        <w:spacing w:after="0" w:line="239"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statement from the person submitting the candidate that he or she is the registered holder of ordinary shares, or if the shareholder is not the registered holder, a written statement from the broker, bank or other nominee holder of the ordinary shares verifying that at the time the shareholder submitted the candidate that he or she was a beneficial owner of ordinary shares.</w:t>
      </w:r>
    </w:p>
    <w:p>
      <w:pPr>
        <w:spacing w:after="0" w:line="148"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Qualified director candidates suggested by holders of our ordinary shares will be evaluated in the same manner as any other candidate for election to our Board (other than those standing for re-election).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Ethics and Business Conduct</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Board has adopted a Code of Ethics and Business Conduct that is applicable to all members of our Board, executive officers</w:t>
      </w:r>
    </w:p>
    <w:p>
      <w:pPr>
        <w:ind w:left="200"/>
        <w:spacing w:after="0"/>
        <w:rPr>
          <w:sz w:val="20"/>
          <w:szCs w:val="20"/>
          <w:color w:val="auto"/>
        </w:rPr>
      </w:pPr>
      <w:r>
        <w:rPr>
          <w:rFonts w:ascii="Arial" w:cs="Arial" w:eastAsia="Arial" w:hAnsi="Arial"/>
          <w:sz w:val="17"/>
          <w:szCs w:val="17"/>
          <w:color w:val="auto"/>
        </w:rPr>
        <w:t>and employees, including our Chief Executive Officer, Chief Financial Officer and principal accounting officer. A copy of the Code of Ethics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Business Conduct is available in the “Investor Center—Corporate Governance—Documents” section of our website</w:t>
      </w:r>
    </w:p>
    <w:p>
      <w:pPr>
        <w:ind w:left="2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http://investors.broadcom.com/phoenix.zhtml?c=203541&amp;p=irol-govhighlights</w:t>
      </w:r>
      <w:r>
        <w:rPr>
          <w:rFonts w:ascii="Arial" w:cs="Arial" w:eastAsia="Arial" w:hAnsi="Arial"/>
          <w:sz w:val="18"/>
          <w:szCs w:val="18"/>
          <w:color w:val="auto"/>
        </w:rPr>
        <w:t>). Shareholders may also request a copy in print from:</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Investor Relations, Broadcom Limited, 1320 Ridder Park Drive, San Jose, California 95131, U.S.A.</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 Guidelines</w:t>
      </w:r>
    </w:p>
    <w:p>
      <w:pPr>
        <w:spacing w:after="0" w:line="85"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Our Board is committed to using sound corporate governance practices to help fulfill our responsibilities to our shareholders. As such, our Board has adopted Corporate Governance Guidelines, a copy of which is available in the “Investor Center—Corporate Governance—Documents” section of our website (</w:t>
      </w:r>
      <w:r>
        <w:rPr>
          <w:rFonts w:ascii="Arial" w:cs="Arial" w:eastAsia="Arial" w:hAnsi="Arial"/>
          <w:sz w:val="18"/>
          <w:szCs w:val="18"/>
          <w:u w:val="single" w:color="auto"/>
          <w:color w:val="auto"/>
        </w:rPr>
        <w:t>http://investors.broadcom.com/phoenix.zhtml?c=203541&amp;p=irol-govhighlights</w:t>
      </w:r>
      <w:r>
        <w:rPr>
          <w:rFonts w:ascii="Arial" w:cs="Arial" w:eastAsia="Arial" w:hAnsi="Arial"/>
          <w:sz w:val="18"/>
          <w:szCs w:val="18"/>
          <w:color w:val="auto"/>
        </w:rPr>
        <w:t>). Shareholders may also request a copy in print from: Investor Relations, Broadcom Limited, 1320 Ridder Park Drive, San Jose, California 95131, U.S.A. Among the policies included in our Corporate Governance Guidelines are the following:</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Directors with Significant Job Change</w:t>
      </w:r>
    </w:p>
    <w:p>
      <w:pPr>
        <w:spacing w:after="0" w:line="99"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Any director who retires from his or her present employment, or who materially changes his or her position, is required to submit an offer of resignation as a director of our Board. Our Board will then evaluate whether the individual should continue to sit on our Board in light of his or her new occupational status and decide whether or not to accept the director’s offer of resignation.</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Director’s Offer of Resignation at Age 75</w:t>
      </w:r>
    </w:p>
    <w:p>
      <w:pPr>
        <w:spacing w:after="0" w:line="85" w:lineRule="exact"/>
        <w:rPr>
          <w:sz w:val="20"/>
          <w:szCs w:val="20"/>
          <w:color w:val="auto"/>
        </w:rPr>
      </w:pPr>
    </w:p>
    <w:p>
      <w:pPr>
        <w:ind w:left="200" w:right="60" w:firstLine="551"/>
        <w:spacing w:after="0" w:line="255" w:lineRule="auto"/>
        <w:rPr>
          <w:sz w:val="20"/>
          <w:szCs w:val="20"/>
          <w:color w:val="auto"/>
        </w:rPr>
      </w:pPr>
      <w:r>
        <w:rPr>
          <w:rFonts w:ascii="Arial" w:cs="Arial" w:eastAsia="Arial" w:hAnsi="Arial"/>
          <w:sz w:val="17"/>
          <w:szCs w:val="17"/>
          <w:color w:val="auto"/>
        </w:rPr>
        <w:t>Our Board does not currently believe that a mandatory retirement age for non-employee directors is necessary, and that continued service by a particular director may be in the best interests of our Company and our shareholders, regardless of such director’s age. However, when a non-employee director reaches the age of 75 years, he or she is required to offer his or her resignation to our Board, to be effective as of the next annual general meeting of shareholders. Our Board will determine, based on individual circumstances, the needs of our Board and the interests of our Company and our shareholders, whether or not to accept such resignation.</w:t>
      </w:r>
    </w:p>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700"/>
        <w:spacing w:after="0" w:line="246" w:lineRule="auto"/>
        <w:rPr>
          <w:sz w:val="20"/>
          <w:szCs w:val="20"/>
          <w:color w:val="auto"/>
        </w:rPr>
      </w:pPr>
      <w:r>
        <w:rPr>
          <w:rFonts w:ascii="Arial" w:cs="Arial" w:eastAsia="Arial" w:hAnsi="Arial"/>
          <w:sz w:val="18"/>
          <w:szCs w:val="18"/>
          <w:color w:val="auto"/>
        </w:rPr>
        <w:t>Accordingly, no person would be eligible to stand for election or re-election to our Board after attaining the age of 75 without being specifically nominated as a candidate by our Board.</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Share Ownership Guidelines</w:t>
      </w:r>
    </w:p>
    <w:p>
      <w:pPr>
        <w:spacing w:after="0" w:line="8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director share ownership guidelines, as adopted in February 2016, encourage our non-employees directors to hold our ordinary shares having a fair market value equal to three times the annual cash retainer paid to non-employee directors for service on our Board (which amounts to $240,000 currently), measured using the closing price per ordinary share as quoted on the Nasdaq Global Select Market on the date of valuation. Outstanding restricted share units (“</w:t>
      </w:r>
      <w:r>
        <w:rPr>
          <w:rFonts w:ascii="Arial" w:cs="Arial" w:eastAsia="Arial" w:hAnsi="Arial"/>
          <w:sz w:val="18"/>
          <w:szCs w:val="18"/>
          <w:u w:val="single" w:color="auto"/>
          <w:color w:val="auto"/>
        </w:rPr>
        <w:t>RSUs</w:t>
      </w:r>
      <w:r>
        <w:rPr>
          <w:rFonts w:ascii="Arial" w:cs="Arial" w:eastAsia="Arial" w:hAnsi="Arial"/>
          <w:sz w:val="18"/>
          <w:szCs w:val="18"/>
          <w:color w:val="auto"/>
        </w:rPr>
        <w:t>”) held by a director count in full toward achieving the guideline level of share ownership. The guidelines encourage our non-employee directors to reach this goal within five years of the date of their appointment or election to our Board, and to hold at least such minimum value in shares for as long as he or she serves on our Board. As of February 12, 2018, all of our non-employee directors, other than Ms. Delly, who was appointed to our Board in December 2017, have achieved the guideline level of share ownership.</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Forward-Looking Statements</w:t>
      </w:r>
    </w:p>
    <w:p>
      <w:pPr>
        <w:spacing w:after="0" w:line="85"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This Proxy Statement contains forward-looking statements. We have based these forward-looking statements largely on our current expectations and projections about future events. Forward-looking statements contained in this Proxy Statement should be considered in light of the many uncertainties that affect our business and specifically those factors discussed from time to time in our public reports filed with the SEC, such as those discussed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Fiscal Year 2017 (the “</w:t>
      </w:r>
      <w:r>
        <w:rPr>
          <w:rFonts w:ascii="Arial" w:cs="Arial" w:eastAsia="Arial" w:hAnsi="Arial"/>
          <w:sz w:val="18"/>
          <w:szCs w:val="18"/>
          <w:u w:val="single" w:color="auto"/>
          <w:color w:val="auto"/>
        </w:rPr>
        <w:t>2017 Form 10-K</w:t>
      </w:r>
      <w:r>
        <w:rPr>
          <w:rFonts w:ascii="Arial" w:cs="Arial" w:eastAsia="Arial" w:hAnsi="Arial"/>
          <w:sz w:val="18"/>
          <w:szCs w:val="18"/>
          <w:color w:val="auto"/>
        </w:rPr>
        <w:t>”), and as may be updated in our subsequent SEC filings.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DIRECTORS’ COMPENSATION</w:t>
      </w:r>
    </w:p>
    <w:p>
      <w:pPr>
        <w:spacing w:after="0" w:line="180"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Our non-employee directors receive cash and equity compensation in consideration for their service on our Board, as set forth in more detail below. Non-employee directors are reimbursed, or we pay, for travel and other out-of-pocket expenses related to their attendance at Board and committee meetings and other travel at our request. Non-employee directors do not receive any non-equity incentive compensation, or participate in any company pension plan or deferred compensation plan. Under the laws of Singapore, our shareholders must approve all cash compensation paid to our non-employee directors. We do not compensate Mr. Tan and Dr. Samueli for their service on our Board or any committee of our Board.</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 Cash Compensation</w:t>
      </w:r>
    </w:p>
    <w:p>
      <w:pPr>
        <w:spacing w:after="0" w:line="85"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At our 2016 AGM, our shareholders approved the cash compensation arrangements for our non-employee directors currently in effect. Our non-employee directors are entitled to receive the following annual cash compensation, payable quarterly:</w:t>
      </w:r>
    </w:p>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80" w:type="dxa"/>
            <w:vAlign w:val="bottom"/>
            <w:shd w:val="clear" w:color="auto" w:fill="7F7F7F"/>
          </w:tcPr>
          <w:p>
            <w:pPr>
              <w:spacing w:after="0"/>
              <w:rPr>
                <w:sz w:val="17"/>
                <w:szCs w:val="17"/>
                <w:color w:val="auto"/>
              </w:rPr>
            </w:pPr>
          </w:p>
        </w:tc>
        <w:tc>
          <w:tcPr>
            <w:tcW w:w="3640" w:type="dxa"/>
            <w:vAlign w:val="bottom"/>
            <w:gridSpan w:val="2"/>
            <w:shd w:val="clear" w:color="auto" w:fill="7F7F7F"/>
          </w:tcPr>
          <w:p>
            <w:pPr>
              <w:jc w:val="right"/>
              <w:ind w:right="870"/>
              <w:spacing w:after="0"/>
              <w:rPr>
                <w:sz w:val="20"/>
                <w:szCs w:val="20"/>
                <w:color w:val="auto"/>
              </w:rPr>
            </w:pPr>
            <w:r>
              <w:rPr>
                <w:rFonts w:ascii="Arial" w:cs="Arial" w:eastAsia="Arial" w:hAnsi="Arial"/>
                <w:sz w:val="18"/>
                <w:szCs w:val="18"/>
                <w:b w:val="1"/>
                <w:bCs w:val="1"/>
                <w:color w:val="FFFFFF"/>
              </w:rPr>
              <w:t>Annual Fees</w:t>
            </w: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Board membership (including the Chairperson of the Board)</w:t>
            </w:r>
          </w:p>
        </w:tc>
        <w:tc>
          <w:tcPr>
            <w:tcW w:w="1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80,000</w:t>
            </w:r>
          </w:p>
        </w:tc>
      </w:tr>
      <w:tr>
        <w:trPr>
          <w:trHeight w:val="203"/>
        </w:trPr>
        <w:tc>
          <w:tcPr>
            <w:tcW w:w="20" w:type="dxa"/>
            <w:vAlign w:val="bottom"/>
          </w:tcPr>
          <w:p>
            <w:pPr>
              <w:spacing w:after="0"/>
              <w:rPr>
                <w:sz w:val="17"/>
                <w:szCs w:val="17"/>
                <w:color w:val="auto"/>
              </w:rPr>
            </w:pPr>
          </w:p>
        </w:tc>
        <w:tc>
          <w:tcPr>
            <w:tcW w:w="73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Additional amounts, as applicable, payable to:</w:t>
            </w:r>
          </w:p>
        </w:tc>
        <w:tc>
          <w:tcPr>
            <w:tcW w:w="1900" w:type="dxa"/>
            <w:vAlign w:val="bottom"/>
            <w:shd w:val="clear" w:color="auto" w:fill="BFBFBF"/>
          </w:tcPr>
          <w:p>
            <w:pPr>
              <w:spacing w:after="0"/>
              <w:rPr>
                <w:sz w:val="17"/>
                <w:szCs w:val="17"/>
                <w:color w:val="auto"/>
              </w:rPr>
            </w:pPr>
          </w:p>
        </w:tc>
        <w:tc>
          <w:tcPr>
            <w:tcW w:w="1740" w:type="dxa"/>
            <w:vAlign w:val="bottom"/>
            <w:shd w:val="clear" w:color="auto" w:fill="BFBFB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160"/>
              <w:spacing w:after="0" w:line="202" w:lineRule="exact"/>
              <w:rPr>
                <w:sz w:val="20"/>
                <w:szCs w:val="20"/>
                <w:color w:val="auto"/>
              </w:rPr>
            </w:pPr>
            <w:r>
              <w:rPr>
                <w:rFonts w:ascii="Arial" w:cs="Arial" w:eastAsia="Arial" w:hAnsi="Arial"/>
                <w:sz w:val="18"/>
                <w:szCs w:val="18"/>
                <w:color w:val="auto"/>
              </w:rPr>
              <w:t>Chairperson of the Board</w:t>
            </w:r>
          </w:p>
        </w:tc>
        <w:tc>
          <w:tcPr>
            <w:tcW w:w="1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150,000</w:t>
            </w:r>
          </w:p>
        </w:tc>
      </w:tr>
      <w:tr>
        <w:trPr>
          <w:trHeight w:val="203"/>
        </w:trPr>
        <w:tc>
          <w:tcPr>
            <w:tcW w:w="20" w:type="dxa"/>
            <w:vAlign w:val="bottom"/>
          </w:tcPr>
          <w:p>
            <w:pPr>
              <w:spacing w:after="0"/>
              <w:rPr>
                <w:sz w:val="17"/>
                <w:szCs w:val="17"/>
                <w:color w:val="auto"/>
              </w:rPr>
            </w:pPr>
          </w:p>
        </w:tc>
        <w:tc>
          <w:tcPr>
            <w:tcW w:w="73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Chairperson of the Audit Committee</w:t>
            </w:r>
          </w:p>
        </w:tc>
        <w:tc>
          <w:tcPr>
            <w:tcW w:w="1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BFBFBF"/>
          </w:tcPr>
          <w:p>
            <w:pPr>
              <w:jc w:val="right"/>
              <w:ind w:right="890"/>
              <w:spacing w:after="0" w:line="202" w:lineRule="exact"/>
              <w:rPr>
                <w:sz w:val="20"/>
                <w:szCs w:val="20"/>
                <w:color w:val="auto"/>
              </w:rPr>
            </w:pPr>
            <w:r>
              <w:rPr>
                <w:rFonts w:ascii="Arial" w:cs="Arial" w:eastAsia="Arial" w:hAnsi="Arial"/>
                <w:sz w:val="18"/>
                <w:szCs w:val="18"/>
                <w:color w:val="auto"/>
              </w:rPr>
              <w:t>35,000</w:t>
            </w:r>
          </w:p>
        </w:tc>
      </w:tr>
      <w:tr>
        <w:trPr>
          <w:trHeight w:val="203"/>
        </w:trPr>
        <w:tc>
          <w:tcPr>
            <w:tcW w:w="20" w:type="dxa"/>
            <w:vAlign w:val="bottom"/>
          </w:tcPr>
          <w:p>
            <w:pPr>
              <w:spacing w:after="0"/>
              <w:rPr>
                <w:sz w:val="17"/>
                <w:szCs w:val="17"/>
                <w:color w:val="auto"/>
              </w:rPr>
            </w:pPr>
          </w:p>
        </w:tc>
        <w:tc>
          <w:tcPr>
            <w:tcW w:w="7380" w:type="dxa"/>
            <w:vAlign w:val="bottom"/>
          </w:tcPr>
          <w:p>
            <w:pPr>
              <w:ind w:left="160"/>
              <w:spacing w:after="0" w:line="202" w:lineRule="exact"/>
              <w:rPr>
                <w:sz w:val="20"/>
                <w:szCs w:val="20"/>
                <w:color w:val="auto"/>
              </w:rPr>
            </w:pPr>
            <w:r>
              <w:rPr>
                <w:rFonts w:ascii="Arial" w:cs="Arial" w:eastAsia="Arial" w:hAnsi="Arial"/>
                <w:sz w:val="18"/>
                <w:szCs w:val="18"/>
                <w:color w:val="auto"/>
              </w:rPr>
              <w:t>Chairperson of the Compensation Committee</w:t>
            </w:r>
          </w:p>
        </w:tc>
        <w:tc>
          <w:tcPr>
            <w:tcW w:w="1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22,500</w:t>
            </w:r>
          </w:p>
        </w:tc>
      </w:tr>
      <w:tr>
        <w:trPr>
          <w:trHeight w:val="203"/>
        </w:trPr>
        <w:tc>
          <w:tcPr>
            <w:tcW w:w="20" w:type="dxa"/>
            <w:vAlign w:val="bottom"/>
          </w:tcPr>
          <w:p>
            <w:pPr>
              <w:spacing w:after="0"/>
              <w:rPr>
                <w:sz w:val="17"/>
                <w:szCs w:val="17"/>
                <w:color w:val="auto"/>
              </w:rPr>
            </w:pPr>
          </w:p>
        </w:tc>
        <w:tc>
          <w:tcPr>
            <w:tcW w:w="73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Chairperson of the Nominating and Corporate Governance Committee</w:t>
            </w:r>
          </w:p>
        </w:tc>
        <w:tc>
          <w:tcPr>
            <w:tcW w:w="1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BFBFBF"/>
          </w:tcPr>
          <w:p>
            <w:pPr>
              <w:jc w:val="right"/>
              <w:ind w:right="890"/>
              <w:spacing w:after="0" w:line="202" w:lineRule="exact"/>
              <w:rPr>
                <w:sz w:val="20"/>
                <w:szCs w:val="20"/>
                <w:color w:val="auto"/>
              </w:rPr>
            </w:pPr>
            <w:r>
              <w:rPr>
                <w:rFonts w:ascii="Arial" w:cs="Arial" w:eastAsia="Arial" w:hAnsi="Arial"/>
                <w:sz w:val="18"/>
                <w:szCs w:val="18"/>
                <w:color w:val="auto"/>
              </w:rPr>
              <w:t>18,000</w:t>
            </w:r>
          </w:p>
        </w:tc>
      </w:tr>
      <w:tr>
        <w:trPr>
          <w:trHeight w:val="203"/>
        </w:trPr>
        <w:tc>
          <w:tcPr>
            <w:tcW w:w="20" w:type="dxa"/>
            <w:vAlign w:val="bottom"/>
          </w:tcPr>
          <w:p>
            <w:pPr>
              <w:spacing w:after="0"/>
              <w:rPr>
                <w:sz w:val="17"/>
                <w:szCs w:val="17"/>
                <w:color w:val="auto"/>
              </w:rPr>
            </w:pPr>
          </w:p>
        </w:tc>
        <w:tc>
          <w:tcPr>
            <w:tcW w:w="7380" w:type="dxa"/>
            <w:vAlign w:val="bottom"/>
          </w:tcPr>
          <w:p>
            <w:pPr>
              <w:ind w:left="160"/>
              <w:spacing w:after="0" w:line="202" w:lineRule="exact"/>
              <w:rPr>
                <w:sz w:val="20"/>
                <w:szCs w:val="20"/>
                <w:color w:val="auto"/>
              </w:rPr>
            </w:pPr>
            <w:r>
              <w:rPr>
                <w:rFonts w:ascii="Arial" w:cs="Arial" w:eastAsia="Arial" w:hAnsi="Arial"/>
                <w:sz w:val="18"/>
                <w:szCs w:val="18"/>
                <w:color w:val="auto"/>
              </w:rPr>
              <w:t>Member of the Audit Committee (other than chairperson)</w:t>
            </w:r>
          </w:p>
        </w:tc>
        <w:tc>
          <w:tcPr>
            <w:tcW w:w="1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12,500</w:t>
            </w:r>
          </w:p>
        </w:tc>
      </w:tr>
      <w:tr>
        <w:trPr>
          <w:trHeight w:val="203"/>
        </w:trPr>
        <w:tc>
          <w:tcPr>
            <w:tcW w:w="20" w:type="dxa"/>
            <w:vAlign w:val="bottom"/>
          </w:tcPr>
          <w:p>
            <w:pPr>
              <w:spacing w:after="0"/>
              <w:rPr>
                <w:sz w:val="17"/>
                <w:szCs w:val="17"/>
                <w:color w:val="auto"/>
              </w:rPr>
            </w:pPr>
          </w:p>
        </w:tc>
        <w:tc>
          <w:tcPr>
            <w:tcW w:w="73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Member of the Compensation Committee (other than chairperson)</w:t>
            </w:r>
          </w:p>
        </w:tc>
        <w:tc>
          <w:tcPr>
            <w:tcW w:w="1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BFBFBF"/>
          </w:tcPr>
          <w:p>
            <w:pPr>
              <w:jc w:val="right"/>
              <w:ind w:right="890"/>
              <w:spacing w:after="0" w:line="202" w:lineRule="exact"/>
              <w:rPr>
                <w:sz w:val="20"/>
                <w:szCs w:val="20"/>
                <w:color w:val="auto"/>
              </w:rPr>
            </w:pPr>
            <w:r>
              <w:rPr>
                <w:rFonts w:ascii="Arial" w:cs="Arial" w:eastAsia="Arial" w:hAnsi="Arial"/>
                <w:sz w:val="18"/>
                <w:szCs w:val="18"/>
                <w:color w:val="auto"/>
              </w:rPr>
              <w:t>10,000</w:t>
            </w:r>
          </w:p>
        </w:tc>
      </w:tr>
      <w:tr>
        <w:trPr>
          <w:trHeight w:val="202"/>
        </w:trPr>
        <w:tc>
          <w:tcPr>
            <w:tcW w:w="20" w:type="dxa"/>
            <w:vAlign w:val="bottom"/>
          </w:tcPr>
          <w:p>
            <w:pPr>
              <w:spacing w:after="0"/>
              <w:rPr>
                <w:sz w:val="17"/>
                <w:szCs w:val="17"/>
                <w:color w:val="auto"/>
              </w:rPr>
            </w:pPr>
          </w:p>
        </w:tc>
        <w:tc>
          <w:tcPr>
            <w:tcW w:w="7380" w:type="dxa"/>
            <w:vAlign w:val="bottom"/>
          </w:tcPr>
          <w:p>
            <w:pPr>
              <w:ind w:left="160"/>
              <w:spacing w:after="0" w:line="201" w:lineRule="exact"/>
              <w:rPr>
                <w:sz w:val="20"/>
                <w:szCs w:val="20"/>
                <w:color w:val="auto"/>
              </w:rPr>
            </w:pPr>
            <w:r>
              <w:rPr>
                <w:rFonts w:ascii="Arial" w:cs="Arial" w:eastAsia="Arial" w:hAnsi="Arial"/>
                <w:sz w:val="18"/>
                <w:szCs w:val="18"/>
                <w:color w:val="auto"/>
              </w:rPr>
              <w:t>Member of the Nominating and Corporate Governance Committee</w:t>
            </w:r>
          </w:p>
        </w:tc>
        <w:tc>
          <w:tcPr>
            <w:tcW w:w="19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(other than chairperson)</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890"/>
              <w:spacing w:after="0"/>
              <w:rPr>
                <w:sz w:val="20"/>
                <w:szCs w:val="20"/>
                <w:color w:val="auto"/>
              </w:rPr>
            </w:pPr>
            <w:r>
              <w:rPr>
                <w:rFonts w:ascii="Arial" w:cs="Arial" w:eastAsia="Arial" w:hAnsi="Arial"/>
                <w:sz w:val="18"/>
                <w:szCs w:val="18"/>
                <w:color w:val="auto"/>
              </w:rPr>
              <w:t>6,000</w:t>
            </w:r>
          </w:p>
        </w:tc>
      </w:tr>
    </w:tbl>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 Equity Compensation</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non-employee directors are also entitled to receive the following equity compensation:</w:t>
      </w:r>
    </w:p>
    <w:p>
      <w:pPr>
        <w:spacing w:after="0" w:line="77" w:lineRule="exact"/>
        <w:rPr>
          <w:sz w:val="20"/>
          <w:szCs w:val="20"/>
          <w:color w:val="auto"/>
        </w:rPr>
      </w:pPr>
    </w:p>
    <w:p>
      <w:pPr>
        <w:ind w:left="1280" w:right="20" w:hanging="428"/>
        <w:spacing w:after="0" w:line="234"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appointment to our Board, an initial RSU award using a target value of $200,000, prorated based on the expected portion of a year to be served between the time of such director’s appointment and the anticipated date of our annual general meeting of shareholders immediately following the director’s appointment, issued under the Avago Technologies Limited</w:t>
      </w:r>
    </w:p>
    <w:p>
      <w:pPr>
        <w:spacing w:after="0" w:line="2" w:lineRule="exact"/>
        <w:rPr>
          <w:rFonts w:ascii="Arial" w:cs="Arial" w:eastAsia="Arial" w:hAnsi="Arial"/>
          <w:sz w:val="18"/>
          <w:szCs w:val="18"/>
          <w:color w:val="auto"/>
        </w:rPr>
      </w:pPr>
    </w:p>
    <w:p>
      <w:pPr>
        <w:ind w:left="1280" w:right="280"/>
        <w:spacing w:after="0"/>
        <w:rPr>
          <w:rFonts w:ascii="Arial" w:cs="Arial" w:eastAsia="Arial" w:hAnsi="Arial"/>
          <w:sz w:val="18"/>
          <w:szCs w:val="18"/>
          <w:color w:val="auto"/>
        </w:rPr>
      </w:pPr>
      <w:r>
        <w:rPr>
          <w:rFonts w:ascii="Arial" w:cs="Arial" w:eastAsia="Arial" w:hAnsi="Arial"/>
          <w:sz w:val="18"/>
          <w:szCs w:val="18"/>
          <w:color w:val="auto"/>
        </w:rPr>
        <w:t>2009 Equity Incentive Award Plan (the “</w:t>
      </w:r>
      <w:r>
        <w:rPr>
          <w:rFonts w:ascii="Arial" w:cs="Arial" w:eastAsia="Arial" w:hAnsi="Arial"/>
          <w:sz w:val="18"/>
          <w:szCs w:val="18"/>
          <w:u w:val="single" w:color="auto"/>
          <w:color w:val="auto"/>
        </w:rPr>
        <w:t>2009 Plan</w:t>
      </w:r>
      <w:r>
        <w:rPr>
          <w:rFonts w:ascii="Arial" w:cs="Arial" w:eastAsia="Arial" w:hAnsi="Arial"/>
          <w:sz w:val="18"/>
          <w:szCs w:val="18"/>
          <w:color w:val="auto"/>
        </w:rPr>
        <w:t>”), and vesting in full on the earlier of (i) the first anniversary of the grant date or (ii) the date on which the annual general meeting of shareholders immediately following the grant date is held, subject to the director’s continued service on our Board; and, thereafter,</w:t>
      </w:r>
    </w:p>
    <w:p>
      <w:pPr>
        <w:spacing w:after="0" w:line="67" w:lineRule="exact"/>
        <w:rPr>
          <w:rFonts w:ascii="Arial" w:cs="Arial" w:eastAsia="Arial" w:hAnsi="Arial"/>
          <w:sz w:val="18"/>
          <w:szCs w:val="18"/>
          <w:color w:val="auto"/>
        </w:rPr>
      </w:pPr>
    </w:p>
    <w:p>
      <w:pPr>
        <w:ind w:left="1280" w:right="80" w:hanging="428"/>
        <w:spacing w:after="0" w:line="239"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RSU award issued under the 2009 Plan using a target value of $200,000, to be granted on the date of each annual general meeting of shareholders, subject to the director’s re-election at such meeting, with such award vesting in full on the earlier of (i) the first anniversary of the grant date or (ii) the date on which the annual general meeting of shareholders immediately following the grant date is held, subject to the director’s continued service on our Board.</w:t>
      </w:r>
    </w:p>
    <w:p>
      <w:pPr>
        <w:spacing w:after="0" w:line="148" w:lineRule="exact"/>
        <w:rPr>
          <w:sz w:val="20"/>
          <w:szCs w:val="20"/>
          <w:color w:val="auto"/>
        </w:rPr>
      </w:pPr>
    </w:p>
    <w:p>
      <w:pPr>
        <w:jc w:val="both"/>
        <w:ind w:left="200" w:right="60" w:firstLine="551"/>
        <w:spacing w:after="0"/>
        <w:rPr>
          <w:sz w:val="20"/>
          <w:szCs w:val="20"/>
          <w:color w:val="auto"/>
        </w:rPr>
      </w:pPr>
      <w:r>
        <w:rPr>
          <w:rFonts w:ascii="Arial" w:cs="Arial" w:eastAsia="Arial" w:hAnsi="Arial"/>
          <w:sz w:val="18"/>
          <w:szCs w:val="18"/>
          <w:color w:val="auto"/>
        </w:rPr>
        <w:t>To determine the number of shares to be awarded to a non-employee director pursuant to any such grants, the value of the grant is divided by the average of our per share closing market prices, as quoted on the Nasdaq Global Select Market, over the 30 calendar days immediately preceding the effective date of grant.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Compensation for Fiscal Year 2017</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information regarding compensation earned by our non-employee directors during Fiscal Year 2017.</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80" w:type="dxa"/>
            <w:vAlign w:val="bottom"/>
            <w:shd w:val="clear" w:color="auto" w:fill="7F7F7F"/>
          </w:tcPr>
          <w:p>
            <w:pPr>
              <w:spacing w:after="0"/>
              <w:rPr>
                <w:sz w:val="17"/>
                <w:szCs w:val="17"/>
                <w:color w:val="auto"/>
              </w:rPr>
            </w:pPr>
          </w:p>
        </w:tc>
        <w:tc>
          <w:tcPr>
            <w:tcW w:w="3340" w:type="dxa"/>
            <w:vAlign w:val="bottom"/>
            <w:gridSpan w:val="2"/>
            <w:shd w:val="clear" w:color="auto" w:fill="7F7F7F"/>
          </w:tcPr>
          <w:p>
            <w:pPr>
              <w:jc w:val="right"/>
              <w:ind w:right="330"/>
              <w:spacing w:after="0"/>
              <w:rPr>
                <w:sz w:val="20"/>
                <w:szCs w:val="20"/>
                <w:color w:val="auto"/>
              </w:rPr>
            </w:pPr>
            <w:r>
              <w:rPr>
                <w:rFonts w:ascii="Arial" w:cs="Arial" w:eastAsia="Arial" w:hAnsi="Arial"/>
                <w:sz w:val="18"/>
                <w:szCs w:val="18"/>
                <w:b w:val="1"/>
                <w:bCs w:val="1"/>
                <w:color w:val="FFFFFF"/>
              </w:rPr>
              <w:t>Fees Earned or</w:t>
            </w:r>
          </w:p>
        </w:tc>
        <w:tc>
          <w:tcPr>
            <w:tcW w:w="1680" w:type="dxa"/>
            <w:vAlign w:val="bottom"/>
            <w:shd w:val="clear" w:color="auto" w:fill="7F7F7F"/>
          </w:tcPr>
          <w:p>
            <w:pPr>
              <w:jc w:val="center"/>
              <w:spacing w:after="0"/>
              <w:rPr>
                <w:sz w:val="20"/>
                <w:szCs w:val="20"/>
                <w:color w:val="auto"/>
              </w:rPr>
            </w:pPr>
            <w:r>
              <w:rPr>
                <w:rFonts w:ascii="Arial" w:cs="Arial" w:eastAsia="Arial" w:hAnsi="Arial"/>
                <w:sz w:val="18"/>
                <w:szCs w:val="18"/>
                <w:b w:val="1"/>
                <w:bCs w:val="1"/>
                <w:color w:val="FFFFFF"/>
                <w:w w:val="99"/>
              </w:rPr>
              <w:t>Share</w:t>
            </w:r>
          </w:p>
        </w:tc>
        <w:tc>
          <w:tcPr>
            <w:tcW w:w="1740" w:type="dxa"/>
            <w:vAlign w:val="bottom"/>
            <w:shd w:val="clear" w:color="auto" w:fill="7F7F7F"/>
          </w:tcPr>
          <w:p>
            <w:pPr>
              <w:spacing w:after="0"/>
              <w:rPr>
                <w:sz w:val="17"/>
                <w:szCs w:val="17"/>
                <w:color w:val="auto"/>
              </w:rPr>
            </w:pPr>
          </w:p>
        </w:tc>
        <w:tc>
          <w:tcPr>
            <w:tcW w:w="300" w:type="dxa"/>
            <w:vAlign w:val="bottom"/>
            <w:shd w:val="clear" w:color="auto" w:fill="7F7F7F"/>
          </w:tcPr>
          <w:p>
            <w:pPr>
              <w:spacing w:after="0"/>
              <w:rPr>
                <w:sz w:val="17"/>
                <w:szCs w:val="17"/>
                <w:color w:val="auto"/>
              </w:rPr>
            </w:pPr>
          </w:p>
        </w:tc>
        <w:tc>
          <w:tcPr>
            <w:tcW w:w="680" w:type="dxa"/>
            <w:vAlign w:val="bottom"/>
            <w:shd w:val="clear" w:color="auto" w:fill="7F7F7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3280" w:type="dxa"/>
            <w:vAlign w:val="bottom"/>
            <w:shd w:val="clear" w:color="auto" w:fill="7F7F7F"/>
          </w:tcPr>
          <w:p>
            <w:pPr>
              <w:spacing w:after="0"/>
              <w:rPr>
                <w:sz w:val="20"/>
                <w:szCs w:val="20"/>
                <w:color w:val="auto"/>
              </w:rPr>
            </w:pPr>
            <w:r>
              <w:rPr>
                <w:rFonts w:ascii="Arial" w:cs="Arial" w:eastAsia="Arial" w:hAnsi="Arial"/>
                <w:sz w:val="18"/>
                <w:szCs w:val="18"/>
                <w:b w:val="1"/>
                <w:bCs w:val="1"/>
                <w:color w:val="FFFFFF"/>
              </w:rPr>
              <w:t>Name</w:t>
            </w:r>
          </w:p>
        </w:tc>
        <w:tc>
          <w:tcPr>
            <w:tcW w:w="3340" w:type="dxa"/>
            <w:vAlign w:val="bottom"/>
            <w:gridSpan w:val="2"/>
            <w:shd w:val="clear" w:color="auto" w:fill="7F7F7F"/>
          </w:tcPr>
          <w:p>
            <w:pPr>
              <w:jc w:val="right"/>
              <w:ind w:right="430"/>
              <w:spacing w:after="0"/>
              <w:rPr>
                <w:sz w:val="20"/>
                <w:szCs w:val="20"/>
                <w:color w:val="auto"/>
              </w:rPr>
            </w:pPr>
            <w:r>
              <w:rPr>
                <w:rFonts w:ascii="Arial" w:cs="Arial" w:eastAsia="Arial" w:hAnsi="Arial"/>
                <w:sz w:val="18"/>
                <w:szCs w:val="18"/>
                <w:b w:val="1"/>
                <w:bCs w:val="1"/>
                <w:color w:val="FFFFFF"/>
              </w:rPr>
              <w:t>Paid in Cash</w:t>
            </w:r>
          </w:p>
        </w:tc>
        <w:tc>
          <w:tcPr>
            <w:tcW w:w="1680" w:type="dxa"/>
            <w:vAlign w:val="bottom"/>
            <w:shd w:val="clear" w:color="auto" w:fill="7F7F7F"/>
          </w:tcPr>
          <w:p>
            <w:pPr>
              <w:jc w:val="center"/>
              <w:spacing w:after="0"/>
              <w:rPr>
                <w:sz w:val="20"/>
                <w:szCs w:val="20"/>
                <w:color w:val="auto"/>
              </w:rPr>
            </w:pPr>
            <w:r>
              <w:rPr>
                <w:rFonts w:ascii="Arial" w:cs="Arial" w:eastAsia="Arial" w:hAnsi="Arial"/>
                <w:sz w:val="18"/>
                <w:szCs w:val="18"/>
                <w:b w:val="1"/>
                <w:bCs w:val="1"/>
                <w:color w:val="FFFFFF"/>
              </w:rPr>
              <w:t>Awards</w:t>
            </w:r>
            <w:r>
              <w:rPr>
                <w:rFonts w:ascii="Arial" w:cs="Arial" w:eastAsia="Arial" w:hAnsi="Arial"/>
                <w:sz w:val="15"/>
                <w:szCs w:val="15"/>
                <w:b w:val="1"/>
                <w:bCs w:val="1"/>
                <w:color w:val="FFFFFF"/>
              </w:rPr>
              <w:t>(1)</w:t>
            </w:r>
          </w:p>
        </w:tc>
        <w:tc>
          <w:tcPr>
            <w:tcW w:w="1740" w:type="dxa"/>
            <w:vAlign w:val="bottom"/>
            <w:shd w:val="clear" w:color="auto" w:fill="7F7F7F"/>
          </w:tcPr>
          <w:p>
            <w:pPr>
              <w:ind w:left="440"/>
              <w:spacing w:after="0"/>
              <w:rPr>
                <w:sz w:val="20"/>
                <w:szCs w:val="20"/>
                <w:color w:val="auto"/>
              </w:rPr>
            </w:pPr>
            <w:r>
              <w:rPr>
                <w:rFonts w:ascii="Arial" w:cs="Arial" w:eastAsia="Arial" w:hAnsi="Arial"/>
                <w:sz w:val="18"/>
                <w:szCs w:val="18"/>
                <w:b w:val="1"/>
                <w:bCs w:val="1"/>
                <w:color w:val="FFFFFF"/>
              </w:rPr>
              <w:t>Dividends</w:t>
            </w:r>
            <w:r>
              <w:rPr>
                <w:rFonts w:ascii="Arial" w:cs="Arial" w:eastAsia="Arial" w:hAnsi="Arial"/>
                <w:sz w:val="15"/>
                <w:szCs w:val="15"/>
                <w:b w:val="1"/>
                <w:bCs w:val="1"/>
                <w:color w:val="FFFFFF"/>
              </w:rPr>
              <w:t>(2)</w:t>
            </w:r>
          </w:p>
        </w:tc>
        <w:tc>
          <w:tcPr>
            <w:tcW w:w="300" w:type="dxa"/>
            <w:vAlign w:val="bottom"/>
            <w:shd w:val="clear" w:color="auto" w:fill="7F7F7F"/>
          </w:tcPr>
          <w:p>
            <w:pPr>
              <w:spacing w:after="0"/>
              <w:rPr>
                <w:sz w:val="19"/>
                <w:szCs w:val="19"/>
                <w:color w:val="auto"/>
              </w:rPr>
            </w:pPr>
          </w:p>
        </w:tc>
        <w:tc>
          <w:tcPr>
            <w:tcW w:w="680" w:type="dxa"/>
            <w:vAlign w:val="bottom"/>
            <w:shd w:val="clear" w:color="auto" w:fill="7F7F7F"/>
          </w:tcPr>
          <w:p>
            <w:pPr>
              <w:jc w:val="right"/>
              <w:ind w:right="130"/>
              <w:spacing w:after="0"/>
              <w:rPr>
                <w:sz w:val="20"/>
                <w:szCs w:val="20"/>
                <w:color w:val="auto"/>
              </w:rPr>
            </w:pPr>
            <w:r>
              <w:rPr>
                <w:rFonts w:ascii="Arial" w:cs="Arial" w:eastAsia="Arial" w:hAnsi="Arial"/>
                <w:sz w:val="18"/>
                <w:szCs w:val="18"/>
                <w:b w:val="1"/>
                <w:bCs w:val="1"/>
                <w:color w:val="FFFFFF"/>
              </w:rPr>
              <w:t>Total</w:t>
            </w:r>
          </w:p>
        </w:tc>
      </w:tr>
      <w:tr>
        <w:trPr>
          <w:trHeight w:val="203"/>
        </w:trPr>
        <w:tc>
          <w:tcPr>
            <w:tcW w:w="20" w:type="dxa"/>
            <w:vAlign w:val="bottom"/>
          </w:tcPr>
          <w:p>
            <w:pPr>
              <w:spacing w:after="0"/>
              <w:rPr>
                <w:sz w:val="17"/>
                <w:szCs w:val="17"/>
                <w:color w:val="auto"/>
              </w:rPr>
            </w:pPr>
          </w:p>
        </w:tc>
        <w:tc>
          <w:tcPr>
            <w:tcW w:w="3280" w:type="dxa"/>
            <w:vAlign w:val="bottom"/>
          </w:tcPr>
          <w:p>
            <w:pPr>
              <w:spacing w:after="0" w:line="202" w:lineRule="exact"/>
              <w:rPr>
                <w:sz w:val="20"/>
                <w:szCs w:val="20"/>
                <w:color w:val="auto"/>
              </w:rPr>
            </w:pPr>
            <w:r>
              <w:rPr>
                <w:rFonts w:ascii="Arial" w:cs="Arial" w:eastAsia="Arial" w:hAnsi="Arial"/>
                <w:sz w:val="18"/>
                <w:szCs w:val="18"/>
                <w:color w:val="auto"/>
              </w:rPr>
              <w:t>James V. Diller</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90"/>
              <w:spacing w:after="0" w:line="202" w:lineRule="exact"/>
              <w:rPr>
                <w:sz w:val="20"/>
                <w:szCs w:val="20"/>
                <w:color w:val="auto"/>
              </w:rPr>
            </w:pPr>
            <w:r>
              <w:rPr>
                <w:rFonts w:ascii="Arial" w:cs="Arial" w:eastAsia="Arial" w:hAnsi="Arial"/>
                <w:sz w:val="18"/>
                <w:szCs w:val="18"/>
                <w:color w:val="auto"/>
                <w:w w:val="98"/>
              </w:rPr>
              <w:t>257,750</w:t>
            </w: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rPr>
              <w:t>$193,041</w:t>
            </w:r>
          </w:p>
        </w:tc>
        <w:tc>
          <w:tcPr>
            <w:tcW w:w="1740" w:type="dxa"/>
            <w:vAlign w:val="bottom"/>
          </w:tcPr>
          <w:p>
            <w:pPr>
              <w:ind w:left="580"/>
              <w:spacing w:after="0" w:line="202" w:lineRule="exact"/>
              <w:rPr>
                <w:sz w:val="20"/>
                <w:szCs w:val="20"/>
                <w:color w:val="auto"/>
              </w:rPr>
            </w:pPr>
            <w:r>
              <w:rPr>
                <w:rFonts w:ascii="Arial" w:cs="Arial" w:eastAsia="Arial" w:hAnsi="Arial"/>
                <w:sz w:val="18"/>
                <w:szCs w:val="18"/>
                <w:color w:val="auto"/>
              </w:rPr>
              <w:t>$489,600</w:t>
            </w:r>
            <w:r>
              <w:rPr>
                <w:rFonts w:ascii="Arial" w:cs="Arial" w:eastAsia="Arial" w:hAnsi="Arial"/>
                <w:sz w:val="15"/>
                <w:szCs w:val="15"/>
                <w:color w:val="auto"/>
              </w:rPr>
              <w:t>(3)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940,391</w:t>
            </w:r>
          </w:p>
        </w:tc>
      </w:tr>
      <w:tr>
        <w:trPr>
          <w:trHeight w:val="203"/>
        </w:trPr>
        <w:tc>
          <w:tcPr>
            <w:tcW w:w="20" w:type="dxa"/>
            <w:vAlign w:val="bottom"/>
          </w:tcPr>
          <w:p>
            <w:pPr>
              <w:spacing w:after="0"/>
              <w:rPr>
                <w:sz w:val="17"/>
                <w:szCs w:val="17"/>
                <w:color w:val="auto"/>
              </w:rPr>
            </w:pPr>
          </w:p>
        </w:tc>
        <w:tc>
          <w:tcPr>
            <w:tcW w:w="32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Lewis C. Eggebrecht</w:t>
            </w:r>
          </w:p>
        </w:tc>
        <w:tc>
          <w:tcPr>
            <w:tcW w:w="2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BFBFBF"/>
          </w:tcPr>
          <w:p>
            <w:pPr>
              <w:jc w:val="right"/>
              <w:ind w:right="590"/>
              <w:spacing w:after="0" w:line="202" w:lineRule="exact"/>
              <w:rPr>
                <w:sz w:val="20"/>
                <w:szCs w:val="20"/>
                <w:color w:val="auto"/>
              </w:rPr>
            </w:pPr>
            <w:r>
              <w:rPr>
                <w:rFonts w:ascii="Arial" w:cs="Arial" w:eastAsia="Arial" w:hAnsi="Arial"/>
                <w:sz w:val="18"/>
                <w:szCs w:val="18"/>
                <w:color w:val="auto"/>
              </w:rPr>
              <w:t>90,000</w:t>
            </w:r>
          </w:p>
        </w:tc>
        <w:tc>
          <w:tcPr>
            <w:tcW w:w="1680" w:type="dxa"/>
            <w:vAlign w:val="bottom"/>
            <w:shd w:val="clear" w:color="auto" w:fill="BFBFBF"/>
          </w:tcPr>
          <w:p>
            <w:pPr>
              <w:jc w:val="center"/>
              <w:spacing w:after="0" w:line="202" w:lineRule="exact"/>
              <w:rPr>
                <w:sz w:val="20"/>
                <w:szCs w:val="20"/>
                <w:color w:val="auto"/>
              </w:rPr>
            </w:pPr>
            <w:r>
              <w:rPr>
                <w:rFonts w:ascii="Arial" w:cs="Arial" w:eastAsia="Arial" w:hAnsi="Arial"/>
                <w:sz w:val="18"/>
                <w:szCs w:val="18"/>
                <w:color w:val="auto"/>
              </w:rPr>
              <w:t>$193,041</w:t>
            </w:r>
          </w:p>
        </w:tc>
        <w:tc>
          <w:tcPr>
            <w:tcW w:w="1740" w:type="dxa"/>
            <w:vAlign w:val="bottom"/>
            <w:shd w:val="clear" w:color="auto" w:fill="BFBFBF"/>
          </w:tcPr>
          <w:p>
            <w:pPr>
              <w:ind w:left="10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w w:val="98"/>
              </w:rPr>
              <w:t>283,041</w:t>
            </w:r>
          </w:p>
        </w:tc>
      </w:tr>
      <w:tr>
        <w:trPr>
          <w:trHeight w:val="203"/>
        </w:trPr>
        <w:tc>
          <w:tcPr>
            <w:tcW w:w="20" w:type="dxa"/>
            <w:vAlign w:val="bottom"/>
          </w:tcPr>
          <w:p>
            <w:pPr>
              <w:spacing w:after="0"/>
              <w:rPr>
                <w:sz w:val="17"/>
                <w:szCs w:val="17"/>
                <w:color w:val="auto"/>
              </w:rPr>
            </w:pPr>
          </w:p>
        </w:tc>
        <w:tc>
          <w:tcPr>
            <w:tcW w:w="3280" w:type="dxa"/>
            <w:vAlign w:val="bottom"/>
          </w:tcPr>
          <w:p>
            <w:pPr>
              <w:spacing w:after="0" w:line="202" w:lineRule="exact"/>
              <w:rPr>
                <w:sz w:val="20"/>
                <w:szCs w:val="20"/>
                <w:color w:val="auto"/>
              </w:rPr>
            </w:pPr>
            <w:r>
              <w:rPr>
                <w:rFonts w:ascii="Arial" w:cs="Arial" w:eastAsia="Arial" w:hAnsi="Arial"/>
                <w:sz w:val="18"/>
                <w:szCs w:val="18"/>
                <w:color w:val="auto"/>
              </w:rPr>
              <w:t>Kenneth Y. Hao</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80,000</w:t>
            </w: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rPr>
              <w:t>$193,041</w:t>
            </w:r>
          </w:p>
        </w:tc>
        <w:tc>
          <w:tcPr>
            <w:tcW w:w="1740" w:type="dxa"/>
            <w:vAlign w:val="bottom"/>
          </w:tcPr>
          <w:p>
            <w:pPr>
              <w:ind w:left="580"/>
              <w:spacing w:after="0" w:line="202" w:lineRule="exact"/>
              <w:rPr>
                <w:sz w:val="20"/>
                <w:szCs w:val="20"/>
                <w:color w:val="auto"/>
              </w:rPr>
            </w:pPr>
            <w:r>
              <w:rPr>
                <w:rFonts w:ascii="Arial" w:cs="Arial" w:eastAsia="Arial" w:hAnsi="Arial"/>
                <w:sz w:val="18"/>
                <w:szCs w:val="18"/>
                <w:color w:val="auto"/>
              </w:rPr>
              <w:t>$204,000</w:t>
            </w:r>
            <w:r>
              <w:rPr>
                <w:rFonts w:ascii="Arial" w:cs="Arial" w:eastAsia="Arial" w:hAnsi="Arial"/>
                <w:sz w:val="15"/>
                <w:szCs w:val="15"/>
                <w:color w:val="auto"/>
              </w:rPr>
              <w:t>(4)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477,041</w:t>
            </w:r>
          </w:p>
        </w:tc>
      </w:tr>
      <w:tr>
        <w:trPr>
          <w:trHeight w:val="203"/>
        </w:trPr>
        <w:tc>
          <w:tcPr>
            <w:tcW w:w="20" w:type="dxa"/>
            <w:vAlign w:val="bottom"/>
          </w:tcPr>
          <w:p>
            <w:pPr>
              <w:spacing w:after="0"/>
              <w:rPr>
                <w:sz w:val="17"/>
                <w:szCs w:val="17"/>
                <w:color w:val="auto"/>
              </w:rPr>
            </w:pPr>
          </w:p>
        </w:tc>
        <w:tc>
          <w:tcPr>
            <w:tcW w:w="32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Eddy W. Hartenstein</w:t>
            </w:r>
          </w:p>
        </w:tc>
        <w:tc>
          <w:tcPr>
            <w:tcW w:w="2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BFBFBF"/>
          </w:tcPr>
          <w:p>
            <w:pPr>
              <w:jc w:val="right"/>
              <w:ind w:right="590"/>
              <w:spacing w:after="0" w:line="202" w:lineRule="exact"/>
              <w:rPr>
                <w:sz w:val="20"/>
                <w:szCs w:val="20"/>
                <w:color w:val="auto"/>
              </w:rPr>
            </w:pPr>
            <w:r>
              <w:rPr>
                <w:rFonts w:ascii="Arial" w:cs="Arial" w:eastAsia="Arial" w:hAnsi="Arial"/>
                <w:sz w:val="18"/>
                <w:szCs w:val="18"/>
                <w:color w:val="auto"/>
                <w:w w:val="98"/>
              </w:rPr>
              <w:t>105,500</w:t>
            </w:r>
          </w:p>
        </w:tc>
        <w:tc>
          <w:tcPr>
            <w:tcW w:w="1680" w:type="dxa"/>
            <w:vAlign w:val="bottom"/>
            <w:shd w:val="clear" w:color="auto" w:fill="BFBFBF"/>
          </w:tcPr>
          <w:p>
            <w:pPr>
              <w:jc w:val="center"/>
              <w:spacing w:after="0" w:line="202" w:lineRule="exact"/>
              <w:rPr>
                <w:sz w:val="20"/>
                <w:szCs w:val="20"/>
                <w:color w:val="auto"/>
              </w:rPr>
            </w:pPr>
            <w:r>
              <w:rPr>
                <w:rFonts w:ascii="Arial" w:cs="Arial" w:eastAsia="Arial" w:hAnsi="Arial"/>
                <w:sz w:val="18"/>
                <w:szCs w:val="18"/>
                <w:color w:val="auto"/>
              </w:rPr>
              <w:t>$193,041</w:t>
            </w:r>
          </w:p>
        </w:tc>
        <w:tc>
          <w:tcPr>
            <w:tcW w:w="1740" w:type="dxa"/>
            <w:vAlign w:val="bottom"/>
            <w:shd w:val="clear" w:color="auto" w:fill="BFBFBF"/>
          </w:tcPr>
          <w:p>
            <w:pPr>
              <w:ind w:left="10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w w:val="98"/>
              </w:rPr>
              <w:t>298,541</w:t>
            </w:r>
          </w:p>
        </w:tc>
      </w:tr>
      <w:tr>
        <w:trPr>
          <w:trHeight w:val="203"/>
        </w:trPr>
        <w:tc>
          <w:tcPr>
            <w:tcW w:w="20" w:type="dxa"/>
            <w:vAlign w:val="bottom"/>
          </w:tcPr>
          <w:p>
            <w:pPr>
              <w:spacing w:after="0"/>
              <w:rPr>
                <w:sz w:val="17"/>
                <w:szCs w:val="17"/>
                <w:color w:val="auto"/>
              </w:rPr>
            </w:pPr>
          </w:p>
        </w:tc>
        <w:tc>
          <w:tcPr>
            <w:tcW w:w="3280" w:type="dxa"/>
            <w:vAlign w:val="bottom"/>
          </w:tcPr>
          <w:p>
            <w:pPr>
              <w:spacing w:after="0" w:line="202" w:lineRule="exact"/>
              <w:rPr>
                <w:sz w:val="20"/>
                <w:szCs w:val="20"/>
                <w:color w:val="auto"/>
              </w:rPr>
            </w:pPr>
            <w:r>
              <w:rPr>
                <w:rFonts w:ascii="Arial" w:cs="Arial" w:eastAsia="Arial" w:hAnsi="Arial"/>
                <w:sz w:val="18"/>
                <w:szCs w:val="18"/>
                <w:color w:val="auto"/>
              </w:rPr>
              <w:t>Check Kian Low</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63,000</w:t>
            </w: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rPr>
              <w:t>$259,001</w:t>
            </w:r>
          </w:p>
        </w:tc>
        <w:tc>
          <w:tcPr>
            <w:tcW w:w="1740" w:type="dxa"/>
            <w:vAlign w:val="bottom"/>
          </w:tcPr>
          <w:p>
            <w:pPr>
              <w:ind w:left="10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322,001</w:t>
            </w:r>
          </w:p>
        </w:tc>
      </w:tr>
      <w:tr>
        <w:trPr>
          <w:trHeight w:val="203"/>
        </w:trPr>
        <w:tc>
          <w:tcPr>
            <w:tcW w:w="20" w:type="dxa"/>
            <w:vAlign w:val="bottom"/>
          </w:tcPr>
          <w:p>
            <w:pPr>
              <w:spacing w:after="0"/>
              <w:rPr>
                <w:sz w:val="17"/>
                <w:szCs w:val="17"/>
                <w:color w:val="auto"/>
              </w:rPr>
            </w:pPr>
          </w:p>
        </w:tc>
        <w:tc>
          <w:tcPr>
            <w:tcW w:w="32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Donald Macleod</w:t>
            </w:r>
          </w:p>
        </w:tc>
        <w:tc>
          <w:tcPr>
            <w:tcW w:w="2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BFBFBF"/>
          </w:tcPr>
          <w:p>
            <w:pPr>
              <w:jc w:val="right"/>
              <w:ind w:right="590"/>
              <w:spacing w:after="0" w:line="202" w:lineRule="exact"/>
              <w:rPr>
                <w:sz w:val="20"/>
                <w:szCs w:val="20"/>
                <w:color w:val="auto"/>
              </w:rPr>
            </w:pPr>
            <w:r>
              <w:rPr>
                <w:rFonts w:ascii="Arial" w:cs="Arial" w:eastAsia="Arial" w:hAnsi="Arial"/>
                <w:sz w:val="18"/>
                <w:szCs w:val="18"/>
                <w:color w:val="auto"/>
                <w:w w:val="98"/>
              </w:rPr>
              <w:t>120,000</w:t>
            </w:r>
          </w:p>
        </w:tc>
        <w:tc>
          <w:tcPr>
            <w:tcW w:w="1680" w:type="dxa"/>
            <w:vAlign w:val="bottom"/>
            <w:shd w:val="clear" w:color="auto" w:fill="BFBFBF"/>
          </w:tcPr>
          <w:p>
            <w:pPr>
              <w:jc w:val="center"/>
              <w:spacing w:after="0" w:line="202" w:lineRule="exact"/>
              <w:rPr>
                <w:sz w:val="20"/>
                <w:szCs w:val="20"/>
                <w:color w:val="auto"/>
              </w:rPr>
            </w:pPr>
            <w:r>
              <w:rPr>
                <w:rFonts w:ascii="Arial" w:cs="Arial" w:eastAsia="Arial" w:hAnsi="Arial"/>
                <w:sz w:val="18"/>
                <w:szCs w:val="18"/>
                <w:color w:val="auto"/>
              </w:rPr>
              <w:t>$193,041</w:t>
            </w:r>
          </w:p>
        </w:tc>
        <w:tc>
          <w:tcPr>
            <w:tcW w:w="1740" w:type="dxa"/>
            <w:vAlign w:val="bottom"/>
            <w:shd w:val="clear" w:color="auto" w:fill="BFBFBF"/>
          </w:tcPr>
          <w:p>
            <w:pPr>
              <w:ind w:left="10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w w:val="98"/>
              </w:rPr>
              <w:t>313,041</w:t>
            </w:r>
          </w:p>
        </w:tc>
      </w:tr>
      <w:tr>
        <w:trPr>
          <w:trHeight w:val="203"/>
        </w:trPr>
        <w:tc>
          <w:tcPr>
            <w:tcW w:w="20" w:type="dxa"/>
            <w:vAlign w:val="bottom"/>
          </w:tcPr>
          <w:p>
            <w:pPr>
              <w:spacing w:after="0"/>
              <w:rPr>
                <w:sz w:val="17"/>
                <w:szCs w:val="17"/>
                <w:color w:val="auto"/>
              </w:rPr>
            </w:pPr>
          </w:p>
        </w:tc>
        <w:tc>
          <w:tcPr>
            <w:tcW w:w="3280" w:type="dxa"/>
            <w:vAlign w:val="bottom"/>
          </w:tcPr>
          <w:p>
            <w:pPr>
              <w:spacing w:after="0" w:line="202" w:lineRule="exact"/>
              <w:rPr>
                <w:sz w:val="20"/>
                <w:szCs w:val="20"/>
                <w:color w:val="auto"/>
              </w:rPr>
            </w:pPr>
            <w:r>
              <w:rPr>
                <w:rFonts w:ascii="Arial" w:cs="Arial" w:eastAsia="Arial" w:hAnsi="Arial"/>
                <w:sz w:val="18"/>
                <w:szCs w:val="18"/>
                <w:color w:val="auto"/>
              </w:rPr>
              <w:t>Peter J. Marks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95,500</w:t>
            </w: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rPr>
              <w:t>$193,041</w:t>
            </w:r>
          </w:p>
        </w:tc>
        <w:tc>
          <w:tcPr>
            <w:tcW w:w="1740" w:type="dxa"/>
            <w:vAlign w:val="bottom"/>
          </w:tcPr>
          <w:p>
            <w:pPr>
              <w:ind w:left="10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288,541</w:t>
            </w:r>
          </w:p>
        </w:tc>
      </w:tr>
      <w:tr>
        <w:trPr>
          <w:trHeight w:val="203"/>
        </w:trPr>
        <w:tc>
          <w:tcPr>
            <w:tcW w:w="20" w:type="dxa"/>
            <w:vAlign w:val="bottom"/>
          </w:tcPr>
          <w:p>
            <w:pPr>
              <w:spacing w:after="0"/>
              <w:rPr>
                <w:sz w:val="17"/>
                <w:szCs w:val="17"/>
                <w:color w:val="auto"/>
              </w:rPr>
            </w:pPr>
          </w:p>
        </w:tc>
        <w:tc>
          <w:tcPr>
            <w:tcW w:w="32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Justine F. Page</w:t>
            </w:r>
            <w:r>
              <w:rPr>
                <w:rFonts w:ascii="Arial" w:cs="Arial" w:eastAsia="Arial" w:hAnsi="Arial"/>
                <w:sz w:val="15"/>
                <w:szCs w:val="15"/>
                <w:color w:val="auto"/>
              </w:rPr>
              <w:t>(5)</w:t>
            </w:r>
          </w:p>
        </w:tc>
        <w:tc>
          <w:tcPr>
            <w:tcW w:w="2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BFBFBF"/>
          </w:tcPr>
          <w:p>
            <w:pPr>
              <w:jc w:val="right"/>
              <w:ind w:right="590"/>
              <w:spacing w:after="0" w:line="202" w:lineRule="exact"/>
              <w:rPr>
                <w:sz w:val="20"/>
                <w:szCs w:val="20"/>
                <w:color w:val="auto"/>
              </w:rPr>
            </w:pPr>
            <w:r>
              <w:rPr>
                <w:rFonts w:ascii="Arial" w:cs="Arial" w:eastAsia="Arial" w:hAnsi="Arial"/>
                <w:sz w:val="18"/>
                <w:szCs w:val="18"/>
                <w:color w:val="auto"/>
              </w:rPr>
              <w:t>60,500</w:t>
            </w:r>
          </w:p>
        </w:tc>
        <w:tc>
          <w:tcPr>
            <w:tcW w:w="1680" w:type="dxa"/>
            <w:vAlign w:val="bottom"/>
            <w:shd w:val="clear" w:color="auto" w:fill="BFBFBF"/>
          </w:tcPr>
          <w:p>
            <w:pPr>
              <w:ind w:left="94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BFBFBF"/>
          </w:tcPr>
          <w:p>
            <w:pPr>
              <w:ind w:left="10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60,500</w:t>
            </w:r>
          </w:p>
        </w:tc>
      </w:tr>
      <w:tr>
        <w:trPr>
          <w:trHeight w:val="217"/>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Lucien Y. K. Wong</w:t>
            </w:r>
            <w:r>
              <w:rPr>
                <w:rFonts w:ascii="Arial" w:cs="Arial" w:eastAsia="Arial" w:hAnsi="Arial"/>
                <w:sz w:val="15"/>
                <w:szCs w:val="15"/>
                <w:color w:val="auto"/>
              </w:rPr>
              <w:t>(6)</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90"/>
              <w:spacing w:after="0"/>
              <w:rPr>
                <w:sz w:val="20"/>
                <w:szCs w:val="20"/>
                <w:color w:val="auto"/>
              </w:rPr>
            </w:pPr>
            <w:r>
              <w:rPr>
                <w:rFonts w:ascii="Arial" w:cs="Arial" w:eastAsia="Arial" w:hAnsi="Arial"/>
                <w:sz w:val="18"/>
                <w:szCs w:val="18"/>
                <w:color w:val="auto"/>
              </w:rPr>
              <w:t>20,000</w:t>
            </w:r>
          </w:p>
        </w:tc>
        <w:tc>
          <w:tcPr>
            <w:tcW w:w="1680" w:type="dxa"/>
            <w:vAlign w:val="bottom"/>
          </w:tcPr>
          <w:p>
            <w:pPr>
              <w:ind w:left="940"/>
              <w:spacing w:after="0"/>
              <w:rPr>
                <w:sz w:val="20"/>
                <w:szCs w:val="20"/>
                <w:color w:val="auto"/>
              </w:rPr>
            </w:pPr>
            <w:r>
              <w:rPr>
                <w:rFonts w:ascii="Arial" w:cs="Arial" w:eastAsia="Arial" w:hAnsi="Arial"/>
                <w:sz w:val="18"/>
                <w:szCs w:val="18"/>
                <w:color w:val="auto"/>
              </w:rPr>
              <w:t>—</w:t>
            </w:r>
          </w:p>
        </w:tc>
        <w:tc>
          <w:tcPr>
            <w:tcW w:w="1740" w:type="dxa"/>
            <w:vAlign w:val="bottom"/>
          </w:tcPr>
          <w:p>
            <w:pPr>
              <w:ind w:left="10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128270</wp:posOffset>
            </wp:positionV>
            <wp:extent cx="16033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21" w:lineRule="exact"/>
        <w:rPr>
          <w:sz w:val="20"/>
          <w:szCs w:val="20"/>
          <w:color w:val="auto"/>
        </w:rPr>
      </w:pPr>
    </w:p>
    <w:p>
      <w:pPr>
        <w:ind w:left="740" w:right="60" w:hanging="536"/>
        <w:spacing w:after="0" w:line="236"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grant date fair value of RSU awards granted in Fiscal Year 2017, determined in accordance with Accounting Standards Codification Topic Number 718 (“</w:t>
      </w:r>
      <w:r>
        <w:rPr>
          <w:rFonts w:ascii="Arial" w:cs="Arial" w:eastAsia="Arial" w:hAnsi="Arial"/>
          <w:sz w:val="18"/>
          <w:szCs w:val="18"/>
          <w:u w:val="single" w:color="auto"/>
          <w:color w:val="auto"/>
        </w:rPr>
        <w:t>ASC 718</w:t>
      </w:r>
      <w:r>
        <w:rPr>
          <w:rFonts w:ascii="Arial" w:cs="Arial" w:eastAsia="Arial" w:hAnsi="Arial"/>
          <w:sz w:val="18"/>
          <w:szCs w:val="18"/>
          <w:color w:val="auto"/>
        </w:rPr>
        <w:t>”), which is the closing market price of our ordinary shares on the date of grant, reduced by the present value of dividends expected to be paid on our ordinary shares prior to vesting. The amounts shown represent the grant date fair value of an RSU award for 906 ordinary shares granted to the director on April 5, 2017 following his or her election to our Board. With respect to Mr. Low, the amount shown also includes the grant date fair value of an RSU award for 388 ordinary shares granted on December 15, 2016 in connection with his appointment to our Board. The table below shows the aggregate number of ordinary shares underlying the share options and RSUs held by our non-employee directors as of October 29, 2017:</w:t>
      </w:r>
    </w:p>
    <w:p>
      <w:pPr>
        <w:spacing w:after="0" w:line="87"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700" w:type="dxa"/>
            <w:vAlign w:val="bottom"/>
            <w:shd w:val="clear" w:color="auto" w:fill="7F7F7F"/>
          </w:tcPr>
          <w:p>
            <w:pPr>
              <w:spacing w:after="0"/>
              <w:rPr>
                <w:sz w:val="17"/>
                <w:szCs w:val="17"/>
                <w:color w:val="auto"/>
              </w:rPr>
            </w:pPr>
          </w:p>
        </w:tc>
        <w:tc>
          <w:tcPr>
            <w:tcW w:w="3960" w:type="dxa"/>
            <w:vAlign w:val="bottom"/>
            <w:shd w:val="clear" w:color="auto" w:fill="7F7F7F"/>
          </w:tcPr>
          <w:p>
            <w:pPr>
              <w:jc w:val="center"/>
              <w:ind w:left="1770"/>
              <w:spacing w:after="0"/>
              <w:rPr>
                <w:sz w:val="20"/>
                <w:szCs w:val="20"/>
                <w:color w:val="auto"/>
              </w:rPr>
            </w:pPr>
            <w:r>
              <w:rPr>
                <w:rFonts w:ascii="Arial" w:cs="Arial" w:eastAsia="Arial" w:hAnsi="Arial"/>
                <w:sz w:val="18"/>
                <w:szCs w:val="18"/>
                <w:b w:val="1"/>
                <w:bCs w:val="1"/>
                <w:color w:val="FFFFFF"/>
                <w:w w:val="99"/>
              </w:rPr>
              <w:t>Number of Ordinary</w:t>
            </w:r>
          </w:p>
        </w:tc>
        <w:tc>
          <w:tcPr>
            <w:tcW w:w="2260" w:type="dxa"/>
            <w:vAlign w:val="bottom"/>
            <w:shd w:val="clear" w:color="auto" w:fill="7F7F7F"/>
          </w:tcPr>
          <w:p>
            <w:pPr>
              <w:jc w:val="center"/>
              <w:ind w:right="30"/>
              <w:spacing w:after="0"/>
              <w:rPr>
                <w:sz w:val="20"/>
                <w:szCs w:val="20"/>
                <w:color w:val="auto"/>
              </w:rPr>
            </w:pPr>
            <w:r>
              <w:rPr>
                <w:rFonts w:ascii="Arial" w:cs="Arial" w:eastAsia="Arial" w:hAnsi="Arial"/>
                <w:sz w:val="18"/>
                <w:szCs w:val="18"/>
                <w:b w:val="1"/>
                <w:bCs w:val="1"/>
                <w:color w:val="FFFFFF"/>
                <w:w w:val="99"/>
              </w:rPr>
              <w:t>Number of Ordinary</w:t>
            </w:r>
          </w:p>
        </w:tc>
      </w:tr>
      <w:tr>
        <w:trPr>
          <w:trHeight w:val="203"/>
        </w:trPr>
        <w:tc>
          <w:tcPr>
            <w:tcW w:w="3700" w:type="dxa"/>
            <w:vAlign w:val="bottom"/>
            <w:shd w:val="clear" w:color="auto" w:fill="7F7F7F"/>
          </w:tcPr>
          <w:p>
            <w:pPr>
              <w:spacing w:after="0"/>
              <w:rPr>
                <w:sz w:val="17"/>
                <w:szCs w:val="17"/>
                <w:color w:val="auto"/>
              </w:rPr>
            </w:pPr>
          </w:p>
        </w:tc>
        <w:tc>
          <w:tcPr>
            <w:tcW w:w="3960" w:type="dxa"/>
            <w:vAlign w:val="bottom"/>
            <w:shd w:val="clear" w:color="auto" w:fill="7F7F7F"/>
          </w:tcPr>
          <w:p>
            <w:pPr>
              <w:jc w:val="center"/>
              <w:ind w:left="1750"/>
              <w:spacing w:after="0" w:line="202" w:lineRule="exact"/>
              <w:rPr>
                <w:sz w:val="20"/>
                <w:szCs w:val="20"/>
                <w:color w:val="auto"/>
              </w:rPr>
            </w:pPr>
            <w:r>
              <w:rPr>
                <w:rFonts w:ascii="Arial" w:cs="Arial" w:eastAsia="Arial" w:hAnsi="Arial"/>
                <w:sz w:val="18"/>
                <w:szCs w:val="18"/>
                <w:b w:val="1"/>
                <w:bCs w:val="1"/>
                <w:color w:val="FFFFFF"/>
              </w:rPr>
              <w:t>Shares Underlying</w:t>
            </w:r>
          </w:p>
        </w:tc>
        <w:tc>
          <w:tcPr>
            <w:tcW w:w="2260" w:type="dxa"/>
            <w:vAlign w:val="bottom"/>
            <w:shd w:val="clear" w:color="auto" w:fill="7F7F7F"/>
          </w:tcPr>
          <w:p>
            <w:pPr>
              <w:jc w:val="center"/>
              <w:ind w:right="50"/>
              <w:spacing w:after="0" w:line="202" w:lineRule="exact"/>
              <w:rPr>
                <w:sz w:val="20"/>
                <w:szCs w:val="20"/>
                <w:color w:val="auto"/>
              </w:rPr>
            </w:pPr>
            <w:r>
              <w:rPr>
                <w:rFonts w:ascii="Arial" w:cs="Arial" w:eastAsia="Arial" w:hAnsi="Arial"/>
                <w:sz w:val="18"/>
                <w:szCs w:val="18"/>
                <w:b w:val="1"/>
                <w:bCs w:val="1"/>
                <w:color w:val="FFFFFF"/>
              </w:rPr>
              <w:t>Shares Underlying</w:t>
            </w:r>
          </w:p>
        </w:tc>
      </w:tr>
      <w:tr>
        <w:trPr>
          <w:trHeight w:val="203"/>
        </w:trPr>
        <w:tc>
          <w:tcPr>
            <w:tcW w:w="3700" w:type="dxa"/>
            <w:vAlign w:val="bottom"/>
            <w:shd w:val="clear" w:color="auto" w:fill="7F7F7F"/>
          </w:tcPr>
          <w:p>
            <w:pPr>
              <w:spacing w:after="0"/>
              <w:rPr>
                <w:sz w:val="17"/>
                <w:szCs w:val="17"/>
                <w:color w:val="auto"/>
              </w:rPr>
            </w:pPr>
          </w:p>
        </w:tc>
        <w:tc>
          <w:tcPr>
            <w:tcW w:w="3960" w:type="dxa"/>
            <w:vAlign w:val="bottom"/>
            <w:shd w:val="clear" w:color="auto" w:fill="7F7F7F"/>
          </w:tcPr>
          <w:p>
            <w:pPr>
              <w:jc w:val="center"/>
              <w:ind w:left="1750"/>
              <w:spacing w:after="0" w:line="202" w:lineRule="exact"/>
              <w:rPr>
                <w:sz w:val="20"/>
                <w:szCs w:val="20"/>
                <w:color w:val="auto"/>
              </w:rPr>
            </w:pPr>
            <w:r>
              <w:rPr>
                <w:rFonts w:ascii="Arial" w:cs="Arial" w:eastAsia="Arial" w:hAnsi="Arial"/>
                <w:sz w:val="18"/>
                <w:szCs w:val="18"/>
                <w:b w:val="1"/>
                <w:bCs w:val="1"/>
                <w:color w:val="FFFFFF"/>
              </w:rPr>
              <w:t>Restricted Share</w:t>
            </w:r>
          </w:p>
        </w:tc>
        <w:tc>
          <w:tcPr>
            <w:tcW w:w="2260" w:type="dxa"/>
            <w:vAlign w:val="bottom"/>
            <w:shd w:val="clear" w:color="auto" w:fill="7F7F7F"/>
          </w:tcPr>
          <w:p>
            <w:pPr>
              <w:jc w:val="center"/>
              <w:ind w:right="50"/>
              <w:spacing w:after="0" w:line="202" w:lineRule="exact"/>
              <w:rPr>
                <w:sz w:val="20"/>
                <w:szCs w:val="20"/>
                <w:color w:val="auto"/>
              </w:rPr>
            </w:pPr>
            <w:r>
              <w:rPr>
                <w:rFonts w:ascii="Arial" w:cs="Arial" w:eastAsia="Arial" w:hAnsi="Arial"/>
                <w:sz w:val="18"/>
                <w:szCs w:val="18"/>
                <w:b w:val="1"/>
                <w:bCs w:val="1"/>
                <w:color w:val="FFFFFF"/>
                <w:w w:val="99"/>
              </w:rPr>
              <w:t>Outstanding Share</w:t>
            </w:r>
          </w:p>
        </w:tc>
      </w:tr>
      <w:tr>
        <w:trPr>
          <w:trHeight w:val="225"/>
        </w:trPr>
        <w:tc>
          <w:tcPr>
            <w:tcW w:w="3700" w:type="dxa"/>
            <w:vAlign w:val="bottom"/>
            <w:shd w:val="clear" w:color="auto" w:fill="7F7F7F"/>
          </w:tcPr>
          <w:p>
            <w:pPr>
              <w:spacing w:after="0"/>
              <w:rPr>
                <w:sz w:val="20"/>
                <w:szCs w:val="20"/>
                <w:color w:val="auto"/>
              </w:rPr>
            </w:pPr>
            <w:r>
              <w:rPr>
                <w:rFonts w:ascii="Arial" w:cs="Arial" w:eastAsia="Arial" w:hAnsi="Arial"/>
                <w:sz w:val="18"/>
                <w:szCs w:val="18"/>
                <w:b w:val="1"/>
                <w:bCs w:val="1"/>
                <w:color w:val="FFFFFF"/>
              </w:rPr>
              <w:t>Name</w:t>
            </w:r>
          </w:p>
        </w:tc>
        <w:tc>
          <w:tcPr>
            <w:tcW w:w="3960" w:type="dxa"/>
            <w:vAlign w:val="bottom"/>
            <w:shd w:val="clear" w:color="auto" w:fill="7F7F7F"/>
          </w:tcPr>
          <w:p>
            <w:pPr>
              <w:jc w:val="center"/>
              <w:ind w:left="1750"/>
              <w:spacing w:after="0"/>
              <w:rPr>
                <w:sz w:val="20"/>
                <w:szCs w:val="20"/>
                <w:color w:val="auto"/>
              </w:rPr>
            </w:pPr>
            <w:r>
              <w:rPr>
                <w:rFonts w:ascii="Arial" w:cs="Arial" w:eastAsia="Arial" w:hAnsi="Arial"/>
                <w:sz w:val="18"/>
                <w:szCs w:val="18"/>
                <w:b w:val="1"/>
                <w:bCs w:val="1"/>
                <w:color w:val="FFFFFF"/>
                <w:w w:val="99"/>
              </w:rPr>
              <w:t>Units (#)</w:t>
            </w:r>
          </w:p>
        </w:tc>
        <w:tc>
          <w:tcPr>
            <w:tcW w:w="2260" w:type="dxa"/>
            <w:vAlign w:val="bottom"/>
            <w:shd w:val="clear" w:color="auto" w:fill="7F7F7F"/>
          </w:tcPr>
          <w:p>
            <w:pPr>
              <w:jc w:val="center"/>
              <w:ind w:right="50"/>
              <w:spacing w:after="0"/>
              <w:rPr>
                <w:sz w:val="20"/>
                <w:szCs w:val="20"/>
                <w:color w:val="auto"/>
              </w:rPr>
            </w:pPr>
            <w:r>
              <w:rPr>
                <w:rFonts w:ascii="Arial" w:cs="Arial" w:eastAsia="Arial" w:hAnsi="Arial"/>
                <w:sz w:val="18"/>
                <w:szCs w:val="18"/>
                <w:b w:val="1"/>
                <w:bCs w:val="1"/>
                <w:color w:val="FFFFFF"/>
              </w:rPr>
              <w:t>Options (#)</w:t>
            </w: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James V. Diller</w:t>
            </w:r>
          </w:p>
        </w:tc>
        <w:tc>
          <w:tcPr>
            <w:tcW w:w="3960" w:type="dxa"/>
            <w:vAlign w:val="bottom"/>
          </w:tcPr>
          <w:p>
            <w:pPr>
              <w:jc w:val="right"/>
              <w:ind w:right="730"/>
              <w:spacing w:after="0" w:line="202" w:lineRule="exact"/>
              <w:rPr>
                <w:sz w:val="20"/>
                <w:szCs w:val="20"/>
                <w:color w:val="auto"/>
              </w:rPr>
            </w:pPr>
            <w:r>
              <w:rPr>
                <w:rFonts w:ascii="Arial" w:cs="Arial" w:eastAsia="Arial" w:hAnsi="Arial"/>
                <w:sz w:val="18"/>
                <w:szCs w:val="18"/>
                <w:color w:val="auto"/>
              </w:rPr>
              <w:t>906</w:t>
            </w:r>
          </w:p>
        </w:tc>
        <w:tc>
          <w:tcPr>
            <w:tcW w:w="226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15,077</w:t>
            </w:r>
          </w:p>
        </w:tc>
      </w:tr>
      <w:tr>
        <w:trPr>
          <w:trHeight w:val="203"/>
        </w:trPr>
        <w:tc>
          <w:tcPr>
            <w:tcW w:w="370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Lewis C. Eggebrecht</w:t>
            </w:r>
          </w:p>
        </w:tc>
        <w:tc>
          <w:tcPr>
            <w:tcW w:w="3960" w:type="dxa"/>
            <w:vAlign w:val="bottom"/>
            <w:shd w:val="clear" w:color="auto" w:fill="BFBFBF"/>
          </w:tcPr>
          <w:p>
            <w:pPr>
              <w:jc w:val="right"/>
              <w:ind w:right="730"/>
              <w:spacing w:after="0" w:line="202" w:lineRule="exact"/>
              <w:rPr>
                <w:sz w:val="20"/>
                <w:szCs w:val="20"/>
                <w:color w:val="auto"/>
              </w:rPr>
            </w:pPr>
            <w:r>
              <w:rPr>
                <w:rFonts w:ascii="Arial" w:cs="Arial" w:eastAsia="Arial" w:hAnsi="Arial"/>
                <w:sz w:val="18"/>
                <w:szCs w:val="18"/>
                <w:color w:val="auto"/>
              </w:rPr>
              <w:t>906</w:t>
            </w:r>
          </w:p>
        </w:tc>
        <w:tc>
          <w:tcPr>
            <w:tcW w:w="2260" w:type="dxa"/>
            <w:vAlign w:val="bottom"/>
            <w:shd w:val="clear" w:color="auto" w:fill="BFBFBF"/>
          </w:tcPr>
          <w:p>
            <w:pPr>
              <w:jc w:val="right"/>
              <w:ind w:right="750"/>
              <w:spacing w:after="0" w:line="202" w:lineRule="exact"/>
              <w:rPr>
                <w:sz w:val="20"/>
                <w:szCs w:val="20"/>
                <w:color w:val="auto"/>
              </w:rPr>
            </w:pPr>
            <w:r>
              <w:rPr>
                <w:rFonts w:ascii="Arial" w:cs="Arial" w:eastAsia="Arial" w:hAnsi="Arial"/>
                <w:sz w:val="18"/>
                <w:szCs w:val="18"/>
                <w:color w:val="auto"/>
              </w:rPr>
              <w:t>5,121</w:t>
            </w: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Kenneth Y. Hao</w:t>
            </w:r>
          </w:p>
        </w:tc>
        <w:tc>
          <w:tcPr>
            <w:tcW w:w="3960" w:type="dxa"/>
            <w:vAlign w:val="bottom"/>
          </w:tcPr>
          <w:p>
            <w:pPr>
              <w:jc w:val="right"/>
              <w:ind w:right="730"/>
              <w:spacing w:after="0" w:line="202" w:lineRule="exact"/>
              <w:rPr>
                <w:sz w:val="20"/>
                <w:szCs w:val="20"/>
                <w:color w:val="auto"/>
              </w:rPr>
            </w:pPr>
            <w:r>
              <w:rPr>
                <w:rFonts w:ascii="Arial" w:cs="Arial" w:eastAsia="Arial" w:hAnsi="Arial"/>
                <w:sz w:val="18"/>
                <w:szCs w:val="18"/>
                <w:color w:val="auto"/>
              </w:rPr>
              <w:t>906</w:t>
            </w:r>
          </w:p>
        </w:tc>
        <w:tc>
          <w:tcPr>
            <w:tcW w:w="226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15,077</w:t>
            </w:r>
          </w:p>
        </w:tc>
      </w:tr>
      <w:tr>
        <w:trPr>
          <w:trHeight w:val="203"/>
        </w:trPr>
        <w:tc>
          <w:tcPr>
            <w:tcW w:w="370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Eddy W. Hartenstein</w:t>
            </w:r>
          </w:p>
        </w:tc>
        <w:tc>
          <w:tcPr>
            <w:tcW w:w="3960" w:type="dxa"/>
            <w:vAlign w:val="bottom"/>
            <w:shd w:val="clear" w:color="auto" w:fill="BFBFBF"/>
          </w:tcPr>
          <w:p>
            <w:pPr>
              <w:jc w:val="right"/>
              <w:ind w:right="730"/>
              <w:spacing w:after="0" w:line="202" w:lineRule="exact"/>
              <w:rPr>
                <w:sz w:val="20"/>
                <w:szCs w:val="20"/>
                <w:color w:val="auto"/>
              </w:rPr>
            </w:pPr>
            <w:r>
              <w:rPr>
                <w:rFonts w:ascii="Arial" w:cs="Arial" w:eastAsia="Arial" w:hAnsi="Arial"/>
                <w:sz w:val="18"/>
                <w:szCs w:val="18"/>
                <w:color w:val="auto"/>
              </w:rPr>
              <w:t>906</w:t>
            </w:r>
          </w:p>
        </w:tc>
        <w:tc>
          <w:tcPr>
            <w:tcW w:w="2260" w:type="dxa"/>
            <w:vAlign w:val="bottom"/>
            <w:shd w:val="clear" w:color="auto" w:fill="BFBFBF"/>
          </w:tcPr>
          <w:p>
            <w:pPr>
              <w:jc w:val="right"/>
              <w:ind w:right="750"/>
              <w:spacing w:after="0" w:line="202" w:lineRule="exact"/>
              <w:rPr>
                <w:sz w:val="20"/>
                <w:szCs w:val="20"/>
                <w:color w:val="auto"/>
              </w:rPr>
            </w:pPr>
            <w:r>
              <w:rPr>
                <w:rFonts w:ascii="Arial" w:cs="Arial" w:eastAsia="Arial" w:hAnsi="Arial"/>
                <w:sz w:val="18"/>
                <w:szCs w:val="18"/>
                <w:color w:val="auto"/>
              </w:rPr>
              <w:t>—</w:t>
            </w: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Check Kian Low</w:t>
            </w:r>
          </w:p>
        </w:tc>
        <w:tc>
          <w:tcPr>
            <w:tcW w:w="396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1,294</w:t>
            </w:r>
          </w:p>
        </w:tc>
        <w:tc>
          <w:tcPr>
            <w:tcW w:w="226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w:t>
            </w:r>
          </w:p>
        </w:tc>
      </w:tr>
      <w:tr>
        <w:trPr>
          <w:trHeight w:val="203"/>
        </w:trPr>
        <w:tc>
          <w:tcPr>
            <w:tcW w:w="370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Donald Macleod</w:t>
            </w:r>
          </w:p>
        </w:tc>
        <w:tc>
          <w:tcPr>
            <w:tcW w:w="3960" w:type="dxa"/>
            <w:vAlign w:val="bottom"/>
            <w:shd w:val="clear" w:color="auto" w:fill="BFBFBF"/>
          </w:tcPr>
          <w:p>
            <w:pPr>
              <w:jc w:val="right"/>
              <w:ind w:right="730"/>
              <w:spacing w:after="0" w:line="202" w:lineRule="exact"/>
              <w:rPr>
                <w:sz w:val="20"/>
                <w:szCs w:val="20"/>
                <w:color w:val="auto"/>
              </w:rPr>
            </w:pPr>
            <w:r>
              <w:rPr>
                <w:rFonts w:ascii="Arial" w:cs="Arial" w:eastAsia="Arial" w:hAnsi="Arial"/>
                <w:sz w:val="18"/>
                <w:szCs w:val="18"/>
                <w:color w:val="auto"/>
              </w:rPr>
              <w:t>906</w:t>
            </w:r>
          </w:p>
        </w:tc>
        <w:tc>
          <w:tcPr>
            <w:tcW w:w="2260" w:type="dxa"/>
            <w:vAlign w:val="bottom"/>
            <w:shd w:val="clear" w:color="auto" w:fill="BFBFBF"/>
          </w:tcPr>
          <w:p>
            <w:pPr>
              <w:jc w:val="right"/>
              <w:ind w:right="750"/>
              <w:spacing w:after="0" w:line="202" w:lineRule="exact"/>
              <w:rPr>
                <w:sz w:val="20"/>
                <w:szCs w:val="20"/>
                <w:color w:val="auto"/>
              </w:rPr>
            </w:pPr>
            <w:r>
              <w:rPr>
                <w:rFonts w:ascii="Arial" w:cs="Arial" w:eastAsia="Arial" w:hAnsi="Arial"/>
                <w:sz w:val="18"/>
                <w:szCs w:val="18"/>
                <w:color w:val="auto"/>
              </w:rPr>
              <w:t>5,223</w:t>
            </w: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Peter J. Marks</w:t>
            </w:r>
          </w:p>
        </w:tc>
        <w:tc>
          <w:tcPr>
            <w:tcW w:w="3960" w:type="dxa"/>
            <w:vAlign w:val="bottom"/>
          </w:tcPr>
          <w:p>
            <w:pPr>
              <w:jc w:val="right"/>
              <w:ind w:right="730"/>
              <w:spacing w:after="0"/>
              <w:rPr>
                <w:sz w:val="20"/>
                <w:szCs w:val="20"/>
                <w:color w:val="auto"/>
              </w:rPr>
            </w:pPr>
            <w:r>
              <w:rPr>
                <w:rFonts w:ascii="Arial" w:cs="Arial" w:eastAsia="Arial" w:hAnsi="Arial"/>
                <w:sz w:val="18"/>
                <w:szCs w:val="18"/>
                <w:color w:val="auto"/>
              </w:rPr>
              <w:t>906</w:t>
            </w:r>
          </w:p>
        </w:tc>
        <w:tc>
          <w:tcPr>
            <w:tcW w:w="2260" w:type="dxa"/>
            <w:vAlign w:val="bottom"/>
          </w:tcPr>
          <w:p>
            <w:pPr>
              <w:jc w:val="right"/>
              <w:ind w:right="750"/>
              <w:spacing w:after="0"/>
              <w:rPr>
                <w:sz w:val="20"/>
                <w:szCs w:val="20"/>
                <w:color w:val="auto"/>
              </w:rPr>
            </w:pPr>
            <w:r>
              <w:rPr>
                <w:rFonts w:ascii="Arial" w:cs="Arial" w:eastAsia="Arial" w:hAnsi="Arial"/>
                <w:sz w:val="18"/>
                <w:szCs w:val="18"/>
                <w:color w:val="auto"/>
              </w:rPr>
              <w:t>23,474</w:t>
            </w:r>
          </w:p>
        </w:tc>
      </w:tr>
    </w:tbl>
    <w:p>
      <w:pPr>
        <w:spacing w:after="0" w:line="52" w:lineRule="exact"/>
        <w:rPr>
          <w:sz w:val="20"/>
          <w:szCs w:val="20"/>
          <w:color w:val="auto"/>
        </w:rPr>
      </w:pPr>
    </w:p>
    <w:p>
      <w:pPr>
        <w:ind w:left="740" w:right="100" w:hanging="536"/>
        <w:spacing w:after="0" w:line="234"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dividends paid on ordinary shares received upon exercise of share options previously granted to the director as compensation prior to our adoption of ASC 718, as dividends were not factored into the grant date fair value for such options. These share option awards were accounted for under Accounting Principles Board Opinion No. 25, “Accounting for Stock Issued to Employees,” and related interpretations and provided the required pro forma disclosures of SFAS No. 123, “Accounting for Stock-Based Compensation.”</w:t>
      </w:r>
    </w:p>
    <w:p>
      <w:pPr>
        <w:spacing w:after="0" w:line="3" w:lineRule="exact"/>
        <w:rPr>
          <w:rFonts w:ascii="Arial" w:cs="Arial" w:eastAsia="Arial" w:hAnsi="Arial"/>
          <w:sz w:val="18"/>
          <w:szCs w:val="18"/>
          <w:color w:val="auto"/>
        </w:rPr>
      </w:pPr>
    </w:p>
    <w:p>
      <w:pPr>
        <w:ind w:left="740" w:hanging="536"/>
        <w:spacing w:after="0" w:line="234"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Ordinary shares on which dividends were paid are held by Mr. Diller as trustee for a family trust.</w:t>
      </w:r>
    </w:p>
    <w:p>
      <w:pPr>
        <w:ind w:left="740" w:right="80" w:hanging="536"/>
        <w:spacing w:after="0" w:line="234"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Pursuant to Mr. Hao’s arrangement with Silver Lake, dividends on ordinary shares received by Mr. Hao upon the exercise of certain share options or the vesting of certain RSUs received as director compensation are required to be remitted to Silver Lake.</w:t>
      </w:r>
    </w:p>
    <w:p>
      <w:pPr>
        <w:spacing w:after="0" w:line="1" w:lineRule="exact"/>
        <w:rPr>
          <w:rFonts w:ascii="Arial" w:cs="Arial" w:eastAsia="Arial" w:hAnsi="Arial"/>
          <w:sz w:val="18"/>
          <w:szCs w:val="18"/>
          <w:color w:val="auto"/>
        </w:rPr>
      </w:pPr>
    </w:p>
    <w:p>
      <w:pPr>
        <w:ind w:left="740" w:hanging="536"/>
        <w:spacing w:after="0" w:line="234"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Ms. Page did not stand for re-election at the 2017 AGM and ceased to be a director on April 5, 2017.</w:t>
      </w:r>
    </w:p>
    <w:p>
      <w:pPr>
        <w:ind w:left="740" w:hanging="53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Wong resigned from our Board effective December 15, 2016.</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PROPOSAL 2:</w:t>
      </w:r>
    </w:p>
    <w:p>
      <w:pPr>
        <w:spacing w:after="0" w:line="18" w:lineRule="exact"/>
        <w:rPr>
          <w:sz w:val="20"/>
          <w:szCs w:val="20"/>
          <w:color w:val="auto"/>
        </w:rPr>
      </w:pPr>
    </w:p>
    <w:p>
      <w:pPr>
        <w:jc w:val="center"/>
        <w:ind w:left="460" w:right="1460"/>
        <w:spacing w:after="0"/>
        <w:rPr>
          <w:sz w:val="20"/>
          <w:szCs w:val="20"/>
          <w:color w:val="auto"/>
        </w:rPr>
      </w:pPr>
      <w:r>
        <w:rPr>
          <w:rFonts w:ascii="Arial" w:cs="Arial" w:eastAsia="Arial" w:hAnsi="Arial"/>
          <w:sz w:val="18"/>
          <w:szCs w:val="18"/>
          <w:b w:val="1"/>
          <w:bCs w:val="1"/>
          <w:color w:val="auto"/>
        </w:rPr>
        <w:t>APPROVAL OF THE RE-APPOINTMENT OF INDEPENDENT REGISTERED PUBLIC ACCOUNTING FIRM AND INDEPENDENT SINGAPORE AUDITOR FOR FISCAL YEAR 2018 AND AUTHORIZATION OF THE AUDIT COMMITTEE TO FIX ITS REMUNERATION</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PricewaterhouseCoopers LLP (“</w:t>
      </w:r>
      <w:r>
        <w:rPr>
          <w:rFonts w:ascii="Arial" w:cs="Arial" w:eastAsia="Arial" w:hAnsi="Arial"/>
          <w:sz w:val="18"/>
          <w:szCs w:val="18"/>
          <w:u w:val="single" w:color="auto"/>
          <w:color w:val="auto"/>
        </w:rPr>
        <w:t>PwC</w:t>
      </w:r>
      <w:r>
        <w:rPr>
          <w:rFonts w:ascii="Arial" w:cs="Arial" w:eastAsia="Arial" w:hAnsi="Arial"/>
          <w:sz w:val="18"/>
          <w:szCs w:val="18"/>
          <w:color w:val="auto"/>
        </w:rPr>
        <w:t>”) is our independent registered public accounting firm in the United States and audits our</w:t>
      </w:r>
    </w:p>
    <w:p>
      <w:pPr>
        <w:ind w:left="200"/>
        <w:spacing w:after="0" w:line="234" w:lineRule="auto"/>
        <w:rPr>
          <w:sz w:val="20"/>
          <w:szCs w:val="20"/>
          <w:color w:val="auto"/>
        </w:rPr>
      </w:pPr>
      <w:r>
        <w:rPr>
          <w:rFonts w:ascii="Arial" w:cs="Arial" w:eastAsia="Arial" w:hAnsi="Arial"/>
          <w:sz w:val="18"/>
          <w:szCs w:val="18"/>
          <w:color w:val="auto"/>
        </w:rPr>
        <w:t>consolidated financial statements. During Fiscal Year 2017, PwC in Singapore was our independent Singapore auditor of our Singapore</w:t>
      </w:r>
    </w:p>
    <w:p>
      <w:pPr>
        <w:ind w:left="200"/>
        <w:spacing w:after="0" w:line="235" w:lineRule="auto"/>
        <w:rPr>
          <w:sz w:val="20"/>
          <w:szCs w:val="20"/>
          <w:color w:val="auto"/>
        </w:rPr>
      </w:pPr>
      <w:r>
        <w:rPr>
          <w:rFonts w:ascii="Arial" w:cs="Arial" w:eastAsia="Arial" w:hAnsi="Arial"/>
          <w:sz w:val="18"/>
          <w:szCs w:val="18"/>
          <w:color w:val="auto"/>
        </w:rPr>
        <w:t>statutory financial statements. Pursuant to Section 205(2) and 205(4) of the Singapore Companies Act, any appointment after our Board’s</w:t>
      </w:r>
    </w:p>
    <w:p>
      <w:pPr>
        <w:ind w:left="200"/>
        <w:spacing w:after="0" w:line="235" w:lineRule="auto"/>
        <w:rPr>
          <w:sz w:val="20"/>
          <w:szCs w:val="20"/>
          <w:color w:val="auto"/>
        </w:rPr>
      </w:pPr>
      <w:r>
        <w:rPr>
          <w:rFonts w:ascii="Arial" w:cs="Arial" w:eastAsia="Arial" w:hAnsi="Arial"/>
          <w:sz w:val="18"/>
          <w:szCs w:val="18"/>
          <w:color w:val="auto"/>
        </w:rPr>
        <w:t>initial appointment of our independent Singapore auditor, or its subsequent removal, requires the approval of our shareholders. The Audit</w:t>
      </w:r>
    </w:p>
    <w:p>
      <w:pPr>
        <w:ind w:left="200"/>
        <w:spacing w:after="0" w:line="235" w:lineRule="auto"/>
        <w:rPr>
          <w:sz w:val="20"/>
          <w:szCs w:val="20"/>
          <w:color w:val="auto"/>
        </w:rPr>
      </w:pPr>
      <w:r>
        <w:rPr>
          <w:rFonts w:ascii="Arial" w:cs="Arial" w:eastAsia="Arial" w:hAnsi="Arial"/>
          <w:sz w:val="18"/>
          <w:szCs w:val="18"/>
          <w:color w:val="auto"/>
        </w:rPr>
        <w:t>Committee has approved, subject to shareholder approval, the re-appointment of PwC as our independent registered public accounting</w:t>
      </w:r>
    </w:p>
    <w:p>
      <w:pPr>
        <w:ind w:left="200"/>
        <w:spacing w:after="0" w:line="235" w:lineRule="auto"/>
        <w:rPr>
          <w:sz w:val="20"/>
          <w:szCs w:val="20"/>
          <w:color w:val="auto"/>
        </w:rPr>
      </w:pPr>
      <w:r>
        <w:rPr>
          <w:rFonts w:ascii="Arial" w:cs="Arial" w:eastAsia="Arial" w:hAnsi="Arial"/>
          <w:sz w:val="18"/>
          <w:szCs w:val="18"/>
          <w:color w:val="auto"/>
        </w:rPr>
        <w:t>firm and independent Singapore auditor for the fiscal year ending November 4, 2018 (“</w:t>
      </w:r>
      <w:r>
        <w:rPr>
          <w:rFonts w:ascii="Arial" w:cs="Arial" w:eastAsia="Arial" w:hAnsi="Arial"/>
          <w:sz w:val="18"/>
          <w:szCs w:val="18"/>
          <w:u w:val="single" w:color="auto"/>
          <w:color w:val="auto"/>
        </w:rPr>
        <w:t>Fiscal Year 2018</w:t>
      </w:r>
      <w:r>
        <w:rPr>
          <w:rFonts w:ascii="Arial" w:cs="Arial" w:eastAsia="Arial" w:hAnsi="Arial"/>
          <w:sz w:val="18"/>
          <w:szCs w:val="18"/>
          <w:color w:val="auto"/>
        </w:rPr>
        <w:t>”). Pursuant to Section 205(16) of</w:t>
      </w:r>
    </w:p>
    <w:p>
      <w:pPr>
        <w:ind w:left="200"/>
        <w:spacing w:after="0" w:line="235" w:lineRule="auto"/>
        <w:rPr>
          <w:sz w:val="20"/>
          <w:szCs w:val="20"/>
          <w:color w:val="auto"/>
        </w:rPr>
      </w:pPr>
      <w:r>
        <w:rPr>
          <w:rFonts w:ascii="Arial" w:cs="Arial" w:eastAsia="Arial" w:hAnsi="Arial"/>
          <w:sz w:val="18"/>
          <w:szCs w:val="18"/>
          <w:color w:val="auto"/>
        </w:rPr>
        <w:t>the Singapore Companies Act, the remuneration of a company’s auditors shall be fixed by the shareholders in a general meeting or the</w:t>
      </w:r>
    </w:p>
    <w:p>
      <w:pPr>
        <w:ind w:left="200"/>
        <w:spacing w:after="0" w:line="235" w:lineRule="auto"/>
        <w:rPr>
          <w:sz w:val="20"/>
          <w:szCs w:val="20"/>
          <w:color w:val="auto"/>
        </w:rPr>
      </w:pPr>
      <w:r>
        <w:rPr>
          <w:rFonts w:ascii="Arial" w:cs="Arial" w:eastAsia="Arial" w:hAnsi="Arial"/>
          <w:sz w:val="18"/>
          <w:szCs w:val="18"/>
          <w:color w:val="auto"/>
        </w:rPr>
        <w:t>shareholders may authorize directors to fix the remuneration. Our Board believes that it is appropriate for the Audit Committee, as part of</w:t>
      </w:r>
    </w:p>
    <w:p>
      <w:pPr>
        <w:ind w:left="200"/>
        <w:spacing w:after="0" w:line="235" w:lineRule="auto"/>
        <w:rPr>
          <w:sz w:val="20"/>
          <w:szCs w:val="20"/>
          <w:color w:val="auto"/>
        </w:rPr>
      </w:pPr>
      <w:r>
        <w:rPr>
          <w:rFonts w:ascii="Arial" w:cs="Arial" w:eastAsia="Arial" w:hAnsi="Arial"/>
          <w:sz w:val="18"/>
          <w:szCs w:val="18"/>
          <w:color w:val="auto"/>
        </w:rPr>
        <w:t>its oversight responsibilities, to fix the auditors’ remuneration. Our Board is therefore also requesting that the shareholders authorize the</w:t>
      </w:r>
    </w:p>
    <w:p>
      <w:pPr>
        <w:ind w:left="200"/>
        <w:spacing w:after="0" w:line="235" w:lineRule="auto"/>
        <w:rPr>
          <w:sz w:val="20"/>
          <w:szCs w:val="20"/>
          <w:color w:val="auto"/>
        </w:rPr>
      </w:pPr>
      <w:r>
        <w:rPr>
          <w:rFonts w:ascii="Arial" w:cs="Arial" w:eastAsia="Arial" w:hAnsi="Arial"/>
          <w:sz w:val="18"/>
          <w:szCs w:val="18"/>
          <w:color w:val="auto"/>
        </w:rPr>
        <w:t>Audit Committee to fix the auditors’ remuneration for services rendered through our 2019 Annual General Meeting of Shareholders (the</w:t>
      </w:r>
    </w:p>
    <w:p>
      <w:pPr>
        <w:ind w:left="2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2019 AGM</w:t>
      </w:r>
      <w:r>
        <w:rPr>
          <w:rFonts w:ascii="Arial" w:cs="Arial" w:eastAsia="Arial" w:hAnsi="Arial"/>
          <w:sz w:val="18"/>
          <w:szCs w:val="18"/>
          <w:color w:val="auto"/>
        </w:rPr>
        <w:t>”). We expect a representative from PwC to be present at the 2018 AGM. This representative will have the opportunity to make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statement if he or she so desires and is expected to be available to respond to appropriate questions.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85" w:lineRule="exact"/>
        <w:rPr>
          <w:sz w:val="20"/>
          <w:szCs w:val="20"/>
          <w:color w:val="auto"/>
        </w:rPr>
      </w:pPr>
    </w:p>
    <w:p>
      <w:pPr>
        <w:jc w:val="both"/>
        <w:ind w:left="200" w:right="120" w:firstLine="551"/>
        <w:spacing w:after="0" w:line="239" w:lineRule="auto"/>
        <w:rPr>
          <w:sz w:val="20"/>
          <w:szCs w:val="20"/>
          <w:color w:val="auto"/>
        </w:rPr>
      </w:pPr>
      <w:r>
        <w:rPr>
          <w:rFonts w:ascii="Arial" w:cs="Arial" w:eastAsia="Arial" w:hAnsi="Arial"/>
          <w:sz w:val="18"/>
          <w:szCs w:val="18"/>
          <w:color w:val="auto"/>
        </w:rPr>
        <w:t>Set forth below are the fees for all services rendered by PwC to us relating to Fiscal Year 2017. Also set forth below are audit fees for services rendered by PwC to us and Avago, our predecessor, relating to the fiscal year ended October 30, 2016 (“</w:t>
      </w:r>
      <w:r>
        <w:rPr>
          <w:rFonts w:ascii="Arial" w:cs="Arial" w:eastAsia="Arial" w:hAnsi="Arial"/>
          <w:sz w:val="18"/>
          <w:szCs w:val="18"/>
          <w:u w:val="single" w:color="auto"/>
          <w:color w:val="auto"/>
        </w:rPr>
        <w:t>Fiscal Year 2016</w:t>
      </w:r>
      <w:r>
        <w:rPr>
          <w:rFonts w:ascii="Arial" w:cs="Arial" w:eastAsia="Arial" w:hAnsi="Arial"/>
          <w:sz w:val="18"/>
          <w:szCs w:val="18"/>
          <w:color w:val="auto"/>
        </w:rPr>
        <w:t>”), as well as fees billed for audit-related services, tax services and all other services rendered by PwC to Avago from November 2, 2015 to January 31, 2016 and to us from February 1, 2016 to October 30, 2016.</w:t>
      </w:r>
    </w:p>
    <w:p>
      <w:pPr>
        <w:spacing w:after="0" w:line="162"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4680" w:type="dxa"/>
            <w:vAlign w:val="bottom"/>
            <w:shd w:val="clear" w:color="auto" w:fill="7F7F7F"/>
          </w:tcPr>
          <w:p>
            <w:pPr>
              <w:spacing w:after="0"/>
              <w:rPr>
                <w:sz w:val="17"/>
                <w:szCs w:val="17"/>
                <w:color w:val="auto"/>
              </w:rPr>
            </w:pPr>
          </w:p>
        </w:tc>
        <w:tc>
          <w:tcPr>
            <w:tcW w:w="800" w:type="dxa"/>
            <w:vAlign w:val="bottom"/>
            <w:shd w:val="clear" w:color="auto" w:fill="7F7F7F"/>
          </w:tcPr>
          <w:p>
            <w:pPr>
              <w:spacing w:after="0"/>
              <w:rPr>
                <w:sz w:val="17"/>
                <w:szCs w:val="17"/>
                <w:color w:val="auto"/>
              </w:rPr>
            </w:pPr>
          </w:p>
        </w:tc>
        <w:tc>
          <w:tcPr>
            <w:tcW w:w="300" w:type="dxa"/>
            <w:vAlign w:val="bottom"/>
            <w:shd w:val="clear" w:color="auto" w:fill="7F7F7F"/>
          </w:tcPr>
          <w:p>
            <w:pPr>
              <w:spacing w:after="0"/>
              <w:rPr>
                <w:sz w:val="17"/>
                <w:szCs w:val="17"/>
                <w:color w:val="auto"/>
              </w:rPr>
            </w:pPr>
          </w:p>
        </w:tc>
        <w:tc>
          <w:tcPr>
            <w:tcW w:w="600" w:type="dxa"/>
            <w:vAlign w:val="bottom"/>
            <w:shd w:val="clear" w:color="auto" w:fill="7F7F7F"/>
          </w:tcPr>
          <w:p>
            <w:pPr>
              <w:spacing w:after="0"/>
              <w:rPr>
                <w:sz w:val="17"/>
                <w:szCs w:val="17"/>
                <w:color w:val="auto"/>
              </w:rPr>
            </w:pPr>
          </w:p>
        </w:tc>
        <w:tc>
          <w:tcPr>
            <w:tcW w:w="520" w:type="dxa"/>
            <w:vAlign w:val="bottom"/>
            <w:shd w:val="clear" w:color="auto" w:fill="7F7F7F"/>
          </w:tcPr>
          <w:p>
            <w:pPr>
              <w:spacing w:after="0"/>
              <w:rPr>
                <w:sz w:val="17"/>
                <w:szCs w:val="17"/>
                <w:color w:val="auto"/>
              </w:rPr>
            </w:pPr>
          </w:p>
        </w:tc>
        <w:tc>
          <w:tcPr>
            <w:tcW w:w="1900" w:type="dxa"/>
            <w:vAlign w:val="bottom"/>
            <w:gridSpan w:val="4"/>
            <w:shd w:val="clear" w:color="auto" w:fill="7F7F7F"/>
          </w:tcPr>
          <w:p>
            <w:pPr>
              <w:jc w:val="center"/>
              <w:spacing w:after="0"/>
              <w:rPr>
                <w:sz w:val="20"/>
                <w:szCs w:val="20"/>
                <w:color w:val="auto"/>
              </w:rPr>
            </w:pPr>
            <w:r>
              <w:rPr>
                <w:rFonts w:ascii="Arial" w:cs="Arial" w:eastAsia="Arial" w:hAnsi="Arial"/>
                <w:sz w:val="18"/>
                <w:szCs w:val="18"/>
                <w:b w:val="1"/>
                <w:bCs w:val="1"/>
                <w:color w:val="FFFFFF"/>
                <w:w w:val="98"/>
              </w:rPr>
              <w:t>Fiscal Year 2016</w:t>
            </w:r>
          </w:p>
        </w:tc>
      </w:tr>
      <w:tr>
        <w:trPr>
          <w:trHeight w:val="203"/>
        </w:trPr>
        <w:tc>
          <w:tcPr>
            <w:tcW w:w="4680" w:type="dxa"/>
            <w:vAlign w:val="bottom"/>
            <w:shd w:val="clear" w:color="auto" w:fill="7F7F7F"/>
          </w:tcPr>
          <w:p>
            <w:pPr>
              <w:spacing w:after="0"/>
              <w:rPr>
                <w:sz w:val="17"/>
                <w:szCs w:val="17"/>
                <w:color w:val="auto"/>
              </w:rPr>
            </w:pPr>
          </w:p>
        </w:tc>
        <w:tc>
          <w:tcPr>
            <w:tcW w:w="2220" w:type="dxa"/>
            <w:vAlign w:val="bottom"/>
            <w:gridSpan w:val="4"/>
            <w:shd w:val="clear" w:color="auto" w:fill="7F7F7F"/>
          </w:tcPr>
          <w:p>
            <w:pPr>
              <w:jc w:val="center"/>
              <w:ind w:left="190"/>
              <w:spacing w:after="0" w:line="202" w:lineRule="exact"/>
              <w:rPr>
                <w:sz w:val="20"/>
                <w:szCs w:val="20"/>
                <w:color w:val="auto"/>
              </w:rPr>
            </w:pPr>
            <w:r>
              <w:rPr>
                <w:rFonts w:ascii="Arial" w:cs="Arial" w:eastAsia="Arial" w:hAnsi="Arial"/>
                <w:sz w:val="18"/>
                <w:szCs w:val="18"/>
                <w:b w:val="1"/>
                <w:bCs w:val="1"/>
                <w:color w:val="FFFFFF"/>
                <w:w w:val="98"/>
              </w:rPr>
              <w:t>Fiscal Year 2017</w:t>
            </w:r>
          </w:p>
        </w:tc>
        <w:tc>
          <w:tcPr>
            <w:tcW w:w="1900" w:type="dxa"/>
            <w:vAlign w:val="bottom"/>
            <w:gridSpan w:val="4"/>
            <w:shd w:val="clear" w:color="auto" w:fill="7F7F7F"/>
          </w:tcPr>
          <w:p>
            <w:pPr>
              <w:jc w:val="center"/>
              <w:spacing w:after="0" w:line="202" w:lineRule="exact"/>
              <w:rPr>
                <w:sz w:val="20"/>
                <w:szCs w:val="20"/>
                <w:color w:val="auto"/>
              </w:rPr>
            </w:pPr>
            <w:r>
              <w:rPr>
                <w:rFonts w:ascii="Arial" w:cs="Arial" w:eastAsia="Arial" w:hAnsi="Arial"/>
                <w:sz w:val="18"/>
                <w:szCs w:val="18"/>
                <w:b w:val="1"/>
                <w:bCs w:val="1"/>
                <w:color w:val="FFFFFF"/>
                <w:w w:val="99"/>
              </w:rPr>
              <w:t>Services to</w:t>
            </w:r>
          </w:p>
        </w:tc>
      </w:tr>
      <w:tr>
        <w:trPr>
          <w:trHeight w:val="203"/>
        </w:trPr>
        <w:tc>
          <w:tcPr>
            <w:tcW w:w="4680" w:type="dxa"/>
            <w:vAlign w:val="bottom"/>
            <w:shd w:val="clear" w:color="auto" w:fill="7F7F7F"/>
          </w:tcPr>
          <w:p>
            <w:pPr>
              <w:spacing w:after="0"/>
              <w:rPr>
                <w:sz w:val="17"/>
                <w:szCs w:val="17"/>
                <w:color w:val="auto"/>
              </w:rPr>
            </w:pPr>
          </w:p>
        </w:tc>
        <w:tc>
          <w:tcPr>
            <w:tcW w:w="2220" w:type="dxa"/>
            <w:vAlign w:val="bottom"/>
            <w:gridSpan w:val="4"/>
            <w:shd w:val="clear" w:color="auto" w:fill="7F7F7F"/>
          </w:tcPr>
          <w:p>
            <w:pPr>
              <w:jc w:val="center"/>
              <w:ind w:left="130"/>
              <w:spacing w:after="0" w:line="202" w:lineRule="exact"/>
              <w:rPr>
                <w:sz w:val="20"/>
                <w:szCs w:val="20"/>
                <w:color w:val="auto"/>
              </w:rPr>
            </w:pPr>
            <w:r>
              <w:rPr>
                <w:rFonts w:ascii="Arial" w:cs="Arial" w:eastAsia="Arial" w:hAnsi="Arial"/>
                <w:sz w:val="18"/>
                <w:szCs w:val="18"/>
                <w:b w:val="1"/>
                <w:bCs w:val="1"/>
                <w:color w:val="FFFFFF"/>
                <w:w w:val="99"/>
              </w:rPr>
              <w:t>Services to</w:t>
            </w:r>
          </w:p>
        </w:tc>
        <w:tc>
          <w:tcPr>
            <w:tcW w:w="1900" w:type="dxa"/>
            <w:vAlign w:val="bottom"/>
            <w:gridSpan w:val="4"/>
            <w:shd w:val="clear" w:color="auto" w:fill="7F7F7F"/>
          </w:tcPr>
          <w:p>
            <w:pPr>
              <w:jc w:val="center"/>
              <w:spacing w:after="0" w:line="202" w:lineRule="exact"/>
              <w:rPr>
                <w:sz w:val="20"/>
                <w:szCs w:val="20"/>
                <w:color w:val="auto"/>
              </w:rPr>
            </w:pPr>
            <w:r>
              <w:rPr>
                <w:rFonts w:ascii="Arial" w:cs="Arial" w:eastAsia="Arial" w:hAnsi="Arial"/>
                <w:sz w:val="18"/>
                <w:szCs w:val="18"/>
                <w:b w:val="1"/>
                <w:bCs w:val="1"/>
                <w:color w:val="FFFFFF"/>
                <w:w w:val="99"/>
              </w:rPr>
              <w:t>Broadcom and</w:t>
            </w:r>
          </w:p>
        </w:tc>
      </w:tr>
      <w:tr>
        <w:trPr>
          <w:trHeight w:val="203"/>
        </w:trPr>
        <w:tc>
          <w:tcPr>
            <w:tcW w:w="4680" w:type="dxa"/>
            <w:vAlign w:val="bottom"/>
            <w:shd w:val="clear" w:color="auto" w:fill="7F7F7F"/>
          </w:tcPr>
          <w:p>
            <w:pPr>
              <w:spacing w:after="0"/>
              <w:rPr>
                <w:sz w:val="17"/>
                <w:szCs w:val="17"/>
                <w:color w:val="auto"/>
              </w:rPr>
            </w:pPr>
          </w:p>
        </w:tc>
        <w:tc>
          <w:tcPr>
            <w:tcW w:w="800" w:type="dxa"/>
            <w:vAlign w:val="bottom"/>
            <w:shd w:val="clear" w:color="auto" w:fill="7F7F7F"/>
          </w:tcPr>
          <w:p>
            <w:pPr>
              <w:spacing w:after="0"/>
              <w:rPr>
                <w:sz w:val="17"/>
                <w:szCs w:val="17"/>
                <w:color w:val="auto"/>
              </w:rPr>
            </w:pPr>
          </w:p>
        </w:tc>
        <w:tc>
          <w:tcPr>
            <w:tcW w:w="1420" w:type="dxa"/>
            <w:vAlign w:val="bottom"/>
            <w:gridSpan w:val="3"/>
            <w:shd w:val="clear" w:color="auto" w:fill="7F7F7F"/>
          </w:tcPr>
          <w:p>
            <w:pPr>
              <w:jc w:val="center"/>
              <w:ind w:right="520"/>
              <w:spacing w:after="0" w:line="202" w:lineRule="exact"/>
              <w:rPr>
                <w:sz w:val="20"/>
                <w:szCs w:val="20"/>
                <w:color w:val="auto"/>
              </w:rPr>
            </w:pPr>
            <w:r>
              <w:rPr>
                <w:rFonts w:ascii="Arial" w:cs="Arial" w:eastAsia="Arial" w:hAnsi="Arial"/>
                <w:sz w:val="18"/>
                <w:szCs w:val="18"/>
                <w:b w:val="1"/>
                <w:bCs w:val="1"/>
                <w:color w:val="FFFFFF"/>
              </w:rPr>
              <w:t>Broadcom</w:t>
            </w:r>
          </w:p>
        </w:tc>
        <w:tc>
          <w:tcPr>
            <w:tcW w:w="1900" w:type="dxa"/>
            <w:vAlign w:val="bottom"/>
            <w:gridSpan w:val="4"/>
            <w:shd w:val="clear" w:color="auto" w:fill="7F7F7F"/>
          </w:tcPr>
          <w:p>
            <w:pPr>
              <w:jc w:val="center"/>
              <w:spacing w:after="0" w:line="202" w:lineRule="exact"/>
              <w:rPr>
                <w:sz w:val="20"/>
                <w:szCs w:val="20"/>
                <w:color w:val="auto"/>
              </w:rPr>
            </w:pPr>
            <w:r>
              <w:rPr>
                <w:rFonts w:ascii="Arial" w:cs="Arial" w:eastAsia="Arial" w:hAnsi="Arial"/>
                <w:sz w:val="18"/>
                <w:szCs w:val="18"/>
                <w:b w:val="1"/>
                <w:bCs w:val="1"/>
                <w:color w:val="FFFFFF"/>
                <w:w w:val="98"/>
              </w:rPr>
              <w:t>Avago</w:t>
            </w:r>
          </w:p>
        </w:tc>
      </w:tr>
      <w:tr>
        <w:trPr>
          <w:trHeight w:val="225"/>
        </w:trPr>
        <w:tc>
          <w:tcPr>
            <w:tcW w:w="4680" w:type="dxa"/>
            <w:vAlign w:val="bottom"/>
            <w:shd w:val="clear" w:color="auto" w:fill="7F7F7F"/>
          </w:tcPr>
          <w:p>
            <w:pPr>
              <w:spacing w:after="0"/>
              <w:rPr>
                <w:sz w:val="19"/>
                <w:szCs w:val="19"/>
                <w:color w:val="auto"/>
              </w:rPr>
            </w:pPr>
          </w:p>
        </w:tc>
        <w:tc>
          <w:tcPr>
            <w:tcW w:w="800" w:type="dxa"/>
            <w:vAlign w:val="bottom"/>
            <w:shd w:val="clear" w:color="auto" w:fill="7F7F7F"/>
          </w:tcPr>
          <w:p>
            <w:pPr>
              <w:spacing w:after="0"/>
              <w:rPr>
                <w:sz w:val="19"/>
                <w:szCs w:val="19"/>
                <w:color w:val="auto"/>
              </w:rPr>
            </w:pPr>
          </w:p>
        </w:tc>
        <w:tc>
          <w:tcPr>
            <w:tcW w:w="300" w:type="dxa"/>
            <w:vAlign w:val="bottom"/>
            <w:shd w:val="clear" w:color="auto" w:fill="7F7F7F"/>
          </w:tcPr>
          <w:p>
            <w:pPr>
              <w:spacing w:after="0"/>
              <w:rPr>
                <w:sz w:val="19"/>
                <w:szCs w:val="19"/>
                <w:color w:val="auto"/>
              </w:rPr>
            </w:pPr>
          </w:p>
        </w:tc>
        <w:tc>
          <w:tcPr>
            <w:tcW w:w="2120" w:type="dxa"/>
            <w:vAlign w:val="bottom"/>
            <w:gridSpan w:val="4"/>
            <w:shd w:val="clear" w:color="auto" w:fill="7F7F7F"/>
          </w:tcPr>
          <w:p>
            <w:pPr>
              <w:jc w:val="right"/>
              <w:ind w:right="480"/>
              <w:spacing w:after="0"/>
              <w:rPr>
                <w:sz w:val="20"/>
                <w:szCs w:val="20"/>
                <w:color w:val="auto"/>
              </w:rPr>
            </w:pPr>
            <w:r>
              <w:rPr>
                <w:rFonts w:ascii="Arial" w:cs="Arial" w:eastAsia="Arial" w:hAnsi="Arial"/>
                <w:sz w:val="18"/>
                <w:szCs w:val="18"/>
                <w:b w:val="1"/>
                <w:bCs w:val="1"/>
                <w:color w:val="FFFFFF"/>
              </w:rPr>
              <w:t>($ in thousands)</w:t>
            </w:r>
          </w:p>
        </w:tc>
        <w:tc>
          <w:tcPr>
            <w:tcW w:w="660" w:type="dxa"/>
            <w:vAlign w:val="bottom"/>
            <w:shd w:val="clear" w:color="auto" w:fill="7F7F7F"/>
          </w:tcPr>
          <w:p>
            <w:pPr>
              <w:spacing w:after="0"/>
              <w:rPr>
                <w:sz w:val="19"/>
                <w:szCs w:val="19"/>
                <w:color w:val="auto"/>
              </w:rPr>
            </w:pPr>
          </w:p>
        </w:tc>
        <w:tc>
          <w:tcPr>
            <w:tcW w:w="240" w:type="dxa"/>
            <w:vAlign w:val="bottom"/>
            <w:shd w:val="clear" w:color="auto" w:fill="7F7F7F"/>
          </w:tcPr>
          <w:p>
            <w:pPr>
              <w:spacing w:after="0"/>
              <w:rPr>
                <w:sz w:val="19"/>
                <w:szCs w:val="19"/>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Audit Fees</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9,736</w:t>
            </w:r>
          </w:p>
        </w:tc>
        <w:tc>
          <w:tcPr>
            <w:tcW w:w="5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10,096</w:t>
            </w:r>
          </w:p>
        </w:tc>
        <w:tc>
          <w:tcPr>
            <w:tcW w:w="240" w:type="dxa"/>
            <w:vAlign w:val="bottom"/>
          </w:tcPr>
          <w:p>
            <w:pPr>
              <w:spacing w:after="0"/>
              <w:rPr>
                <w:sz w:val="17"/>
                <w:szCs w:val="17"/>
                <w:color w:val="auto"/>
              </w:rPr>
            </w:pPr>
          </w:p>
        </w:tc>
      </w:tr>
      <w:tr>
        <w:trPr>
          <w:trHeight w:val="203"/>
        </w:trPr>
        <w:tc>
          <w:tcPr>
            <w:tcW w:w="46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Audit-Related Fees</w:t>
            </w:r>
          </w:p>
        </w:tc>
        <w:tc>
          <w:tcPr>
            <w:tcW w:w="800" w:type="dxa"/>
            <w:vAlign w:val="bottom"/>
            <w:shd w:val="clear" w:color="auto" w:fill="BFBFBF"/>
          </w:tcPr>
          <w:p>
            <w:pPr>
              <w:spacing w:after="0"/>
              <w:rPr>
                <w:sz w:val="17"/>
                <w:szCs w:val="17"/>
                <w:color w:val="auto"/>
              </w:rPr>
            </w:pPr>
          </w:p>
        </w:tc>
        <w:tc>
          <w:tcPr>
            <w:tcW w:w="300" w:type="dxa"/>
            <w:vAlign w:val="bottom"/>
            <w:shd w:val="clear" w:color="auto" w:fill="BFBFBF"/>
          </w:tcPr>
          <w:p>
            <w:pPr>
              <w:spacing w:after="0"/>
              <w:rPr>
                <w:sz w:val="17"/>
                <w:szCs w:val="17"/>
                <w:color w:val="auto"/>
              </w:rPr>
            </w:pPr>
          </w:p>
        </w:tc>
        <w:tc>
          <w:tcPr>
            <w:tcW w:w="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941</w:t>
            </w:r>
          </w:p>
        </w:tc>
        <w:tc>
          <w:tcPr>
            <w:tcW w:w="520" w:type="dxa"/>
            <w:vAlign w:val="bottom"/>
            <w:shd w:val="clear" w:color="auto" w:fill="BFBFBF"/>
          </w:tcPr>
          <w:p>
            <w:pPr>
              <w:spacing w:after="0"/>
              <w:rPr>
                <w:sz w:val="17"/>
                <w:szCs w:val="17"/>
                <w:color w:val="auto"/>
              </w:rPr>
            </w:pPr>
          </w:p>
        </w:tc>
        <w:tc>
          <w:tcPr>
            <w:tcW w:w="7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6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575</w:t>
            </w:r>
          </w:p>
        </w:tc>
        <w:tc>
          <w:tcPr>
            <w:tcW w:w="240" w:type="dxa"/>
            <w:vAlign w:val="bottom"/>
            <w:shd w:val="clear" w:color="auto" w:fill="BFBFBF"/>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1,694</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1,458</w:t>
            </w:r>
          </w:p>
        </w:tc>
        <w:tc>
          <w:tcPr>
            <w:tcW w:w="240" w:type="dxa"/>
            <w:vAlign w:val="bottom"/>
          </w:tcPr>
          <w:p>
            <w:pPr>
              <w:spacing w:after="0"/>
              <w:rPr>
                <w:sz w:val="17"/>
                <w:szCs w:val="17"/>
                <w:color w:val="auto"/>
              </w:rPr>
            </w:pPr>
          </w:p>
        </w:tc>
      </w:tr>
      <w:tr>
        <w:trPr>
          <w:trHeight w:val="203"/>
        </w:trPr>
        <w:tc>
          <w:tcPr>
            <w:tcW w:w="46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All Other Fees</w:t>
            </w:r>
          </w:p>
        </w:tc>
        <w:tc>
          <w:tcPr>
            <w:tcW w:w="800" w:type="dxa"/>
            <w:vAlign w:val="bottom"/>
            <w:shd w:val="clear" w:color="auto" w:fill="BFBFBF"/>
          </w:tcPr>
          <w:p>
            <w:pPr>
              <w:spacing w:after="0"/>
              <w:rPr>
                <w:sz w:val="17"/>
                <w:szCs w:val="17"/>
                <w:color w:val="auto"/>
              </w:rPr>
            </w:pPr>
          </w:p>
        </w:tc>
        <w:tc>
          <w:tcPr>
            <w:tcW w:w="300" w:type="dxa"/>
            <w:vAlign w:val="bottom"/>
            <w:tcBorders>
              <w:bottom w:val="single" w:sz="8" w:color="auto"/>
            </w:tcBorders>
            <w:shd w:val="clear" w:color="auto" w:fill="BFBFBF"/>
          </w:tcPr>
          <w:p>
            <w:pPr>
              <w:spacing w:after="0"/>
              <w:rPr>
                <w:sz w:val="17"/>
                <w:szCs w:val="17"/>
                <w:color w:val="auto"/>
              </w:rPr>
            </w:pPr>
          </w:p>
        </w:tc>
        <w:tc>
          <w:tcPr>
            <w:tcW w:w="60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3</w:t>
            </w:r>
          </w:p>
        </w:tc>
        <w:tc>
          <w:tcPr>
            <w:tcW w:w="520" w:type="dxa"/>
            <w:vAlign w:val="bottom"/>
            <w:shd w:val="clear" w:color="auto" w:fill="BFBFBF"/>
          </w:tcPr>
          <w:p>
            <w:pPr>
              <w:spacing w:after="0"/>
              <w:rPr>
                <w:sz w:val="17"/>
                <w:szCs w:val="17"/>
                <w:color w:val="auto"/>
              </w:rPr>
            </w:pPr>
          </w:p>
        </w:tc>
        <w:tc>
          <w:tcPr>
            <w:tcW w:w="760" w:type="dxa"/>
            <w:vAlign w:val="bottom"/>
            <w:shd w:val="clear" w:color="auto" w:fill="BFBFBF"/>
          </w:tcPr>
          <w:p>
            <w:pPr>
              <w:spacing w:after="0"/>
              <w:rPr>
                <w:sz w:val="17"/>
                <w:szCs w:val="17"/>
                <w:color w:val="auto"/>
              </w:rPr>
            </w:pPr>
          </w:p>
        </w:tc>
        <w:tc>
          <w:tcPr>
            <w:tcW w:w="240" w:type="dxa"/>
            <w:vAlign w:val="bottom"/>
            <w:tcBorders>
              <w:bottom w:val="single" w:sz="8" w:color="auto"/>
            </w:tcBorders>
            <w:shd w:val="clear" w:color="auto" w:fill="BFBFBF"/>
          </w:tcPr>
          <w:p>
            <w:pPr>
              <w:spacing w:after="0"/>
              <w:rPr>
                <w:sz w:val="17"/>
                <w:szCs w:val="17"/>
                <w:color w:val="auto"/>
              </w:rPr>
            </w:pPr>
          </w:p>
        </w:tc>
        <w:tc>
          <w:tcPr>
            <w:tcW w:w="66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BFBFBF"/>
          </w:tcPr>
          <w:p>
            <w:pPr>
              <w:spacing w:after="0"/>
              <w:rPr>
                <w:sz w:val="17"/>
                <w:szCs w:val="17"/>
                <w:color w:val="auto"/>
              </w:rPr>
            </w:pPr>
          </w:p>
        </w:tc>
      </w:tr>
      <w:tr>
        <w:trPr>
          <w:trHeight w:val="210"/>
        </w:trPr>
        <w:tc>
          <w:tcPr>
            <w:tcW w:w="4680" w:type="dxa"/>
            <w:vAlign w:val="bottom"/>
          </w:tcPr>
          <w:p>
            <w:pPr>
              <w:ind w:left="420"/>
              <w:spacing w:after="0"/>
              <w:rPr>
                <w:sz w:val="20"/>
                <w:szCs w:val="20"/>
                <w:color w:val="auto"/>
              </w:rPr>
            </w:pPr>
            <w:r>
              <w:rPr>
                <w:rFonts w:ascii="Arial" w:cs="Arial" w:eastAsia="Arial" w:hAnsi="Arial"/>
                <w:sz w:val="18"/>
                <w:szCs w:val="18"/>
                <w:color w:val="auto"/>
              </w:rPr>
              <w:t>Total</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12,374</w:t>
            </w:r>
          </w:p>
        </w:tc>
        <w:tc>
          <w:tcPr>
            <w:tcW w:w="5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12,132</w:t>
            </w:r>
          </w:p>
        </w:tc>
        <w:tc>
          <w:tcPr>
            <w:tcW w:w="24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57" w:lineRule="exact"/>
        <w:rPr>
          <w:sz w:val="20"/>
          <w:szCs w:val="20"/>
          <w:color w:val="auto"/>
        </w:rPr>
      </w:pPr>
    </w:p>
    <w:p>
      <w:pPr>
        <w:ind w:left="200" w:right="20" w:firstLine="551"/>
        <w:spacing w:after="0" w:line="242"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consist of fees billed for professional services provided in connection with the integrated audit of our or Avago’s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audit of internal controls over financial reporting, the review of our or Avago’s quarterly consolidated financial statements, and audit services that are normally provided by the independent registered public accounting firm in connection with statutory and regulatory filings or engagements for those fiscal years, such as statutory audits. The fees include audit fees related to business combination accounting for our recently closed acquisitions.</w:t>
      </w:r>
    </w:p>
    <w:p>
      <w:pPr>
        <w:spacing w:after="0" w:line="131" w:lineRule="exact"/>
        <w:rPr>
          <w:sz w:val="20"/>
          <w:szCs w:val="20"/>
          <w:color w:val="auto"/>
        </w:rPr>
      </w:pPr>
    </w:p>
    <w:p>
      <w:pPr>
        <w:ind w:left="200" w:firstLine="551"/>
        <w:spacing w:after="0" w:line="251"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consist of fees billed for assurance and related services by PwC that are reasonably related to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audit or review of our or Avago’s consolidated financial statements and not included in Audit Fees. In both Fiscal Year 2017 and Fiscal Year 2016, these fees also included fees related to merger and acquisition due diligence.</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consist of fees billed for professional services for tax compliance, including various transfer pricing studies.</w:t>
      </w:r>
    </w:p>
    <w:p>
      <w:pPr>
        <w:spacing w:after="0" w:line="158" w:lineRule="exact"/>
        <w:rPr>
          <w:sz w:val="20"/>
          <w:szCs w:val="20"/>
          <w:color w:val="auto"/>
        </w:rPr>
      </w:pPr>
    </w:p>
    <w:p>
      <w:pPr>
        <w:ind w:left="200" w:right="360" w:firstLine="551"/>
        <w:spacing w:after="0" w:line="26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consist of fees for professional services rendered by PwC for permissible non-audit services. In both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2017 and Fiscal Year 2016, these fees consisted of a license for specialized accounting research software.</w:t>
      </w:r>
    </w:p>
    <w:p>
      <w:pPr>
        <w:spacing w:after="0" w:line="125"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In considering the nature of the services provided by PwC, the Audit Committee determined that such services are compatible with the provision of independent audit services. The Audit Committee discussed these services with PwC and our management to determine that they are permitted under the rules and regulation concerning independent registered public accounting firms’ independence promulgated by the SEC, as well as by the American Institute of Certified Public Accountants.</w:t>
      </w:r>
    </w:p>
    <w:p>
      <w:pPr>
        <w:spacing w:after="0" w:line="148"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Other than as stated above, no fees were billed to us by PwC for Fiscal Year 2017 and Fiscal Year 2016. The Audit Committee considers the provision of these services to be compatible with maintaining the independence of PwC.</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 Pre-Approval Policy</w:t>
      </w:r>
    </w:p>
    <w:p>
      <w:pPr>
        <w:spacing w:after="0" w:line="8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Audit Committee is responsible for selecting the independent registered public accounting firm to be employed by us to audit our financial statements, subject to approval by our shareholders of such appointment. The Audit Committee also assumes responsibility for the retention, compensation, oversight and termination of any independent auditor employed by us. All engagements with our independent registered public accounting firm, regardless of amount, must be authorized in advance by the Audit Committee. The Audit Committee has delegated its pre-approval authority to the Chairperson of the Audit Committee, provided that any matters approved in such manner are presented to the Audit Committee at its next regularly scheduled meeting. Pursuant to the charter of the Audit Committee, committee approval of non-audit services (other than review and attest services) is not required, if such services fall within available exceptions established by the SEC. However, to date, the Audit Committee’s policy has been to approve all services provided by our independent registered public accounting firm. The independent registered public accounting firm and our management are required to periodically report to the Audit Committee regarding the extent of services provided by the independent registered public accounting firm in accordance with the Audit Committee’s pre-approval, and the fees for the services performed to date.</w:t>
      </w:r>
    </w:p>
    <w:p>
      <w:pPr>
        <w:spacing w:after="0" w:line="152" w:lineRule="exact"/>
        <w:rPr>
          <w:sz w:val="20"/>
          <w:szCs w:val="20"/>
          <w:color w:val="auto"/>
        </w:rPr>
      </w:pPr>
    </w:p>
    <w:p>
      <w:pPr>
        <w:ind w:left="200" w:right="460" w:firstLine="551"/>
        <w:spacing w:after="0" w:line="246" w:lineRule="auto"/>
        <w:rPr>
          <w:sz w:val="20"/>
          <w:szCs w:val="20"/>
          <w:color w:val="auto"/>
        </w:rPr>
      </w:pPr>
      <w:r>
        <w:rPr>
          <w:rFonts w:ascii="Arial" w:cs="Arial" w:eastAsia="Arial" w:hAnsi="Arial"/>
          <w:sz w:val="18"/>
          <w:szCs w:val="18"/>
          <w:color w:val="auto"/>
        </w:rPr>
        <w:t>During Fiscal Year 2017 and Fiscal Year 2016, all services provided to either Avago or us by PwC were approved by the Audit Committee pursuant to paragraph (c)(7)(i) of Rule 2-01 of Regulation S-X.</w:t>
      </w:r>
    </w:p>
    <w:p>
      <w:pPr>
        <w:spacing w:after="0" w:line="121" w:lineRule="exact"/>
        <w:rPr>
          <w:sz w:val="20"/>
          <w:szCs w:val="20"/>
          <w:color w:val="auto"/>
        </w:rPr>
      </w:pPr>
    </w:p>
    <w:p>
      <w:pPr>
        <w:ind w:left="200" w:right="100" w:firstLine="551"/>
        <w:spacing w:after="0" w:line="253" w:lineRule="auto"/>
        <w:rPr>
          <w:sz w:val="20"/>
          <w:szCs w:val="20"/>
          <w:color w:val="auto"/>
        </w:rPr>
      </w:pPr>
      <w:r>
        <w:rPr>
          <w:rFonts w:ascii="Arial" w:cs="Arial" w:eastAsia="Arial" w:hAnsi="Arial"/>
          <w:sz w:val="18"/>
          <w:szCs w:val="18"/>
          <w:b w:val="1"/>
          <w:bCs w:val="1"/>
          <w:color w:val="auto"/>
        </w:rPr>
        <w:t>Our Board recommends a vote FOR the resolution to approve the re-appointment of PricewaterhouseCoopers LLP as our independent registered public accounting firm and independent Singapore auditor for Fiscal Year 2018 and to authorize the Audit Committee to fix its remuneration as described in the Notice.</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3:</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ORDINARY RESOLUTION TO AUTHORIZE SHARE ALLOTMENTS AND ISSUANCES</w:t>
      </w:r>
    </w:p>
    <w:p>
      <w:pPr>
        <w:spacing w:after="0" w:line="158"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Under the laws of Singapore, our directors may issue shares and make offers, agreements, options or other instruments (including the grant of equity awards) that might or would require the allotment and issuance of shares only with the prior approval of our shareholders. We are submitting this proposal to authorize our directors to allot and issue our shares from time to time, as set forth in the Notice, because we are required to do so under the laws of Singapore before we can issue any (i) ordinary shares in connection with our equity compensation plans, possible future strategic transactions, or public and private offerings or (ii) Special Preference Shares in accordance with our Constitution.</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this proposal is approved, the authorization would be effective from the date of the 2018 AGM and continue until the earlier of</w:t>
      </w:r>
    </w:p>
    <w:p>
      <w:pPr>
        <w:ind w:left="200" w:right="20" w:firstLine="4"/>
        <w:spacing w:after="0" w:line="238" w:lineRule="auto"/>
        <w:tabs>
          <w:tab w:leader="none" w:pos="4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conclusion of the 2019 AGM or (ii) the expiration of the period within which the 2019 AGM is required by the laws of Singapore to be held. The 2019 AGM is required to be held no later than 15 months after the date of the 2018 AGM or six months after our financial year end, whichever is the earlier. The laws of Singapore allow for an application to be made with the Singapore Accounting and Corporate Regulatory Authority for an extension of up to an additional two months of the time in which to hold an annual general meeting of shareholders, which may be granted in the discretion of that Authority.</w:t>
      </w:r>
    </w:p>
    <w:p>
      <w:pPr>
        <w:spacing w:after="0" w:line="149"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Our Board believes that it is advisable and in the best interests of our shareholders for our shareholders to authorize the directors to issue shares and to make, grant or enter into, offers or agreements and issue options or other instruments (including the grant of equity awards and equity-related securities) that might or would require the allotment and issuance of ordinary shares. In the future, the directors may need to issue shares or make agreements that would require the allotment and issuance of new shares. For example:</w:t>
      </w:r>
    </w:p>
    <w:p>
      <w:pPr>
        <w:spacing w:after="0" w:line="67" w:lineRule="exact"/>
        <w:rPr>
          <w:sz w:val="20"/>
          <w:szCs w:val="20"/>
          <w:color w:val="auto"/>
        </w:rPr>
      </w:pPr>
    </w:p>
    <w:p>
      <w:pPr>
        <w:ind w:left="1280" w:hanging="428"/>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strategic transactions and acquisitions;</w:t>
      </w:r>
    </w:p>
    <w:p>
      <w:pPr>
        <w:spacing w:after="0" w:line="76" w:lineRule="exact"/>
        <w:rPr>
          <w:rFonts w:ascii="Arial" w:cs="Arial" w:eastAsia="Arial" w:hAnsi="Arial"/>
          <w:sz w:val="18"/>
          <w:szCs w:val="18"/>
          <w:color w:val="auto"/>
        </w:rPr>
      </w:pPr>
    </w:p>
    <w:p>
      <w:pPr>
        <w:ind w:left="1280" w:right="900" w:hanging="428"/>
        <w:spacing w:after="0" w:line="246" w:lineRule="auto"/>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pursuant to public and private offerings of our ordinary shares, as well as instruments (including debt instruments) convertible or exchangeable into our ordinary shares;</w:t>
      </w:r>
    </w:p>
    <w:p>
      <w:pPr>
        <w:spacing w:after="0" w:line="61" w:lineRule="exact"/>
        <w:rPr>
          <w:rFonts w:ascii="Arial" w:cs="Arial" w:eastAsia="Arial" w:hAnsi="Arial"/>
          <w:sz w:val="18"/>
          <w:szCs w:val="18"/>
          <w:color w:val="auto"/>
        </w:rPr>
      </w:pPr>
    </w:p>
    <w:p>
      <w:pPr>
        <w:ind w:left="1280" w:hanging="428"/>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our equity compensation plans and arrangements from time to time; or</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respect of the Special Preference Shares, as required by our Constitution.</w:t>
      </w:r>
    </w:p>
    <w:p>
      <w:pPr>
        <w:spacing w:after="0" w:line="158"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Notwithstanding this general authorization to allot and issue our ordinary shares, we will be required to seek shareholder approval with respect to future issuances of ordinary shares where required under Nasdaq rules, such as if we were to propose an issuance of ordinary shares that would result in a change in control of Broadcom or in connection with a transaction involving the issuance of ordinary shares representing 20% or more of our outstanding ordinary shares.</w:t>
      </w:r>
    </w:p>
    <w:p>
      <w:pPr>
        <w:spacing w:after="0" w:line="14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expect that we will continue to issue ordinary shares and grant equity-based awards in the future under circumstances similar to those in the past. As of the date of this Proxy Statement, other than issuances of ordinary shares (i) in connection with our equity compensation plans, awards and arrangements, including any equity compensation plans and awards we have assumed or may assume as a result of any acquisitions we have made or may make, or (ii) as we may choose to issue in exchange for Restricted Units, we have no agreements or commitments that would result in the issuance by our Company of any ordinary shares for which approval of this proposal is required. Nevertheless, our Board believes that it is advisable and in the best interests of our shareholders for our shareholders to provide this general authorization in order to avoid the delay and expense of obtaining shareholder approval at a later date, and to provide us with greater flexibility to pursue strategic transactions and acquisitions and raise additional capital through public and private offerings of our ordinary shares, as well as instruments convertible into our ordinary shares.</w:t>
      </w:r>
    </w:p>
    <w:p>
      <w:pPr>
        <w:spacing w:after="0" w:line="153" w:lineRule="exact"/>
        <w:rPr>
          <w:sz w:val="20"/>
          <w:szCs w:val="20"/>
          <w:color w:val="auto"/>
        </w:rPr>
      </w:pPr>
    </w:p>
    <w:p>
      <w:pPr>
        <w:ind w:left="200" w:right="900" w:firstLine="551"/>
        <w:spacing w:after="0" w:line="246" w:lineRule="auto"/>
        <w:rPr>
          <w:sz w:val="20"/>
          <w:szCs w:val="20"/>
          <w:color w:val="auto"/>
        </w:rPr>
      </w:pPr>
      <w:r>
        <w:rPr>
          <w:rFonts w:ascii="Arial" w:cs="Arial" w:eastAsia="Arial" w:hAnsi="Arial"/>
          <w:sz w:val="18"/>
          <w:szCs w:val="18"/>
          <w:color w:val="auto"/>
        </w:rPr>
        <w:t>We will only issue additional Special Preference Shares if and to the extent required, and in the manner provided, by our Constitution.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If this proposal is approved, our directors would be authorized to allot and issue, during the period described above, ordinary shares subject to and in accordance with our Constitution, applicable Singapore laws and Nasdaq rules. The issuance of a large number of ordinary shares (or instruments convertible into or exchangeable for ordinary shares) could be dilutive to existing shareholders or reduce the trading price of our ordinary shares on the Nasdaq Global Select Market. If this proposal is not approved, we would not be permitted to issue shares under our equity compensation plans (other than ordinary shares issuable on exercise or settlement of outstanding options, RSUs and other instruments convertible or exchangeable into, or exercisable for, ordinary shares or the like, which were previously granted when prior shareholder approved share issuance mandates were in effect). If we are unable to rely upon equity as a component of compensation, we would have to review our compensation practices, and would likely have to substantially increase cash compensation to retain key personnel. If we are unable to rely on equity as a source of capital financing for acquisitions or other transactions, we may be unable to achieve our desired strategic goals which may harm our ability to grow our Company.</w:t>
      </w:r>
    </w:p>
    <w:p>
      <w:pPr>
        <w:spacing w:after="0" w:line="131" w:lineRule="exact"/>
        <w:rPr>
          <w:sz w:val="20"/>
          <w:szCs w:val="20"/>
          <w:color w:val="auto"/>
        </w:rPr>
      </w:pPr>
    </w:p>
    <w:p>
      <w:pPr>
        <w:ind w:left="200" w:right="480" w:firstLine="551"/>
        <w:spacing w:after="0" w:line="271" w:lineRule="auto"/>
        <w:rPr>
          <w:sz w:val="20"/>
          <w:szCs w:val="20"/>
          <w:color w:val="auto"/>
        </w:rPr>
      </w:pPr>
      <w:r>
        <w:rPr>
          <w:rFonts w:ascii="Arial" w:cs="Arial" w:eastAsia="Arial" w:hAnsi="Arial"/>
          <w:sz w:val="18"/>
          <w:szCs w:val="18"/>
          <w:b w:val="1"/>
          <w:bCs w:val="1"/>
          <w:color w:val="auto"/>
        </w:rPr>
        <w:t>Our Board recommends a vote FOR the resolution to authorize share allotments and issuances as described in the Notice.</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240" w:top="459" w:right="5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PROPOSAL 4</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NON-BINDING, ADVISORY VOTE TO APPROVE EXECUTIVE COMPENSATION</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 our 2017 AGM, our Board recommended and shareholders voted in favor of having an annual, non-binding, advisory vote to</w:t>
      </w:r>
    </w:p>
    <w:p>
      <w:pPr>
        <w:ind w:left="200"/>
        <w:spacing w:after="0" w:line="234" w:lineRule="auto"/>
        <w:rPr>
          <w:sz w:val="20"/>
          <w:szCs w:val="20"/>
          <w:color w:val="auto"/>
        </w:rPr>
      </w:pPr>
      <w:r>
        <w:rPr>
          <w:rFonts w:ascii="Arial" w:cs="Arial" w:eastAsia="Arial" w:hAnsi="Arial"/>
          <w:sz w:val="18"/>
          <w:szCs w:val="18"/>
          <w:color w:val="auto"/>
        </w:rPr>
        <w:t>approve the compensation of our named executive officers, as described in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beginning 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page 26 and in the tables and accompanying narrative disclosure under “</w:t>
      </w:r>
      <w:r>
        <w:rPr>
          <w:rFonts w:ascii="Arial" w:cs="Arial" w:eastAsia="Arial" w:hAnsi="Arial"/>
          <w:sz w:val="17"/>
          <w:szCs w:val="17"/>
          <w:i w:val="1"/>
          <w:iCs w:val="1"/>
          <w:color w:val="auto"/>
        </w:rPr>
        <w:t>Executive Compensation</w:t>
      </w:r>
      <w:r>
        <w:rPr>
          <w:rFonts w:ascii="Arial" w:cs="Arial" w:eastAsia="Arial" w:hAnsi="Arial"/>
          <w:sz w:val="17"/>
          <w:szCs w:val="17"/>
          <w:color w:val="auto"/>
        </w:rPr>
        <w:t>” beginning on page 48. Accordingly, we</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are seeking this advisory vote at the 2018 AGM.</w:t>
      </w:r>
    </w:p>
    <w:p>
      <w:pPr>
        <w:spacing w:after="0" w:line="140" w:lineRule="exact"/>
        <w:rPr>
          <w:sz w:val="20"/>
          <w:szCs w:val="20"/>
          <w:color w:val="auto"/>
        </w:rPr>
      </w:pPr>
    </w:p>
    <w:p>
      <w:pPr>
        <w:ind w:left="200" w:right="80" w:firstLine="551"/>
        <w:spacing w:after="0" w:line="245" w:lineRule="auto"/>
        <w:rPr>
          <w:sz w:val="20"/>
          <w:szCs w:val="20"/>
          <w:color w:val="auto"/>
        </w:rPr>
      </w:pPr>
      <w:r>
        <w:rPr>
          <w:rFonts w:ascii="Arial" w:cs="Arial" w:eastAsia="Arial" w:hAnsi="Arial"/>
          <w:sz w:val="18"/>
          <w:szCs w:val="18"/>
          <w:color w:val="auto"/>
        </w:rPr>
        <w:t>Shareholders are encouraged to read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sections of this Proxy Statement, which discuss our compensation policies, procedures and programs and the Fiscal Year 2017 compensation for our named executive officers listed in the Fiscal Year 2017 Summary Compensation Table included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Board recommends that shareholders vote “FOR” the following resolution as described in the Notice:</w:t>
      </w:r>
    </w:p>
    <w:p>
      <w:pPr>
        <w:spacing w:after="0" w:line="158" w:lineRule="exact"/>
        <w:rPr>
          <w:sz w:val="20"/>
          <w:szCs w:val="20"/>
          <w:color w:val="auto"/>
        </w:rPr>
      </w:pPr>
    </w:p>
    <w:p>
      <w:pPr>
        <w:ind w:left="200" w:right="340" w:firstLine="551"/>
        <w:spacing w:after="0"/>
        <w:rPr>
          <w:sz w:val="20"/>
          <w:szCs w:val="20"/>
          <w:color w:val="auto"/>
        </w:rPr>
      </w:pPr>
      <w:r>
        <w:rPr>
          <w:rFonts w:ascii="Arial" w:cs="Arial" w:eastAsia="Arial" w:hAnsi="Arial"/>
          <w:sz w:val="18"/>
          <w:szCs w:val="18"/>
          <w:color w:val="auto"/>
        </w:rPr>
        <w:t>“RESOLVED THAT shareholders approve, on an advisory basis, the compensation of Broadcom’s named executive officers, as disclosed in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and in the compensation tables and accompanying narrative disclosure under “</w:t>
      </w:r>
      <w:r>
        <w:rPr>
          <w:rFonts w:ascii="Arial" w:cs="Arial" w:eastAsia="Arial" w:hAnsi="Arial"/>
          <w:sz w:val="18"/>
          <w:szCs w:val="18"/>
          <w:i w:val="1"/>
          <w:iCs w:val="1"/>
          <w:color w:val="auto"/>
        </w:rPr>
        <w:t>Executive Compensation</w:t>
      </w:r>
      <w:r>
        <w:rPr>
          <w:rFonts w:ascii="Arial" w:cs="Arial" w:eastAsia="Arial" w:hAnsi="Arial"/>
          <w:sz w:val="18"/>
          <w:szCs w:val="18"/>
          <w:color w:val="auto"/>
        </w:rPr>
        <w:t>” in the accompanying Proxy Statement.”</w:t>
      </w:r>
    </w:p>
    <w:p>
      <w:pPr>
        <w:spacing w:after="0" w:line="149"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While the vote on this resolution is advisory and not binding on us, the Compensation Committee or our Board, the Compensation Committee and our Board values thoughtful input from shareholders and will consider the outcome of the vote on this resolution when considering future executive compensation decisions.</w:t>
      </w:r>
    </w:p>
    <w:p>
      <w:pPr>
        <w:spacing w:after="0" w:line="127" w:lineRule="exact"/>
        <w:rPr>
          <w:sz w:val="20"/>
          <w:szCs w:val="20"/>
          <w:color w:val="auto"/>
        </w:rPr>
      </w:pPr>
    </w:p>
    <w:p>
      <w:pPr>
        <w:ind w:left="200" w:right="800" w:firstLine="551"/>
        <w:spacing w:after="0" w:line="271" w:lineRule="auto"/>
        <w:rPr>
          <w:sz w:val="20"/>
          <w:szCs w:val="20"/>
          <w:color w:val="auto"/>
        </w:rPr>
      </w:pPr>
      <w:r>
        <w:rPr>
          <w:rFonts w:ascii="Arial" w:cs="Arial" w:eastAsia="Arial" w:hAnsi="Arial"/>
          <w:sz w:val="18"/>
          <w:szCs w:val="18"/>
          <w:b w:val="1"/>
          <w:bCs w:val="1"/>
          <w:color w:val="auto"/>
        </w:rPr>
        <w:t>Our Board recommends that shareholders vote, on a non-binding, advisory basis, FOR the resolution to approve executive compensation as described in the Notice.</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OFFICERS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certain information about our executive officers as of February 12, 2018:</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297"/>
        </w:trPr>
        <w:tc>
          <w:tcPr>
            <w:tcW w:w="3440" w:type="dxa"/>
            <w:vAlign w:val="bottom"/>
            <w:shd w:val="clear" w:color="auto" w:fill="7F7F7F"/>
          </w:tcPr>
          <w:p>
            <w:pPr>
              <w:ind w:left="80"/>
              <w:spacing w:after="0"/>
              <w:rPr>
                <w:sz w:val="20"/>
                <w:szCs w:val="20"/>
                <w:color w:val="auto"/>
              </w:rPr>
            </w:pPr>
            <w:r>
              <w:rPr>
                <w:rFonts w:ascii="Arial" w:cs="Arial" w:eastAsia="Arial" w:hAnsi="Arial"/>
                <w:sz w:val="18"/>
                <w:szCs w:val="18"/>
                <w:b w:val="1"/>
                <w:bCs w:val="1"/>
                <w:color w:val="FFFFFF"/>
              </w:rPr>
              <w:t>Name</w:t>
            </w:r>
          </w:p>
        </w:tc>
        <w:tc>
          <w:tcPr>
            <w:tcW w:w="860" w:type="dxa"/>
            <w:vAlign w:val="bottom"/>
            <w:shd w:val="clear" w:color="auto" w:fill="7F7F7F"/>
          </w:tcPr>
          <w:p>
            <w:pPr>
              <w:jc w:val="right"/>
              <w:ind w:right="90"/>
              <w:spacing w:after="0"/>
              <w:rPr>
                <w:sz w:val="20"/>
                <w:szCs w:val="20"/>
                <w:color w:val="auto"/>
              </w:rPr>
            </w:pPr>
            <w:r>
              <w:rPr>
                <w:rFonts w:ascii="Arial" w:cs="Arial" w:eastAsia="Arial" w:hAnsi="Arial"/>
                <w:sz w:val="18"/>
                <w:szCs w:val="18"/>
                <w:b w:val="1"/>
                <w:bCs w:val="1"/>
                <w:color w:val="FFFFFF"/>
              </w:rPr>
              <w:t>Age</w:t>
            </w:r>
          </w:p>
        </w:tc>
        <w:tc>
          <w:tcPr>
            <w:tcW w:w="6720" w:type="dxa"/>
            <w:vAlign w:val="bottom"/>
            <w:shd w:val="clear" w:color="auto" w:fill="7F7F7F"/>
          </w:tcPr>
          <w:p>
            <w:pPr>
              <w:ind w:left="3260"/>
              <w:spacing w:after="0"/>
              <w:rPr>
                <w:sz w:val="20"/>
                <w:szCs w:val="20"/>
                <w:color w:val="auto"/>
              </w:rPr>
            </w:pPr>
            <w:r>
              <w:rPr>
                <w:rFonts w:ascii="Arial" w:cs="Arial" w:eastAsia="Arial" w:hAnsi="Arial"/>
                <w:sz w:val="18"/>
                <w:szCs w:val="18"/>
                <w:b w:val="1"/>
                <w:bCs w:val="1"/>
                <w:color w:val="FFFFFF"/>
              </w:rPr>
              <w:t>Title</w:t>
            </w:r>
          </w:p>
        </w:tc>
        <w:tc>
          <w:tcPr>
            <w:tcW w:w="0" w:type="dxa"/>
            <w:vAlign w:val="bottom"/>
          </w:tcPr>
          <w:p>
            <w:pPr>
              <w:spacing w:after="0"/>
              <w:rPr>
                <w:sz w:val="1"/>
                <w:szCs w:val="1"/>
                <w:color w:val="auto"/>
              </w:rPr>
            </w:pPr>
          </w:p>
        </w:tc>
      </w:tr>
      <w:tr>
        <w:trPr>
          <w:trHeight w:val="81"/>
        </w:trPr>
        <w:tc>
          <w:tcPr>
            <w:tcW w:w="3440" w:type="dxa"/>
            <w:vAlign w:val="bottom"/>
            <w:shd w:val="clear" w:color="auto" w:fill="7F7F7F"/>
          </w:tcPr>
          <w:p>
            <w:pPr>
              <w:spacing w:after="0"/>
              <w:rPr>
                <w:sz w:val="7"/>
                <w:szCs w:val="7"/>
                <w:color w:val="auto"/>
              </w:rPr>
            </w:pPr>
          </w:p>
        </w:tc>
        <w:tc>
          <w:tcPr>
            <w:tcW w:w="860" w:type="dxa"/>
            <w:vAlign w:val="bottom"/>
            <w:shd w:val="clear" w:color="auto" w:fill="7F7F7F"/>
          </w:tcPr>
          <w:p>
            <w:pPr>
              <w:spacing w:after="0"/>
              <w:rPr>
                <w:sz w:val="7"/>
                <w:szCs w:val="7"/>
                <w:color w:val="auto"/>
              </w:rPr>
            </w:pPr>
          </w:p>
        </w:tc>
        <w:tc>
          <w:tcPr>
            <w:tcW w:w="6720" w:type="dxa"/>
            <w:vAlign w:val="bottom"/>
            <w:shd w:val="clear" w:color="auto" w:fill="7F7F7F"/>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3440" w:type="dxa"/>
            <w:vAlign w:val="bottom"/>
          </w:tcPr>
          <w:p>
            <w:pPr>
              <w:ind w:left="80"/>
              <w:spacing w:after="0"/>
              <w:rPr>
                <w:sz w:val="20"/>
                <w:szCs w:val="20"/>
                <w:color w:val="auto"/>
              </w:rPr>
            </w:pPr>
            <w:r>
              <w:rPr>
                <w:rFonts w:ascii="Arial" w:cs="Arial" w:eastAsia="Arial" w:hAnsi="Arial"/>
                <w:sz w:val="18"/>
                <w:szCs w:val="18"/>
                <w:b w:val="1"/>
                <w:bCs w:val="1"/>
                <w:color w:val="auto"/>
              </w:rPr>
              <w:t>Hock E. Tan</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6720" w:type="dxa"/>
            <w:vAlign w:val="bottom"/>
          </w:tcPr>
          <w:p>
            <w:pPr>
              <w:ind w:left="20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3440" w:type="dxa"/>
            <w:vAlign w:val="bottom"/>
            <w:shd w:val="clear" w:color="auto" w:fill="BFBFBF"/>
          </w:tcPr>
          <w:p>
            <w:pPr>
              <w:ind w:left="80"/>
              <w:spacing w:after="0"/>
              <w:rPr>
                <w:sz w:val="20"/>
                <w:szCs w:val="20"/>
                <w:color w:val="auto"/>
              </w:rPr>
            </w:pPr>
            <w:r>
              <w:rPr>
                <w:rFonts w:ascii="Arial" w:cs="Arial" w:eastAsia="Arial" w:hAnsi="Arial"/>
                <w:sz w:val="18"/>
                <w:szCs w:val="18"/>
                <w:b w:val="1"/>
                <w:bCs w:val="1"/>
                <w:color w:val="auto"/>
              </w:rPr>
              <w:t>Thomas H. Krause Jr.</w:t>
            </w:r>
          </w:p>
        </w:tc>
        <w:tc>
          <w:tcPr>
            <w:tcW w:w="860" w:type="dxa"/>
            <w:vAlign w:val="bottom"/>
            <w:shd w:val="clear" w:color="auto" w:fill="BFBFBF"/>
          </w:tcPr>
          <w:p>
            <w:pPr>
              <w:jc w:val="right"/>
              <w:ind w:right="90"/>
              <w:spacing w:after="0"/>
              <w:rPr>
                <w:sz w:val="20"/>
                <w:szCs w:val="20"/>
                <w:color w:val="auto"/>
              </w:rPr>
            </w:pPr>
            <w:r>
              <w:rPr>
                <w:rFonts w:ascii="Arial" w:cs="Arial" w:eastAsia="Arial" w:hAnsi="Arial"/>
                <w:sz w:val="18"/>
                <w:szCs w:val="18"/>
                <w:color w:val="auto"/>
              </w:rPr>
              <w:t>40</w:t>
            </w:r>
          </w:p>
        </w:tc>
        <w:tc>
          <w:tcPr>
            <w:tcW w:w="6720" w:type="dxa"/>
            <w:vAlign w:val="bottom"/>
            <w:shd w:val="clear" w:color="auto" w:fill="BFBFBF"/>
          </w:tcPr>
          <w:p>
            <w:pPr>
              <w:ind w:left="2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1"/>
        </w:trPr>
        <w:tc>
          <w:tcPr>
            <w:tcW w:w="344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6720" w:type="dxa"/>
            <w:vAlign w:val="bottom"/>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3440" w:type="dxa"/>
            <w:vAlign w:val="bottom"/>
          </w:tcPr>
          <w:p>
            <w:pPr>
              <w:ind w:left="80"/>
              <w:spacing w:after="0"/>
              <w:rPr>
                <w:sz w:val="20"/>
                <w:szCs w:val="20"/>
                <w:color w:val="auto"/>
              </w:rPr>
            </w:pPr>
            <w:r>
              <w:rPr>
                <w:rFonts w:ascii="Arial" w:cs="Arial" w:eastAsia="Arial" w:hAnsi="Arial"/>
                <w:sz w:val="18"/>
                <w:szCs w:val="18"/>
                <w:b w:val="1"/>
                <w:bCs w:val="1"/>
                <w:color w:val="auto"/>
              </w:rPr>
              <w:t>Charlie B. Kawwas, Ph.D.</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6720" w:type="dxa"/>
            <w:vAlign w:val="bottom"/>
          </w:tcPr>
          <w:p>
            <w:pPr>
              <w:ind w:left="200"/>
              <w:spacing w:after="0"/>
              <w:rPr>
                <w:sz w:val="20"/>
                <w:szCs w:val="20"/>
                <w:color w:val="auto"/>
              </w:rPr>
            </w:pPr>
            <w:r>
              <w:rPr>
                <w:rFonts w:ascii="Arial" w:cs="Arial" w:eastAsia="Arial" w:hAnsi="Arial"/>
                <w:sz w:val="18"/>
                <w:szCs w:val="18"/>
                <w:color w:val="auto"/>
              </w:rPr>
              <w:t>Senior Vice President and Chief Sales Officer</w:t>
            </w: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3440" w:type="dxa"/>
            <w:vAlign w:val="bottom"/>
            <w:shd w:val="clear" w:color="auto" w:fill="BFBFBF"/>
          </w:tcPr>
          <w:p>
            <w:pPr>
              <w:ind w:left="80"/>
              <w:spacing w:after="0"/>
              <w:rPr>
                <w:sz w:val="20"/>
                <w:szCs w:val="20"/>
                <w:color w:val="auto"/>
              </w:rPr>
            </w:pPr>
            <w:r>
              <w:rPr>
                <w:rFonts w:ascii="Arial" w:cs="Arial" w:eastAsia="Arial" w:hAnsi="Arial"/>
                <w:sz w:val="18"/>
                <w:szCs w:val="18"/>
                <w:b w:val="1"/>
                <w:bCs w:val="1"/>
                <w:color w:val="auto"/>
              </w:rPr>
              <w:t>Henry Samueli, Ph.D.</w:t>
            </w:r>
          </w:p>
        </w:tc>
        <w:tc>
          <w:tcPr>
            <w:tcW w:w="860" w:type="dxa"/>
            <w:vAlign w:val="bottom"/>
            <w:shd w:val="clear" w:color="auto" w:fill="BFBFBF"/>
          </w:tcPr>
          <w:p>
            <w:pPr>
              <w:jc w:val="right"/>
              <w:ind w:right="90"/>
              <w:spacing w:after="0"/>
              <w:rPr>
                <w:sz w:val="20"/>
                <w:szCs w:val="20"/>
                <w:color w:val="auto"/>
              </w:rPr>
            </w:pPr>
            <w:r>
              <w:rPr>
                <w:rFonts w:ascii="Arial" w:cs="Arial" w:eastAsia="Arial" w:hAnsi="Arial"/>
                <w:sz w:val="18"/>
                <w:szCs w:val="18"/>
                <w:color w:val="auto"/>
              </w:rPr>
              <w:t>63</w:t>
            </w:r>
          </w:p>
        </w:tc>
        <w:tc>
          <w:tcPr>
            <w:tcW w:w="6720" w:type="dxa"/>
            <w:vAlign w:val="bottom"/>
            <w:shd w:val="clear" w:color="auto" w:fill="BFBFBF"/>
          </w:tcPr>
          <w:p>
            <w:pPr>
              <w:ind w:left="200"/>
              <w:spacing w:after="0"/>
              <w:rPr>
                <w:sz w:val="20"/>
                <w:szCs w:val="20"/>
                <w:color w:val="auto"/>
              </w:rPr>
            </w:pPr>
            <w:r>
              <w:rPr>
                <w:rFonts w:ascii="Arial" w:cs="Arial" w:eastAsia="Arial" w:hAnsi="Arial"/>
                <w:sz w:val="18"/>
                <w:szCs w:val="18"/>
                <w:color w:val="auto"/>
              </w:rPr>
              <w:t>Chief Technical Officer and Director</w:t>
            </w:r>
          </w:p>
        </w:tc>
        <w:tc>
          <w:tcPr>
            <w:tcW w:w="0" w:type="dxa"/>
            <w:vAlign w:val="bottom"/>
          </w:tcPr>
          <w:p>
            <w:pPr>
              <w:spacing w:after="0"/>
              <w:rPr>
                <w:sz w:val="1"/>
                <w:szCs w:val="1"/>
                <w:color w:val="auto"/>
              </w:rPr>
            </w:pPr>
          </w:p>
        </w:tc>
      </w:tr>
      <w:tr>
        <w:trPr>
          <w:trHeight w:val="81"/>
        </w:trPr>
        <w:tc>
          <w:tcPr>
            <w:tcW w:w="344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6720" w:type="dxa"/>
            <w:vAlign w:val="bottom"/>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3440" w:type="dxa"/>
            <w:vAlign w:val="bottom"/>
          </w:tcPr>
          <w:p>
            <w:pPr>
              <w:ind w:left="80"/>
              <w:spacing w:after="0"/>
              <w:rPr>
                <w:sz w:val="20"/>
                <w:szCs w:val="20"/>
                <w:color w:val="auto"/>
              </w:rPr>
            </w:pPr>
            <w:r>
              <w:rPr>
                <w:rFonts w:ascii="Arial" w:cs="Arial" w:eastAsia="Arial" w:hAnsi="Arial"/>
                <w:sz w:val="18"/>
                <w:szCs w:val="18"/>
                <w:b w:val="1"/>
                <w:bCs w:val="1"/>
                <w:color w:val="auto"/>
              </w:rPr>
              <w:t>Mark D. Brazeal</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6720" w:type="dxa"/>
            <w:vAlign w:val="bottom"/>
          </w:tcPr>
          <w:p>
            <w:pPr>
              <w:ind w:left="200"/>
              <w:spacing w:after="0"/>
              <w:rPr>
                <w:sz w:val="20"/>
                <w:szCs w:val="20"/>
                <w:color w:val="auto"/>
              </w:rPr>
            </w:pPr>
            <w:r>
              <w:rPr>
                <w:rFonts w:ascii="Arial" w:cs="Arial" w:eastAsia="Arial" w:hAnsi="Arial"/>
                <w:sz w:val="18"/>
                <w:szCs w:val="18"/>
                <w:color w:val="auto"/>
              </w:rPr>
              <w:t>Chief Legal Officer</w:t>
            </w: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3440" w:type="dxa"/>
            <w:vAlign w:val="bottom"/>
            <w:shd w:val="clear" w:color="auto" w:fill="BFBFBF"/>
          </w:tcPr>
          <w:p>
            <w:pPr>
              <w:ind w:left="80"/>
              <w:spacing w:after="0"/>
              <w:rPr>
                <w:sz w:val="20"/>
                <w:szCs w:val="20"/>
                <w:color w:val="auto"/>
              </w:rPr>
            </w:pPr>
            <w:r>
              <w:rPr>
                <w:rFonts w:ascii="Arial" w:cs="Arial" w:eastAsia="Arial" w:hAnsi="Arial"/>
                <w:sz w:val="18"/>
                <w:szCs w:val="18"/>
                <w:b w:val="1"/>
                <w:bCs w:val="1"/>
                <w:color w:val="auto"/>
              </w:rPr>
              <w:t>Bryan T. Ingram</w:t>
            </w:r>
          </w:p>
        </w:tc>
        <w:tc>
          <w:tcPr>
            <w:tcW w:w="860" w:type="dxa"/>
            <w:vAlign w:val="bottom"/>
            <w:shd w:val="clear" w:color="auto" w:fill="BFBFBF"/>
          </w:tcPr>
          <w:p>
            <w:pPr>
              <w:jc w:val="right"/>
              <w:ind w:right="90"/>
              <w:spacing w:after="0"/>
              <w:rPr>
                <w:sz w:val="20"/>
                <w:szCs w:val="20"/>
                <w:color w:val="auto"/>
              </w:rPr>
            </w:pPr>
            <w:r>
              <w:rPr>
                <w:rFonts w:ascii="Arial" w:cs="Arial" w:eastAsia="Arial" w:hAnsi="Arial"/>
                <w:sz w:val="18"/>
                <w:szCs w:val="18"/>
                <w:color w:val="auto"/>
              </w:rPr>
              <w:t>53</w:t>
            </w:r>
          </w:p>
        </w:tc>
        <w:tc>
          <w:tcPr>
            <w:tcW w:w="6720" w:type="dxa"/>
            <w:vAlign w:val="bottom"/>
            <w:shd w:val="clear" w:color="auto" w:fill="BFBFBF"/>
          </w:tcPr>
          <w:p>
            <w:pPr>
              <w:ind w:left="200"/>
              <w:spacing w:after="0"/>
              <w:rPr>
                <w:sz w:val="20"/>
                <w:szCs w:val="20"/>
                <w:color w:val="auto"/>
              </w:rPr>
            </w:pPr>
            <w:r>
              <w:rPr>
                <w:rFonts w:ascii="Arial" w:cs="Arial" w:eastAsia="Arial" w:hAnsi="Arial"/>
                <w:sz w:val="18"/>
                <w:szCs w:val="18"/>
                <w:color w:val="auto"/>
              </w:rPr>
              <w:t>Senior Vice President and General Manager, Wireless Semiconductor Division</w:t>
            </w:r>
          </w:p>
        </w:tc>
        <w:tc>
          <w:tcPr>
            <w:tcW w:w="0" w:type="dxa"/>
            <w:vAlign w:val="bottom"/>
          </w:tcPr>
          <w:p>
            <w:pPr>
              <w:spacing w:after="0"/>
              <w:rPr>
                <w:sz w:val="1"/>
                <w:szCs w:val="1"/>
                <w:color w:val="auto"/>
              </w:rPr>
            </w:pPr>
          </w:p>
        </w:tc>
      </w:tr>
      <w:tr>
        <w:trPr>
          <w:trHeight w:val="81"/>
        </w:trPr>
        <w:tc>
          <w:tcPr>
            <w:tcW w:w="344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6720" w:type="dxa"/>
            <w:vAlign w:val="bottom"/>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34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Kirsten M. Spears</w:t>
            </w:r>
          </w:p>
        </w:tc>
        <w:tc>
          <w:tcPr>
            <w:tcW w:w="860" w:type="dxa"/>
            <w:vAlign w:val="bottom"/>
            <w:vMerge w:val="restart"/>
          </w:tcPr>
          <w:p>
            <w:pPr>
              <w:jc w:val="right"/>
              <w:ind w:right="90"/>
              <w:spacing w:after="0"/>
              <w:rPr>
                <w:sz w:val="20"/>
                <w:szCs w:val="20"/>
                <w:color w:val="auto"/>
              </w:rPr>
            </w:pPr>
            <w:r>
              <w:rPr>
                <w:rFonts w:ascii="Arial" w:cs="Arial" w:eastAsia="Arial" w:hAnsi="Arial"/>
                <w:sz w:val="18"/>
                <w:szCs w:val="18"/>
                <w:color w:val="auto"/>
              </w:rPr>
              <w:t>53</w:t>
            </w:r>
          </w:p>
        </w:tc>
        <w:tc>
          <w:tcPr>
            <w:tcW w:w="6720" w:type="dxa"/>
            <w:vAlign w:val="bottom"/>
          </w:tcPr>
          <w:p>
            <w:pPr>
              <w:ind w:left="200"/>
              <w:spacing w:after="0"/>
              <w:rPr>
                <w:sz w:val="20"/>
                <w:szCs w:val="20"/>
                <w:color w:val="auto"/>
              </w:rPr>
            </w:pPr>
            <w:r>
              <w:rPr>
                <w:rFonts w:ascii="Arial" w:cs="Arial" w:eastAsia="Arial" w:hAnsi="Arial"/>
                <w:sz w:val="18"/>
                <w:szCs w:val="18"/>
                <w:color w:val="auto"/>
              </w:rPr>
              <w:t>Chief Accounting Officer, Vice President and</w:t>
            </w:r>
          </w:p>
        </w:tc>
        <w:tc>
          <w:tcPr>
            <w:tcW w:w="0" w:type="dxa"/>
            <w:vAlign w:val="bottom"/>
          </w:tcPr>
          <w:p>
            <w:pPr>
              <w:spacing w:after="0"/>
              <w:rPr>
                <w:sz w:val="1"/>
                <w:szCs w:val="1"/>
                <w:color w:val="auto"/>
              </w:rPr>
            </w:pPr>
          </w:p>
        </w:tc>
      </w:tr>
      <w:tr>
        <w:trPr>
          <w:trHeight w:val="109"/>
        </w:trPr>
        <w:tc>
          <w:tcPr>
            <w:tcW w:w="34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720" w:type="dxa"/>
            <w:vAlign w:val="bottom"/>
            <w:vMerge w:val="restart"/>
          </w:tcPr>
          <w:p>
            <w:pPr>
              <w:ind w:left="200"/>
              <w:spacing w:after="0"/>
              <w:rPr>
                <w:sz w:val="20"/>
                <w:szCs w:val="20"/>
                <w:color w:val="auto"/>
              </w:rPr>
            </w:pPr>
            <w:r>
              <w:rPr>
                <w:rFonts w:ascii="Arial" w:cs="Arial" w:eastAsia="Arial" w:hAnsi="Arial"/>
                <w:sz w:val="18"/>
                <w:szCs w:val="18"/>
                <w:color w:val="auto"/>
              </w:rPr>
              <w:t>Corporate Controller</w:t>
            </w: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200" w:right="1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Hock E. Tan </w:t>
      </w:r>
      <w:r>
        <w:rPr>
          <w:rFonts w:ascii="Arial" w:cs="Arial" w:eastAsia="Arial" w:hAnsi="Arial"/>
          <w:sz w:val="18"/>
          <w:szCs w:val="18"/>
          <w:color w:val="auto"/>
        </w:rPr>
        <w:t>has served as our President, Chief Executive Officer and a director since March 2006. From September 2005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2008, he served as chairman of the board of directors of IDT. Prior to becoming chairman of IDT, Mr. Tan was the President and Chief Executive Officer of ICS, from June 1999 to September 2005. Prior to ICS, Mr. Tan was Vice President of Finance with Commodore International, Ltd. from 1992 to 1994, and previously held senior management positions with PepsiCo, Inc. and General Motors Corporation. Mr. Tan served as managing director of Pacven Investment, Ltd., a venture capital fund in Singapore from 1988 to 1992, and served as managing director for Hume Industries Ltd. in Malaysia from 1983 to 1988.</w:t>
      </w:r>
    </w:p>
    <w:p>
      <w:pPr>
        <w:spacing w:after="0" w:line="125" w:lineRule="exact"/>
        <w:rPr>
          <w:sz w:val="20"/>
          <w:szCs w:val="20"/>
          <w:color w:val="auto"/>
        </w:rPr>
      </w:pPr>
    </w:p>
    <w:p>
      <w:pPr>
        <w:ind w:left="200" w:right="60" w:firstLine="551"/>
        <w:spacing w:after="0" w:line="242" w:lineRule="auto"/>
        <w:rPr>
          <w:sz w:val="20"/>
          <w:szCs w:val="20"/>
          <w:color w:val="auto"/>
        </w:rPr>
      </w:pPr>
      <w:r>
        <w:rPr>
          <w:rFonts w:ascii="Arial" w:cs="Arial" w:eastAsia="Arial" w:hAnsi="Arial"/>
          <w:sz w:val="18"/>
          <w:szCs w:val="18"/>
          <w:b w:val="1"/>
          <w:bCs w:val="1"/>
          <w:i w:val="1"/>
          <w:iCs w:val="1"/>
          <w:color w:val="auto"/>
        </w:rPr>
        <w:t xml:space="preserve">Thomas H. Krause, Jr. </w:t>
      </w:r>
      <w:r>
        <w:rPr>
          <w:rFonts w:ascii="Arial" w:cs="Arial" w:eastAsia="Arial" w:hAnsi="Arial"/>
          <w:sz w:val="18"/>
          <w:szCs w:val="18"/>
          <w:color w:val="auto"/>
        </w:rPr>
        <w:t>has served as our Chief Financial Officer since October 2016, and served as our Vice President and acting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and principal financial officer from March 2016 to October 2016. Mr. Krause also served as our Vice President, Corporate Development from January 2012 to October 2016. Prior to joining us, he was an independent management consultant representing several public and private technology companies. Mr. Krause previously served as Vice President of Business Development at Techwell, Inc., a mixed-signal fabless semiconductor company, and held various roles with Technology Crossover Ventures and Robertson Stephens.</w:t>
      </w:r>
    </w:p>
    <w:p>
      <w:pPr>
        <w:spacing w:after="0" w:line="125" w:lineRule="exact"/>
        <w:rPr>
          <w:sz w:val="20"/>
          <w:szCs w:val="20"/>
          <w:color w:val="auto"/>
        </w:rPr>
      </w:pPr>
    </w:p>
    <w:p>
      <w:pPr>
        <w:ind w:left="200" w:right="260" w:firstLine="551"/>
        <w:spacing w:after="0" w:line="244" w:lineRule="auto"/>
        <w:rPr>
          <w:sz w:val="20"/>
          <w:szCs w:val="20"/>
          <w:color w:val="auto"/>
        </w:rPr>
      </w:pPr>
      <w:r>
        <w:rPr>
          <w:rFonts w:ascii="Arial" w:cs="Arial" w:eastAsia="Arial" w:hAnsi="Arial"/>
          <w:sz w:val="18"/>
          <w:szCs w:val="18"/>
          <w:b w:val="1"/>
          <w:bCs w:val="1"/>
          <w:i w:val="1"/>
          <w:iCs w:val="1"/>
          <w:color w:val="auto"/>
        </w:rPr>
        <w:t xml:space="preserve">Charles B. Kawwas, Ph.D. </w:t>
      </w:r>
      <w:r>
        <w:rPr>
          <w:rFonts w:ascii="Arial" w:cs="Arial" w:eastAsia="Arial" w:hAnsi="Arial"/>
          <w:sz w:val="18"/>
          <w:szCs w:val="18"/>
          <w:color w:val="auto"/>
        </w:rPr>
        <w:t>has served as our Senior Vice President and Chief Sales Officer since June 2015 and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Worldwide Sales from May 2014 to June 2015. Dr. Kawwas served as Senior Vice President of Sales for LSI Corporation (“</w:t>
      </w:r>
      <w:r>
        <w:rPr>
          <w:rFonts w:ascii="Arial" w:cs="Arial" w:eastAsia="Arial" w:hAnsi="Arial"/>
          <w:sz w:val="18"/>
          <w:szCs w:val="18"/>
          <w:u w:val="single" w:color="auto"/>
          <w:color w:val="auto"/>
        </w:rPr>
        <w:t>LSI</w:t>
      </w:r>
      <w:r>
        <w:rPr>
          <w:rFonts w:ascii="Arial" w:cs="Arial" w:eastAsia="Arial" w:hAnsi="Arial"/>
          <w:sz w:val="18"/>
          <w:szCs w:val="18"/>
          <w:color w:val="auto"/>
        </w:rPr>
        <w:t>”) from 2010 to May 2014, when we acquired LSI, having joined LSI in 2007 as Vice President of Marketing through its acquisition of Agere Systems. Prior to joining Agere Systems in 2005, he served as the leader of product line management for optical Ethernet and multiservice edge portfolio at Nortel Networks.</w:t>
      </w:r>
    </w:p>
    <w:p>
      <w:pPr>
        <w:spacing w:after="0" w:line="123" w:lineRule="exact"/>
        <w:rPr>
          <w:sz w:val="20"/>
          <w:szCs w:val="20"/>
          <w:color w:val="auto"/>
        </w:rPr>
      </w:pPr>
    </w:p>
    <w:p>
      <w:pPr>
        <w:ind w:left="200" w:right="340" w:firstLine="551"/>
        <w:spacing w:after="0" w:line="247" w:lineRule="auto"/>
        <w:rPr>
          <w:sz w:val="20"/>
          <w:szCs w:val="20"/>
          <w:color w:val="auto"/>
        </w:rPr>
      </w:pPr>
      <w:r>
        <w:rPr>
          <w:rFonts w:ascii="Arial" w:cs="Arial" w:eastAsia="Arial" w:hAnsi="Arial"/>
          <w:sz w:val="18"/>
          <w:szCs w:val="18"/>
          <w:b w:val="1"/>
          <w:bCs w:val="1"/>
          <w:i w:val="1"/>
          <w:iCs w:val="1"/>
          <w:color w:val="auto"/>
        </w:rPr>
        <w:t xml:space="preserve">Henry Samueli, Ph.D. </w:t>
      </w:r>
      <w:r>
        <w:rPr>
          <w:rFonts w:ascii="Arial" w:cs="Arial" w:eastAsia="Arial" w:hAnsi="Arial"/>
          <w:sz w:val="18"/>
          <w:szCs w:val="18"/>
          <w:color w:val="auto"/>
        </w:rPr>
        <w:t>has served as our Chief Technical Officer and a director since February 1, 2016. He was a co-founder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BRCM and served as its Chief Technical Officer from its inception in 1991 to May 2008 and from December 2009 to January 2016.</w:t>
      </w:r>
    </w:p>
    <w:p>
      <w:pPr>
        <w:spacing w:after="0" w:line="1"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Dr. Samueli also served as BRCM’s Vice President of Research and Development from 1991 to May 2003 and as a technology advisor from May 2008 to December 2009. Dr. Samueli has also been a Professor in the Electrical Engineering Department at the University of California, Los Angeles since 1985 (on leave of absence since 1995) and a Distinguished Adjunct Professor in the Electrical Engineering and Computer Science Department of the University of California, Irvine since 2003. Prior to BRCM, Dr. Samueli was the Chief Scientist and one of the founders of PairGain Technologies. From 1980 until 1985, he was employed in various engineering management positions in the Electronics and Technology Division of TRW,</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Inc. Dr. Samueli is a Fellow of the Institute of Electrical and Electronics Engineers (IEEE), a Fellow of the American Academy of Arts and Sciences, and a Member of the National Academy of Engineering. Dr. Samueli served as Chairman or Co-Chairman of the board of directors of BRCM from 1991 to May 2008 and from May 2011 to January 2016. He received a B.S., M.S. and Ph.D. in Electrical Engineering from the University of California, Los Angeles. He is a named inventor in 75 U.S. patents.</w:t>
      </w:r>
    </w:p>
    <w:p>
      <w:pPr>
        <w:spacing w:after="0" w:line="126"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b w:val="1"/>
          <w:bCs w:val="1"/>
          <w:i w:val="1"/>
          <w:iCs w:val="1"/>
          <w:color w:val="auto"/>
        </w:rPr>
        <w:t xml:space="preserve">Mark D. Brazeal </w:t>
      </w:r>
      <w:r>
        <w:rPr>
          <w:rFonts w:ascii="Arial" w:cs="Arial" w:eastAsia="Arial" w:hAnsi="Arial"/>
          <w:sz w:val="18"/>
          <w:szCs w:val="18"/>
          <w:color w:val="auto"/>
        </w:rPr>
        <w:t>has served as our Chief Legal Officer since April 2017. Mr. Brazeal is responsible for the legal, governance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functions across the company. Prior to his current role, he served as the Chief Legal Officer and Senior Vice President, IP Licensing for SanDisk Corporation, from December 2014 until it was acquired by Western Digital Corporation in 2016. Before joining SanDisk, Mr. Brazeal spent 15 years at BRCM in various positions of increasing responsibility, most recently as the Senior Vice President and Senior Deputy General Counsel in charge of all commercial, operational, IP licensing and litigation matters for BRCM. Prior to that, Mr. Brazeal was an attorney in the transactional and IP groups at the law firms of Wilson Sonsini Goodrich &amp; Rosati in Palo Alto, CA, Yuasa &amp; Hara in Tokyo, Japan and Howrey &amp; Simon in Washington, D.C. He earned a J.D. and a B.A. in American Government from the University of Virginia.</w:t>
      </w:r>
    </w:p>
    <w:p>
      <w:pPr>
        <w:spacing w:after="0" w:line="127" w:lineRule="exact"/>
        <w:rPr>
          <w:sz w:val="20"/>
          <w:szCs w:val="20"/>
          <w:color w:val="auto"/>
        </w:rPr>
      </w:pPr>
    </w:p>
    <w:p>
      <w:pPr>
        <w:ind w:left="200" w:right="40" w:firstLine="551"/>
        <w:spacing w:after="0" w:line="241" w:lineRule="auto"/>
        <w:rPr>
          <w:sz w:val="20"/>
          <w:szCs w:val="20"/>
          <w:color w:val="auto"/>
        </w:rPr>
      </w:pPr>
      <w:r>
        <w:rPr>
          <w:rFonts w:ascii="Arial" w:cs="Arial" w:eastAsia="Arial" w:hAnsi="Arial"/>
          <w:sz w:val="18"/>
          <w:szCs w:val="18"/>
          <w:b w:val="1"/>
          <w:bCs w:val="1"/>
          <w:i w:val="1"/>
          <w:iCs w:val="1"/>
          <w:color w:val="auto"/>
        </w:rPr>
        <w:t xml:space="preserve">Bryan T. Ingram </w:t>
      </w:r>
      <w:r>
        <w:rPr>
          <w:rFonts w:ascii="Arial" w:cs="Arial" w:eastAsia="Arial" w:hAnsi="Arial"/>
          <w:sz w:val="18"/>
          <w:szCs w:val="18"/>
          <w:color w:val="auto"/>
        </w:rPr>
        <w:t>has served as our Senior Vice President and General Manager, Wireless Semiconductor Division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2015 and prior to that served as our Senior Vice President and Chief Operating Officer from April 2013. Mr. Ingram previously served as our Senior Vice President and General Manager, Wireless Semiconductor Division from November 2007 and as Vice President of that division from December 2005. Prior to the closing of our acquisition of the Semiconductor Products Group (“</w:t>
      </w:r>
      <w:r>
        <w:rPr>
          <w:rFonts w:ascii="Arial" w:cs="Arial" w:eastAsia="Arial" w:hAnsi="Arial"/>
          <w:sz w:val="18"/>
          <w:szCs w:val="18"/>
          <w:u w:val="single" w:color="auto"/>
          <w:color w:val="auto"/>
        </w:rPr>
        <w:t>SPG</w:t>
      </w:r>
      <w:r>
        <w:rPr>
          <w:rFonts w:ascii="Arial" w:cs="Arial" w:eastAsia="Arial" w:hAnsi="Arial"/>
          <w:sz w:val="18"/>
          <w:szCs w:val="18"/>
          <w:color w:val="auto"/>
        </w:rPr>
        <w:t>”) of Agilent Technologies, Inc., Mr. Ingram was the Vice President and General Manager, Wireless Semiconductor Division of SPG. He has held various other positions with Hewlett-Packard Company and Agilent Technologies, Inc. Mr. Ingram joined Hewlett-Packard Company in 1990.</w:t>
      </w:r>
    </w:p>
    <w:p>
      <w:pPr>
        <w:spacing w:after="0" w:line="125" w:lineRule="exact"/>
        <w:rPr>
          <w:sz w:val="20"/>
          <w:szCs w:val="20"/>
          <w:color w:val="auto"/>
        </w:rPr>
      </w:pPr>
    </w:p>
    <w:p>
      <w:pPr>
        <w:ind w:left="200" w:firstLine="551"/>
        <w:spacing w:after="0" w:line="244" w:lineRule="auto"/>
        <w:rPr>
          <w:sz w:val="20"/>
          <w:szCs w:val="20"/>
          <w:color w:val="auto"/>
        </w:rPr>
      </w:pPr>
      <w:r>
        <w:rPr>
          <w:rFonts w:ascii="Arial" w:cs="Arial" w:eastAsia="Arial" w:hAnsi="Arial"/>
          <w:sz w:val="18"/>
          <w:szCs w:val="18"/>
          <w:b w:val="1"/>
          <w:bCs w:val="1"/>
          <w:i w:val="1"/>
          <w:iCs w:val="1"/>
          <w:color w:val="auto"/>
        </w:rPr>
        <w:t xml:space="preserve">Kirsten M. Spears </w:t>
      </w:r>
      <w:r>
        <w:rPr>
          <w:rFonts w:ascii="Arial" w:cs="Arial" w:eastAsia="Arial" w:hAnsi="Arial"/>
          <w:sz w:val="18"/>
          <w:szCs w:val="18"/>
          <w:color w:val="auto"/>
        </w:rPr>
        <w:t>has served as our Chief Accounting Officer since March 2016 and as our Vice President and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Controller since May 2014. Prior to our acquisition of LSI, Ms. Spears served as Vice President and Corporate Controller of LSI. She joined LSI in September of 1997 and held a number of management positions in accounting and reporting before becoming the Corporate Controller in 2007. Before joining LSI, Ms. Spears worked for Price Waterhouse LLP in audit; for Raychem Corporation, managing a variety of accounting functions; and for Bank of America, managing branch operations.</w:t>
      </w:r>
    </w:p>
    <w:p>
      <w:pPr>
        <w:spacing w:after="0" w:line="145" w:lineRule="exact"/>
        <w:rPr>
          <w:sz w:val="20"/>
          <w:szCs w:val="20"/>
          <w:color w:val="auto"/>
        </w:rPr>
      </w:pPr>
    </w:p>
    <w:p>
      <w:pPr>
        <w:ind w:left="200" w:right="360" w:firstLine="551"/>
        <w:spacing w:after="0" w:line="246" w:lineRule="auto"/>
        <w:rPr>
          <w:sz w:val="20"/>
          <w:szCs w:val="20"/>
          <w:color w:val="auto"/>
        </w:rPr>
      </w:pPr>
      <w:r>
        <w:rPr>
          <w:rFonts w:ascii="Arial" w:cs="Arial" w:eastAsia="Arial" w:hAnsi="Arial"/>
          <w:sz w:val="18"/>
          <w:szCs w:val="18"/>
          <w:color w:val="auto"/>
        </w:rPr>
        <w:t>Our executive officers are appointed by, and serve at the discretion of, our Board. There are no family relationships among our directors and executive officers.</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80"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The following Compensation Discussion &amp; Analysis (the “</w:t>
      </w:r>
      <w:r>
        <w:rPr>
          <w:rFonts w:ascii="Arial" w:cs="Arial" w:eastAsia="Arial" w:hAnsi="Arial"/>
          <w:sz w:val="18"/>
          <w:szCs w:val="18"/>
          <w:u w:val="single" w:color="auto"/>
          <w:color w:val="auto"/>
        </w:rPr>
        <w:t>CD&amp;A</w:t>
      </w:r>
      <w:r>
        <w:rPr>
          <w:rFonts w:ascii="Arial" w:cs="Arial" w:eastAsia="Arial" w:hAnsi="Arial"/>
          <w:sz w:val="18"/>
          <w:szCs w:val="18"/>
          <w:color w:val="auto"/>
        </w:rPr>
        <w:t>”) describes the philosophy, objectives and structure of our Fiscal Year 2017 executive compensation program. This CD&amp;A is intended to be read in conjunction with the tables and other information beginning on page 48, which provide further historical compensation information for our named executive officers.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named executive officers (our “</w:t>
      </w:r>
      <w:r>
        <w:rPr>
          <w:rFonts w:ascii="Arial" w:cs="Arial" w:eastAsia="Arial" w:hAnsi="Arial"/>
          <w:sz w:val="18"/>
          <w:szCs w:val="18"/>
          <w:u w:val="single" w:color="auto"/>
          <w:color w:val="auto"/>
        </w:rPr>
        <w:t>NEOs</w:t>
      </w:r>
      <w:r>
        <w:rPr>
          <w:rFonts w:ascii="Arial" w:cs="Arial" w:eastAsia="Arial" w:hAnsi="Arial"/>
          <w:sz w:val="18"/>
          <w:szCs w:val="18"/>
          <w:color w:val="auto"/>
        </w:rPr>
        <w:t>”) for Fiscal Year 2017 were:</w:t>
      </w:r>
    </w:p>
    <w:p>
      <w:pPr>
        <w:spacing w:after="0" w:line="117" w:lineRule="exact"/>
        <w:rPr>
          <w:sz w:val="20"/>
          <w:szCs w:val="20"/>
          <w:color w:val="auto"/>
        </w:rPr>
      </w:pPr>
    </w:p>
    <w:p>
      <w:pPr>
        <w:ind w:left="1280" w:hanging="428"/>
        <w:spacing w:after="0"/>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Hock E. Tan, President and Chief Executive Officer (our “</w:t>
      </w:r>
      <w:r>
        <w:rPr>
          <w:rFonts w:ascii="Arial" w:cs="Arial" w:eastAsia="Arial" w:hAnsi="Arial"/>
          <w:sz w:val="18"/>
          <w:szCs w:val="18"/>
          <w:u w:val="single" w:color="auto"/>
          <w:color w:val="auto"/>
        </w:rPr>
        <w:t>CEO</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80" w:hanging="428"/>
        <w:spacing w:after="0"/>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Thomas H. Krause, Jr., Chief Financial Officer (our “</w:t>
      </w:r>
      <w:r>
        <w:rPr>
          <w:rFonts w:ascii="Arial" w:cs="Arial" w:eastAsia="Arial" w:hAnsi="Arial"/>
          <w:sz w:val="18"/>
          <w:szCs w:val="18"/>
          <w:u w:val="single" w:color="auto"/>
          <w:color w:val="auto"/>
        </w:rPr>
        <w:t>CFO</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80" w:hanging="428"/>
        <w:spacing w:after="0"/>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Charlie B. Kawwas, Ph.D., Senior Vice President and Chief Sales Officer;</w:t>
      </w:r>
    </w:p>
    <w:p>
      <w:pPr>
        <w:spacing w:after="0" w:line="117" w:lineRule="exact"/>
        <w:rPr>
          <w:rFonts w:ascii="Arial" w:cs="Arial" w:eastAsia="Arial" w:hAnsi="Arial"/>
          <w:sz w:val="18"/>
          <w:szCs w:val="18"/>
          <w:color w:val="auto"/>
        </w:rPr>
      </w:pPr>
    </w:p>
    <w:p>
      <w:pPr>
        <w:ind w:left="1280" w:hanging="428"/>
        <w:spacing w:after="0"/>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Mark D. Brazeal, Chief Legal Officer; and</w:t>
      </w:r>
    </w:p>
    <w:p>
      <w:pPr>
        <w:spacing w:after="0" w:line="117" w:lineRule="exact"/>
        <w:rPr>
          <w:rFonts w:ascii="Arial" w:cs="Arial" w:eastAsia="Arial" w:hAnsi="Arial"/>
          <w:sz w:val="18"/>
          <w:szCs w:val="18"/>
          <w:color w:val="auto"/>
        </w:rPr>
      </w:pPr>
    </w:p>
    <w:p>
      <w:pPr>
        <w:ind w:left="1280" w:hanging="428"/>
        <w:spacing w:after="0"/>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Bryan T. Ingram, Senior Vice President and General Manager, Wireless Semiconductor Division.</w:t>
      </w:r>
    </w:p>
    <w:p>
      <w:pPr>
        <w:spacing w:after="0" w:line="176"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b w:val="1"/>
          <w:bCs w:val="1"/>
          <w:color w:val="auto"/>
        </w:rPr>
        <w:t>I.  Executive Summary: Fiscal Year 2017 Company Performance and Key Pay Decisions</w:t>
      </w:r>
    </w:p>
    <w:p>
      <w:pPr>
        <w:spacing w:after="0" w:line="99" w:lineRule="exact"/>
        <w:rPr>
          <w:sz w:val="20"/>
          <w:szCs w:val="20"/>
          <w:color w:val="auto"/>
        </w:rPr>
      </w:pPr>
    </w:p>
    <w:p>
      <w:pPr>
        <w:ind w:left="200" w:right="240" w:firstLine="551"/>
        <w:spacing w:after="0" w:line="237" w:lineRule="auto"/>
        <w:rPr>
          <w:sz w:val="20"/>
          <w:szCs w:val="20"/>
          <w:color w:val="auto"/>
        </w:rPr>
      </w:pPr>
      <w:r>
        <w:rPr>
          <w:rFonts w:ascii="Arial" w:cs="Arial" w:eastAsia="Arial" w:hAnsi="Arial"/>
          <w:sz w:val="18"/>
          <w:szCs w:val="18"/>
          <w:color w:val="auto"/>
        </w:rPr>
        <w:t>Our Fiscal Year 2017 performance continued to be strong on many measures, with exceptional gains in total shareholder return (“</w:t>
      </w:r>
      <w:r>
        <w:rPr>
          <w:rFonts w:ascii="Arial" w:cs="Arial" w:eastAsia="Arial" w:hAnsi="Arial"/>
          <w:sz w:val="18"/>
          <w:szCs w:val="18"/>
          <w:u w:val="single" w:color="auto"/>
          <w:color w:val="auto"/>
        </w:rPr>
        <w:t>TSR</w:t>
      </w:r>
      <w:r>
        <w:rPr>
          <w:rFonts w:ascii="Arial" w:cs="Arial" w:eastAsia="Arial" w:hAnsi="Arial"/>
          <w:sz w:val="18"/>
          <w:szCs w:val="18"/>
          <w:color w:val="auto"/>
        </w:rPr>
        <w:t>”), robust revenue growth and the successful integration of BRCM. Our executive compensation program is structured around the achievement of near-term financial and operational targets and longer-term business objectives and strategies. We believe in rewarding performance; likewise, we believe pay should reflect underperformance, when that occurs. We seek to closely align our executives’ interests with those of our shareholders and, accordingly, allocate a significant portion of our executives’ compensation opportunity to equity-based compensation, the value of which depends on our performance relative to our peers.</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Financial Performance</w:t>
      </w:r>
    </w:p>
    <w:p>
      <w:pPr>
        <w:spacing w:after="0" w:line="117" w:lineRule="exact"/>
        <w:rPr>
          <w:sz w:val="20"/>
          <w:szCs w:val="20"/>
          <w:color w:val="auto"/>
        </w:rPr>
      </w:pPr>
    </w:p>
    <w:p>
      <w:pPr>
        <w:ind w:left="960" w:right="20" w:hanging="432"/>
        <w:spacing w:after="0" w:line="271" w:lineRule="auto"/>
        <w:tabs>
          <w:tab w:leader="none" w:pos="960" w:val="left"/>
        </w:tabs>
        <w:numPr>
          <w:ilvl w:val="0"/>
          <w:numId w:val="31"/>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Under our CEO’s leadership, we have established a track record of delivering strong financial results and creating long-term sustained value for our shareholders.</w:t>
      </w:r>
    </w:p>
    <w:p>
      <w:pPr>
        <w:spacing w:after="0" w:line="81" w:lineRule="exact"/>
        <w:rPr>
          <w:rFonts w:ascii="MS PGothic" w:cs="MS PGothic" w:eastAsia="MS PGothic" w:hAnsi="MS PGothic"/>
          <w:sz w:val="18"/>
          <w:szCs w:val="18"/>
          <w:color w:val="auto"/>
        </w:rPr>
      </w:pPr>
    </w:p>
    <w:p>
      <w:pPr>
        <w:ind w:left="1300" w:right="260" w:hanging="326"/>
        <w:spacing w:after="0" w:line="24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Total Shareholder Return</w:t>
      </w:r>
      <w:r>
        <w:rPr>
          <w:rFonts w:ascii="Arial" w:cs="Arial" w:eastAsia="Arial" w:hAnsi="Arial"/>
          <w:sz w:val="18"/>
          <w:szCs w:val="18"/>
          <w:color w:val="auto"/>
        </w:rPr>
        <w:t xml:space="preserve"> – Our TSR, based on an investment of $100 in our ordinary shares on the first day of fiscal year 2012, continued to be very strong on both an absolute and relative basis over the last five years.</w:t>
      </w:r>
    </w:p>
    <w:p>
      <w:pPr>
        <w:spacing w:after="0" w:line="102" w:lineRule="exact"/>
        <w:rPr>
          <w:rFonts w:ascii="Arial" w:cs="Arial" w:eastAsia="Arial" w:hAnsi="Arial"/>
          <w:sz w:val="18"/>
          <w:szCs w:val="18"/>
          <w:color w:val="auto"/>
        </w:rPr>
      </w:pPr>
    </w:p>
    <w:p>
      <w:pPr>
        <w:ind w:left="1620" w:hanging="324"/>
        <w:spacing w:after="0" w:line="246" w:lineRule="auto"/>
        <w:rPr>
          <w:rFonts w:ascii="Arial" w:cs="Arial" w:eastAsia="Arial" w:hAnsi="Arial"/>
          <w:sz w:val="18"/>
          <w:szCs w:val="18"/>
          <w:color w:val="auto"/>
        </w:rPr>
      </w:pPr>
      <w:r>
        <w:rPr>
          <w:rFonts w:ascii="Arial" w:cs="Arial" w:eastAsia="Arial" w:hAnsi="Arial"/>
          <w:sz w:val="18"/>
          <w:szCs w:val="18"/>
          <w:color w:val="auto"/>
        </w:rPr>
        <w:t>– For Fiscal Year 2017, our TSR increased 52.1%, significantly surpassing our peer group median, as well as the S&amp;P 500 Index (the “</w:t>
      </w:r>
      <w:r>
        <w:rPr>
          <w:rFonts w:ascii="Arial" w:cs="Arial" w:eastAsia="Arial" w:hAnsi="Arial"/>
          <w:sz w:val="18"/>
          <w:szCs w:val="18"/>
          <w:u w:val="single" w:color="auto"/>
          <w:color w:val="auto"/>
        </w:rPr>
        <w:t>S&amp;P 500</w:t>
      </w:r>
      <w:r>
        <w:rPr>
          <w:rFonts w:ascii="Arial" w:cs="Arial" w:eastAsia="Arial" w:hAnsi="Arial"/>
          <w:sz w:val="18"/>
          <w:szCs w:val="18"/>
          <w:color w:val="auto"/>
        </w:rPr>
        <w:t>”), which rose by 23.9%.</w:t>
      </w:r>
    </w:p>
    <w:p>
      <w:pPr>
        <w:spacing w:after="0" w:line="102" w:lineRule="exact"/>
        <w:rPr>
          <w:rFonts w:ascii="Arial" w:cs="Arial" w:eastAsia="Arial" w:hAnsi="Arial"/>
          <w:sz w:val="18"/>
          <w:szCs w:val="18"/>
          <w:color w:val="auto"/>
        </w:rPr>
      </w:pPr>
    </w:p>
    <w:p>
      <w:pPr>
        <w:ind w:left="1620" w:right="20" w:hanging="324"/>
        <w:spacing w:after="0" w:line="246" w:lineRule="auto"/>
        <w:rPr>
          <w:rFonts w:ascii="Arial" w:cs="Arial" w:eastAsia="Arial" w:hAnsi="Arial"/>
          <w:sz w:val="18"/>
          <w:szCs w:val="18"/>
          <w:color w:val="auto"/>
        </w:rPr>
      </w:pPr>
      <w:r>
        <w:rPr>
          <w:rFonts w:ascii="Arial" w:cs="Arial" w:eastAsia="Arial" w:hAnsi="Arial"/>
          <w:sz w:val="18"/>
          <w:szCs w:val="18"/>
          <w:color w:val="auto"/>
        </w:rPr>
        <w:t>– In the last five fiscal years, our cumulative TSR has increased by 52.0% annually, and has significantly outperformed our peer group median and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116840</wp:posOffset>
            </wp:positionV>
            <wp:extent cx="2641600" cy="19723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4160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00" w:right="80" w:hanging="426"/>
        <w:spacing w:after="0" w:line="246"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 Our GAAP revenue continued to show strong growth as well, reaching $17.6 billion in Fiscal Year 2017, a 33% increase over Fiscal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116840</wp:posOffset>
            </wp:positionV>
            <wp:extent cx="2573020" cy="19640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7302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00" w:right="20" w:hanging="426"/>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Operating Income</w:t>
      </w:r>
      <w:r>
        <w:rPr>
          <w:rFonts w:ascii="Arial" w:cs="Arial" w:eastAsia="Arial" w:hAnsi="Arial"/>
          <w:sz w:val="18"/>
          <w:szCs w:val="18"/>
          <w:color w:val="auto"/>
        </w:rPr>
        <w:t xml:space="preserve"> – Fiscal Year 2017 GAAP operating income increased $2,792 million or 683% over Fiscal Year 2016. Fiscal Year 2017 non-GAAP operating income increased $2,691 million or 51% over Fiscal Year 2016. Please see page 39 for a reconciliation of GAAP operating income to non-GAAP operating income.</w:t>
      </w:r>
    </w:p>
    <w:p>
      <w:pPr>
        <w:spacing w:after="0" w:line="108" w:lineRule="exact"/>
        <w:rPr>
          <w:rFonts w:ascii="Arial" w:cs="Arial" w:eastAsia="Arial" w:hAnsi="Arial"/>
          <w:sz w:val="18"/>
          <w:szCs w:val="18"/>
          <w:color w:val="auto"/>
        </w:rPr>
      </w:pPr>
    </w:p>
    <w:p>
      <w:pPr>
        <w:ind w:left="1400" w:right="40" w:hanging="426"/>
        <w:spacing w:after="0" w:line="238" w:lineRule="auto"/>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Cash Flow</w:t>
      </w:r>
      <w:r>
        <w:rPr>
          <w:rFonts w:ascii="Arial" w:cs="Arial" w:eastAsia="Arial" w:hAnsi="Arial"/>
          <w:sz w:val="18"/>
          <w:szCs w:val="18"/>
          <w:color w:val="auto"/>
        </w:rPr>
        <w:t xml:space="preserve"> – We generated $5,482 million in free cash flow (cash flow from operations of $6,551 million less capital expenditures of $1,069 million) in Fiscal Year 2017, a 104% increase over Fiscal Year 2016. Fiscal Year 2017 ended with $11,204 million in cash and cash equivalents, a 262% increase over Fiscal Year 2016, which included $3,980 million of net proceeds from the issuance of debt securities that was subsequently used to fund our acquisition of Brocade Communications Systems, Inc. (“</w:t>
      </w:r>
      <w:r>
        <w:rPr>
          <w:rFonts w:ascii="Arial" w:cs="Arial" w:eastAsia="Arial" w:hAnsi="Arial"/>
          <w:sz w:val="18"/>
          <w:szCs w:val="18"/>
          <w:u w:val="single" w:color="auto"/>
          <w:color w:val="auto"/>
        </w:rPr>
        <w:t>Brocade</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400" w:hanging="426"/>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Return of Capital to our Shareholders</w:t>
      </w:r>
      <w:r>
        <w:rPr>
          <w:rFonts w:ascii="Arial" w:cs="Arial" w:eastAsia="Arial" w:hAnsi="Arial"/>
          <w:sz w:val="18"/>
          <w:szCs w:val="18"/>
          <w:color w:val="auto"/>
        </w:rPr>
        <w:t xml:space="preserve"> – Our strong cash flow in Fiscal Year 2017 enabled us to return an aggregate of</w:t>
      </w:r>
    </w:p>
    <w:p>
      <w:pPr>
        <w:ind w:left="1400"/>
        <w:spacing w:after="0" w:line="238" w:lineRule="auto"/>
        <w:rPr>
          <w:rFonts w:ascii="Arial" w:cs="Arial" w:eastAsia="Arial" w:hAnsi="Arial"/>
          <w:sz w:val="18"/>
          <w:szCs w:val="18"/>
          <w:color w:val="auto"/>
        </w:rPr>
      </w:pPr>
      <w:r>
        <w:rPr>
          <w:rFonts w:ascii="Arial" w:cs="Arial" w:eastAsia="Arial" w:hAnsi="Arial"/>
          <w:sz w:val="18"/>
          <w:szCs w:val="18"/>
          <w:color w:val="auto"/>
        </w:rPr>
        <w:t>$1,745 million to our shareholders in cash dividends during Fiscal Year 2017, and allowed us to substantially increase our dividend going into Fiscal Year 2018. Over the past five fiscal years we have increased the quarterly interim dividends paid to our shareholders from $0.17 per ordinary share to $1.02 per ordinary share. In our first fiscal quarter of 2018 we paid an interim quarterly dividend of $1.75 per share, an increase of 72% over the quarterly interim dividend paid in the fourth fiscal quarter of 2017.</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Strategic Performance</w:t>
      </w:r>
    </w:p>
    <w:p>
      <w:pPr>
        <w:spacing w:after="0" w:line="117" w:lineRule="exact"/>
        <w:rPr>
          <w:sz w:val="20"/>
          <w:szCs w:val="20"/>
          <w:color w:val="auto"/>
        </w:rPr>
      </w:pPr>
    </w:p>
    <w:p>
      <w:pPr>
        <w:ind w:left="960" w:right="160" w:hanging="432"/>
        <w:spacing w:after="0" w:line="253" w:lineRule="auto"/>
        <w:tabs>
          <w:tab w:leader="none" w:pos="960" w:val="left"/>
        </w:tabs>
        <w:numPr>
          <w:ilvl w:val="0"/>
          <w:numId w:val="34"/>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During Fiscal Year 2017, we achieved a number of important strategic objectives, including the successful integration of BRCM, while remaining focused on our core operations and delivering strong operating performance as well as share price performance</w:t>
      </w:r>
    </w:p>
    <w:p>
      <w:pPr>
        <w:spacing w:after="0" w:line="96" w:lineRule="exact"/>
        <w:rPr>
          <w:rFonts w:ascii="MS PGothic" w:cs="MS PGothic" w:eastAsia="MS PGothic" w:hAnsi="MS PGothic"/>
          <w:sz w:val="18"/>
          <w:szCs w:val="18"/>
          <w:color w:val="auto"/>
        </w:rPr>
      </w:pPr>
    </w:p>
    <w:p>
      <w:pPr>
        <w:ind w:left="1400" w:right="100" w:hanging="426"/>
        <w:spacing w:after="0" w:line="246" w:lineRule="auto"/>
        <w:tabs>
          <w:tab w:leader="none" w:pos="14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We have completed several major acquisitions since 2013, and have a proven track record of successfully integrating and growing businesses we acquire, to create value for our shareholders, employees and customers.</w:t>
      </w:r>
    </w:p>
    <w:p>
      <w:pPr>
        <w:spacing w:after="0" w:line="102" w:lineRule="exact"/>
        <w:rPr>
          <w:rFonts w:ascii="Arial" w:cs="Arial" w:eastAsia="Arial" w:hAnsi="Arial"/>
          <w:sz w:val="18"/>
          <w:szCs w:val="18"/>
          <w:color w:val="auto"/>
        </w:rPr>
      </w:pPr>
    </w:p>
    <w:p>
      <w:pPr>
        <w:ind w:left="1840" w:right="80" w:hanging="432"/>
        <w:spacing w:after="0" w:line="238" w:lineRule="auto"/>
        <w:rPr>
          <w:rFonts w:ascii="Arial" w:cs="Arial" w:eastAsia="Arial" w:hAnsi="Arial"/>
          <w:sz w:val="18"/>
          <w:szCs w:val="18"/>
          <w:color w:val="auto"/>
        </w:rPr>
      </w:pPr>
      <w:r>
        <w:rPr>
          <w:rFonts w:ascii="Arial" w:cs="Arial" w:eastAsia="Arial" w:hAnsi="Arial"/>
          <w:sz w:val="18"/>
          <w:szCs w:val="18"/>
          <w:color w:val="auto"/>
        </w:rPr>
        <w:t>– We completed our acquisition of BRCM on February 1, 2016, creating a global, diversified leader in wired and wireless communication semiconductors. In less than two years, we successfully completed the integration of BRCM into our infrastructure as planned, de-levering its balance sheet and meaningfully increasing revenues and profitability. Since the completion of the Acquisition, our share price has appreciated 55%, ranking in the top 10% of the S&amp;P 500 during that period.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We also successfully prepared for, and three weeks after the end of Fiscal Year 2017, successfully completed, our</w:t>
      </w:r>
    </w:p>
    <w:p>
      <w:pPr>
        <w:ind w:left="1840" w:right="740"/>
        <w:spacing w:after="0" w:line="246" w:lineRule="auto"/>
        <w:rPr>
          <w:sz w:val="20"/>
          <w:szCs w:val="20"/>
          <w:color w:val="auto"/>
        </w:rPr>
      </w:pPr>
      <w:r>
        <w:rPr>
          <w:rFonts w:ascii="Arial" w:cs="Arial" w:eastAsia="Arial" w:hAnsi="Arial"/>
          <w:sz w:val="18"/>
          <w:szCs w:val="18"/>
          <w:color w:val="auto"/>
        </w:rPr>
        <w:t>acquisition of Brocade, strengthening our position as a leading provider of enterprise storage and networking solutions and enabling us to better serve our original equipment manufacturing customers.</w:t>
      </w:r>
    </w:p>
    <w:p>
      <w:pPr>
        <w:spacing w:after="0" w:line="102" w:lineRule="exact"/>
        <w:rPr>
          <w:sz w:val="20"/>
          <w:szCs w:val="20"/>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continued to focus the scope of our business, divesting substantially all of the non-core BRCM businesses held for sale.</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delivered on projected synergies across the combined business.</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Year 2017 Compensation Highlights and Key Decisions</w:t>
      </w:r>
    </w:p>
    <w:p>
      <w:pPr>
        <w:spacing w:after="0" w:line="117" w:lineRule="exact"/>
        <w:rPr>
          <w:sz w:val="20"/>
          <w:szCs w:val="20"/>
          <w:color w:val="auto"/>
        </w:rPr>
      </w:pPr>
    </w:p>
    <w:p>
      <w:pPr>
        <w:ind w:left="960" w:hanging="432"/>
        <w:spacing w:after="0"/>
        <w:tabs>
          <w:tab w:leader="none" w:pos="960" w:val="left"/>
        </w:tabs>
        <w:numPr>
          <w:ilvl w:val="0"/>
          <w:numId w:val="36"/>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Cash Incentive Payouts Reflected Positive 2017 Company Performance.</w:t>
      </w:r>
    </w:p>
    <w:p>
      <w:pPr>
        <w:spacing w:after="0" w:line="139" w:lineRule="exact"/>
        <w:rPr>
          <w:sz w:val="20"/>
          <w:szCs w:val="20"/>
          <w:color w:val="auto"/>
        </w:rPr>
      </w:pPr>
    </w:p>
    <w:p>
      <w:pPr>
        <w:jc w:val="both"/>
        <w:ind w:left="200" w:right="40" w:firstLine="551"/>
        <w:spacing w:after="0"/>
        <w:rPr>
          <w:sz w:val="20"/>
          <w:szCs w:val="20"/>
          <w:color w:val="auto"/>
        </w:rPr>
      </w:pPr>
      <w:r>
        <w:rPr>
          <w:rFonts w:ascii="Arial" w:cs="Arial" w:eastAsia="Arial" w:hAnsi="Arial"/>
          <w:sz w:val="18"/>
          <w:szCs w:val="18"/>
          <w:color w:val="auto"/>
        </w:rPr>
        <w:t>Payouts under the Fiscal Year 2017 Annual Performance Bonus Plan (the “</w:t>
      </w:r>
      <w:r>
        <w:rPr>
          <w:rFonts w:ascii="Arial" w:cs="Arial" w:eastAsia="Arial" w:hAnsi="Arial"/>
          <w:sz w:val="18"/>
          <w:szCs w:val="18"/>
          <w:u w:val="single" w:color="auto"/>
          <w:color w:val="auto"/>
        </w:rPr>
        <w:t>APB Plan</w:t>
      </w:r>
      <w:r>
        <w:rPr>
          <w:rFonts w:ascii="Arial" w:cs="Arial" w:eastAsia="Arial" w:hAnsi="Arial"/>
          <w:sz w:val="18"/>
          <w:szCs w:val="18"/>
          <w:color w:val="auto"/>
        </w:rPr>
        <w:t>”), our annual cash incentive bonus plan, were tied to challenging pre-established annual corporate and divisional or functional performance goals, as well as the individual contributions and performance of each executive.</w:t>
      </w:r>
    </w:p>
    <w:p>
      <w:pPr>
        <w:spacing w:after="0" w:line="108" w:lineRule="exact"/>
        <w:rPr>
          <w:sz w:val="20"/>
          <w:szCs w:val="20"/>
          <w:color w:val="auto"/>
        </w:rPr>
      </w:pPr>
    </w:p>
    <w:p>
      <w:pPr>
        <w:ind w:left="1180" w:right="260" w:hanging="436"/>
        <w:spacing w:after="0"/>
        <w:tabs>
          <w:tab w:leader="none" w:pos="11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of our adjusted non-GAAP revenue and adjusted non-GAAP operating margin (defined below) attainment for the year exceeded the maximum plan performance level, which together resulted in 150% attainment of the corporate performance goals.</w:t>
      </w:r>
    </w:p>
    <w:p>
      <w:pPr>
        <w:spacing w:after="0" w:line="108" w:lineRule="exact"/>
        <w:rPr>
          <w:rFonts w:ascii="Arial" w:cs="Arial" w:eastAsia="Arial" w:hAnsi="Arial"/>
          <w:sz w:val="18"/>
          <w:szCs w:val="18"/>
          <w:color w:val="auto"/>
        </w:rPr>
      </w:pPr>
    </w:p>
    <w:p>
      <w:pPr>
        <w:ind w:left="1180" w:hanging="436"/>
        <w:spacing w:after="0"/>
        <w:tabs>
          <w:tab w:leader="none" w:pos="11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of the divisional or functional performance attainment exceeded the target plan performance levels and some exceeded the maximum plan performance level. This mix in attainment levels was due in part to differing business conditions across our various businesses.</w:t>
      </w:r>
    </w:p>
    <w:p>
      <w:pPr>
        <w:spacing w:after="0" w:line="108" w:lineRule="exact"/>
        <w:rPr>
          <w:rFonts w:ascii="Arial" w:cs="Arial" w:eastAsia="Arial" w:hAnsi="Arial"/>
          <w:sz w:val="18"/>
          <w:szCs w:val="18"/>
          <w:color w:val="auto"/>
        </w:rPr>
      </w:pPr>
    </w:p>
    <w:p>
      <w:pPr>
        <w:ind w:left="1180" w:right="60" w:hanging="436"/>
        <w:spacing w:after="0" w:line="234" w:lineRule="auto"/>
        <w:tabs>
          <w:tab w:leader="none" w:pos="11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As a result of their individual performance, our NEOs received individual performance multipliers ranging from 120% to 150%, including 150% for Mr. Tan, our CEO. These multipliers resulted in APB Plan payouts ranging between 162% and 225% of target for our NEOs under the APB Plan. The aggregate amount paid to our NEOs under the APB Plan increased to</w:t>
      </w:r>
    </w:p>
    <w:p>
      <w:pPr>
        <w:spacing w:after="0" w:line="2"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$6.3 million in Fiscal Year 2017 from $4.2 million in Fiscal Year 2016.</w:t>
      </w:r>
    </w:p>
    <w:p>
      <w:pPr>
        <w:spacing w:after="0" w:line="95" w:lineRule="exact"/>
        <w:rPr>
          <w:rFonts w:ascii="Arial" w:cs="Arial" w:eastAsia="Arial" w:hAnsi="Arial"/>
          <w:sz w:val="18"/>
          <w:szCs w:val="18"/>
          <w:color w:val="auto"/>
        </w:rPr>
      </w:pPr>
    </w:p>
    <w:p>
      <w:pPr>
        <w:ind w:left="960" w:hanging="432"/>
        <w:spacing w:after="0"/>
        <w:tabs>
          <w:tab w:leader="none" w:pos="960" w:val="left"/>
        </w:tabs>
        <w:numPr>
          <w:ilvl w:val="0"/>
          <w:numId w:val="37"/>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No Increases to Base Salaries or Target Bonus Opportunities</w:t>
      </w:r>
    </w:p>
    <w:p>
      <w:pPr>
        <w:spacing w:after="0" w:line="139" w:lineRule="exact"/>
        <w:rPr>
          <w:sz w:val="20"/>
          <w:szCs w:val="20"/>
          <w:color w:val="auto"/>
        </w:rPr>
      </w:pPr>
    </w:p>
    <w:p>
      <w:pPr>
        <w:ind w:left="200" w:right="260" w:firstLine="551"/>
        <w:spacing w:after="0"/>
        <w:rPr>
          <w:sz w:val="20"/>
          <w:szCs w:val="20"/>
          <w:color w:val="auto"/>
        </w:rPr>
      </w:pPr>
      <w:r>
        <w:rPr>
          <w:rFonts w:ascii="Arial" w:cs="Arial" w:eastAsia="Arial" w:hAnsi="Arial"/>
          <w:sz w:val="18"/>
          <w:szCs w:val="18"/>
          <w:color w:val="auto"/>
        </w:rPr>
        <w:t>The Compensation Committee and the Independent Directors, in the case of our CEO, reviewed and approved the target cash compensation levels for our NEOs in Fiscal Year 2017 (the sum of base salary and target annual cash incentive bonus opportunity) and determined that, other than in connection with new appointments:</w:t>
      </w:r>
    </w:p>
    <w:p>
      <w:pPr>
        <w:spacing w:after="0" w:line="108" w:lineRule="exact"/>
        <w:rPr>
          <w:sz w:val="20"/>
          <w:szCs w:val="20"/>
          <w:color w:val="auto"/>
        </w:rPr>
      </w:pPr>
    </w:p>
    <w:p>
      <w:pPr>
        <w:ind w:left="1180" w:right="80" w:hanging="436"/>
        <w:spacing w:after="0" w:line="246" w:lineRule="auto"/>
        <w:tabs>
          <w:tab w:leader="none" w:pos="11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salaries of our NEOs were determined to be in alignment with the competitive market and, thus, no increases were made to any of their base salaries for Fiscal Year 2017.</w:t>
      </w:r>
    </w:p>
    <w:p>
      <w:pPr>
        <w:spacing w:after="0" w:line="102" w:lineRule="exact"/>
        <w:rPr>
          <w:rFonts w:ascii="Arial" w:cs="Arial" w:eastAsia="Arial" w:hAnsi="Arial"/>
          <w:sz w:val="18"/>
          <w:szCs w:val="18"/>
          <w:color w:val="auto"/>
        </w:rPr>
      </w:pPr>
    </w:p>
    <w:p>
      <w:pPr>
        <w:ind w:left="1180" w:right="100" w:hanging="436"/>
        <w:spacing w:after="0" w:line="246" w:lineRule="auto"/>
        <w:tabs>
          <w:tab w:leader="none" w:pos="11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Target annual cash incentive bonus opportunities for Fiscal Year 2017 under the APB Plan were set at the same levels as the prior year for all NEOs.</w:t>
      </w:r>
    </w:p>
    <w:p>
      <w:pPr>
        <w:spacing w:after="0" w:line="80" w:lineRule="exact"/>
        <w:rPr>
          <w:rFonts w:ascii="Arial" w:cs="Arial" w:eastAsia="Arial" w:hAnsi="Arial"/>
          <w:sz w:val="18"/>
          <w:szCs w:val="18"/>
          <w:color w:val="auto"/>
        </w:rPr>
      </w:pPr>
    </w:p>
    <w:p>
      <w:pPr>
        <w:ind w:left="960" w:hanging="432"/>
        <w:spacing w:after="0"/>
        <w:tabs>
          <w:tab w:leader="none" w:pos="960" w:val="left"/>
        </w:tabs>
        <w:numPr>
          <w:ilvl w:val="0"/>
          <w:numId w:val="38"/>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Our CEO’s Long-Term Incentive Compensation was 100% Performance-Based.</w:t>
      </w:r>
    </w:p>
    <w:p>
      <w:pPr>
        <w:spacing w:after="0" w:line="139"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During Fiscal Year 2017, the Independent Directors granted Mr. Tan a performance-based RSU (“</w:t>
      </w:r>
      <w:r>
        <w:rPr>
          <w:rFonts w:ascii="Arial" w:cs="Arial" w:eastAsia="Arial" w:hAnsi="Arial"/>
          <w:sz w:val="18"/>
          <w:szCs w:val="18"/>
          <w:u w:val="single" w:color="auto"/>
          <w:color w:val="auto"/>
        </w:rPr>
        <w:t>PSU</w:t>
      </w:r>
      <w:r>
        <w:rPr>
          <w:rFonts w:ascii="Arial" w:cs="Arial" w:eastAsia="Arial" w:hAnsi="Arial"/>
          <w:sz w:val="18"/>
          <w:szCs w:val="18"/>
          <w:color w:val="auto"/>
        </w:rPr>
        <w:t>”) award consisting of an aggregate of 168,000 units, which gives him the opportunity to earn up to 756,000 ordinary shares based on our TSR performance as compared to the S&amp;P 500 (“</w:t>
      </w:r>
      <w:r>
        <w:rPr>
          <w:rFonts w:ascii="Arial" w:cs="Arial" w:eastAsia="Arial" w:hAnsi="Arial"/>
          <w:sz w:val="18"/>
          <w:szCs w:val="18"/>
          <w:u w:val="single" w:color="auto"/>
          <w:color w:val="auto"/>
        </w:rPr>
        <w:t>Relative TSR</w:t>
      </w:r>
      <w:r>
        <w:rPr>
          <w:rFonts w:ascii="Arial" w:cs="Arial" w:eastAsia="Arial" w:hAnsi="Arial"/>
          <w:sz w:val="18"/>
          <w:szCs w:val="18"/>
          <w:color w:val="auto"/>
        </w:rPr>
        <w:t>”), as well as our absolute TSR over a three-year and four-year period. This PSU award is a multi-year grant and when granting the award the Independent Directors intended that no further awards would be granted to Mr. Tan that could be earned or vest through 2021. No service-based awards were granted to Mr. Tan in Fiscal Year 2017, other than a service-based RSU granted in lieu of a cash payment in respect of a portion of his bonus under the Fiscal Year 2016 APB Plan.</w:t>
      </w:r>
    </w:p>
    <w:p>
      <w:pPr>
        <w:spacing w:after="0" w:line="205" w:lineRule="exact"/>
        <w:rPr>
          <w:sz w:val="20"/>
          <w:szCs w:val="20"/>
          <w:color w:val="auto"/>
        </w:rPr>
      </w:pPr>
    </w:p>
    <w:p>
      <w:pPr>
        <w:ind w:left="200" w:right="200" w:firstLine="551"/>
        <w:spacing w:after="0" w:line="239" w:lineRule="auto"/>
        <w:rPr>
          <w:sz w:val="20"/>
          <w:szCs w:val="20"/>
          <w:color w:val="auto"/>
        </w:rPr>
      </w:pPr>
      <w:r>
        <w:rPr>
          <w:rFonts w:ascii="Arial" w:cs="Arial" w:eastAsia="Arial" w:hAnsi="Arial"/>
          <w:sz w:val="18"/>
          <w:szCs w:val="18"/>
          <w:color w:val="auto"/>
        </w:rPr>
        <w:t>Mr. Tan has served as our President and CEO since March 2006 and during that time has delivered exceptional value to our shareholders. Under Mr. Tan’s leadership, our annual revenues have grown from $1.4 billion in Fiscal Year 2006 to $17.6 billion in Fiscal Year 2017, and our market capitalization has grown from $3.2 billion since our initial public offering in 2009 to over $100 billion as of the end of Fiscal Year 2017. The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Independent Directors believe that it is very important to continue to retain and motivate Mr. Tan to lead our Company over the next four years based on this history of exceptional performance.</w:t>
      </w:r>
    </w:p>
    <w:p>
      <w:pPr>
        <w:spacing w:after="0" w:line="143" w:lineRule="exact"/>
        <w:rPr>
          <w:sz w:val="20"/>
          <w:szCs w:val="20"/>
          <w:color w:val="auto"/>
        </w:rPr>
      </w:pPr>
    </w:p>
    <w:p>
      <w:pPr>
        <w:ind w:left="200" w:right="480" w:firstLine="551"/>
        <w:spacing w:after="0"/>
        <w:rPr>
          <w:sz w:val="20"/>
          <w:szCs w:val="20"/>
          <w:color w:val="auto"/>
        </w:rPr>
      </w:pPr>
      <w:r>
        <w:rPr>
          <w:rFonts w:ascii="Arial" w:cs="Arial" w:eastAsia="Arial" w:hAnsi="Arial"/>
          <w:sz w:val="18"/>
          <w:szCs w:val="18"/>
          <w:color w:val="auto"/>
        </w:rPr>
        <w:t>This PSU award is intended to incentivize Mr. Tan to continue to lead us to sustained, superior financial and operational performance through 2021, to provide a substantial long-term retention incentive to Mr. Tan and to reinforce our pay-for-performance philosophy to our shareholders.</w:t>
      </w:r>
    </w:p>
    <w:p>
      <w:pPr>
        <w:spacing w:after="0" w:line="108" w:lineRule="exact"/>
        <w:rPr>
          <w:sz w:val="20"/>
          <w:szCs w:val="20"/>
          <w:color w:val="auto"/>
        </w:rPr>
      </w:pPr>
    </w:p>
    <w:p>
      <w:pPr>
        <w:ind w:left="1180" w:hanging="436"/>
        <w:spacing w:after="0" w:line="236"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Independent Directors used a Relative TSR design because the actual value realized by Mr. Tan will be well-aligned with our performance and the value created for our shareholders. While the overall grant value of the award shown in the Fiscal Year 2017 Summary Compensation Table appears substantial (due in part to the multi-year nature of the award and in part to the accounting methodology used to determine the grant date value), the amounts Mr. Tan may earn will only be exceptional if our Relative TSR is exceptional. If our Relative TSR is average, the amounts Mr. Tan earns is intended to align with the market median pay for CEOs within our compensation peer group. For example, if our Relative TSR equals the 50</w:t>
      </w:r>
      <w:r>
        <w:rPr>
          <w:rFonts w:ascii="Arial" w:cs="Arial" w:eastAsia="Arial" w:hAnsi="Arial"/>
          <w:sz w:val="15"/>
          <w:szCs w:val="15"/>
          <w:color w:val="auto"/>
        </w:rPr>
        <w:t>th</w:t>
      </w:r>
      <w:r>
        <w:rPr>
          <w:rFonts w:ascii="Arial" w:cs="Arial" w:eastAsia="Arial" w:hAnsi="Arial"/>
          <w:sz w:val="18"/>
          <w:szCs w:val="18"/>
          <w:color w:val="auto"/>
        </w:rPr>
        <w:t xml:space="preserve"> percentile of the S&amp;P 500 for the performance periods, at a stock price of $237.99 per share (closing price per ordinary share on the grant date), Mr. Tan would realize approximately $10 million per year on an annualized basis (though the award will only be earned in 2020 and 2021). This annualized amount is aligned with our compensation peer group practices for annual long-term CEO compensation grant values.</w:t>
      </w:r>
    </w:p>
    <w:p>
      <w:pPr>
        <w:spacing w:after="0" w:line="111" w:lineRule="exact"/>
        <w:rPr>
          <w:rFonts w:ascii="Arial" w:cs="Arial" w:eastAsia="Arial" w:hAnsi="Arial"/>
          <w:sz w:val="18"/>
          <w:szCs w:val="18"/>
          <w:color w:val="auto"/>
        </w:rPr>
      </w:pPr>
    </w:p>
    <w:p>
      <w:pPr>
        <w:ind w:left="1180" w:right="160" w:hanging="436"/>
        <w:spacing w:after="0" w:line="238"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Independent Directors structured this PSU award as a multi-year award in part because the multi-year grant awarded to Mr. Tan in 2013, was very successful and was associated with significant growth for our Company aligned with significant share price appreciation for our shareholders. The Independent Directors also believed that granting Mr. Tan a multi-year award would be more effective than smaller annual awards in retaining his services and incentivizing him to deliver superior long-term performance.</w:t>
      </w:r>
    </w:p>
    <w:p>
      <w:pPr>
        <w:spacing w:after="0" w:line="108" w:lineRule="exact"/>
        <w:rPr>
          <w:rFonts w:ascii="Arial" w:cs="Arial" w:eastAsia="Arial" w:hAnsi="Arial"/>
          <w:sz w:val="18"/>
          <w:szCs w:val="18"/>
          <w:color w:val="auto"/>
        </w:rPr>
      </w:pPr>
    </w:p>
    <w:p>
      <w:pPr>
        <w:ind w:left="1180" w:right="24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designing this PSU award, the Independent Directors also took into account shareholder feedback, the recommendation of the Compensation Committee, and the advice of the Compensation Committee’s external, independent compensation consultant.</w:t>
      </w:r>
    </w:p>
    <w:p>
      <w:pPr>
        <w:spacing w:after="0" w:line="10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Performance is based on Relative TSR as opposed to share price contingency metrics.</w:t>
      </w:r>
    </w:p>
    <w:p>
      <w:pPr>
        <w:spacing w:after="0" w:line="117" w:lineRule="exact"/>
        <w:rPr>
          <w:rFonts w:ascii="Arial" w:cs="Arial" w:eastAsia="Arial" w:hAnsi="Arial"/>
          <w:sz w:val="18"/>
          <w:szCs w:val="18"/>
          <w:color w:val="auto"/>
        </w:rPr>
      </w:pPr>
    </w:p>
    <w:p>
      <w:pPr>
        <w:ind w:left="1740" w:right="380" w:hanging="432"/>
        <w:spacing w:after="0" w:line="246" w:lineRule="auto"/>
        <w:rPr>
          <w:rFonts w:ascii="Arial" w:cs="Arial" w:eastAsia="Arial" w:hAnsi="Arial"/>
          <w:sz w:val="18"/>
          <w:szCs w:val="18"/>
          <w:color w:val="auto"/>
        </w:rPr>
      </w:pPr>
      <w:r>
        <w:rPr>
          <w:rFonts w:ascii="Arial" w:cs="Arial" w:eastAsia="Arial" w:hAnsi="Arial"/>
          <w:sz w:val="18"/>
          <w:szCs w:val="18"/>
          <w:color w:val="auto"/>
        </w:rPr>
        <w:t>– Maximum potential payout is limited to the target amount if our absolute TSR is negative for a performance period, regardless of how well we outperform the S&amp;P 500.</w:t>
      </w:r>
    </w:p>
    <w:p>
      <w:pPr>
        <w:spacing w:after="0" w:line="143" w:lineRule="exact"/>
        <w:rPr>
          <w:sz w:val="20"/>
          <w:szCs w:val="20"/>
          <w:color w:val="auto"/>
        </w:rPr>
      </w:pPr>
    </w:p>
    <w:p>
      <w:pPr>
        <w:ind w:left="200" w:right="120" w:firstLine="551"/>
        <w:spacing w:after="0" w:line="246" w:lineRule="auto"/>
        <w:rPr>
          <w:sz w:val="20"/>
          <w:szCs w:val="20"/>
          <w:color w:val="auto"/>
        </w:rPr>
      </w:pPr>
      <w:r>
        <w:rPr>
          <w:rFonts w:ascii="Arial" w:cs="Arial" w:eastAsia="Arial" w:hAnsi="Arial"/>
          <w:sz w:val="18"/>
          <w:szCs w:val="18"/>
          <w:color w:val="auto"/>
        </w:rPr>
        <w:t>The amounts Mr. Tan may earn in 2020 and 2021 under this PSU award are entirely dependent upon, and will be aligned with, our Relative TSR performance.</w:t>
      </w:r>
    </w:p>
    <w:p>
      <w:pPr>
        <w:spacing w:after="0" w:line="98" w:lineRule="exact"/>
        <w:rPr>
          <w:sz w:val="20"/>
          <w:szCs w:val="20"/>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PSU award vests in two overlapping performance periods, one three-year performance period ending in 2020</w:t>
      </w:r>
    </w:p>
    <w:p>
      <w:pPr>
        <w:ind w:left="1180" w:right="400"/>
        <w:spacing w:after="0" w:line="24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 #1</w:t>
      </w:r>
      <w:r>
        <w:rPr>
          <w:rFonts w:ascii="Arial" w:cs="Arial" w:eastAsia="Arial" w:hAnsi="Arial"/>
          <w:sz w:val="18"/>
          <w:szCs w:val="18"/>
          <w:color w:val="auto"/>
        </w:rPr>
        <w:t>”) and one four-year performance period ending in 2021 (“</w:t>
      </w:r>
      <w:r>
        <w:rPr>
          <w:rFonts w:ascii="Arial" w:cs="Arial" w:eastAsia="Arial" w:hAnsi="Arial"/>
          <w:sz w:val="18"/>
          <w:szCs w:val="18"/>
          <w:u w:val="single" w:color="auto"/>
          <w:color w:val="auto"/>
        </w:rPr>
        <w:t>Performance Period #2,</w:t>
      </w:r>
      <w:r>
        <w:rPr>
          <w:rFonts w:ascii="Arial" w:cs="Arial" w:eastAsia="Arial" w:hAnsi="Arial"/>
          <w:sz w:val="18"/>
          <w:szCs w:val="18"/>
          <w:color w:val="auto"/>
        </w:rPr>
        <w:t>” together with Performance Period 1, the “</w:t>
      </w:r>
      <w:r>
        <w:rPr>
          <w:rFonts w:ascii="Arial" w:cs="Arial" w:eastAsia="Arial" w:hAnsi="Arial"/>
          <w:sz w:val="18"/>
          <w:szCs w:val="18"/>
          <w:u w:val="single" w:color="auto"/>
          <w:color w:val="auto"/>
        </w:rPr>
        <w:t>Performance Periods</w:t>
      </w:r>
      <w:r>
        <w:rPr>
          <w:rFonts w:ascii="Arial" w:cs="Arial" w:eastAsia="Arial" w:hAnsi="Arial"/>
          <w:sz w:val="18"/>
          <w:szCs w:val="18"/>
          <w:color w:val="auto"/>
        </w:rPr>
        <w:t>”) as follows:</w:t>
      </w:r>
    </w:p>
    <w:p>
      <w:pPr>
        <w:spacing w:after="0" w:line="102" w:lineRule="exact"/>
        <w:rPr>
          <w:rFonts w:ascii="Arial" w:cs="Arial" w:eastAsia="Arial" w:hAnsi="Arial"/>
          <w:sz w:val="18"/>
          <w:szCs w:val="18"/>
          <w:color w:val="auto"/>
        </w:rPr>
      </w:pPr>
    </w:p>
    <w:p>
      <w:pPr>
        <w:ind w:left="1740" w:right="240" w:hanging="432"/>
        <w:spacing w:after="0" w:line="246" w:lineRule="auto"/>
        <w:rPr>
          <w:rFonts w:ascii="Arial" w:cs="Arial" w:eastAsia="Arial" w:hAnsi="Arial"/>
          <w:sz w:val="18"/>
          <w:szCs w:val="18"/>
          <w:color w:val="auto"/>
        </w:rPr>
      </w:pPr>
      <w:r>
        <w:rPr>
          <w:rFonts w:ascii="Arial" w:cs="Arial" w:eastAsia="Arial" w:hAnsi="Arial"/>
          <w:sz w:val="18"/>
          <w:szCs w:val="18"/>
          <w:color w:val="auto"/>
        </w:rPr>
        <w:t>– 100% of the target number of ordinary shares (84,000 ordinary shares) will be earned with respect to a Performance Period if our Relative TSR is at or above the 50</w:t>
      </w:r>
      <w:r>
        <w:rPr>
          <w:rFonts w:ascii="Arial" w:cs="Arial" w:eastAsia="Arial" w:hAnsi="Arial"/>
          <w:sz w:val="15"/>
          <w:szCs w:val="15"/>
          <w:color w:val="auto"/>
        </w:rPr>
        <w:t>th</w:t>
      </w:r>
      <w:r>
        <w:rPr>
          <w:rFonts w:ascii="Arial" w:cs="Arial" w:eastAsia="Arial" w:hAnsi="Arial"/>
          <w:sz w:val="18"/>
          <w:szCs w:val="18"/>
          <w:color w:val="auto"/>
        </w:rPr>
        <w:t xml:space="preserve"> percentile of the S&amp;P 500;</w:t>
      </w:r>
    </w:p>
    <w:p>
      <w:pPr>
        <w:spacing w:after="0" w:line="99" w:lineRule="exact"/>
        <w:rPr>
          <w:rFonts w:ascii="Arial" w:cs="Arial" w:eastAsia="Arial" w:hAnsi="Arial"/>
          <w:sz w:val="18"/>
          <w:szCs w:val="18"/>
          <w:color w:val="auto"/>
        </w:rPr>
      </w:pPr>
    </w:p>
    <w:p>
      <w:pPr>
        <w:ind w:left="1740" w:hanging="432"/>
        <w:spacing w:after="0" w:line="249" w:lineRule="auto"/>
        <w:rPr>
          <w:rFonts w:ascii="Arial" w:cs="Arial" w:eastAsia="Arial" w:hAnsi="Arial"/>
          <w:sz w:val="18"/>
          <w:szCs w:val="18"/>
          <w:color w:val="auto"/>
        </w:rPr>
      </w:pPr>
      <w:r>
        <w:rPr>
          <w:rFonts w:ascii="Arial" w:cs="Arial" w:eastAsia="Arial" w:hAnsi="Arial"/>
          <w:sz w:val="18"/>
          <w:szCs w:val="18"/>
          <w:color w:val="auto"/>
        </w:rPr>
        <w:t>– No ordinary shares will be earned with respect to a Performance Period if our Relative TSR is below the 25</w:t>
      </w:r>
      <w:r>
        <w:rPr>
          <w:rFonts w:ascii="Arial" w:cs="Arial" w:eastAsia="Arial" w:hAnsi="Arial"/>
          <w:sz w:val="15"/>
          <w:szCs w:val="15"/>
          <w:color w:val="auto"/>
        </w:rPr>
        <w:t>th</w:t>
      </w:r>
      <w:r>
        <w:rPr>
          <w:rFonts w:ascii="Arial" w:cs="Arial" w:eastAsia="Arial" w:hAnsi="Arial"/>
          <w:sz w:val="18"/>
          <w:szCs w:val="18"/>
          <w:color w:val="auto"/>
        </w:rPr>
        <w:t xml:space="preserve"> percentile of the S&amp;P 500;</w:t>
      </w:r>
    </w:p>
    <w:p>
      <w:pPr>
        <w:spacing w:after="0" w:line="99" w:lineRule="exact"/>
        <w:rPr>
          <w:rFonts w:ascii="Arial" w:cs="Arial" w:eastAsia="Arial" w:hAnsi="Arial"/>
          <w:sz w:val="18"/>
          <w:szCs w:val="18"/>
          <w:color w:val="auto"/>
        </w:rPr>
      </w:pPr>
    </w:p>
    <w:p>
      <w:pPr>
        <w:ind w:left="1740" w:right="340" w:hanging="432"/>
        <w:spacing w:after="0" w:line="246" w:lineRule="auto"/>
        <w:rPr>
          <w:rFonts w:ascii="Arial" w:cs="Arial" w:eastAsia="Arial" w:hAnsi="Arial"/>
          <w:sz w:val="18"/>
          <w:szCs w:val="18"/>
          <w:color w:val="auto"/>
        </w:rPr>
      </w:pPr>
      <w:r>
        <w:rPr>
          <w:rFonts w:ascii="Arial" w:cs="Arial" w:eastAsia="Arial" w:hAnsi="Arial"/>
          <w:sz w:val="18"/>
          <w:szCs w:val="18"/>
          <w:color w:val="auto"/>
        </w:rPr>
        <w:t>– 25% of the target number of ordinary shares (21,000 ordinary shares) will be earned with respect to a Performance Period if our Relative TSR is at or above the 25</w:t>
      </w:r>
      <w:r>
        <w:rPr>
          <w:rFonts w:ascii="Arial" w:cs="Arial" w:eastAsia="Arial" w:hAnsi="Arial"/>
          <w:sz w:val="15"/>
          <w:szCs w:val="15"/>
          <w:color w:val="auto"/>
        </w:rPr>
        <w:t>th</w:t>
      </w:r>
      <w:r>
        <w:rPr>
          <w:rFonts w:ascii="Arial" w:cs="Arial" w:eastAsia="Arial" w:hAnsi="Arial"/>
          <w:sz w:val="18"/>
          <w:szCs w:val="18"/>
          <w:color w:val="auto"/>
        </w:rPr>
        <w:t xml:space="preserve"> percentile of the S&amp;P 500;</w:t>
      </w:r>
    </w:p>
    <w:p>
      <w:pPr>
        <w:spacing w:after="0" w:line="102" w:lineRule="exact"/>
        <w:rPr>
          <w:rFonts w:ascii="Arial" w:cs="Arial" w:eastAsia="Arial" w:hAnsi="Arial"/>
          <w:sz w:val="18"/>
          <w:szCs w:val="18"/>
          <w:color w:val="auto"/>
        </w:rPr>
      </w:pPr>
    </w:p>
    <w:p>
      <w:pPr>
        <w:ind w:left="1740" w:right="140" w:hanging="432"/>
        <w:spacing w:after="0" w:line="246" w:lineRule="auto"/>
        <w:rPr>
          <w:rFonts w:ascii="Arial" w:cs="Arial" w:eastAsia="Arial" w:hAnsi="Arial"/>
          <w:sz w:val="18"/>
          <w:szCs w:val="18"/>
          <w:color w:val="auto"/>
        </w:rPr>
      </w:pPr>
      <w:r>
        <w:rPr>
          <w:rFonts w:ascii="Arial" w:cs="Arial" w:eastAsia="Arial" w:hAnsi="Arial"/>
          <w:sz w:val="18"/>
          <w:szCs w:val="18"/>
          <w:color w:val="auto"/>
        </w:rPr>
        <w:t>– 300% of the target number of ordinary shares (252,000 ordinary shares) will be earned with respect to a Performance Period if our Relative TSR is at or above the 75</w:t>
      </w:r>
      <w:r>
        <w:rPr>
          <w:rFonts w:ascii="Arial" w:cs="Arial" w:eastAsia="Arial" w:hAnsi="Arial"/>
          <w:sz w:val="15"/>
          <w:szCs w:val="15"/>
          <w:color w:val="auto"/>
        </w:rPr>
        <w:t>th</w:t>
      </w:r>
      <w:r>
        <w:rPr>
          <w:rFonts w:ascii="Arial" w:cs="Arial" w:eastAsia="Arial" w:hAnsi="Arial"/>
          <w:sz w:val="18"/>
          <w:szCs w:val="18"/>
          <w:color w:val="auto"/>
        </w:rPr>
        <w:t xml:space="preserve"> percentile of the S&amp;P 500; and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40" w:right="280" w:hanging="432"/>
        <w:spacing w:after="0" w:line="246" w:lineRule="auto"/>
        <w:rPr>
          <w:sz w:val="20"/>
          <w:szCs w:val="20"/>
          <w:color w:val="auto"/>
        </w:rPr>
      </w:pPr>
      <w:r>
        <w:rPr>
          <w:rFonts w:ascii="Arial" w:cs="Arial" w:eastAsia="Arial" w:hAnsi="Arial"/>
          <w:sz w:val="18"/>
          <w:szCs w:val="18"/>
          <w:color w:val="auto"/>
        </w:rPr>
        <w:t>– If our Relative TSR falls between these percentiles, the number of ordinary shares earned will be determined using linear interpolation.</w:t>
      </w:r>
    </w:p>
    <w:p>
      <w:pPr>
        <w:spacing w:after="0" w:line="102" w:lineRule="exact"/>
        <w:rPr>
          <w:sz w:val="20"/>
          <w:szCs w:val="20"/>
          <w:color w:val="auto"/>
        </w:rPr>
      </w:pPr>
    </w:p>
    <w:p>
      <w:pPr>
        <w:ind w:left="1180" w:right="80" w:hanging="436"/>
        <w:spacing w:after="0"/>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our Relative TSR for Performance Period #2 is at or above the 90th percentile of the S&amp;P 500 and our absolute TSR is not negative, Mr. Tan will earn the maximum amount available under the award, which is 756,000 ordinary shares in aggregate over the two Performance Periods.</w:t>
      </w:r>
    </w:p>
    <w:p>
      <w:pPr>
        <w:spacing w:after="0" w:line="108" w:lineRule="exact"/>
        <w:rPr>
          <w:rFonts w:ascii="Arial" w:cs="Arial" w:eastAsia="Arial" w:hAnsi="Arial"/>
          <w:sz w:val="18"/>
          <w:szCs w:val="18"/>
          <w:color w:val="auto"/>
        </w:rPr>
      </w:pPr>
    </w:p>
    <w:p>
      <w:pPr>
        <w:ind w:left="1180" w:right="200" w:hanging="436"/>
        <w:spacing w:after="0"/>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 more than the target number of ordinary shares (84,000 ordinary shares) may be earned with respect to a Performance Period if our absolute TSR is negative. This PSU award requires continued service through the completion of each Performance Period to earn the ordinary shares.</w:t>
      </w:r>
    </w:p>
    <w:p>
      <w:pPr>
        <w:spacing w:after="0" w:line="86" w:lineRule="exact"/>
        <w:rPr>
          <w:rFonts w:ascii="Arial" w:cs="Arial" w:eastAsia="Arial" w:hAnsi="Arial"/>
          <w:sz w:val="18"/>
          <w:szCs w:val="18"/>
          <w:color w:val="auto"/>
        </w:rPr>
      </w:pPr>
    </w:p>
    <w:p>
      <w:pPr>
        <w:ind w:left="960" w:hanging="432"/>
        <w:spacing w:after="0"/>
        <w:tabs>
          <w:tab w:leader="none" w:pos="960" w:val="left"/>
        </w:tabs>
        <w:numPr>
          <w:ilvl w:val="0"/>
          <w:numId w:val="41"/>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Other NEO Equity Awards Consisted of a Mix of Performance-based and Service-based Awards</w:t>
      </w:r>
    </w:p>
    <w:p>
      <w:pPr>
        <w:spacing w:after="0" w:line="139" w:lineRule="exact"/>
        <w:rPr>
          <w:sz w:val="20"/>
          <w:szCs w:val="20"/>
          <w:color w:val="auto"/>
        </w:rPr>
      </w:pPr>
    </w:p>
    <w:p>
      <w:pPr>
        <w:ind w:left="200" w:right="220" w:firstLine="551"/>
        <w:spacing w:after="0" w:line="239" w:lineRule="auto"/>
        <w:rPr>
          <w:sz w:val="20"/>
          <w:szCs w:val="20"/>
          <w:color w:val="auto"/>
        </w:rPr>
      </w:pPr>
      <w:r>
        <w:rPr>
          <w:rFonts w:ascii="Arial" w:cs="Arial" w:eastAsia="Arial" w:hAnsi="Arial"/>
          <w:sz w:val="18"/>
          <w:szCs w:val="18"/>
          <w:color w:val="auto"/>
        </w:rPr>
        <w:t>To align our NEOs’ interests with those of our shareholders, in Fiscal Year 2017 a significant portion of the equity compensation awarded to our other NEOs were PSU awards that may be earned, if at all, based on our Relative TSR and absolute TSR performance over four overlapping performance periods beginning on the grant date and ending on each of March 14, 2018, 2019, 2020 and 2021, subject to the NEO remaining employed by us as of the end of each performance period.</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Key Takeaways</w:t>
      </w:r>
    </w:p>
    <w:p>
      <w:pPr>
        <w:spacing w:after="0" w:line="126"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We recorded substantial financial, operational and strategic achievements in Fiscal Year 2017, delivering exceptional shareholder value. The Compensation Committee and our Board remain committed to ensuring that our executives are focused and incentivized to enhance the long-term sustainable shareholder value.</w:t>
      </w:r>
    </w:p>
    <w:p>
      <w:pPr>
        <w:spacing w:after="0" w:line="86" w:lineRule="exact"/>
        <w:rPr>
          <w:sz w:val="20"/>
          <w:szCs w:val="20"/>
          <w:color w:val="auto"/>
        </w:rPr>
      </w:pPr>
    </w:p>
    <w:p>
      <w:pPr>
        <w:ind w:left="960" w:right="340" w:hanging="432"/>
        <w:spacing w:after="0" w:line="271" w:lineRule="auto"/>
        <w:tabs>
          <w:tab w:leader="none" w:pos="960" w:val="left"/>
        </w:tabs>
        <w:numPr>
          <w:ilvl w:val="0"/>
          <w:numId w:val="42"/>
        </w:numPr>
        <w:rPr>
          <w:rFonts w:ascii="MS PGothic" w:cs="MS PGothic" w:eastAsia="MS PGothic" w:hAnsi="MS PGothic"/>
          <w:sz w:val="18"/>
          <w:szCs w:val="18"/>
          <w:color w:val="auto"/>
        </w:rPr>
      </w:pPr>
      <w:r>
        <w:rPr>
          <w:rFonts w:ascii="Arial" w:cs="Arial" w:eastAsia="Arial" w:hAnsi="Arial"/>
          <w:sz w:val="18"/>
          <w:szCs w:val="18"/>
          <w:b w:val="1"/>
          <w:bCs w:val="1"/>
          <w:color w:val="auto"/>
        </w:rPr>
        <w:t>Our executive compensation program is strongly tied to enhancing shareholder value and increasing our TSR over multi-year periods</w:t>
      </w:r>
    </w:p>
    <w:p>
      <w:pPr>
        <w:spacing w:after="0" w:line="81" w:lineRule="exact"/>
        <w:rPr>
          <w:rFonts w:ascii="MS PGothic" w:cs="MS PGothic" w:eastAsia="MS PGothic" w:hAnsi="MS PGothic"/>
          <w:sz w:val="18"/>
          <w:szCs w:val="18"/>
          <w:color w:val="auto"/>
        </w:rPr>
      </w:pPr>
    </w:p>
    <w:p>
      <w:pPr>
        <w:ind w:left="1400"/>
        <w:spacing w:after="0"/>
        <w:rPr>
          <w:rFonts w:ascii="MS PGothic" w:cs="MS PGothic" w:eastAsia="MS PGothic" w:hAnsi="MS PGothic"/>
          <w:sz w:val="18"/>
          <w:szCs w:val="18"/>
          <w:color w:val="auto"/>
        </w:rPr>
      </w:pPr>
      <w:r>
        <w:rPr>
          <w:rFonts w:ascii="Arial" w:cs="Arial" w:eastAsia="Arial" w:hAnsi="Arial"/>
          <w:sz w:val="18"/>
          <w:szCs w:val="18"/>
          <w:color w:val="auto"/>
        </w:rPr>
        <w:t>–    100% of our CEO’s Fiscal Year 2017 long-term incentive compensation is performance-based</w:t>
      </w:r>
    </w:p>
    <w:p>
      <w:pPr>
        <w:spacing w:after="0" w:line="117" w:lineRule="exact"/>
        <w:rPr>
          <w:rFonts w:ascii="MS PGothic" w:cs="MS PGothic" w:eastAsia="MS PGothic" w:hAnsi="MS PGothic"/>
          <w:sz w:val="18"/>
          <w:szCs w:val="18"/>
          <w:color w:val="auto"/>
        </w:rPr>
      </w:pPr>
    </w:p>
    <w:p>
      <w:pPr>
        <w:ind w:left="1400"/>
        <w:spacing w:after="0"/>
        <w:rPr>
          <w:rFonts w:ascii="MS PGothic" w:cs="MS PGothic" w:eastAsia="MS PGothic" w:hAnsi="MS PGothic"/>
          <w:sz w:val="18"/>
          <w:szCs w:val="18"/>
          <w:color w:val="auto"/>
        </w:rPr>
      </w:pPr>
      <w:r>
        <w:rPr>
          <w:rFonts w:ascii="Arial" w:cs="Arial" w:eastAsia="Arial" w:hAnsi="Arial"/>
          <w:sz w:val="18"/>
          <w:szCs w:val="18"/>
          <w:color w:val="auto"/>
        </w:rPr>
        <w:t>–    We have significantly increased our absolute TSR since our initial public offering in 2009 by 1,644%.</w:t>
      </w:r>
    </w:p>
    <w:p>
      <w:pPr>
        <w:spacing w:after="0" w:line="117" w:lineRule="exact"/>
        <w:rPr>
          <w:rFonts w:ascii="MS PGothic" w:cs="MS PGothic" w:eastAsia="MS PGothic" w:hAnsi="MS PGothic"/>
          <w:sz w:val="18"/>
          <w:szCs w:val="18"/>
          <w:color w:val="auto"/>
        </w:rPr>
      </w:pPr>
    </w:p>
    <w:p>
      <w:pPr>
        <w:ind w:left="1400"/>
        <w:spacing w:after="0"/>
        <w:rPr>
          <w:rFonts w:ascii="MS PGothic" w:cs="MS PGothic" w:eastAsia="MS PGothic" w:hAnsi="MS PGothic"/>
          <w:sz w:val="18"/>
          <w:szCs w:val="18"/>
          <w:color w:val="auto"/>
        </w:rPr>
      </w:pPr>
      <w:r>
        <w:rPr>
          <w:rFonts w:ascii="Arial" w:cs="Arial" w:eastAsia="Arial" w:hAnsi="Arial"/>
          <w:sz w:val="18"/>
          <w:szCs w:val="18"/>
          <w:color w:val="auto"/>
        </w:rPr>
        <w:t>–    Our PSU awards are tied to our Relative TSR and absolute TSR performance.</w:t>
      </w:r>
    </w:p>
    <w:p>
      <w:pPr>
        <w:spacing w:after="0" w:line="95" w:lineRule="exact"/>
        <w:rPr>
          <w:rFonts w:ascii="MS PGothic" w:cs="MS PGothic" w:eastAsia="MS PGothic" w:hAnsi="MS PGothic"/>
          <w:sz w:val="18"/>
          <w:szCs w:val="18"/>
          <w:color w:val="auto"/>
        </w:rPr>
      </w:pPr>
    </w:p>
    <w:p>
      <w:pPr>
        <w:ind w:left="960" w:hanging="432"/>
        <w:spacing w:after="0"/>
        <w:tabs>
          <w:tab w:leader="none" w:pos="960" w:val="left"/>
        </w:tabs>
        <w:numPr>
          <w:ilvl w:val="0"/>
          <w:numId w:val="42"/>
        </w:numPr>
        <w:rPr>
          <w:rFonts w:ascii="MS PGothic" w:cs="MS PGothic" w:eastAsia="MS PGothic" w:hAnsi="MS PGothic"/>
          <w:sz w:val="18"/>
          <w:szCs w:val="18"/>
          <w:color w:val="auto"/>
        </w:rPr>
      </w:pPr>
      <w:r>
        <w:rPr>
          <w:rFonts w:ascii="Arial" w:cs="Arial" w:eastAsia="Arial" w:hAnsi="Arial"/>
          <w:sz w:val="18"/>
          <w:szCs w:val="18"/>
          <w:b w:val="1"/>
          <w:bCs w:val="1"/>
          <w:color w:val="auto"/>
        </w:rPr>
        <w:t>The Compensation Committee’s actions reflect shareholder feedback</w:t>
      </w:r>
    </w:p>
    <w:p>
      <w:pPr>
        <w:spacing w:after="0" w:line="152" w:lineRule="exact"/>
        <w:rPr>
          <w:rFonts w:ascii="MS PGothic" w:cs="MS PGothic" w:eastAsia="MS PGothic" w:hAnsi="MS PGothic"/>
          <w:sz w:val="18"/>
          <w:szCs w:val="18"/>
          <w:color w:val="auto"/>
        </w:rPr>
      </w:pPr>
    </w:p>
    <w:p>
      <w:pPr>
        <w:ind w:left="1840" w:hanging="432"/>
        <w:spacing w:after="0"/>
        <w:rPr>
          <w:rFonts w:ascii="MS PGothic" w:cs="MS PGothic" w:eastAsia="MS PGothic" w:hAnsi="MS PGothic"/>
          <w:sz w:val="18"/>
          <w:szCs w:val="18"/>
          <w:color w:val="auto"/>
        </w:rPr>
      </w:pPr>
      <w:r>
        <w:rPr>
          <w:rFonts w:ascii="Arial" w:cs="Arial" w:eastAsia="Arial" w:hAnsi="Arial"/>
          <w:sz w:val="18"/>
          <w:szCs w:val="18"/>
          <w:color w:val="auto"/>
        </w:rPr>
        <w:t>– The Compensation Committee and members of management have conducted substantial shareholder outreach over the last several years, as we believe listening to and understanding the concerns and views of our shareholders is an important factor in designing an effective executive compensation program.</w:t>
      </w:r>
    </w:p>
    <w:p>
      <w:pPr>
        <w:spacing w:after="0" w:line="108" w:lineRule="exact"/>
        <w:rPr>
          <w:rFonts w:ascii="MS PGothic" w:cs="MS PGothic" w:eastAsia="MS PGothic" w:hAnsi="MS PGothic"/>
          <w:sz w:val="18"/>
          <w:szCs w:val="18"/>
          <w:color w:val="auto"/>
        </w:rPr>
      </w:pPr>
    </w:p>
    <w:p>
      <w:pPr>
        <w:ind w:left="1840" w:right="40" w:hanging="432"/>
        <w:spacing w:after="0" w:line="239" w:lineRule="auto"/>
        <w:rPr>
          <w:rFonts w:ascii="MS PGothic" w:cs="MS PGothic" w:eastAsia="MS PGothic" w:hAnsi="MS PGothic"/>
          <w:sz w:val="18"/>
          <w:szCs w:val="18"/>
          <w:color w:val="auto"/>
        </w:rPr>
      </w:pPr>
      <w:r>
        <w:rPr>
          <w:rFonts w:ascii="Arial" w:cs="Arial" w:eastAsia="Arial" w:hAnsi="Arial"/>
          <w:sz w:val="18"/>
          <w:szCs w:val="18"/>
          <w:color w:val="auto"/>
        </w:rPr>
        <w:t>– In 2016, the Compensation Committee solicited significant shareholder feedback and they and our Independent Directors took that feedback into consideration when designing our CEO’s Fiscal Year 2017 PSU award. Specifically, the sole performance criteria of his award are pre-established relative and absolute TSR performance objectives, to further align his interests with those of our shareholders.</w:t>
      </w:r>
    </w:p>
    <w:p>
      <w:pPr>
        <w:spacing w:after="0" w:line="107" w:lineRule="exact"/>
        <w:rPr>
          <w:rFonts w:ascii="MS PGothic" w:cs="MS PGothic" w:eastAsia="MS PGothic" w:hAnsi="MS PGothic"/>
          <w:sz w:val="18"/>
          <w:szCs w:val="18"/>
          <w:color w:val="auto"/>
        </w:rPr>
      </w:pPr>
    </w:p>
    <w:p>
      <w:pPr>
        <w:ind w:left="1840" w:right="120" w:hanging="432"/>
        <w:spacing w:after="0"/>
        <w:rPr>
          <w:rFonts w:ascii="MS PGothic" w:cs="MS PGothic" w:eastAsia="MS PGothic" w:hAnsi="MS PGothic"/>
          <w:sz w:val="18"/>
          <w:szCs w:val="18"/>
          <w:color w:val="auto"/>
        </w:rPr>
      </w:pPr>
      <w:r>
        <w:rPr>
          <w:rFonts w:ascii="Arial" w:cs="Arial" w:eastAsia="Arial" w:hAnsi="Arial"/>
          <w:sz w:val="18"/>
          <w:szCs w:val="18"/>
          <w:color w:val="auto"/>
        </w:rPr>
        <w:t>– Consistent with this emphasis on delivering sustainable long-term value creation, beginning in Fiscal Year 2017, the Compensation Committee designed the PSU awards granted to our other executives to also be subject solely to relative and absolute TSR performance metrics.</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Overview of Our Executive Compensation Program</w:t>
      </w:r>
    </w:p>
    <w:p>
      <w:pPr>
        <w:spacing w:after="0" w:line="99"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The Compensation Committee believes that a significant portion of our executives’ target total direct compensation should be dependent upon our performance. Our executive compensation program is designed to reward our executives for producing sustainable growth in share value, consistent with our strategic plan, to attract and retain top talent and to align their interests with the interests of our shareholders.</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24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annual, direct compensation consists of three main components:</w:t>
      </w:r>
    </w:p>
    <w:p>
      <w:pPr>
        <w:spacing w:after="0" w:line="179" w:lineRule="exact"/>
        <w:rPr>
          <w:sz w:val="20"/>
          <w:szCs w:val="20"/>
          <w:color w:val="auto"/>
        </w:rPr>
      </w:pPr>
    </w:p>
    <w:tbl>
      <w:tblPr>
        <w:tblLayout w:type="fixed"/>
        <w:tblInd w:w="770" w:type="dxa"/>
        <w:tblCellMar>
          <w:top w:w="0" w:type="dxa"/>
          <w:left w:w="0" w:type="dxa"/>
          <w:bottom w:w="0" w:type="dxa"/>
          <w:right w:w="0" w:type="dxa"/>
        </w:tblCellMar>
      </w:tblPr>
      <w:tr>
        <w:trPr>
          <w:trHeight w:val="215"/>
        </w:trPr>
        <w:tc>
          <w:tcPr>
            <w:tcW w:w="2500" w:type="dxa"/>
            <w:vAlign w:val="bottom"/>
            <w:tcBorders>
              <w:top w:val="single" w:sz="8" w:color="auto"/>
              <w:left w:val="single" w:sz="8" w:color="auto"/>
              <w:right w:val="single" w:sz="8" w:color="auto"/>
            </w:tcBorders>
            <w:gridSpan w:val="4"/>
            <w:vMerge w:val="restart"/>
          </w:tcPr>
          <w:p>
            <w:pPr>
              <w:jc w:val="center"/>
              <w:ind w:left="30"/>
              <w:spacing w:after="0"/>
              <w:rPr>
                <w:sz w:val="20"/>
                <w:szCs w:val="20"/>
                <w:color w:val="auto"/>
              </w:rPr>
            </w:pPr>
            <w:r>
              <w:rPr>
                <w:rFonts w:ascii="Arial" w:cs="Arial" w:eastAsia="Arial" w:hAnsi="Arial"/>
                <w:sz w:val="18"/>
                <w:szCs w:val="18"/>
                <w:b w:val="1"/>
                <w:bCs w:val="1"/>
                <w:color w:val="auto"/>
                <w:w w:val="99"/>
              </w:rPr>
              <w:t>Base Salary</w:t>
            </w:r>
          </w:p>
        </w:tc>
        <w:tc>
          <w:tcPr>
            <w:tcW w:w="74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Individual salaries are based on an executive’s responsibilities. Salaries are set to be</w:t>
            </w:r>
          </w:p>
        </w:tc>
        <w:tc>
          <w:tcPr>
            <w:tcW w:w="0" w:type="dxa"/>
            <w:vAlign w:val="bottom"/>
          </w:tcPr>
          <w:p>
            <w:pPr>
              <w:spacing w:after="0"/>
              <w:rPr>
                <w:sz w:val="1"/>
                <w:szCs w:val="1"/>
                <w:color w:val="auto"/>
              </w:rPr>
            </w:pPr>
          </w:p>
        </w:tc>
      </w:tr>
      <w:tr>
        <w:trPr>
          <w:trHeight w:val="109"/>
        </w:trPr>
        <w:tc>
          <w:tcPr>
            <w:tcW w:w="2500" w:type="dxa"/>
            <w:vAlign w:val="bottom"/>
            <w:tcBorders>
              <w:left w:val="single" w:sz="8" w:color="auto"/>
              <w:right w:val="single" w:sz="8" w:color="auto"/>
            </w:tcBorders>
            <w:gridSpan w:val="4"/>
            <w:vMerge w:val="continue"/>
          </w:tcPr>
          <w:p>
            <w:pPr>
              <w:spacing w:after="0"/>
              <w:rPr>
                <w:sz w:val="9"/>
                <w:szCs w:val="9"/>
                <w:color w:val="auto"/>
              </w:rPr>
            </w:pPr>
          </w:p>
        </w:tc>
        <w:tc>
          <w:tcPr>
            <w:tcW w:w="7440" w:type="dxa"/>
            <w:vAlign w:val="bottom"/>
            <w:tcBorders>
              <w:right w:val="single" w:sz="8" w:color="auto"/>
            </w:tcBorders>
            <w:vMerge w:val="restart"/>
          </w:tcPr>
          <w:p>
            <w:pPr>
              <w:ind w:left="100"/>
              <w:spacing w:after="0" w:line="203" w:lineRule="exact"/>
              <w:rPr>
                <w:sz w:val="20"/>
                <w:szCs w:val="20"/>
                <w:color w:val="auto"/>
              </w:rPr>
            </w:pPr>
            <w:r>
              <w:rPr>
                <w:rFonts w:ascii="Arial" w:cs="Arial" w:eastAsia="Arial" w:hAnsi="Arial"/>
                <w:sz w:val="18"/>
                <w:szCs w:val="18"/>
                <w:color w:val="auto"/>
              </w:rPr>
              <w:t>competitive with market and industry norms, and to reflect individual performance.</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74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The APB Plan is intended to reward the achievement of pre-established annual</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4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corporate and divisional or functional performance goals, as well as the individual</w:t>
            </w:r>
          </w:p>
        </w:tc>
        <w:tc>
          <w:tcPr>
            <w:tcW w:w="0" w:type="dxa"/>
            <w:vAlign w:val="bottom"/>
          </w:tcPr>
          <w:p>
            <w:pPr>
              <w:spacing w:after="0"/>
              <w:rPr>
                <w:sz w:val="1"/>
                <w:szCs w:val="1"/>
                <w:color w:val="auto"/>
              </w:rPr>
            </w:pPr>
          </w:p>
        </w:tc>
      </w:tr>
      <w:tr>
        <w:trPr>
          <w:trHeight w:val="217"/>
        </w:trPr>
        <w:tc>
          <w:tcPr>
            <w:tcW w:w="250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b w:val="1"/>
                <w:bCs w:val="1"/>
                <w:color w:val="auto"/>
                <w:w w:val="98"/>
              </w:rPr>
              <w:t>Short-Term</w:t>
            </w:r>
          </w:p>
        </w:tc>
        <w:tc>
          <w:tcPr>
            <w:tcW w:w="7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contributions and performance of each executive.</w:t>
            </w:r>
          </w:p>
        </w:tc>
        <w:tc>
          <w:tcPr>
            <w:tcW w:w="0" w:type="dxa"/>
            <w:vAlign w:val="bottom"/>
          </w:tcPr>
          <w:p>
            <w:pPr>
              <w:spacing w:after="0"/>
              <w:rPr>
                <w:sz w:val="1"/>
                <w:szCs w:val="1"/>
                <w:color w:val="auto"/>
              </w:rPr>
            </w:pPr>
          </w:p>
        </w:tc>
      </w:tr>
      <w:tr>
        <w:trPr>
          <w:trHeight w:val="58"/>
        </w:trPr>
        <w:tc>
          <w:tcPr>
            <w:tcW w:w="2500" w:type="dxa"/>
            <w:vAlign w:val="bottom"/>
            <w:tcBorders>
              <w:left w:val="single" w:sz="8" w:color="auto"/>
              <w:right w:val="single" w:sz="8" w:color="auto"/>
            </w:tcBorders>
            <w:gridSpan w:val="4"/>
            <w:vMerge w:val="continue"/>
          </w:tcPr>
          <w:p>
            <w:pPr>
              <w:spacing w:after="0"/>
              <w:rPr>
                <w:sz w:val="5"/>
                <w:szCs w:val="5"/>
                <w:color w:val="auto"/>
              </w:rPr>
            </w:pPr>
          </w:p>
        </w:tc>
        <w:tc>
          <w:tcPr>
            <w:tcW w:w="7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500" w:type="dxa"/>
            <w:vAlign w:val="bottom"/>
            <w:tcBorders>
              <w:left w:val="single" w:sz="8" w:color="auto"/>
              <w:right w:val="single" w:sz="8" w:color="auto"/>
            </w:tcBorders>
            <w:gridSpan w:val="4"/>
          </w:tcPr>
          <w:p>
            <w:pPr>
              <w:jc w:val="center"/>
              <w:ind w:left="30"/>
              <w:spacing w:after="0" w:line="199" w:lineRule="exact"/>
              <w:rPr>
                <w:sz w:val="20"/>
                <w:szCs w:val="20"/>
                <w:color w:val="auto"/>
              </w:rPr>
            </w:pPr>
            <w:r>
              <w:rPr>
                <w:rFonts w:ascii="Arial" w:cs="Arial" w:eastAsia="Arial" w:hAnsi="Arial"/>
                <w:sz w:val="18"/>
                <w:szCs w:val="18"/>
                <w:b w:val="1"/>
                <w:bCs w:val="1"/>
                <w:color w:val="auto"/>
                <w:w w:val="99"/>
              </w:rPr>
              <w:t>Incentives (“STI”)</w:t>
            </w:r>
          </w:p>
        </w:tc>
        <w:tc>
          <w:tcPr>
            <w:tcW w:w="7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 Fiscal Year 2017, our corporate performance goals were (i) non-GAAP revenue and</w:t>
            </w:r>
          </w:p>
        </w:tc>
        <w:tc>
          <w:tcPr>
            <w:tcW w:w="0" w:type="dxa"/>
            <w:vAlign w:val="bottom"/>
          </w:tcPr>
          <w:p>
            <w:pPr>
              <w:spacing w:after="0"/>
              <w:rPr>
                <w:sz w:val="1"/>
                <w:szCs w:val="1"/>
                <w:color w:val="auto"/>
              </w:rPr>
            </w:pPr>
          </w:p>
        </w:tc>
      </w:tr>
      <w:tr>
        <w:trPr>
          <w:trHeight w:val="101"/>
        </w:trPr>
        <w:tc>
          <w:tcPr>
            <w:tcW w:w="1640" w:type="dxa"/>
            <w:vAlign w:val="bottom"/>
            <w:tcBorders>
              <w:left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7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4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(ii) non-GAAP operating income as a percentage of non-GAAP revenue, excluding the</w:t>
            </w: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expenses related to the APB Plan.</w:t>
            </w: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Equity awards, in the form of service-based RSUs and PSUs, are granted to incentivize</w:t>
            </w:r>
          </w:p>
        </w:tc>
        <w:tc>
          <w:tcPr>
            <w:tcW w:w="0" w:type="dxa"/>
            <w:vAlign w:val="bottom"/>
          </w:tcPr>
          <w:p>
            <w:pPr>
              <w:spacing w:after="0"/>
              <w:rPr>
                <w:sz w:val="1"/>
                <w:szCs w:val="1"/>
                <w:color w:val="auto"/>
              </w:rPr>
            </w:pPr>
          </w:p>
        </w:tc>
      </w:tr>
      <w:tr>
        <w:trPr>
          <w:trHeight w:val="203"/>
        </w:trPr>
        <w:tc>
          <w:tcPr>
            <w:tcW w:w="2500" w:type="dxa"/>
            <w:vAlign w:val="bottom"/>
            <w:tcBorders>
              <w:left w:val="single" w:sz="8" w:color="auto"/>
              <w:right w:val="single" w:sz="8" w:color="auto"/>
            </w:tcBorders>
            <w:gridSpan w:val="4"/>
            <w:vMerge w:val="restart"/>
          </w:tcPr>
          <w:p>
            <w:pPr>
              <w:jc w:val="center"/>
              <w:ind w:left="30"/>
              <w:spacing w:after="0"/>
              <w:rPr>
                <w:sz w:val="20"/>
                <w:szCs w:val="20"/>
                <w:color w:val="auto"/>
              </w:rPr>
            </w:pPr>
            <w:r>
              <w:rPr>
                <w:rFonts w:ascii="Arial" w:cs="Arial" w:eastAsia="Arial" w:hAnsi="Arial"/>
                <w:sz w:val="18"/>
                <w:szCs w:val="18"/>
                <w:b w:val="1"/>
                <w:bCs w:val="1"/>
                <w:color w:val="auto"/>
                <w:w w:val="99"/>
              </w:rPr>
              <w:t>Long-Term</w:t>
            </w:r>
          </w:p>
        </w:tc>
        <w:tc>
          <w:tcPr>
            <w:tcW w:w="74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our executives to grow long-term sustainable shareholder value. Further, they serve as</w:t>
            </w:r>
          </w:p>
        </w:tc>
        <w:tc>
          <w:tcPr>
            <w:tcW w:w="0" w:type="dxa"/>
            <w:vAlign w:val="bottom"/>
          </w:tcPr>
          <w:p>
            <w:pPr>
              <w:spacing w:after="0"/>
              <w:rPr>
                <w:sz w:val="1"/>
                <w:szCs w:val="1"/>
                <w:color w:val="auto"/>
              </w:rPr>
            </w:pPr>
          </w:p>
        </w:tc>
      </w:tr>
      <w:tr>
        <w:trPr>
          <w:trHeight w:val="73"/>
        </w:trPr>
        <w:tc>
          <w:tcPr>
            <w:tcW w:w="2500" w:type="dxa"/>
            <w:vAlign w:val="bottom"/>
            <w:tcBorders>
              <w:left w:val="single" w:sz="8" w:color="auto"/>
              <w:right w:val="single" w:sz="8" w:color="auto"/>
            </w:tcBorders>
            <w:gridSpan w:val="4"/>
            <w:vMerge w:val="continue"/>
          </w:tcPr>
          <w:p>
            <w:pPr>
              <w:spacing w:after="0"/>
              <w:rPr>
                <w:sz w:val="6"/>
                <w:szCs w:val="6"/>
                <w:color w:val="auto"/>
              </w:rPr>
            </w:pPr>
          </w:p>
        </w:tc>
        <w:tc>
          <w:tcPr>
            <w:tcW w:w="7440" w:type="dxa"/>
            <w:vAlign w:val="bottom"/>
            <w:tcBorders>
              <w:right w:val="single" w:sz="8" w:color="auto"/>
            </w:tcBorders>
            <w:vMerge w:val="restart"/>
          </w:tcPr>
          <w:p>
            <w:pPr>
              <w:ind w:left="100"/>
              <w:spacing w:after="0" w:line="181" w:lineRule="exact"/>
              <w:rPr>
                <w:sz w:val="20"/>
                <w:szCs w:val="20"/>
                <w:color w:val="auto"/>
              </w:rPr>
            </w:pPr>
            <w:r>
              <w:rPr>
                <w:rFonts w:ascii="Arial" w:cs="Arial" w:eastAsia="Arial" w:hAnsi="Arial"/>
                <w:sz w:val="18"/>
                <w:szCs w:val="18"/>
                <w:color w:val="auto"/>
              </w:rPr>
              <w:t>retention tools for our key executives, and are intended to reflect the value we place on</w:t>
            </w: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gridSpan w:val="4"/>
            <w:vMerge w:val="restart"/>
          </w:tcPr>
          <w:p>
            <w:pPr>
              <w:jc w:val="center"/>
              <w:ind w:left="30"/>
              <w:spacing w:after="0" w:line="199" w:lineRule="exact"/>
              <w:rPr>
                <w:sz w:val="20"/>
                <w:szCs w:val="20"/>
                <w:color w:val="auto"/>
              </w:rPr>
            </w:pPr>
            <w:r>
              <w:rPr>
                <w:rFonts w:ascii="Arial" w:cs="Arial" w:eastAsia="Arial" w:hAnsi="Arial"/>
                <w:sz w:val="18"/>
                <w:szCs w:val="18"/>
                <w:b w:val="1"/>
                <w:bCs w:val="1"/>
                <w:color w:val="auto"/>
                <w:w w:val="99"/>
              </w:rPr>
              <w:t>Incentives (“LTI”)</w:t>
            </w:r>
          </w:p>
        </w:tc>
        <w:tc>
          <w:tcPr>
            <w:tcW w:w="7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500" w:type="dxa"/>
            <w:vAlign w:val="bottom"/>
            <w:tcBorders>
              <w:left w:val="single" w:sz="8" w:color="auto"/>
              <w:right w:val="single" w:sz="8" w:color="auto"/>
            </w:tcBorders>
            <w:gridSpan w:val="4"/>
            <w:vMerge w:val="continue"/>
          </w:tcPr>
          <w:p>
            <w:pPr>
              <w:spacing w:after="0"/>
              <w:rPr>
                <w:sz w:val="7"/>
                <w:szCs w:val="7"/>
                <w:color w:val="auto"/>
              </w:rPr>
            </w:pPr>
          </w:p>
        </w:tc>
        <w:tc>
          <w:tcPr>
            <w:tcW w:w="744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 xml:space="preserve">their contribution to our Company. </w:t>
            </w:r>
            <w:r>
              <w:rPr>
                <w:rFonts w:ascii="Arial" w:cs="Arial" w:eastAsia="Arial" w:hAnsi="Arial"/>
                <w:sz w:val="18"/>
                <w:szCs w:val="18"/>
                <w:b w:val="1"/>
                <w:bCs w:val="1"/>
                <w:i w:val="1"/>
                <w:iCs w:val="1"/>
                <w:color w:val="auto"/>
              </w:rPr>
              <w:t>Our CEO’s Fiscal Year 2017 LTI award is 100%</w:t>
            </w:r>
          </w:p>
        </w:tc>
        <w:tc>
          <w:tcPr>
            <w:tcW w:w="0" w:type="dxa"/>
            <w:vAlign w:val="bottom"/>
          </w:tcPr>
          <w:p>
            <w:pPr>
              <w:spacing w:after="0"/>
              <w:rPr>
                <w:sz w:val="1"/>
                <w:szCs w:val="1"/>
                <w:color w:val="auto"/>
              </w:rPr>
            </w:pPr>
          </w:p>
        </w:tc>
      </w:tr>
      <w:tr>
        <w:trPr>
          <w:trHeight w:val="92"/>
        </w:trPr>
        <w:tc>
          <w:tcPr>
            <w:tcW w:w="1640" w:type="dxa"/>
            <w:vAlign w:val="bottom"/>
            <w:tcBorders>
              <w:left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7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640" w:type="dxa"/>
            <w:vAlign w:val="bottom"/>
            <w:tcBorders>
              <w:left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7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performance-based.</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Target Total Direct Compensation</w:t>
      </w:r>
    </w:p>
    <w:p>
      <w:pPr>
        <w:spacing w:after="0" w:line="77"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following charts compare the percentage breakdown of target total direct compensation for Fiscal Year 2017 for our CEO compared to our other NEOs. This consists of base salary, target STI, and target LTI awards granted to the NEOs during the fiscal year (divided between service-based RSUs and PSUs) based on the fair market value of the awards on the grant date. As Mr. Tan’s Fiscal Year 2017 PSU award is a multi-year award, the chart below annualizes this PSU award over four years, assuming target performance level attainment.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Executive Compensation Program Governance</w:t>
      </w:r>
    </w:p>
    <w:p>
      <w:pPr>
        <w:spacing w:after="0" w:line="240" w:lineRule="exact"/>
        <w:rPr>
          <w:sz w:val="20"/>
          <w:szCs w:val="20"/>
          <w:color w:val="auto"/>
        </w:rPr>
      </w:pPr>
    </w:p>
    <w:tbl>
      <w:tblPr>
        <w:tblLayout w:type="fixed"/>
        <w:tblInd w:w="540" w:type="dxa"/>
        <w:tblCellMar>
          <w:top w:w="0" w:type="dxa"/>
          <w:left w:w="0" w:type="dxa"/>
          <w:bottom w:w="0" w:type="dxa"/>
          <w:right w:w="0" w:type="dxa"/>
        </w:tblCellMar>
      </w:tblPr>
      <w:tr>
        <w:trPr>
          <w:trHeight w:val="278"/>
        </w:trPr>
        <w:tc>
          <w:tcPr>
            <w:tcW w:w="20" w:type="dxa"/>
            <w:vAlign w:val="bottom"/>
          </w:tcPr>
          <w:p>
            <w:pPr>
              <w:spacing w:after="0"/>
              <w:rPr>
                <w:sz w:val="24"/>
                <w:szCs w:val="24"/>
                <w:color w:val="auto"/>
              </w:rPr>
            </w:pPr>
          </w:p>
        </w:tc>
        <w:tc>
          <w:tcPr>
            <w:tcW w:w="180" w:type="dxa"/>
            <w:vAlign w:val="bottom"/>
            <w:shd w:val="clear" w:color="auto" w:fill="7F7F7F"/>
          </w:tcPr>
          <w:p>
            <w:pPr>
              <w:spacing w:after="0"/>
              <w:rPr>
                <w:sz w:val="24"/>
                <w:szCs w:val="24"/>
                <w:color w:val="auto"/>
              </w:rPr>
            </w:pPr>
          </w:p>
        </w:tc>
        <w:tc>
          <w:tcPr>
            <w:tcW w:w="5060" w:type="dxa"/>
            <w:vAlign w:val="bottom"/>
            <w:shd w:val="clear" w:color="auto" w:fill="7F7F7F"/>
          </w:tcPr>
          <w:p>
            <w:pPr>
              <w:ind w:left="1400"/>
              <w:spacing w:after="0"/>
              <w:rPr>
                <w:sz w:val="20"/>
                <w:szCs w:val="20"/>
                <w:color w:val="auto"/>
              </w:rPr>
            </w:pPr>
            <w:r>
              <w:rPr>
                <w:rFonts w:ascii="Arial" w:cs="Arial" w:eastAsia="Arial" w:hAnsi="Arial"/>
                <w:sz w:val="16"/>
                <w:szCs w:val="16"/>
                <w:b w:val="1"/>
                <w:bCs w:val="1"/>
                <w:color w:val="FFFFFF"/>
              </w:rPr>
              <w:t>Best Practices We Employ</w:t>
            </w:r>
          </w:p>
        </w:tc>
        <w:tc>
          <w:tcPr>
            <w:tcW w:w="500" w:type="dxa"/>
            <w:vAlign w:val="bottom"/>
            <w:shd w:val="clear" w:color="auto" w:fill="7F7F7F"/>
          </w:tcPr>
          <w:p>
            <w:pPr>
              <w:spacing w:after="0"/>
              <w:rPr>
                <w:sz w:val="24"/>
                <w:szCs w:val="24"/>
                <w:color w:val="auto"/>
              </w:rPr>
            </w:pPr>
          </w:p>
        </w:tc>
        <w:tc>
          <w:tcPr>
            <w:tcW w:w="4940" w:type="dxa"/>
            <w:vAlign w:val="bottom"/>
            <w:shd w:val="clear" w:color="auto" w:fill="7F7F7F"/>
          </w:tcPr>
          <w:p>
            <w:pPr>
              <w:ind w:left="1200"/>
              <w:spacing w:after="0"/>
              <w:rPr>
                <w:sz w:val="20"/>
                <w:szCs w:val="20"/>
                <w:color w:val="auto"/>
              </w:rPr>
            </w:pPr>
            <w:r>
              <w:rPr>
                <w:rFonts w:ascii="Arial" w:cs="Arial" w:eastAsia="Arial" w:hAnsi="Arial"/>
                <w:sz w:val="16"/>
                <w:szCs w:val="16"/>
                <w:b w:val="1"/>
                <w:bCs w:val="1"/>
                <w:color w:val="FFFFFF"/>
              </w:rPr>
              <w:t>Practices We Do Not Employ</w:t>
            </w: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180" w:type="dxa"/>
            <w:vAlign w:val="bottom"/>
            <w:shd w:val="clear" w:color="auto" w:fill="7F7F7F"/>
          </w:tcPr>
          <w:p>
            <w:pPr>
              <w:spacing w:after="0"/>
              <w:rPr>
                <w:sz w:val="7"/>
                <w:szCs w:val="7"/>
                <w:color w:val="auto"/>
              </w:rPr>
            </w:pPr>
          </w:p>
        </w:tc>
        <w:tc>
          <w:tcPr>
            <w:tcW w:w="5060" w:type="dxa"/>
            <w:vAlign w:val="bottom"/>
            <w:shd w:val="clear" w:color="auto" w:fill="7F7F7F"/>
          </w:tcPr>
          <w:p>
            <w:pPr>
              <w:spacing w:after="0"/>
              <w:rPr>
                <w:sz w:val="7"/>
                <w:szCs w:val="7"/>
                <w:color w:val="auto"/>
              </w:rPr>
            </w:pPr>
          </w:p>
        </w:tc>
        <w:tc>
          <w:tcPr>
            <w:tcW w:w="500" w:type="dxa"/>
            <w:vAlign w:val="bottom"/>
            <w:shd w:val="clear" w:color="auto" w:fill="7F7F7F"/>
          </w:tcPr>
          <w:p>
            <w:pPr>
              <w:spacing w:after="0"/>
              <w:rPr>
                <w:sz w:val="7"/>
                <w:szCs w:val="7"/>
                <w:color w:val="auto"/>
              </w:rPr>
            </w:pPr>
          </w:p>
        </w:tc>
        <w:tc>
          <w:tcPr>
            <w:tcW w:w="4940" w:type="dxa"/>
            <w:vAlign w:val="bottom"/>
            <w:shd w:val="clear" w:color="auto" w:fill="7F7F7F"/>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gridSpan w:val="2"/>
          </w:tcPr>
          <w:p>
            <w:pPr>
              <w:spacing w:after="0" w:line="201" w:lineRule="exact"/>
              <w:rPr>
                <w:sz w:val="20"/>
                <w:szCs w:val="20"/>
                <w:color w:val="auto"/>
              </w:rPr>
            </w:pPr>
            <w:r>
              <w:rPr>
                <w:rFonts w:ascii="MS PGothic" w:cs="MS PGothic" w:eastAsia="MS PGothic" w:hAnsi="MS PGothic"/>
                <w:sz w:val="18"/>
                <w:szCs w:val="18"/>
                <w:color w:val="33F90A"/>
              </w:rPr>
              <w:t>✓</w:t>
            </w:r>
            <w:r>
              <w:rPr>
                <w:rFonts w:ascii="Arial" w:cs="Arial" w:eastAsia="Arial" w:hAnsi="Arial"/>
                <w:sz w:val="18"/>
                <w:szCs w:val="18"/>
                <w:color w:val="auto"/>
              </w:rPr>
              <w:t xml:space="preserve">  Majority of CEO and other NEO compensation tied to long-</w:t>
            </w:r>
          </w:p>
        </w:tc>
        <w:tc>
          <w:tcPr>
            <w:tcW w:w="500" w:type="dxa"/>
            <w:vAlign w:val="bottom"/>
          </w:tcPr>
          <w:p>
            <w:pPr>
              <w:ind w:left="180"/>
              <w:spacing w:after="0" w:line="201" w:lineRule="exact"/>
              <w:rPr>
                <w:sz w:val="20"/>
                <w:szCs w:val="20"/>
                <w:color w:val="auto"/>
              </w:rPr>
            </w:pPr>
            <w:r>
              <w:rPr>
                <w:rFonts w:ascii="Arial" w:cs="Arial" w:eastAsia="Arial" w:hAnsi="Arial"/>
                <w:sz w:val="18"/>
                <w:szCs w:val="18"/>
                <w:b w:val="1"/>
                <w:bCs w:val="1"/>
                <w:color w:val="FF0200"/>
              </w:rPr>
              <w:t>X</w:t>
            </w:r>
          </w:p>
        </w:tc>
        <w:tc>
          <w:tcPr>
            <w:tcW w:w="4940" w:type="dxa"/>
            <w:vAlign w:val="bottom"/>
          </w:tcPr>
          <w:p>
            <w:pPr>
              <w:ind w:left="220"/>
              <w:spacing w:after="0" w:line="201" w:lineRule="exact"/>
              <w:rPr>
                <w:sz w:val="20"/>
                <w:szCs w:val="20"/>
                <w:color w:val="auto"/>
              </w:rPr>
            </w:pPr>
            <w:r>
              <w:rPr>
                <w:rFonts w:ascii="Arial" w:cs="Arial" w:eastAsia="Arial" w:hAnsi="Arial"/>
                <w:sz w:val="18"/>
                <w:szCs w:val="18"/>
                <w:color w:val="auto"/>
              </w:rPr>
              <w:t>No incentive plan designs that encourage excessive risk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term performance</w:t>
            </w:r>
          </w:p>
        </w:tc>
        <w:tc>
          <w:tcPr>
            <w:tcW w:w="500" w:type="dxa"/>
            <w:vAlign w:val="bottom"/>
          </w:tcPr>
          <w:p>
            <w:pPr>
              <w:spacing w:after="0"/>
              <w:rPr>
                <w:sz w:val="18"/>
                <w:szCs w:val="18"/>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taking</w:t>
            </w:r>
          </w:p>
        </w:tc>
        <w:tc>
          <w:tcPr>
            <w:tcW w:w="0" w:type="dxa"/>
            <w:vAlign w:val="bottom"/>
          </w:tcPr>
          <w:p>
            <w:pPr>
              <w:spacing w:after="0"/>
              <w:rPr>
                <w:sz w:val="1"/>
                <w:szCs w:val="1"/>
                <w:color w:val="auto"/>
              </w:rPr>
            </w:pPr>
          </w:p>
        </w:tc>
      </w:tr>
      <w:tr>
        <w:trPr>
          <w:trHeight w:val="81"/>
        </w:trPr>
        <w:tc>
          <w:tcPr>
            <w:tcW w:w="200" w:type="dxa"/>
            <w:vAlign w:val="bottom"/>
            <w:gridSpan w:val="2"/>
          </w:tcPr>
          <w:p>
            <w:pPr>
              <w:spacing w:after="0"/>
              <w:rPr>
                <w:sz w:val="7"/>
                <w:szCs w:val="7"/>
                <w:color w:val="auto"/>
              </w:rPr>
            </w:pPr>
          </w:p>
        </w:tc>
        <w:tc>
          <w:tcPr>
            <w:tcW w:w="50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80" w:type="dxa"/>
            <w:vAlign w:val="bottom"/>
            <w:shd w:val="clear" w:color="auto" w:fill="BFBFBF"/>
          </w:tcPr>
          <w:p>
            <w:pPr>
              <w:spacing w:after="0" w:line="181" w:lineRule="exact"/>
              <w:rPr>
                <w:sz w:val="20"/>
                <w:szCs w:val="20"/>
                <w:color w:val="auto"/>
              </w:rPr>
            </w:pPr>
            <w:r>
              <w:rPr>
                <w:rFonts w:ascii="MS PGothic" w:cs="MS PGothic" w:eastAsia="MS PGothic" w:hAnsi="MS PGothic"/>
                <w:sz w:val="18"/>
                <w:szCs w:val="18"/>
                <w:color w:val="33F90A"/>
                <w:w w:val="88"/>
              </w:rPr>
              <w:t>✓</w:t>
            </w:r>
          </w:p>
        </w:tc>
        <w:tc>
          <w:tcPr>
            <w:tcW w:w="5060" w:type="dxa"/>
            <w:vAlign w:val="bottom"/>
            <w:shd w:val="clear" w:color="auto" w:fill="BFBFBF"/>
          </w:tcPr>
          <w:p>
            <w:pPr>
              <w:ind w:left="200"/>
              <w:spacing w:after="0"/>
              <w:rPr>
                <w:sz w:val="20"/>
                <w:szCs w:val="20"/>
                <w:color w:val="auto"/>
              </w:rPr>
            </w:pPr>
            <w:r>
              <w:rPr>
                <w:rFonts w:ascii="Arial" w:cs="Arial" w:eastAsia="Arial" w:hAnsi="Arial"/>
                <w:sz w:val="18"/>
                <w:szCs w:val="18"/>
                <w:color w:val="auto"/>
              </w:rPr>
              <w:t>Performance metrics are directly tied to value creation for</w:t>
            </w:r>
          </w:p>
        </w:tc>
        <w:tc>
          <w:tcPr>
            <w:tcW w:w="500" w:type="dxa"/>
            <w:vAlign w:val="bottom"/>
            <w:shd w:val="clear" w:color="auto" w:fill="BFBFBF"/>
          </w:tcPr>
          <w:p>
            <w:pPr>
              <w:ind w:left="180"/>
              <w:spacing w:after="0"/>
              <w:rPr>
                <w:sz w:val="20"/>
                <w:szCs w:val="20"/>
                <w:color w:val="auto"/>
              </w:rPr>
            </w:pPr>
            <w:r>
              <w:rPr>
                <w:rFonts w:ascii="Arial" w:cs="Arial" w:eastAsia="Arial" w:hAnsi="Arial"/>
                <w:sz w:val="18"/>
                <w:szCs w:val="18"/>
                <w:b w:val="1"/>
                <w:bCs w:val="1"/>
                <w:color w:val="FF0200"/>
              </w:rPr>
              <w:t>X</w:t>
            </w:r>
          </w:p>
        </w:tc>
        <w:tc>
          <w:tcPr>
            <w:tcW w:w="4940" w:type="dxa"/>
            <w:vAlign w:val="bottom"/>
            <w:shd w:val="clear" w:color="auto" w:fill="BFBFBF"/>
          </w:tcPr>
          <w:p>
            <w:pPr>
              <w:ind w:left="220"/>
              <w:spacing w:after="0"/>
              <w:rPr>
                <w:sz w:val="20"/>
                <w:szCs w:val="20"/>
                <w:color w:val="auto"/>
              </w:rPr>
            </w:pPr>
            <w:r>
              <w:rPr>
                <w:rFonts w:ascii="Arial" w:cs="Arial" w:eastAsia="Arial" w:hAnsi="Arial"/>
                <w:sz w:val="18"/>
                <w:szCs w:val="18"/>
                <w:color w:val="auto"/>
              </w:rPr>
              <w:t>No perquisites, other than in modest amounts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5060" w:type="dxa"/>
            <w:vAlign w:val="bottom"/>
            <w:shd w:val="clear" w:color="auto" w:fill="BFBFBF"/>
          </w:tcPr>
          <w:p>
            <w:pPr>
              <w:ind w:left="200"/>
              <w:spacing w:after="0"/>
              <w:rPr>
                <w:sz w:val="20"/>
                <w:szCs w:val="20"/>
                <w:color w:val="auto"/>
              </w:rPr>
            </w:pPr>
            <w:r>
              <w:rPr>
                <w:rFonts w:ascii="Arial" w:cs="Arial" w:eastAsia="Arial" w:hAnsi="Arial"/>
                <w:sz w:val="18"/>
                <w:szCs w:val="18"/>
                <w:color w:val="auto"/>
              </w:rPr>
              <w:t>shareholders</w:t>
            </w:r>
          </w:p>
        </w:tc>
        <w:tc>
          <w:tcPr>
            <w:tcW w:w="500" w:type="dxa"/>
            <w:vAlign w:val="bottom"/>
            <w:shd w:val="clear" w:color="auto" w:fill="BFBFBF"/>
          </w:tcPr>
          <w:p>
            <w:pPr>
              <w:spacing w:after="0"/>
              <w:rPr>
                <w:sz w:val="18"/>
                <w:szCs w:val="18"/>
                <w:color w:val="auto"/>
              </w:rPr>
            </w:pPr>
          </w:p>
        </w:tc>
        <w:tc>
          <w:tcPr>
            <w:tcW w:w="494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0" w:type="dxa"/>
            <w:vAlign w:val="bottom"/>
            <w:shd w:val="clear" w:color="auto" w:fill="BFBFBF"/>
          </w:tcPr>
          <w:p>
            <w:pPr>
              <w:spacing w:after="0"/>
              <w:rPr>
                <w:sz w:val="7"/>
                <w:szCs w:val="7"/>
                <w:color w:val="auto"/>
              </w:rPr>
            </w:pPr>
          </w:p>
        </w:tc>
        <w:tc>
          <w:tcPr>
            <w:tcW w:w="5060" w:type="dxa"/>
            <w:vAlign w:val="bottom"/>
            <w:shd w:val="clear" w:color="auto" w:fill="BFBFBF"/>
          </w:tcPr>
          <w:p>
            <w:pPr>
              <w:spacing w:after="0"/>
              <w:rPr>
                <w:sz w:val="7"/>
                <w:szCs w:val="7"/>
                <w:color w:val="auto"/>
              </w:rPr>
            </w:pPr>
          </w:p>
        </w:tc>
        <w:tc>
          <w:tcPr>
            <w:tcW w:w="500" w:type="dxa"/>
            <w:vAlign w:val="bottom"/>
            <w:shd w:val="clear" w:color="auto" w:fill="BFBFBF"/>
          </w:tcPr>
          <w:p>
            <w:pPr>
              <w:spacing w:after="0"/>
              <w:rPr>
                <w:sz w:val="7"/>
                <w:szCs w:val="7"/>
                <w:color w:val="auto"/>
              </w:rPr>
            </w:pPr>
          </w:p>
        </w:tc>
        <w:tc>
          <w:tcPr>
            <w:tcW w:w="4940" w:type="dxa"/>
            <w:vAlign w:val="bottom"/>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180" w:type="dxa"/>
            <w:vAlign w:val="bottom"/>
          </w:tcPr>
          <w:p>
            <w:pPr>
              <w:spacing w:after="0" w:line="181" w:lineRule="exact"/>
              <w:rPr>
                <w:sz w:val="20"/>
                <w:szCs w:val="20"/>
                <w:color w:val="auto"/>
              </w:rPr>
            </w:pPr>
            <w:r>
              <w:rPr>
                <w:rFonts w:ascii="MS PGothic" w:cs="MS PGothic" w:eastAsia="MS PGothic" w:hAnsi="MS PGothic"/>
                <w:sz w:val="18"/>
                <w:szCs w:val="18"/>
                <w:color w:val="33F90A"/>
                <w:w w:val="88"/>
              </w:rPr>
              <w:t>✓</w:t>
            </w:r>
          </w:p>
        </w:tc>
        <w:tc>
          <w:tcPr>
            <w:tcW w:w="5060" w:type="dxa"/>
            <w:vAlign w:val="bottom"/>
          </w:tcPr>
          <w:p>
            <w:pPr>
              <w:ind w:left="200"/>
              <w:spacing w:after="0"/>
              <w:rPr>
                <w:sz w:val="20"/>
                <w:szCs w:val="20"/>
                <w:color w:val="auto"/>
              </w:rPr>
            </w:pPr>
            <w:r>
              <w:rPr>
                <w:rFonts w:ascii="Arial" w:cs="Arial" w:eastAsia="Arial" w:hAnsi="Arial"/>
                <w:sz w:val="18"/>
                <w:szCs w:val="18"/>
                <w:color w:val="auto"/>
              </w:rPr>
              <w:t>Caps on cash and equity incentive plan payouts</w:t>
            </w:r>
          </w:p>
        </w:tc>
        <w:tc>
          <w:tcPr>
            <w:tcW w:w="500" w:type="dxa"/>
            <w:vAlign w:val="bottom"/>
          </w:tcPr>
          <w:p>
            <w:pPr>
              <w:ind w:left="180"/>
              <w:spacing w:after="0"/>
              <w:rPr>
                <w:sz w:val="20"/>
                <w:szCs w:val="20"/>
                <w:color w:val="auto"/>
              </w:rPr>
            </w:pPr>
            <w:r>
              <w:rPr>
                <w:rFonts w:ascii="Arial" w:cs="Arial" w:eastAsia="Arial" w:hAnsi="Arial"/>
                <w:sz w:val="18"/>
                <w:szCs w:val="18"/>
                <w:b w:val="1"/>
                <w:bCs w:val="1"/>
                <w:color w:val="FF0200"/>
              </w:rPr>
              <w:t>X</w:t>
            </w:r>
          </w:p>
        </w:tc>
        <w:tc>
          <w:tcPr>
            <w:tcW w:w="4940" w:type="dxa"/>
            <w:vAlign w:val="bottom"/>
          </w:tcPr>
          <w:p>
            <w:pPr>
              <w:ind w:left="220"/>
              <w:spacing w:after="0"/>
              <w:rPr>
                <w:sz w:val="20"/>
                <w:szCs w:val="20"/>
                <w:color w:val="auto"/>
              </w:rPr>
            </w:pPr>
            <w:r>
              <w:rPr>
                <w:rFonts w:ascii="Arial" w:cs="Arial" w:eastAsia="Arial" w:hAnsi="Arial"/>
                <w:sz w:val="18"/>
                <w:szCs w:val="18"/>
                <w:color w:val="auto"/>
              </w:rPr>
              <w:t>No hedging and short sales of our securities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gridSpan w:val="2"/>
            <w:shd w:val="clear" w:color="auto" w:fill="BFBFBF"/>
          </w:tcPr>
          <w:p>
            <w:pPr>
              <w:spacing w:after="0" w:line="201" w:lineRule="exact"/>
              <w:rPr>
                <w:sz w:val="20"/>
                <w:szCs w:val="20"/>
                <w:color w:val="auto"/>
              </w:rPr>
            </w:pPr>
            <w:r>
              <w:rPr>
                <w:rFonts w:ascii="MS PGothic" w:cs="MS PGothic" w:eastAsia="MS PGothic" w:hAnsi="MS PGothic"/>
                <w:sz w:val="18"/>
                <w:szCs w:val="18"/>
                <w:color w:val="33F90A"/>
              </w:rPr>
              <w:t>✓</w:t>
            </w:r>
            <w:r>
              <w:rPr>
                <w:rFonts w:ascii="Arial" w:cs="Arial" w:eastAsia="Arial" w:hAnsi="Arial"/>
                <w:sz w:val="18"/>
                <w:szCs w:val="18"/>
                <w:color w:val="auto"/>
              </w:rPr>
              <w:t xml:space="preserve">  Change in Control payments and benefits only paid upon</w:t>
            </w:r>
          </w:p>
        </w:tc>
        <w:tc>
          <w:tcPr>
            <w:tcW w:w="500" w:type="dxa"/>
            <w:vAlign w:val="bottom"/>
            <w:shd w:val="clear" w:color="auto" w:fill="BFBFBF"/>
          </w:tcPr>
          <w:p>
            <w:pPr>
              <w:ind w:left="180"/>
              <w:spacing w:after="0" w:line="201" w:lineRule="exact"/>
              <w:rPr>
                <w:sz w:val="20"/>
                <w:szCs w:val="20"/>
                <w:color w:val="auto"/>
              </w:rPr>
            </w:pPr>
            <w:r>
              <w:rPr>
                <w:rFonts w:ascii="Arial" w:cs="Arial" w:eastAsia="Arial" w:hAnsi="Arial"/>
                <w:sz w:val="18"/>
                <w:szCs w:val="18"/>
                <w:b w:val="1"/>
                <w:bCs w:val="1"/>
                <w:color w:val="FF0200"/>
              </w:rPr>
              <w:t>X</w:t>
            </w:r>
          </w:p>
        </w:tc>
        <w:tc>
          <w:tcPr>
            <w:tcW w:w="4940" w:type="dxa"/>
            <w:vAlign w:val="bottom"/>
            <w:shd w:val="clear" w:color="auto" w:fill="BFBFBF"/>
          </w:tcPr>
          <w:p>
            <w:pPr>
              <w:ind w:left="220"/>
              <w:spacing w:after="0" w:line="201" w:lineRule="exact"/>
              <w:rPr>
                <w:sz w:val="20"/>
                <w:szCs w:val="20"/>
                <w:color w:val="auto"/>
              </w:rPr>
            </w:pPr>
            <w:r>
              <w:rPr>
                <w:rFonts w:ascii="Arial" w:cs="Arial" w:eastAsia="Arial" w:hAnsi="Arial"/>
                <w:sz w:val="18"/>
                <w:szCs w:val="18"/>
                <w:color w:val="auto"/>
              </w:rPr>
              <w:t>No pledging of our securities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5060" w:type="dxa"/>
            <w:vAlign w:val="bottom"/>
            <w:shd w:val="clear" w:color="auto" w:fill="BFBFBF"/>
          </w:tcPr>
          <w:p>
            <w:pPr>
              <w:ind w:left="200"/>
              <w:spacing w:after="0"/>
              <w:rPr>
                <w:sz w:val="20"/>
                <w:szCs w:val="20"/>
                <w:color w:val="auto"/>
              </w:rPr>
            </w:pPr>
            <w:r>
              <w:rPr>
                <w:rFonts w:ascii="Arial" w:cs="Arial" w:eastAsia="Arial" w:hAnsi="Arial"/>
                <w:sz w:val="18"/>
                <w:szCs w:val="18"/>
                <w:color w:val="auto"/>
              </w:rPr>
              <w:t>“double trigger”</w:t>
            </w:r>
          </w:p>
        </w:tc>
        <w:tc>
          <w:tcPr>
            <w:tcW w:w="500" w:type="dxa"/>
            <w:vAlign w:val="bottom"/>
            <w:shd w:val="clear" w:color="auto" w:fill="BFBFBF"/>
          </w:tcPr>
          <w:p>
            <w:pPr>
              <w:spacing w:after="0"/>
              <w:rPr>
                <w:sz w:val="18"/>
                <w:szCs w:val="18"/>
                <w:color w:val="auto"/>
              </w:rPr>
            </w:pPr>
          </w:p>
        </w:tc>
        <w:tc>
          <w:tcPr>
            <w:tcW w:w="494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5240" w:type="dxa"/>
            <w:vAlign w:val="bottom"/>
            <w:gridSpan w:val="2"/>
            <w:shd w:val="clear" w:color="auto" w:fill="BFBFBF"/>
          </w:tcPr>
          <w:p>
            <w:pPr>
              <w:spacing w:after="0"/>
              <w:rPr>
                <w:sz w:val="7"/>
                <w:szCs w:val="7"/>
                <w:color w:val="auto"/>
              </w:rPr>
            </w:pPr>
          </w:p>
        </w:tc>
        <w:tc>
          <w:tcPr>
            <w:tcW w:w="500" w:type="dxa"/>
            <w:vAlign w:val="bottom"/>
            <w:shd w:val="clear" w:color="auto" w:fill="BFBFBF"/>
          </w:tcPr>
          <w:p>
            <w:pPr>
              <w:spacing w:after="0"/>
              <w:rPr>
                <w:sz w:val="7"/>
                <w:szCs w:val="7"/>
                <w:color w:val="auto"/>
              </w:rPr>
            </w:pPr>
          </w:p>
        </w:tc>
        <w:tc>
          <w:tcPr>
            <w:tcW w:w="4940" w:type="dxa"/>
            <w:vAlign w:val="bottom"/>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gridSpan w:val="2"/>
          </w:tcPr>
          <w:p>
            <w:pPr>
              <w:spacing w:after="0" w:line="201" w:lineRule="exact"/>
              <w:rPr>
                <w:sz w:val="20"/>
                <w:szCs w:val="20"/>
                <w:color w:val="auto"/>
              </w:rPr>
            </w:pPr>
            <w:r>
              <w:rPr>
                <w:rFonts w:ascii="MS PGothic" w:cs="MS PGothic" w:eastAsia="MS PGothic" w:hAnsi="MS PGothic"/>
                <w:sz w:val="18"/>
                <w:szCs w:val="18"/>
                <w:color w:val="33F90A"/>
              </w:rPr>
              <w:t>✓</w:t>
            </w:r>
            <w:r>
              <w:rPr>
                <w:rFonts w:ascii="Arial" w:cs="Arial" w:eastAsia="Arial" w:hAnsi="Arial"/>
                <w:sz w:val="18"/>
                <w:szCs w:val="18"/>
                <w:color w:val="auto"/>
              </w:rPr>
              <w:t xml:space="preserve">  Compensation Committee is comprised entirely of</w:t>
            </w:r>
          </w:p>
        </w:tc>
        <w:tc>
          <w:tcPr>
            <w:tcW w:w="500" w:type="dxa"/>
            <w:vAlign w:val="bottom"/>
          </w:tcPr>
          <w:p>
            <w:pPr>
              <w:ind w:left="180"/>
              <w:spacing w:after="0" w:line="201" w:lineRule="exact"/>
              <w:rPr>
                <w:sz w:val="20"/>
                <w:szCs w:val="20"/>
                <w:color w:val="auto"/>
              </w:rPr>
            </w:pPr>
            <w:r>
              <w:rPr>
                <w:rFonts w:ascii="Arial" w:cs="Arial" w:eastAsia="Arial" w:hAnsi="Arial"/>
                <w:sz w:val="18"/>
                <w:szCs w:val="18"/>
                <w:b w:val="1"/>
                <w:bCs w:val="1"/>
                <w:color w:val="FF0200"/>
              </w:rPr>
              <w:t>X</w:t>
            </w:r>
          </w:p>
        </w:tc>
        <w:tc>
          <w:tcPr>
            <w:tcW w:w="4940" w:type="dxa"/>
            <w:vAlign w:val="bottom"/>
          </w:tcPr>
          <w:p>
            <w:pPr>
              <w:ind w:left="220"/>
              <w:spacing w:after="0" w:line="201" w:lineRule="exact"/>
              <w:rPr>
                <w:sz w:val="20"/>
                <w:szCs w:val="20"/>
                <w:color w:val="auto"/>
              </w:rPr>
            </w:pPr>
            <w:r>
              <w:rPr>
                <w:rFonts w:ascii="Arial" w:cs="Arial" w:eastAsia="Arial" w:hAnsi="Arial"/>
                <w:sz w:val="18"/>
                <w:szCs w:val="18"/>
                <w:color w:val="auto"/>
              </w:rPr>
              <w:t>No re-pricing of underwater share options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independent directors</w:t>
            </w:r>
          </w:p>
        </w:tc>
        <w:tc>
          <w:tcPr>
            <w:tcW w:w="5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5240" w:type="dxa"/>
            <w:vAlign w:val="bottom"/>
            <w:gridSpan w:val="2"/>
          </w:tcPr>
          <w:p>
            <w:pPr>
              <w:spacing w:after="0"/>
              <w:rPr>
                <w:sz w:val="7"/>
                <w:szCs w:val="7"/>
                <w:color w:val="auto"/>
              </w:rPr>
            </w:pPr>
          </w:p>
        </w:tc>
        <w:tc>
          <w:tcPr>
            <w:tcW w:w="500" w:type="dxa"/>
            <w:vAlign w:val="bottom"/>
          </w:tcPr>
          <w:p>
            <w:pPr>
              <w:spacing w:after="0"/>
              <w:rPr>
                <w:sz w:val="7"/>
                <w:szCs w:val="7"/>
                <w:color w:val="auto"/>
              </w:rPr>
            </w:pPr>
          </w:p>
        </w:tc>
        <w:tc>
          <w:tcPr>
            <w:tcW w:w="4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gridSpan w:val="2"/>
            <w:shd w:val="clear" w:color="auto" w:fill="BFBFBF"/>
          </w:tcPr>
          <w:p>
            <w:pPr>
              <w:spacing w:after="0" w:line="201" w:lineRule="exact"/>
              <w:rPr>
                <w:sz w:val="20"/>
                <w:szCs w:val="20"/>
                <w:color w:val="auto"/>
              </w:rPr>
            </w:pPr>
            <w:r>
              <w:rPr>
                <w:rFonts w:ascii="MS PGothic" w:cs="MS PGothic" w:eastAsia="MS PGothic" w:hAnsi="MS PGothic"/>
                <w:sz w:val="18"/>
                <w:szCs w:val="18"/>
                <w:color w:val="33F90A"/>
              </w:rPr>
              <w:t>✓</w:t>
            </w:r>
            <w:r>
              <w:rPr>
                <w:rFonts w:ascii="Arial" w:cs="Arial" w:eastAsia="Arial" w:hAnsi="Arial"/>
                <w:sz w:val="18"/>
                <w:szCs w:val="18"/>
                <w:color w:val="auto"/>
              </w:rPr>
              <w:t xml:space="preserve">  Compensation Committee engages an independent</w:t>
            </w:r>
          </w:p>
        </w:tc>
        <w:tc>
          <w:tcPr>
            <w:tcW w:w="500" w:type="dxa"/>
            <w:vAlign w:val="bottom"/>
            <w:shd w:val="clear" w:color="auto" w:fill="BFBFBF"/>
          </w:tcPr>
          <w:p>
            <w:pPr>
              <w:ind w:left="180"/>
              <w:spacing w:after="0" w:line="201" w:lineRule="exact"/>
              <w:rPr>
                <w:sz w:val="20"/>
                <w:szCs w:val="20"/>
                <w:color w:val="auto"/>
              </w:rPr>
            </w:pPr>
            <w:r>
              <w:rPr>
                <w:rFonts w:ascii="Arial" w:cs="Arial" w:eastAsia="Arial" w:hAnsi="Arial"/>
                <w:sz w:val="18"/>
                <w:szCs w:val="18"/>
                <w:b w:val="1"/>
                <w:bCs w:val="1"/>
                <w:color w:val="FF0200"/>
              </w:rPr>
              <w:t>X</w:t>
            </w:r>
          </w:p>
        </w:tc>
        <w:tc>
          <w:tcPr>
            <w:tcW w:w="4940" w:type="dxa"/>
            <w:vAlign w:val="bottom"/>
            <w:shd w:val="clear" w:color="auto" w:fill="BFBFBF"/>
          </w:tcPr>
          <w:p>
            <w:pPr>
              <w:ind w:left="220"/>
              <w:spacing w:after="0" w:line="201" w:lineRule="exact"/>
              <w:rPr>
                <w:sz w:val="20"/>
                <w:szCs w:val="20"/>
                <w:color w:val="auto"/>
              </w:rPr>
            </w:pPr>
            <w:r>
              <w:rPr>
                <w:rFonts w:ascii="Arial" w:cs="Arial" w:eastAsia="Arial" w:hAnsi="Arial"/>
                <w:sz w:val="18"/>
                <w:szCs w:val="18"/>
                <w:color w:val="auto"/>
              </w:rPr>
              <w:t>No excise tax gross-ups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5060" w:type="dxa"/>
            <w:vAlign w:val="bottom"/>
            <w:shd w:val="clear" w:color="auto" w:fill="BFBFBF"/>
          </w:tcPr>
          <w:p>
            <w:pPr>
              <w:ind w:left="200"/>
              <w:spacing w:after="0"/>
              <w:rPr>
                <w:sz w:val="20"/>
                <w:szCs w:val="20"/>
                <w:color w:val="auto"/>
              </w:rPr>
            </w:pPr>
            <w:r>
              <w:rPr>
                <w:rFonts w:ascii="Arial" w:cs="Arial" w:eastAsia="Arial" w:hAnsi="Arial"/>
                <w:sz w:val="18"/>
                <w:szCs w:val="18"/>
                <w:color w:val="auto"/>
              </w:rPr>
              <w:t>compensation consultant</w:t>
            </w:r>
          </w:p>
        </w:tc>
        <w:tc>
          <w:tcPr>
            <w:tcW w:w="500" w:type="dxa"/>
            <w:vAlign w:val="bottom"/>
            <w:shd w:val="clear" w:color="auto" w:fill="BFBFBF"/>
          </w:tcPr>
          <w:p>
            <w:pPr>
              <w:spacing w:after="0"/>
              <w:rPr>
                <w:sz w:val="18"/>
                <w:szCs w:val="18"/>
                <w:color w:val="auto"/>
              </w:rPr>
            </w:pPr>
          </w:p>
        </w:tc>
        <w:tc>
          <w:tcPr>
            <w:tcW w:w="494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5240" w:type="dxa"/>
            <w:vAlign w:val="bottom"/>
            <w:gridSpan w:val="2"/>
            <w:shd w:val="clear" w:color="auto" w:fill="BFBFBF"/>
          </w:tcPr>
          <w:p>
            <w:pPr>
              <w:spacing w:after="0"/>
              <w:rPr>
                <w:sz w:val="7"/>
                <w:szCs w:val="7"/>
                <w:color w:val="auto"/>
              </w:rPr>
            </w:pPr>
          </w:p>
        </w:tc>
        <w:tc>
          <w:tcPr>
            <w:tcW w:w="500" w:type="dxa"/>
            <w:vAlign w:val="bottom"/>
            <w:shd w:val="clear" w:color="auto" w:fill="BFBFBF"/>
          </w:tcPr>
          <w:p>
            <w:pPr>
              <w:spacing w:after="0"/>
              <w:rPr>
                <w:sz w:val="7"/>
                <w:szCs w:val="7"/>
                <w:color w:val="auto"/>
              </w:rPr>
            </w:pPr>
          </w:p>
        </w:tc>
        <w:tc>
          <w:tcPr>
            <w:tcW w:w="4940" w:type="dxa"/>
            <w:vAlign w:val="bottom"/>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gridSpan w:val="2"/>
          </w:tcPr>
          <w:p>
            <w:pPr>
              <w:spacing w:after="0" w:line="207" w:lineRule="exact"/>
              <w:rPr>
                <w:sz w:val="20"/>
                <w:szCs w:val="20"/>
                <w:color w:val="auto"/>
              </w:rPr>
            </w:pPr>
            <w:r>
              <w:rPr>
                <w:rFonts w:ascii="MS PGothic" w:cs="MS PGothic" w:eastAsia="MS PGothic" w:hAnsi="MS PGothic"/>
                <w:sz w:val="18"/>
                <w:szCs w:val="18"/>
                <w:color w:val="33F90A"/>
              </w:rPr>
              <w:t>✓</w:t>
            </w:r>
            <w:r>
              <w:rPr>
                <w:rFonts w:ascii="Arial" w:cs="Arial" w:eastAsia="Arial" w:hAnsi="Arial"/>
                <w:sz w:val="18"/>
                <w:szCs w:val="18"/>
                <w:color w:val="auto"/>
              </w:rPr>
              <w:t xml:space="preserve">  Robust executive stock ownership guidelines</w:t>
            </w:r>
          </w:p>
        </w:tc>
        <w:tc>
          <w:tcPr>
            <w:tcW w:w="500" w:type="dxa"/>
            <w:vAlign w:val="bottom"/>
          </w:tcPr>
          <w:p>
            <w:pPr>
              <w:ind w:left="180"/>
              <w:spacing w:after="0"/>
              <w:rPr>
                <w:sz w:val="20"/>
                <w:szCs w:val="20"/>
                <w:color w:val="auto"/>
              </w:rPr>
            </w:pPr>
            <w:r>
              <w:rPr>
                <w:rFonts w:ascii="Arial" w:cs="Arial" w:eastAsia="Arial" w:hAnsi="Arial"/>
                <w:sz w:val="18"/>
                <w:szCs w:val="18"/>
                <w:b w:val="1"/>
                <w:bCs w:val="1"/>
                <w:color w:val="FF0200"/>
              </w:rPr>
              <w:t>X</w:t>
            </w:r>
          </w:p>
        </w:tc>
        <w:tc>
          <w:tcPr>
            <w:tcW w:w="4940" w:type="dxa"/>
            <w:vAlign w:val="bottom"/>
          </w:tcPr>
          <w:p>
            <w:pPr>
              <w:ind w:left="220"/>
              <w:spacing w:after="0"/>
              <w:rPr>
                <w:sz w:val="20"/>
                <w:szCs w:val="20"/>
                <w:color w:val="auto"/>
              </w:rPr>
            </w:pPr>
            <w:r>
              <w:rPr>
                <w:rFonts w:ascii="Arial" w:cs="Arial" w:eastAsia="Arial" w:hAnsi="Arial"/>
                <w:sz w:val="18"/>
                <w:szCs w:val="18"/>
                <w:color w:val="auto"/>
              </w:rPr>
              <w:t>No supplemental retirement and pension benefits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gridSpan w:val="2"/>
            <w:shd w:val="clear" w:color="auto" w:fill="BFBFBF"/>
          </w:tcPr>
          <w:p>
            <w:pPr>
              <w:spacing w:after="0" w:line="201" w:lineRule="exact"/>
              <w:rPr>
                <w:sz w:val="20"/>
                <w:szCs w:val="20"/>
                <w:color w:val="auto"/>
              </w:rPr>
            </w:pPr>
            <w:r>
              <w:rPr>
                <w:rFonts w:ascii="MS PGothic" w:cs="MS PGothic" w:eastAsia="MS PGothic" w:hAnsi="MS PGothic"/>
                <w:sz w:val="18"/>
                <w:szCs w:val="18"/>
                <w:color w:val="33F90A"/>
              </w:rPr>
              <w:t>✓</w:t>
            </w:r>
            <w:r>
              <w:rPr>
                <w:rFonts w:ascii="Arial" w:cs="Arial" w:eastAsia="Arial" w:hAnsi="Arial"/>
                <w:sz w:val="18"/>
                <w:szCs w:val="18"/>
                <w:color w:val="auto"/>
              </w:rPr>
              <w:t xml:space="preserve">  Compensation Committee regularly meets in executive</w:t>
            </w:r>
          </w:p>
        </w:tc>
        <w:tc>
          <w:tcPr>
            <w:tcW w:w="500" w:type="dxa"/>
            <w:vAlign w:val="bottom"/>
            <w:shd w:val="clear" w:color="auto" w:fill="BFBFBF"/>
          </w:tcPr>
          <w:p>
            <w:pPr>
              <w:ind w:left="180"/>
              <w:spacing w:after="0" w:line="201" w:lineRule="exact"/>
              <w:rPr>
                <w:sz w:val="20"/>
                <w:szCs w:val="20"/>
                <w:color w:val="auto"/>
              </w:rPr>
            </w:pPr>
            <w:r>
              <w:rPr>
                <w:rFonts w:ascii="Arial" w:cs="Arial" w:eastAsia="Arial" w:hAnsi="Arial"/>
                <w:sz w:val="18"/>
                <w:szCs w:val="18"/>
                <w:b w:val="1"/>
                <w:bCs w:val="1"/>
                <w:color w:val="FF0200"/>
              </w:rPr>
              <w:t>X</w:t>
            </w:r>
          </w:p>
        </w:tc>
        <w:tc>
          <w:tcPr>
            <w:tcW w:w="4940" w:type="dxa"/>
            <w:vAlign w:val="bottom"/>
            <w:shd w:val="clear" w:color="auto" w:fill="BFBFBF"/>
          </w:tcPr>
          <w:p>
            <w:pPr>
              <w:ind w:left="220"/>
              <w:spacing w:after="0" w:line="201" w:lineRule="exact"/>
              <w:rPr>
                <w:sz w:val="20"/>
                <w:szCs w:val="20"/>
                <w:color w:val="auto"/>
              </w:rPr>
            </w:pPr>
            <w:r>
              <w:rPr>
                <w:rFonts w:ascii="Arial" w:cs="Arial" w:eastAsia="Arial" w:hAnsi="Arial"/>
                <w:sz w:val="18"/>
                <w:szCs w:val="18"/>
                <w:color w:val="auto"/>
              </w:rPr>
              <w:t>No guaranteed bonuses. Executive bonuses are 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5060" w:type="dxa"/>
            <w:vAlign w:val="bottom"/>
            <w:shd w:val="clear" w:color="auto" w:fill="BFBFBF"/>
          </w:tcPr>
          <w:p>
            <w:pPr>
              <w:ind w:left="200"/>
              <w:spacing w:after="0"/>
              <w:rPr>
                <w:sz w:val="20"/>
                <w:szCs w:val="20"/>
                <w:color w:val="auto"/>
              </w:rPr>
            </w:pPr>
            <w:r>
              <w:rPr>
                <w:rFonts w:ascii="Arial" w:cs="Arial" w:eastAsia="Arial" w:hAnsi="Arial"/>
                <w:sz w:val="18"/>
                <w:szCs w:val="18"/>
                <w:color w:val="auto"/>
              </w:rPr>
              <w:t>session without management present</w:t>
            </w:r>
          </w:p>
        </w:tc>
        <w:tc>
          <w:tcPr>
            <w:tcW w:w="500" w:type="dxa"/>
            <w:vAlign w:val="bottom"/>
            <w:shd w:val="clear" w:color="auto" w:fill="BFBFBF"/>
          </w:tcPr>
          <w:p>
            <w:pPr>
              <w:spacing w:after="0"/>
              <w:rPr>
                <w:sz w:val="18"/>
                <w:szCs w:val="18"/>
                <w:color w:val="auto"/>
              </w:rPr>
            </w:pPr>
          </w:p>
        </w:tc>
        <w:tc>
          <w:tcPr>
            <w:tcW w:w="4940" w:type="dxa"/>
            <w:vAlign w:val="bottom"/>
            <w:shd w:val="clear" w:color="auto" w:fill="BFBFBF"/>
          </w:tcPr>
          <w:p>
            <w:pPr>
              <w:ind w:left="220"/>
              <w:spacing w:after="0"/>
              <w:rPr>
                <w:sz w:val="20"/>
                <w:szCs w:val="20"/>
                <w:color w:val="auto"/>
              </w:rPr>
            </w:pPr>
            <w:r>
              <w:rPr>
                <w:rFonts w:ascii="Arial" w:cs="Arial" w:eastAsia="Arial" w:hAnsi="Arial"/>
                <w:sz w:val="18"/>
                <w:szCs w:val="18"/>
                <w:color w:val="auto"/>
              </w:rPr>
              <w:t>performance-based</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5240" w:type="dxa"/>
            <w:vAlign w:val="bottom"/>
            <w:gridSpan w:val="2"/>
            <w:shd w:val="clear" w:color="auto" w:fill="BFBFBF"/>
          </w:tcPr>
          <w:p>
            <w:pPr>
              <w:spacing w:after="0"/>
              <w:rPr>
                <w:sz w:val="7"/>
                <w:szCs w:val="7"/>
                <w:color w:val="auto"/>
              </w:rPr>
            </w:pPr>
          </w:p>
        </w:tc>
        <w:tc>
          <w:tcPr>
            <w:tcW w:w="500" w:type="dxa"/>
            <w:vAlign w:val="bottom"/>
            <w:shd w:val="clear" w:color="auto" w:fill="BFBFBF"/>
          </w:tcPr>
          <w:p>
            <w:pPr>
              <w:spacing w:after="0"/>
              <w:rPr>
                <w:sz w:val="7"/>
                <w:szCs w:val="7"/>
                <w:color w:val="auto"/>
              </w:rPr>
            </w:pPr>
          </w:p>
        </w:tc>
        <w:tc>
          <w:tcPr>
            <w:tcW w:w="4940" w:type="dxa"/>
            <w:vAlign w:val="bottom"/>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gridSpan w:val="2"/>
          </w:tcPr>
          <w:p>
            <w:pPr>
              <w:spacing w:after="0" w:line="207" w:lineRule="exact"/>
              <w:rPr>
                <w:sz w:val="20"/>
                <w:szCs w:val="20"/>
                <w:color w:val="auto"/>
              </w:rPr>
            </w:pPr>
            <w:r>
              <w:rPr>
                <w:rFonts w:ascii="MS PGothic" w:cs="MS PGothic" w:eastAsia="MS PGothic" w:hAnsi="MS PGothic"/>
                <w:sz w:val="18"/>
                <w:szCs w:val="18"/>
                <w:color w:val="33F90A"/>
              </w:rPr>
              <w:t>✓</w:t>
            </w:r>
            <w:r>
              <w:rPr>
                <w:rFonts w:ascii="Arial" w:cs="Arial" w:eastAsia="Arial" w:hAnsi="Arial"/>
                <w:sz w:val="18"/>
                <w:szCs w:val="18"/>
                <w:color w:val="auto"/>
              </w:rPr>
              <w:t xml:space="preserve">  Active shareholder engagement</w:t>
            </w:r>
          </w:p>
        </w:tc>
        <w:tc>
          <w:tcPr>
            <w:tcW w:w="500" w:type="dxa"/>
            <w:vAlign w:val="bottom"/>
          </w:tcPr>
          <w:p>
            <w:pPr>
              <w:ind w:left="180"/>
              <w:spacing w:after="0"/>
              <w:rPr>
                <w:sz w:val="20"/>
                <w:szCs w:val="20"/>
                <w:color w:val="auto"/>
              </w:rPr>
            </w:pPr>
            <w:r>
              <w:rPr>
                <w:rFonts w:ascii="Arial" w:cs="Arial" w:eastAsia="Arial" w:hAnsi="Arial"/>
                <w:sz w:val="18"/>
                <w:szCs w:val="18"/>
                <w:b w:val="1"/>
                <w:bCs w:val="1"/>
                <w:color w:val="FF0200"/>
              </w:rPr>
              <w:t>X</w:t>
            </w:r>
          </w:p>
        </w:tc>
        <w:tc>
          <w:tcPr>
            <w:tcW w:w="4940" w:type="dxa"/>
            <w:vAlign w:val="bottom"/>
          </w:tcPr>
          <w:p>
            <w:pPr>
              <w:ind w:left="220"/>
              <w:spacing w:after="0"/>
              <w:rPr>
                <w:sz w:val="20"/>
                <w:szCs w:val="20"/>
                <w:color w:val="auto"/>
              </w:rPr>
            </w:pPr>
            <w:r>
              <w:rPr>
                <w:rFonts w:ascii="Arial" w:cs="Arial" w:eastAsia="Arial" w:hAnsi="Arial"/>
                <w:sz w:val="18"/>
                <w:szCs w:val="18"/>
                <w:color w:val="auto"/>
              </w:rPr>
              <w:t>No ordinary dividends on unvested awards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17780</wp:posOffset>
            </wp:positionV>
            <wp:extent cx="6783705"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83705" cy="240030"/>
                    </a:xfrm>
                    <a:prstGeom prst="rect">
                      <a:avLst/>
                    </a:prstGeom>
                    <a:noFill/>
                  </pic:spPr>
                </pic:pic>
              </a:graphicData>
            </a:graphic>
          </wp:anchor>
        </w:drawing>
      </w:r>
    </w:p>
    <w:p>
      <w:pPr>
        <w:spacing w:after="0" w:line="74" w:lineRule="exact"/>
        <w:rPr>
          <w:sz w:val="20"/>
          <w:szCs w:val="20"/>
          <w:color w:val="auto"/>
        </w:rPr>
      </w:pPr>
    </w:p>
    <w:p>
      <w:pPr>
        <w:ind w:left="940" w:hanging="399"/>
        <w:spacing w:after="0"/>
        <w:tabs>
          <w:tab w:leader="none" w:pos="940" w:val="left"/>
        </w:tabs>
        <w:numPr>
          <w:ilvl w:val="0"/>
          <w:numId w:val="43"/>
        </w:numPr>
        <w:rPr>
          <w:rFonts w:ascii="MS PGothic" w:cs="MS PGothic" w:eastAsia="MS PGothic" w:hAnsi="MS PGothic"/>
          <w:sz w:val="18"/>
          <w:szCs w:val="18"/>
          <w:color w:val="33F90A"/>
        </w:rPr>
      </w:pPr>
      <w:r>
        <w:rPr>
          <w:rFonts w:ascii="Arial" w:cs="Arial" w:eastAsia="Arial" w:hAnsi="Arial"/>
          <w:sz w:val="18"/>
          <w:szCs w:val="18"/>
          <w:color w:val="auto"/>
        </w:rPr>
        <w:t>Annual risk assessment of all of our compensation programs</w:t>
      </w:r>
    </w:p>
    <w:p>
      <w:pPr>
        <w:spacing w:after="0" w:line="103" w:lineRule="exact"/>
        <w:rPr>
          <w:rFonts w:ascii="MS PGothic" w:cs="MS PGothic" w:eastAsia="MS PGothic" w:hAnsi="MS PGothic"/>
          <w:sz w:val="18"/>
          <w:szCs w:val="18"/>
          <w:color w:val="33F90A"/>
        </w:rPr>
      </w:pPr>
    </w:p>
    <w:p>
      <w:pPr>
        <w:ind w:left="940" w:right="6100" w:hanging="399"/>
        <w:spacing w:after="0" w:line="246" w:lineRule="auto"/>
        <w:tabs>
          <w:tab w:leader="none" w:pos="940" w:val="left"/>
        </w:tabs>
        <w:numPr>
          <w:ilvl w:val="0"/>
          <w:numId w:val="43"/>
        </w:numPr>
        <w:rPr>
          <w:rFonts w:ascii="MS PGothic" w:cs="MS PGothic" w:eastAsia="MS PGothic" w:hAnsi="MS PGothic"/>
          <w:sz w:val="18"/>
          <w:szCs w:val="18"/>
          <w:color w:val="33F90A"/>
        </w:rPr>
      </w:pPr>
      <w:r>
        <w:rPr>
          <w:rFonts w:ascii="Arial" w:cs="Arial" w:eastAsia="Arial" w:hAnsi="Arial"/>
          <w:sz w:val="18"/>
          <w:szCs w:val="18"/>
          <w:color w:val="auto"/>
        </w:rPr>
        <w:t>CEO compensation is reviewed and approved by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-465455</wp:posOffset>
            </wp:positionV>
            <wp:extent cx="6663690" cy="1974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63690" cy="197485"/>
                    </a:xfrm>
                    <a:prstGeom prst="rect">
                      <a:avLst/>
                    </a:prstGeom>
                    <a:noFill/>
                  </pic:spPr>
                </pic:pic>
              </a:graphicData>
            </a:graphic>
          </wp:anchor>
        </w:drawing>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Shareholder Engagement</w:t>
      </w:r>
    </w:p>
    <w:p>
      <w:pPr>
        <w:spacing w:after="0" w:line="126"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Over the last several years we have conducted significant shareholder outreach efforts. In Fiscal Year 2016, we contacted shareholders beneficially owning over 45% of our then outstanding ordinary shares to discuss our compensation philosophy, structure and then recent Compensation Committee actions and decisions. Our then Chairman of the Compensation Committee participated in those discussions. Topics that were discussed included:</w:t>
      </w:r>
    </w:p>
    <w:p>
      <w:pPr>
        <w:spacing w:after="0" w:line="107" w:lineRule="exact"/>
        <w:rPr>
          <w:sz w:val="20"/>
          <w:szCs w:val="20"/>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Independent Directors’ approach to setting Mr. Tan’s LTI compensation;</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rationale for choosing our incentive compensation performance goals and related target levels; and</w:t>
      </w:r>
    </w:p>
    <w:p>
      <w:pPr>
        <w:spacing w:after="0" w:line="117" w:lineRule="exact"/>
        <w:rPr>
          <w:rFonts w:ascii="Arial" w:cs="Arial" w:eastAsia="Arial" w:hAnsi="Arial"/>
          <w:sz w:val="18"/>
          <w:szCs w:val="18"/>
          <w:color w:val="auto"/>
        </w:rPr>
      </w:pPr>
    </w:p>
    <w:p>
      <w:pPr>
        <w:ind w:left="1180" w:right="120" w:hanging="436"/>
        <w:spacing w:after="0" w:line="246"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how our executive compensation program design has provided incentives to Mr. Tan and our other executives for significantly increasing the size and diversification of our Company through acquisitions.</w:t>
      </w:r>
    </w:p>
    <w:p>
      <w:pPr>
        <w:spacing w:after="0" w:line="197" w:lineRule="exact"/>
        <w:rPr>
          <w:sz w:val="20"/>
          <w:szCs w:val="20"/>
          <w:color w:val="auto"/>
        </w:rPr>
      </w:pPr>
    </w:p>
    <w:p>
      <w:pPr>
        <w:ind w:left="200" w:right="580" w:firstLine="551"/>
        <w:spacing w:after="0" w:line="246" w:lineRule="auto"/>
        <w:rPr>
          <w:sz w:val="20"/>
          <w:szCs w:val="20"/>
          <w:color w:val="auto"/>
        </w:rPr>
      </w:pPr>
      <w:r>
        <w:rPr>
          <w:rFonts w:ascii="Arial" w:cs="Arial" w:eastAsia="Arial" w:hAnsi="Arial"/>
          <w:sz w:val="18"/>
          <w:szCs w:val="18"/>
          <w:color w:val="auto"/>
        </w:rPr>
        <w:t>These shareholders indicated that they were supportive of our then recent compensation actions and decisions and program design. The input received from our shareholders was reported to the Compensation Committee and to our Board.</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Say-on-Pay and Frequency Vote</w:t>
      </w:r>
    </w:p>
    <w:p>
      <w:pPr>
        <w:spacing w:after="0" w:line="126" w:lineRule="exact"/>
        <w:rPr>
          <w:sz w:val="20"/>
          <w:szCs w:val="20"/>
          <w:color w:val="auto"/>
        </w:rPr>
      </w:pPr>
    </w:p>
    <w:p>
      <w:pPr>
        <w:ind w:left="200" w:right="320" w:firstLine="551"/>
        <w:spacing w:after="0" w:line="239" w:lineRule="auto"/>
        <w:rPr>
          <w:sz w:val="20"/>
          <w:szCs w:val="20"/>
          <w:color w:val="auto"/>
        </w:rPr>
      </w:pPr>
      <w:r>
        <w:rPr>
          <w:rFonts w:ascii="Arial" w:cs="Arial" w:eastAsia="Arial" w:hAnsi="Arial"/>
          <w:sz w:val="18"/>
          <w:szCs w:val="18"/>
          <w:color w:val="auto"/>
        </w:rPr>
        <w:t>At our 2017 AGM, we submitted our executive compensation program to a non-binding, advisory vote of our shareholders (the “</w:t>
      </w:r>
      <w:r>
        <w:rPr>
          <w:rFonts w:ascii="Arial" w:cs="Arial" w:eastAsia="Arial" w:hAnsi="Arial"/>
          <w:sz w:val="18"/>
          <w:szCs w:val="18"/>
          <w:u w:val="single" w:color="auto"/>
          <w:color w:val="auto"/>
        </w:rPr>
        <w:t>say-on-pay proposal</w:t>
      </w:r>
      <w:r>
        <w:rPr>
          <w:rFonts w:ascii="Arial" w:cs="Arial" w:eastAsia="Arial" w:hAnsi="Arial"/>
          <w:sz w:val="18"/>
          <w:szCs w:val="18"/>
          <w:color w:val="auto"/>
        </w:rPr>
        <w:t>”). Shareholders representing more than 88% of ordinary shares represented in person or by proxy at the meeting and entitled to vote on the matter voted in favor of the say-on-pay proposal. Following the 2017 AGM, the Compensation Committee reviewed the results of the</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say-on-pay proposal. In light of this approval, the Compensation Committee did not make any significant changes to our executive compensation program other than setting the performance goals under the performance-based RSUs based on both relative and absolute TSR, rather than based on a share price contingency metric, based, in part, on shareholder feedback received in Fiscal Year 2016 and in connection with our 2017 AGM.</w:t>
      </w:r>
    </w:p>
    <w:p>
      <w:pPr>
        <w:spacing w:after="0" w:line="148" w:lineRule="exact"/>
        <w:rPr>
          <w:sz w:val="20"/>
          <w:szCs w:val="20"/>
          <w:color w:val="auto"/>
        </w:rPr>
      </w:pPr>
    </w:p>
    <w:p>
      <w:pPr>
        <w:ind w:left="200" w:right="300" w:firstLine="551"/>
        <w:spacing w:after="0"/>
        <w:rPr>
          <w:sz w:val="20"/>
          <w:szCs w:val="20"/>
          <w:color w:val="auto"/>
        </w:rPr>
      </w:pPr>
      <w:r>
        <w:rPr>
          <w:rFonts w:ascii="Arial" w:cs="Arial" w:eastAsia="Arial" w:hAnsi="Arial"/>
          <w:sz w:val="18"/>
          <w:szCs w:val="18"/>
          <w:color w:val="auto"/>
        </w:rPr>
        <w:t>Additionally, at our 2017 AGM, shareholders representing a majority of ordinary shares represented in person or by proxy at the meeting and entitled to vote on the matter voted in favor of voting on a say-on-pay proposal annually, consistent with our Board’s recommendation. Our Board has determined to submit say-on-pay annually until the next required say-on-pay frequency vote.</w:t>
      </w:r>
    </w:p>
    <w:p>
      <w:pPr>
        <w:spacing w:after="0" w:line="167"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7"/>
          <w:szCs w:val="17"/>
          <w:b w:val="1"/>
          <w:bCs w:val="1"/>
          <w:color w:val="auto"/>
        </w:rPr>
        <w:t>Compensation Philosophy and Objectives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executive compensation program is designed to achieve the following:</w:t>
      </w:r>
    </w:p>
    <w:p>
      <w:pPr>
        <w:spacing w:after="0" w:line="77" w:lineRule="exact"/>
        <w:rPr>
          <w:sz w:val="20"/>
          <w:szCs w:val="20"/>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attract qualified, experienced and talented executives in a highly competitive market;</w:t>
      </w:r>
    </w:p>
    <w:p>
      <w:pPr>
        <w:spacing w:after="0" w:line="76"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retain, motivate and reward these executives whose skills, knowledge and performance are critical to our on-going success;</w:t>
      </w:r>
    </w:p>
    <w:p>
      <w:pPr>
        <w:spacing w:after="0" w:line="76" w:lineRule="exact"/>
        <w:rPr>
          <w:rFonts w:ascii="Arial" w:cs="Arial" w:eastAsia="Arial" w:hAnsi="Arial"/>
          <w:sz w:val="18"/>
          <w:szCs w:val="18"/>
          <w:color w:val="auto"/>
        </w:rPr>
      </w:pPr>
    </w:p>
    <w:p>
      <w:pPr>
        <w:ind w:left="1180" w:right="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encourage our executives to focus on the achievement of our corporate financial and operational performance goals by aligning their APB Plan payout to the achievement of pre-established annual corporate and divisional or functional goals, as well as the individual contributions and performance of each executive; and</w:t>
      </w:r>
    </w:p>
    <w:p>
      <w:pPr>
        <w:spacing w:after="0" w:line="67" w:lineRule="exact"/>
        <w:rPr>
          <w:rFonts w:ascii="Arial" w:cs="Arial" w:eastAsia="Arial" w:hAnsi="Arial"/>
          <w:sz w:val="18"/>
          <w:szCs w:val="18"/>
          <w:color w:val="auto"/>
        </w:rPr>
      </w:pPr>
    </w:p>
    <w:p>
      <w:pPr>
        <w:ind w:left="1180" w:right="320" w:hanging="436"/>
        <w:spacing w:after="0" w:line="261" w:lineRule="auto"/>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align our executives’ interests with those of our shareholders by linking a significant portion of each executive’s total direct compensation opportunity to returns realizable by our shareholders in the form of PSU awards that are subject to the attainment of pre-established performance-based objectives, and the rest of which vest based on service over four years.</w:t>
      </w:r>
    </w:p>
    <w:p>
      <w:pPr>
        <w:spacing w:after="0" w:line="132" w:lineRule="exact"/>
        <w:rPr>
          <w:sz w:val="20"/>
          <w:szCs w:val="20"/>
          <w:color w:val="auto"/>
        </w:rPr>
      </w:pPr>
    </w:p>
    <w:p>
      <w:pPr>
        <w:ind w:left="200" w:right="500" w:firstLine="551"/>
        <w:spacing w:after="0" w:line="239" w:lineRule="auto"/>
        <w:rPr>
          <w:sz w:val="20"/>
          <w:szCs w:val="20"/>
          <w:color w:val="auto"/>
        </w:rPr>
      </w:pPr>
      <w:r>
        <w:rPr>
          <w:rFonts w:ascii="Arial" w:cs="Arial" w:eastAsia="Arial" w:hAnsi="Arial"/>
          <w:sz w:val="18"/>
          <w:szCs w:val="18"/>
          <w:color w:val="auto"/>
        </w:rPr>
        <w:t>Equity awards are a long-term retention tool for key executives, intended to reflect the value we place on their expected contributions to our Company. When granting equity awards or, in the case of our CEO, when recommending an equity award to the Independent Directors for approval, the Compensation Committee considers each executive’s level of experience and expertise and overall value to us, as well as how much vested and unvested equity he or she then holds.</w:t>
      </w:r>
    </w:p>
    <w:p>
      <w:pPr>
        <w:spacing w:after="0" w:line="14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The Compensation Committee has adopted a compensation philosophy that is intended to keep our executives’ target total cash compensation (base salary plus target APB Plan opportunities) competitive with that of compensation for similarly situated executives at other companies (i) in our compensation peer group and (ii) included in the third-party market salary surveys it reviews. Generally, where the Compensation Committee believes that the positions in the market match our internal roles, it views target total cash compensation as competitive when the compensation falls within the 25th to 75th percentiles of the competitive market, dependent on the area of responsibility. The Compensation Committee believes that positioning target total cash compensation within this range of the market provides us a competitive position for attracting and retaining executives. However, the Compensation Committee bases its compensation decisions on the needs of our Company and an executive’s level of expertise, experience and marketability and will make exceptions to this philosophy when it determines it to be necessary or appropriate. As a result, target total cash compensation for an executive may fall outside the referenced range from time to time.</w:t>
      </w:r>
    </w:p>
    <w:p>
      <w:pPr>
        <w:spacing w:after="0" w:line="171" w:lineRule="exact"/>
        <w:rPr>
          <w:sz w:val="20"/>
          <w:szCs w:val="20"/>
          <w:color w:val="auto"/>
        </w:rPr>
      </w:pPr>
    </w:p>
    <w:p>
      <w:pPr>
        <w:jc w:val="both"/>
        <w:ind w:left="540" w:right="7400" w:hanging="336"/>
        <w:spacing w:after="0" w:line="370" w:lineRule="auto"/>
        <w:tabs>
          <w:tab w:leader="none" w:pos="534"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Compensation Determination Process </w:t>
      </w:r>
      <w:r>
        <w:rPr>
          <w:rFonts w:ascii="Arial" w:cs="Arial" w:eastAsia="Arial" w:hAnsi="Arial"/>
          <w:sz w:val="17"/>
          <w:szCs w:val="17"/>
          <w:b w:val="1"/>
          <w:bCs w:val="1"/>
          <w:i w:val="1"/>
          <w:iCs w:val="1"/>
          <w:color w:val="auto"/>
        </w:rPr>
        <w:t>Role of the Compensation Committee</w:t>
      </w:r>
    </w:p>
    <w:p>
      <w:pPr>
        <w:ind w:left="200" w:right="80" w:firstLine="551"/>
        <w:spacing w:after="0"/>
        <w:rPr>
          <w:sz w:val="20"/>
          <w:szCs w:val="20"/>
          <w:color w:val="auto"/>
        </w:rPr>
      </w:pPr>
      <w:r>
        <w:rPr>
          <w:rFonts w:ascii="Arial" w:cs="Arial" w:eastAsia="Arial" w:hAnsi="Arial"/>
          <w:sz w:val="18"/>
          <w:szCs w:val="18"/>
          <w:color w:val="auto"/>
        </w:rPr>
        <w:t>The Compensation Committee devotes significant time throughout the year to our executive compensation program to ensure that it aligns executive pay with corporate performance and incentivizes our executives to pursue corporate strategic and financial goals that will create sustainable, long-term shareholder value.</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The Compensation Committee reviews and approves compensation for our key executives, except for our CEO, which is reviewed and approved by the Independent Directors based on recommendations from the Compensation Committee.</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Individual Executive Compensation Assessment</w:t>
      </w:r>
    </w:p>
    <w:p>
      <w:pPr>
        <w:spacing w:after="0" w:line="77"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In addition to market compensation data provided by our independent compensation consultant, the Compensation Committee (and, in the case of our CEO, the Independent Directors) considers the following information for each executive when determining his or her compensation:</w:t>
      </w:r>
    </w:p>
    <w:p>
      <w:pPr>
        <w:spacing w:after="0" w:line="108" w:lineRule="exact"/>
        <w:rPr>
          <w:sz w:val="20"/>
          <w:szCs w:val="20"/>
          <w:color w:val="auto"/>
        </w:rPr>
      </w:pPr>
    </w:p>
    <w:p>
      <w:pPr>
        <w:ind w:left="1180" w:right="180" w:hanging="436"/>
        <w:spacing w:after="0" w:line="246"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current base salary, target ABP Plan opportunities (and prior fiscal year payouts), the accumulated value of outstanding and unvested equity awards and other benefits; and</w:t>
      </w:r>
    </w:p>
    <w:p>
      <w:pPr>
        <w:spacing w:after="0" w:line="102" w:lineRule="exact"/>
        <w:rPr>
          <w:rFonts w:ascii="Arial" w:cs="Arial" w:eastAsia="Arial" w:hAnsi="Arial"/>
          <w:sz w:val="18"/>
          <w:szCs w:val="18"/>
          <w:color w:val="auto"/>
        </w:rPr>
      </w:pPr>
    </w:p>
    <w:p>
      <w:pPr>
        <w:ind w:left="1180" w:right="200" w:hanging="436"/>
        <w:spacing w:after="0" w:line="246"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CEO’s recommendation on compensation and individual performance (other than himself), the executive’s performance and his or her importance to our Company, among other things.</w:t>
      </w:r>
    </w:p>
    <w:p>
      <w:pPr>
        <w:spacing w:after="0" w:line="143"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This information helps the Compensation Committee and the Independent Directors, in the case of our CEO, to understand the long-term retentive elements and total compensation being delivered to our executives.</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Internal Pay Parity</w:t>
      </w:r>
    </w:p>
    <w:p>
      <w:pPr>
        <w:spacing w:after="0" w:line="63" w:lineRule="exact"/>
        <w:rPr>
          <w:sz w:val="20"/>
          <w:szCs w:val="20"/>
          <w:color w:val="auto"/>
        </w:rPr>
      </w:pPr>
    </w:p>
    <w:p>
      <w:pPr>
        <w:ind w:left="200" w:right="540" w:firstLine="551"/>
        <w:spacing w:after="0" w:line="246" w:lineRule="auto"/>
        <w:rPr>
          <w:sz w:val="20"/>
          <w:szCs w:val="20"/>
          <w:color w:val="auto"/>
        </w:rPr>
      </w:pPr>
      <w:r>
        <w:rPr>
          <w:rFonts w:ascii="Arial" w:cs="Arial" w:eastAsia="Arial" w:hAnsi="Arial"/>
          <w:sz w:val="18"/>
          <w:szCs w:val="18"/>
          <w:color w:val="auto"/>
        </w:rPr>
        <w:t>While we do not maintain a formal policy regarding internal pay parity, it is often considered as a factor by the Compensation Committee and the Independent Directors when determining compensation.</w:t>
      </w:r>
    </w:p>
    <w:p>
      <w:pPr>
        <w:spacing w:after="0" w:line="14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Our CEO is compensated at a higher level than our other executives because he has a significantly higher level of responsibility, accountability and experience. Mr. Tan also receives more of his target total direct compensation in the form of LTI compensation through PSU awards as compared to the other executives. Given Mr. Tan’s responsibility for our overall performance, the Independent Directors believe that compensating him at a higher level than our other executives and weighting his total compensation more heavily toward long-term, performance-based incentive compensation is consistent with market practice, appropriately reflects his contributions and directly aligns his incentives with the interests of our shareholders.</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Compensation Risk Oversight</w:t>
      </w:r>
    </w:p>
    <w:p>
      <w:pPr>
        <w:spacing w:after="0" w:line="63" w:lineRule="exact"/>
        <w:rPr>
          <w:sz w:val="20"/>
          <w:szCs w:val="20"/>
          <w:color w:val="auto"/>
        </w:rPr>
      </w:pPr>
    </w:p>
    <w:p>
      <w:pPr>
        <w:ind w:left="200" w:right="200" w:firstLine="551"/>
        <w:spacing w:after="0" w:line="239" w:lineRule="auto"/>
        <w:rPr>
          <w:sz w:val="20"/>
          <w:szCs w:val="20"/>
          <w:color w:val="auto"/>
        </w:rPr>
      </w:pPr>
      <w:r>
        <w:rPr>
          <w:rFonts w:ascii="Arial" w:cs="Arial" w:eastAsia="Arial" w:hAnsi="Arial"/>
          <w:sz w:val="18"/>
          <w:szCs w:val="18"/>
          <w:color w:val="auto"/>
        </w:rPr>
        <w:t>While our Board has overall responsibility for risk oversight, each of the committees of our Board regularly assesses risk in connection with executing their responsibilities. The Compensation Committee reviews and discusses those risks that relate to all of our compensation policies and practices and it does not believe that our compensation policies encourage excessive or inappropriate risk taking.</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26"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In Fiscal Year 2017, Compensia, Inc. (“</w:t>
      </w:r>
      <w:r>
        <w:rPr>
          <w:rFonts w:ascii="Arial" w:cs="Arial" w:eastAsia="Arial" w:hAnsi="Arial"/>
          <w:sz w:val="18"/>
          <w:szCs w:val="18"/>
          <w:u w:val="single" w:color="auto"/>
          <w:color w:val="auto"/>
        </w:rPr>
        <w:t>Compensia</w:t>
      </w:r>
      <w:r>
        <w:rPr>
          <w:rFonts w:ascii="Arial" w:cs="Arial" w:eastAsia="Arial" w:hAnsi="Arial"/>
          <w:sz w:val="18"/>
          <w:szCs w:val="18"/>
          <w:color w:val="auto"/>
        </w:rPr>
        <w:t>”) provided consulting services to the Compensation Committee and the Independent Directors, including the preparation of an assessment of executive compensation based on an analysis of market compensation data. In addition, the Compensation Committee relied on Compensia for periodic updates on regulatory developments and market trends related to executive compensation matters. Compensia does not provide any other services to us other than advising the Compensation Committee and the Independent Directors on compensation-related matters.</w:t>
      </w:r>
    </w:p>
    <w:p>
      <w:pPr>
        <w:spacing w:after="0" w:line="149"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The Compensation Committee has assessed the independence of Compensia pursuant to the six independence factors set forth in the SEC and Nasdaq rules and has concluded that Compensia is independent, and that its work for the Compensation Committee does not raise any conflict of interest.</w:t>
      </w:r>
    </w:p>
    <w:p>
      <w:pPr>
        <w:spacing w:after="0" w:line="167"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IV.</w:t>
        <w:tab/>
        <w:t>Compensation Competitive Analysis</w:t>
      </w:r>
    </w:p>
    <w:p>
      <w:pPr>
        <w:spacing w:after="0" w:line="99" w:lineRule="exact"/>
        <w:rPr>
          <w:sz w:val="20"/>
          <w:szCs w:val="20"/>
          <w:color w:val="auto"/>
        </w:rPr>
      </w:pPr>
    </w:p>
    <w:p>
      <w:pPr>
        <w:ind w:left="200" w:right="440" w:firstLine="551"/>
        <w:spacing w:after="0"/>
        <w:rPr>
          <w:sz w:val="20"/>
          <w:szCs w:val="20"/>
          <w:color w:val="auto"/>
        </w:rPr>
      </w:pPr>
      <w:r>
        <w:rPr>
          <w:rFonts w:ascii="Arial" w:cs="Arial" w:eastAsia="Arial" w:hAnsi="Arial"/>
          <w:sz w:val="18"/>
          <w:szCs w:val="18"/>
          <w:color w:val="auto"/>
        </w:rPr>
        <w:t>The Compensation Committee works with Compensia to develop a meaningful compensation peer group for purposes of understanding competitive market compensation practices. This peer group is evaluated annually for comparative purposes only; the Compensation Committee does not benchmark any pay</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components or target total direct compensation to a specific percentile. However, the Compensation Committee and, in the case of our CEO, the Independent Directors view generally compensation as competitive when it falls within the 25th to 75th percentile range relative to our compensation peer group. In the absence of relevant competitive data, the Compensation Committee reviews industry-based market compensation survey data as described below.</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August 2016, the Compensation Committee approved the compensation peer group for Fiscal Year 2017, which appears below.</w:t>
      </w:r>
    </w:p>
    <w:p>
      <w:pPr>
        <w:ind w:left="200"/>
        <w:spacing w:after="0"/>
        <w:rPr>
          <w:sz w:val="20"/>
          <w:szCs w:val="20"/>
          <w:color w:val="auto"/>
        </w:rPr>
      </w:pPr>
      <w:r>
        <w:rPr>
          <w:rFonts w:ascii="Arial" w:cs="Arial" w:eastAsia="Arial" w:hAnsi="Arial"/>
          <w:sz w:val="18"/>
          <w:szCs w:val="18"/>
          <w:color w:val="auto"/>
        </w:rPr>
        <w:t>The following selection criteria were considered when developing our compensation peer group:</w:t>
      </w:r>
    </w:p>
    <w:p>
      <w:pPr>
        <w:spacing w:after="0" w:line="95" w:lineRule="exact"/>
        <w:rPr>
          <w:sz w:val="20"/>
          <w:szCs w:val="20"/>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 comparability across annual revenue, generally 0.5 to 2.0 times that of Broadcom’s;</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Market capitalization</w:t>
      </w:r>
      <w:r>
        <w:rPr>
          <w:rFonts w:ascii="Arial" w:cs="Arial" w:eastAsia="Arial" w:hAnsi="Arial"/>
          <w:sz w:val="18"/>
          <w:szCs w:val="18"/>
          <w:color w:val="auto"/>
        </w:rPr>
        <w:t>: market capitalizations that generally fall between 0.3 to 3.0 times that of our Company; and</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Industry</w:t>
      </w:r>
      <w:r>
        <w:rPr>
          <w:rFonts w:ascii="Arial" w:cs="Arial" w:eastAsia="Arial" w:hAnsi="Arial"/>
          <w:sz w:val="18"/>
          <w:szCs w:val="18"/>
          <w:color w:val="auto"/>
        </w:rPr>
        <w:t>: companies in semiconductor-related and other technology-focused industries having a similar scale.</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3740" w:type="dxa"/>
            <w:vAlign w:val="bottom"/>
            <w:shd w:val="clear" w:color="auto" w:fill="7F7F7F"/>
          </w:tcPr>
          <w:p>
            <w:pPr>
              <w:spacing w:after="0"/>
              <w:rPr>
                <w:sz w:val="16"/>
                <w:szCs w:val="16"/>
                <w:color w:val="auto"/>
              </w:rPr>
            </w:pPr>
          </w:p>
        </w:tc>
        <w:tc>
          <w:tcPr>
            <w:tcW w:w="4520" w:type="dxa"/>
            <w:vAlign w:val="bottom"/>
            <w:gridSpan w:val="2"/>
            <w:shd w:val="clear" w:color="auto" w:fill="7F7F7F"/>
          </w:tcPr>
          <w:p>
            <w:pPr>
              <w:jc w:val="right"/>
              <w:ind w:right="1599"/>
              <w:spacing w:after="0"/>
              <w:rPr>
                <w:sz w:val="20"/>
                <w:szCs w:val="20"/>
                <w:color w:val="auto"/>
              </w:rPr>
            </w:pPr>
            <w:r>
              <w:rPr>
                <w:rFonts w:ascii="Arial" w:cs="Arial" w:eastAsia="Arial" w:hAnsi="Arial"/>
                <w:sz w:val="16"/>
                <w:szCs w:val="16"/>
                <w:b w:val="1"/>
                <w:bCs w:val="1"/>
                <w:color w:val="FFFFFF"/>
              </w:rPr>
              <w:t>Fiscal Year 2017 Peer Group</w:t>
            </w:r>
          </w:p>
        </w:tc>
        <w:tc>
          <w:tcPr>
            <w:tcW w:w="2760" w:type="dxa"/>
            <w:vAlign w:val="bottom"/>
            <w:shd w:val="clear" w:color="auto" w:fill="7F7F7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40" w:type="dxa"/>
            <w:vAlign w:val="bottom"/>
          </w:tcPr>
          <w:p>
            <w:pPr>
              <w:ind w:left="60"/>
              <w:spacing w:after="0"/>
              <w:rPr>
                <w:sz w:val="20"/>
                <w:szCs w:val="20"/>
                <w:color w:val="auto"/>
              </w:rPr>
            </w:pPr>
            <w:r>
              <w:rPr>
                <w:rFonts w:ascii="Arial" w:cs="Arial" w:eastAsia="Arial" w:hAnsi="Arial"/>
                <w:sz w:val="16"/>
                <w:szCs w:val="16"/>
                <w:color w:val="auto"/>
              </w:rPr>
              <w:t>Agilent Technologies, Inc.</w:t>
            </w:r>
          </w:p>
        </w:tc>
        <w:tc>
          <w:tcPr>
            <w:tcW w:w="2160" w:type="dxa"/>
            <w:vAlign w:val="bottom"/>
          </w:tcPr>
          <w:p>
            <w:pPr>
              <w:ind w:left="100"/>
              <w:spacing w:after="0"/>
              <w:rPr>
                <w:sz w:val="20"/>
                <w:szCs w:val="20"/>
                <w:color w:val="auto"/>
              </w:rPr>
            </w:pPr>
            <w:r>
              <w:rPr>
                <w:rFonts w:ascii="Arial" w:cs="Arial" w:eastAsia="Arial" w:hAnsi="Arial"/>
                <w:sz w:val="16"/>
                <w:szCs w:val="16"/>
                <w:color w:val="auto"/>
              </w:rPr>
              <w:t>Corning, Inc.</w:t>
            </w:r>
          </w:p>
        </w:tc>
        <w:tc>
          <w:tcPr>
            <w:tcW w:w="2360" w:type="dxa"/>
            <w:vAlign w:val="bottom"/>
          </w:tcPr>
          <w:p>
            <w:pPr>
              <w:ind w:left="360"/>
              <w:spacing w:after="0"/>
              <w:rPr>
                <w:sz w:val="20"/>
                <w:szCs w:val="20"/>
                <w:color w:val="auto"/>
              </w:rPr>
            </w:pPr>
            <w:r>
              <w:rPr>
                <w:rFonts w:ascii="Arial" w:cs="Arial" w:eastAsia="Arial" w:hAnsi="Arial"/>
                <w:sz w:val="16"/>
                <w:szCs w:val="16"/>
                <w:color w:val="auto"/>
              </w:rPr>
              <w:t>Micron Technology, Inc.</w:t>
            </w:r>
          </w:p>
        </w:tc>
        <w:tc>
          <w:tcPr>
            <w:tcW w:w="2760" w:type="dxa"/>
            <w:vAlign w:val="bottom"/>
          </w:tcPr>
          <w:p>
            <w:pPr>
              <w:ind w:left="260"/>
              <w:spacing w:after="0"/>
              <w:rPr>
                <w:sz w:val="20"/>
                <w:szCs w:val="20"/>
                <w:color w:val="auto"/>
              </w:rPr>
            </w:pPr>
            <w:r>
              <w:rPr>
                <w:rFonts w:ascii="Arial" w:cs="Arial" w:eastAsia="Arial" w:hAnsi="Arial"/>
                <w:sz w:val="16"/>
                <w:szCs w:val="16"/>
                <w:color w:val="auto"/>
              </w:rPr>
              <w:t>TE Connectivity Ltd.</w:t>
            </w:r>
          </w:p>
        </w:tc>
        <w:tc>
          <w:tcPr>
            <w:tcW w:w="0" w:type="dxa"/>
            <w:vAlign w:val="bottom"/>
          </w:tcPr>
          <w:p>
            <w:pPr>
              <w:spacing w:after="0"/>
              <w:rPr>
                <w:sz w:val="1"/>
                <w:szCs w:val="1"/>
                <w:color w:val="auto"/>
              </w:rPr>
            </w:pPr>
          </w:p>
        </w:tc>
      </w:tr>
      <w:tr>
        <w:trPr>
          <w:trHeight w:val="189"/>
        </w:trPr>
        <w:tc>
          <w:tcPr>
            <w:tcW w:w="3740" w:type="dxa"/>
            <w:vAlign w:val="bottom"/>
          </w:tcPr>
          <w:p>
            <w:pPr>
              <w:ind w:left="60"/>
              <w:spacing w:after="0"/>
              <w:rPr>
                <w:sz w:val="20"/>
                <w:szCs w:val="20"/>
                <w:color w:val="auto"/>
              </w:rPr>
            </w:pPr>
            <w:r>
              <w:rPr>
                <w:rFonts w:ascii="Arial" w:cs="Arial" w:eastAsia="Arial" w:hAnsi="Arial"/>
                <w:sz w:val="16"/>
                <w:szCs w:val="16"/>
                <w:color w:val="auto"/>
              </w:rPr>
              <w:t>Applied Materials, Inc.</w:t>
            </w:r>
          </w:p>
        </w:tc>
        <w:tc>
          <w:tcPr>
            <w:tcW w:w="2160" w:type="dxa"/>
            <w:vAlign w:val="bottom"/>
          </w:tcPr>
          <w:p>
            <w:pPr>
              <w:ind w:left="100"/>
              <w:spacing w:after="0"/>
              <w:rPr>
                <w:sz w:val="20"/>
                <w:szCs w:val="20"/>
                <w:color w:val="auto"/>
              </w:rPr>
            </w:pPr>
            <w:r>
              <w:rPr>
                <w:rFonts w:ascii="Arial" w:cs="Arial" w:eastAsia="Arial" w:hAnsi="Arial"/>
                <w:sz w:val="16"/>
                <w:szCs w:val="16"/>
                <w:color w:val="auto"/>
              </w:rPr>
              <w:t>eBay, Inc.</w:t>
            </w:r>
          </w:p>
        </w:tc>
        <w:tc>
          <w:tcPr>
            <w:tcW w:w="2360" w:type="dxa"/>
            <w:vAlign w:val="bottom"/>
          </w:tcPr>
          <w:p>
            <w:pPr>
              <w:ind w:left="360"/>
              <w:spacing w:after="0"/>
              <w:rPr>
                <w:sz w:val="20"/>
                <w:szCs w:val="20"/>
                <w:color w:val="auto"/>
              </w:rPr>
            </w:pPr>
            <w:r>
              <w:rPr>
                <w:rFonts w:ascii="Arial" w:cs="Arial" w:eastAsia="Arial" w:hAnsi="Arial"/>
                <w:sz w:val="16"/>
                <w:szCs w:val="16"/>
                <w:color w:val="auto"/>
              </w:rPr>
              <w:t>Oracle Corporation</w:t>
            </w:r>
          </w:p>
        </w:tc>
        <w:tc>
          <w:tcPr>
            <w:tcW w:w="2760" w:type="dxa"/>
            <w:vAlign w:val="bottom"/>
          </w:tcPr>
          <w:p>
            <w:pPr>
              <w:ind w:left="260"/>
              <w:spacing w:after="0"/>
              <w:rPr>
                <w:sz w:val="20"/>
                <w:szCs w:val="20"/>
                <w:color w:val="auto"/>
              </w:rPr>
            </w:pPr>
            <w:r>
              <w:rPr>
                <w:rFonts w:ascii="Arial" w:cs="Arial" w:eastAsia="Arial" w:hAnsi="Arial"/>
                <w:sz w:val="16"/>
                <w:szCs w:val="16"/>
                <w:color w:val="auto"/>
              </w:rPr>
              <w:t>Texas Instruments, Inc.</w:t>
            </w: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Cisco Systems, Inc.</w:t>
            </w:r>
          </w:p>
        </w:tc>
        <w:tc>
          <w:tcPr>
            <w:tcW w:w="2160" w:type="dxa"/>
            <w:vAlign w:val="bottom"/>
          </w:tcPr>
          <w:p>
            <w:pPr>
              <w:ind w:left="100"/>
              <w:spacing w:after="0"/>
              <w:rPr>
                <w:sz w:val="20"/>
                <w:szCs w:val="20"/>
                <w:color w:val="auto"/>
              </w:rPr>
            </w:pPr>
            <w:r>
              <w:rPr>
                <w:rFonts w:ascii="Arial" w:cs="Arial" w:eastAsia="Arial" w:hAnsi="Arial"/>
                <w:sz w:val="16"/>
                <w:szCs w:val="16"/>
                <w:color w:val="auto"/>
              </w:rPr>
              <w:t>Emerson Electric Company</w:t>
            </w:r>
          </w:p>
        </w:tc>
        <w:tc>
          <w:tcPr>
            <w:tcW w:w="2360" w:type="dxa"/>
            <w:vAlign w:val="bottom"/>
          </w:tcPr>
          <w:p>
            <w:pPr>
              <w:ind w:left="360"/>
              <w:spacing w:after="0"/>
              <w:rPr>
                <w:sz w:val="20"/>
                <w:szCs w:val="20"/>
                <w:color w:val="auto"/>
              </w:rPr>
            </w:pPr>
            <w:r>
              <w:rPr>
                <w:rFonts w:ascii="Arial" w:cs="Arial" w:eastAsia="Arial" w:hAnsi="Arial"/>
                <w:sz w:val="16"/>
                <w:szCs w:val="16"/>
                <w:color w:val="auto"/>
              </w:rPr>
              <w:t>Qualcomm Incorporated</w:t>
            </w:r>
          </w:p>
        </w:tc>
        <w:tc>
          <w:tcPr>
            <w:tcW w:w="2760" w:type="dxa"/>
            <w:vAlign w:val="bottom"/>
          </w:tcPr>
          <w:p>
            <w:pPr>
              <w:ind w:left="260"/>
              <w:spacing w:after="0"/>
              <w:rPr>
                <w:sz w:val="20"/>
                <w:szCs w:val="20"/>
                <w:color w:val="auto"/>
              </w:rPr>
            </w:pPr>
            <w:r>
              <w:rPr>
                <w:rFonts w:ascii="Arial" w:cs="Arial" w:eastAsia="Arial" w:hAnsi="Arial"/>
                <w:sz w:val="16"/>
                <w:szCs w:val="16"/>
                <w:color w:val="auto"/>
              </w:rPr>
              <w:t>Thermo Fisher Scientific, Inc.</w:t>
            </w: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Cognizant Technology</w:t>
            </w:r>
          </w:p>
        </w:tc>
        <w:tc>
          <w:tcPr>
            <w:tcW w:w="2160" w:type="dxa"/>
            <w:vAlign w:val="bottom"/>
          </w:tcPr>
          <w:p>
            <w:pPr>
              <w:ind w:left="100"/>
              <w:spacing w:after="0"/>
              <w:rPr>
                <w:sz w:val="20"/>
                <w:szCs w:val="20"/>
                <w:color w:val="auto"/>
              </w:rPr>
            </w:pPr>
            <w:r>
              <w:rPr>
                <w:rFonts w:ascii="Arial" w:cs="Arial" w:eastAsia="Arial" w:hAnsi="Arial"/>
                <w:sz w:val="16"/>
                <w:szCs w:val="16"/>
                <w:color w:val="auto"/>
              </w:rPr>
              <w:t>Intel Corporation</w:t>
            </w:r>
          </w:p>
        </w:tc>
        <w:tc>
          <w:tcPr>
            <w:tcW w:w="2360" w:type="dxa"/>
            <w:vAlign w:val="bottom"/>
          </w:tcPr>
          <w:p>
            <w:pPr>
              <w:ind w:left="360"/>
              <w:spacing w:after="0"/>
              <w:rPr>
                <w:sz w:val="20"/>
                <w:szCs w:val="20"/>
                <w:color w:val="auto"/>
              </w:rPr>
            </w:pPr>
            <w:r>
              <w:rPr>
                <w:rFonts w:ascii="Arial" w:cs="Arial" w:eastAsia="Arial" w:hAnsi="Arial"/>
                <w:sz w:val="16"/>
                <w:szCs w:val="16"/>
                <w:color w:val="auto"/>
              </w:rPr>
              <w:t>Seagate Technology PLC</w:t>
            </w:r>
          </w:p>
        </w:tc>
        <w:tc>
          <w:tcPr>
            <w:tcW w:w="2760" w:type="dxa"/>
            <w:vAlign w:val="bottom"/>
          </w:tcPr>
          <w:p>
            <w:pPr>
              <w:ind w:left="260"/>
              <w:spacing w:after="0"/>
              <w:rPr>
                <w:sz w:val="20"/>
                <w:szCs w:val="20"/>
                <w:color w:val="auto"/>
              </w:rPr>
            </w:pPr>
            <w:r>
              <w:rPr>
                <w:rFonts w:ascii="Arial" w:cs="Arial" w:eastAsia="Arial" w:hAnsi="Arial"/>
                <w:sz w:val="16"/>
                <w:szCs w:val="16"/>
                <w:color w:val="auto"/>
              </w:rPr>
              <w:t>Western Digital Corporation</w:t>
            </w:r>
          </w:p>
        </w:tc>
        <w:tc>
          <w:tcPr>
            <w:tcW w:w="0" w:type="dxa"/>
            <w:vAlign w:val="bottom"/>
          </w:tcPr>
          <w:p>
            <w:pPr>
              <w:spacing w:after="0"/>
              <w:rPr>
                <w:sz w:val="1"/>
                <w:szCs w:val="1"/>
                <w:color w:val="auto"/>
              </w:rPr>
            </w:pPr>
          </w:p>
        </w:tc>
      </w:tr>
      <w:tr>
        <w:trPr>
          <w:trHeight w:val="195"/>
        </w:trPr>
        <w:tc>
          <w:tcPr>
            <w:tcW w:w="3740" w:type="dxa"/>
            <w:vAlign w:val="bottom"/>
          </w:tcPr>
          <w:p>
            <w:pPr>
              <w:ind w:left="80"/>
              <w:spacing w:after="0"/>
              <w:rPr>
                <w:sz w:val="20"/>
                <w:szCs w:val="20"/>
                <w:color w:val="auto"/>
              </w:rPr>
            </w:pPr>
            <w:r>
              <w:rPr>
                <w:rFonts w:ascii="Arial" w:cs="Arial" w:eastAsia="Arial" w:hAnsi="Arial"/>
                <w:sz w:val="16"/>
                <w:szCs w:val="16"/>
                <w:color w:val="auto"/>
              </w:rPr>
              <w:t>Solutions Corporation</w:t>
            </w:r>
          </w:p>
        </w:tc>
        <w:tc>
          <w:tcPr>
            <w:tcW w:w="2160" w:type="dxa"/>
            <w:vAlign w:val="bottom"/>
          </w:tcPr>
          <w:p>
            <w:pPr>
              <w:ind w:left="100"/>
              <w:spacing w:after="0"/>
              <w:rPr>
                <w:sz w:val="20"/>
                <w:szCs w:val="20"/>
                <w:color w:val="auto"/>
              </w:rPr>
            </w:pPr>
            <w:r>
              <w:rPr>
                <w:rFonts w:ascii="Arial" w:cs="Arial" w:eastAsia="Arial" w:hAnsi="Arial"/>
                <w:sz w:val="16"/>
                <w:szCs w:val="16"/>
                <w:color w:val="auto"/>
              </w:rPr>
              <w:t>Lam Research Corporation</w:t>
            </w:r>
          </w:p>
        </w:tc>
        <w:tc>
          <w:tcPr>
            <w:tcW w:w="23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3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740" w:type="dxa"/>
            <w:vAlign w:val="bottom"/>
            <w:shd w:val="clear" w:color="auto" w:fill="7F7F7F"/>
          </w:tcPr>
          <w:p>
            <w:pPr>
              <w:spacing w:after="0"/>
              <w:rPr>
                <w:sz w:val="14"/>
                <w:szCs w:val="14"/>
                <w:color w:val="auto"/>
              </w:rPr>
            </w:pPr>
          </w:p>
        </w:tc>
        <w:tc>
          <w:tcPr>
            <w:tcW w:w="2160" w:type="dxa"/>
            <w:vAlign w:val="bottom"/>
            <w:vMerge w:val="restart"/>
            <w:shd w:val="clear" w:color="auto" w:fill="7F7F7F"/>
          </w:tcPr>
          <w:p>
            <w:pPr>
              <w:jc w:val="center"/>
              <w:ind w:right="59"/>
              <w:spacing w:after="0"/>
              <w:rPr>
                <w:sz w:val="20"/>
                <w:szCs w:val="20"/>
                <w:color w:val="auto"/>
              </w:rPr>
            </w:pPr>
            <w:r>
              <w:rPr>
                <w:rFonts w:ascii="Arial" w:cs="Arial" w:eastAsia="Arial" w:hAnsi="Arial"/>
                <w:sz w:val="16"/>
                <w:szCs w:val="16"/>
                <w:b w:val="1"/>
                <w:bCs w:val="1"/>
                <w:color w:val="FFFFFF"/>
              </w:rPr>
              <w:t>Percentile</w:t>
            </w:r>
          </w:p>
        </w:tc>
        <w:tc>
          <w:tcPr>
            <w:tcW w:w="2360" w:type="dxa"/>
            <w:vAlign w:val="bottom"/>
            <w:shd w:val="clear" w:color="auto" w:fill="7F7F7F"/>
          </w:tcPr>
          <w:p>
            <w:pPr>
              <w:jc w:val="right"/>
              <w:ind w:right="1519"/>
              <w:spacing w:after="0" w:line="170" w:lineRule="exact"/>
              <w:rPr>
                <w:sz w:val="20"/>
                <w:szCs w:val="20"/>
                <w:color w:val="auto"/>
              </w:rPr>
            </w:pPr>
            <w:r>
              <w:rPr>
                <w:rFonts w:ascii="Arial" w:cs="Arial" w:eastAsia="Arial" w:hAnsi="Arial"/>
                <w:sz w:val="16"/>
                <w:szCs w:val="16"/>
                <w:b w:val="1"/>
                <w:bCs w:val="1"/>
                <w:color w:val="FFFFFF"/>
              </w:rPr>
              <w:t>Revenue</w:t>
            </w:r>
          </w:p>
        </w:tc>
        <w:tc>
          <w:tcPr>
            <w:tcW w:w="2760" w:type="dxa"/>
            <w:vAlign w:val="bottom"/>
            <w:shd w:val="clear" w:color="auto" w:fill="7F7F7F"/>
          </w:tcPr>
          <w:p>
            <w:pPr>
              <w:jc w:val="right"/>
              <w:ind w:right="879"/>
              <w:spacing w:after="0" w:line="170" w:lineRule="exact"/>
              <w:rPr>
                <w:sz w:val="20"/>
                <w:szCs w:val="20"/>
                <w:color w:val="auto"/>
              </w:rPr>
            </w:pPr>
            <w:r>
              <w:rPr>
                <w:rFonts w:ascii="Arial" w:cs="Arial" w:eastAsia="Arial" w:hAnsi="Arial"/>
                <w:sz w:val="16"/>
                <w:szCs w:val="16"/>
                <w:b w:val="1"/>
                <w:bCs w:val="1"/>
                <w:color w:val="FFFFFF"/>
              </w:rPr>
              <w:t>Market Capitalization</w:t>
            </w:r>
          </w:p>
        </w:tc>
        <w:tc>
          <w:tcPr>
            <w:tcW w:w="0" w:type="dxa"/>
            <w:vAlign w:val="bottom"/>
          </w:tcPr>
          <w:p>
            <w:pPr>
              <w:spacing w:after="0"/>
              <w:rPr>
                <w:sz w:val="1"/>
                <w:szCs w:val="1"/>
                <w:color w:val="auto"/>
              </w:rPr>
            </w:pPr>
          </w:p>
        </w:tc>
      </w:tr>
      <w:tr>
        <w:trPr>
          <w:trHeight w:val="121"/>
        </w:trPr>
        <w:tc>
          <w:tcPr>
            <w:tcW w:w="3740" w:type="dxa"/>
            <w:vAlign w:val="bottom"/>
            <w:shd w:val="clear" w:color="auto" w:fill="7F7F7F"/>
          </w:tcPr>
          <w:p>
            <w:pPr>
              <w:spacing w:after="0"/>
              <w:rPr>
                <w:sz w:val="10"/>
                <w:szCs w:val="10"/>
                <w:color w:val="auto"/>
              </w:rPr>
            </w:pPr>
          </w:p>
        </w:tc>
        <w:tc>
          <w:tcPr>
            <w:tcW w:w="2160" w:type="dxa"/>
            <w:vAlign w:val="bottom"/>
            <w:vMerge w:val="continue"/>
            <w:shd w:val="clear" w:color="auto" w:fill="7F7F7F"/>
          </w:tcPr>
          <w:p>
            <w:pPr>
              <w:spacing w:after="0"/>
              <w:rPr>
                <w:sz w:val="10"/>
                <w:szCs w:val="10"/>
                <w:color w:val="auto"/>
              </w:rPr>
            </w:pPr>
          </w:p>
        </w:tc>
        <w:tc>
          <w:tcPr>
            <w:tcW w:w="2360" w:type="dxa"/>
            <w:vAlign w:val="bottom"/>
            <w:vMerge w:val="restart"/>
            <w:shd w:val="clear" w:color="auto" w:fill="7F7F7F"/>
          </w:tcPr>
          <w:p>
            <w:pPr>
              <w:jc w:val="right"/>
              <w:ind w:right="1519"/>
              <w:spacing w:after="0" w:line="222" w:lineRule="exact"/>
              <w:rPr>
                <w:sz w:val="20"/>
                <w:szCs w:val="20"/>
                <w:color w:val="auto"/>
              </w:rPr>
            </w:pPr>
            <w:r>
              <w:rPr>
                <w:rFonts w:ascii="Arial" w:cs="Arial" w:eastAsia="Arial" w:hAnsi="Arial"/>
                <w:sz w:val="15"/>
                <w:szCs w:val="15"/>
                <w:b w:val="1"/>
                <w:bCs w:val="1"/>
                <w:color w:val="FFFFFF"/>
              </w:rPr>
              <w:t>($mm)</w:t>
            </w:r>
            <w:r>
              <w:rPr>
                <w:rFonts w:ascii="Arial" w:cs="Arial" w:eastAsia="Arial" w:hAnsi="Arial"/>
                <w:sz w:val="25"/>
                <w:szCs w:val="25"/>
                <w:b w:val="1"/>
                <w:bCs w:val="1"/>
                <w:color w:val="FFFFFF"/>
                <w:vertAlign w:val="superscript"/>
              </w:rPr>
              <w:t>(1)</w:t>
            </w:r>
          </w:p>
        </w:tc>
        <w:tc>
          <w:tcPr>
            <w:tcW w:w="2760" w:type="dxa"/>
            <w:vAlign w:val="bottom"/>
            <w:vMerge w:val="restart"/>
            <w:shd w:val="clear" w:color="auto" w:fill="7F7F7F"/>
          </w:tcPr>
          <w:p>
            <w:pPr>
              <w:jc w:val="right"/>
              <w:ind w:right="1359"/>
              <w:spacing w:after="0" w:line="222" w:lineRule="exact"/>
              <w:rPr>
                <w:sz w:val="20"/>
                <w:szCs w:val="20"/>
                <w:color w:val="auto"/>
              </w:rPr>
            </w:pPr>
            <w:r>
              <w:rPr>
                <w:rFonts w:ascii="Arial" w:cs="Arial" w:eastAsia="Arial" w:hAnsi="Arial"/>
                <w:sz w:val="15"/>
                <w:szCs w:val="15"/>
                <w:b w:val="1"/>
                <w:bCs w:val="1"/>
                <w:color w:val="FFFFFF"/>
              </w:rPr>
              <w:t>($mm)</w:t>
            </w:r>
            <w:r>
              <w:rPr>
                <w:rFonts w:ascii="Arial" w:cs="Arial" w:eastAsia="Arial" w:hAnsi="Arial"/>
                <w:sz w:val="25"/>
                <w:szCs w:val="25"/>
                <w:b w:val="1"/>
                <w:bCs w:val="1"/>
                <w:color w:val="FFFFFF"/>
                <w:vertAlign w:val="superscript"/>
              </w:rPr>
              <w:t>(2)</w:t>
            </w:r>
          </w:p>
        </w:tc>
        <w:tc>
          <w:tcPr>
            <w:tcW w:w="0" w:type="dxa"/>
            <w:vAlign w:val="bottom"/>
          </w:tcPr>
          <w:p>
            <w:pPr>
              <w:spacing w:after="0"/>
              <w:rPr>
                <w:sz w:val="1"/>
                <w:szCs w:val="1"/>
                <w:color w:val="auto"/>
              </w:rPr>
            </w:pPr>
          </w:p>
        </w:tc>
      </w:tr>
      <w:tr>
        <w:trPr>
          <w:trHeight w:val="101"/>
        </w:trPr>
        <w:tc>
          <w:tcPr>
            <w:tcW w:w="3740" w:type="dxa"/>
            <w:vAlign w:val="bottom"/>
            <w:shd w:val="clear" w:color="auto" w:fill="7F7F7F"/>
          </w:tcPr>
          <w:p>
            <w:pPr>
              <w:spacing w:after="0"/>
              <w:rPr>
                <w:sz w:val="8"/>
                <w:szCs w:val="8"/>
                <w:color w:val="auto"/>
              </w:rPr>
            </w:pPr>
          </w:p>
        </w:tc>
        <w:tc>
          <w:tcPr>
            <w:tcW w:w="2160" w:type="dxa"/>
            <w:vAlign w:val="bottom"/>
            <w:shd w:val="clear" w:color="auto" w:fill="7F7F7F"/>
          </w:tcPr>
          <w:p>
            <w:pPr>
              <w:spacing w:after="0"/>
              <w:rPr>
                <w:sz w:val="8"/>
                <w:szCs w:val="8"/>
                <w:color w:val="auto"/>
              </w:rPr>
            </w:pPr>
          </w:p>
        </w:tc>
        <w:tc>
          <w:tcPr>
            <w:tcW w:w="2360" w:type="dxa"/>
            <w:vAlign w:val="bottom"/>
            <w:vMerge w:val="continue"/>
            <w:shd w:val="clear" w:color="auto" w:fill="7F7F7F"/>
          </w:tcPr>
          <w:p>
            <w:pPr>
              <w:spacing w:after="0"/>
              <w:rPr>
                <w:sz w:val="8"/>
                <w:szCs w:val="8"/>
                <w:color w:val="auto"/>
              </w:rPr>
            </w:pPr>
          </w:p>
        </w:tc>
        <w:tc>
          <w:tcPr>
            <w:tcW w:w="2760" w:type="dxa"/>
            <w:vAlign w:val="bottom"/>
            <w:vMerge w:val="continue"/>
            <w:shd w:val="clear" w:color="auto" w:fill="7F7F7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740" w:type="dxa"/>
            <w:vAlign w:val="bottom"/>
          </w:tcPr>
          <w:p>
            <w:pPr>
              <w:spacing w:after="0"/>
              <w:rPr>
                <w:sz w:val="16"/>
                <w:szCs w:val="16"/>
                <w:color w:val="auto"/>
              </w:rPr>
            </w:pPr>
          </w:p>
        </w:tc>
        <w:tc>
          <w:tcPr>
            <w:tcW w:w="2160" w:type="dxa"/>
            <w:vAlign w:val="bottom"/>
          </w:tcPr>
          <w:p>
            <w:pPr>
              <w:jc w:val="center"/>
              <w:ind w:right="59"/>
              <w:spacing w:after="0"/>
              <w:rPr>
                <w:sz w:val="20"/>
                <w:szCs w:val="20"/>
                <w:color w:val="auto"/>
              </w:rPr>
            </w:pPr>
            <w:r>
              <w:rPr>
                <w:rFonts w:ascii="Arial" w:cs="Arial" w:eastAsia="Arial" w:hAnsi="Arial"/>
                <w:sz w:val="16"/>
                <w:szCs w:val="16"/>
                <w:color w:val="auto"/>
                <w:w w:val="96"/>
              </w:rPr>
              <w:t>25th</w:t>
            </w:r>
          </w:p>
        </w:tc>
        <w:tc>
          <w:tcPr>
            <w:tcW w:w="2360" w:type="dxa"/>
            <w:vAlign w:val="bottom"/>
          </w:tcPr>
          <w:p>
            <w:pPr>
              <w:jc w:val="right"/>
              <w:ind w:right="1519"/>
              <w:spacing w:after="0"/>
              <w:rPr>
                <w:sz w:val="20"/>
                <w:szCs w:val="20"/>
                <w:color w:val="auto"/>
              </w:rPr>
            </w:pPr>
            <w:r>
              <w:rPr>
                <w:rFonts w:ascii="Arial" w:cs="Arial" w:eastAsia="Arial" w:hAnsi="Arial"/>
                <w:sz w:val="16"/>
                <w:szCs w:val="16"/>
                <w:color w:val="auto"/>
              </w:rPr>
              <w:t>$10,032</w:t>
            </w:r>
          </w:p>
        </w:tc>
        <w:tc>
          <w:tcPr>
            <w:tcW w:w="2760" w:type="dxa"/>
            <w:vAlign w:val="bottom"/>
          </w:tcPr>
          <w:p>
            <w:pPr>
              <w:jc w:val="right"/>
              <w:ind w:right="859"/>
              <w:spacing w:after="0"/>
              <w:rPr>
                <w:sz w:val="20"/>
                <w:szCs w:val="20"/>
                <w:color w:val="auto"/>
              </w:rPr>
            </w:pPr>
            <w:r>
              <w:rPr>
                <w:rFonts w:ascii="Arial" w:cs="Arial" w:eastAsia="Arial" w:hAnsi="Arial"/>
                <w:sz w:val="16"/>
                <w:szCs w:val="16"/>
                <w:color w:val="auto"/>
              </w:rPr>
              <w:t>$16,321</w:t>
            </w: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Fiscal Year 2017 Peer Group</w:t>
            </w:r>
          </w:p>
        </w:tc>
        <w:tc>
          <w:tcPr>
            <w:tcW w:w="2160" w:type="dxa"/>
            <w:vAlign w:val="bottom"/>
          </w:tcPr>
          <w:p>
            <w:pPr>
              <w:jc w:val="center"/>
              <w:ind w:right="59"/>
              <w:spacing w:after="0"/>
              <w:rPr>
                <w:sz w:val="20"/>
                <w:szCs w:val="20"/>
                <w:color w:val="auto"/>
              </w:rPr>
            </w:pPr>
            <w:r>
              <w:rPr>
                <w:rFonts w:ascii="Arial" w:cs="Arial" w:eastAsia="Arial" w:hAnsi="Arial"/>
                <w:sz w:val="16"/>
                <w:szCs w:val="16"/>
                <w:color w:val="auto"/>
              </w:rPr>
              <w:t>Median</w:t>
            </w:r>
          </w:p>
        </w:tc>
        <w:tc>
          <w:tcPr>
            <w:tcW w:w="2360" w:type="dxa"/>
            <w:vAlign w:val="bottom"/>
          </w:tcPr>
          <w:p>
            <w:pPr>
              <w:jc w:val="right"/>
              <w:ind w:right="1519"/>
              <w:spacing w:after="0"/>
              <w:rPr>
                <w:sz w:val="20"/>
                <w:szCs w:val="20"/>
                <w:color w:val="auto"/>
              </w:rPr>
            </w:pPr>
            <w:r>
              <w:rPr>
                <w:rFonts w:ascii="Arial" w:cs="Arial" w:eastAsia="Arial" w:hAnsi="Arial"/>
                <w:sz w:val="16"/>
                <w:szCs w:val="16"/>
                <w:color w:val="auto"/>
              </w:rPr>
              <w:t>$12,744</w:t>
            </w:r>
          </w:p>
        </w:tc>
        <w:tc>
          <w:tcPr>
            <w:tcW w:w="2760" w:type="dxa"/>
            <w:vAlign w:val="bottom"/>
          </w:tcPr>
          <w:p>
            <w:pPr>
              <w:jc w:val="right"/>
              <w:ind w:right="859"/>
              <w:spacing w:after="0"/>
              <w:rPr>
                <w:sz w:val="20"/>
                <w:szCs w:val="20"/>
                <w:color w:val="auto"/>
              </w:rPr>
            </w:pPr>
            <w:r>
              <w:rPr>
                <w:rFonts w:ascii="Arial" w:cs="Arial" w:eastAsia="Arial" w:hAnsi="Arial"/>
                <w:sz w:val="16"/>
                <w:szCs w:val="16"/>
                <w:color w:val="auto"/>
              </w:rPr>
              <w:t>$30,796</w:t>
            </w: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2160" w:type="dxa"/>
            <w:vAlign w:val="bottom"/>
          </w:tcPr>
          <w:p>
            <w:pPr>
              <w:jc w:val="center"/>
              <w:ind w:right="59"/>
              <w:spacing w:after="0"/>
              <w:rPr>
                <w:sz w:val="20"/>
                <w:szCs w:val="20"/>
                <w:color w:val="auto"/>
              </w:rPr>
            </w:pPr>
            <w:r>
              <w:rPr>
                <w:rFonts w:ascii="Arial" w:cs="Arial" w:eastAsia="Arial" w:hAnsi="Arial"/>
                <w:sz w:val="16"/>
                <w:szCs w:val="16"/>
                <w:color w:val="auto"/>
                <w:w w:val="96"/>
              </w:rPr>
              <w:t>75th</w:t>
            </w:r>
          </w:p>
        </w:tc>
        <w:tc>
          <w:tcPr>
            <w:tcW w:w="2360" w:type="dxa"/>
            <w:vAlign w:val="bottom"/>
          </w:tcPr>
          <w:p>
            <w:pPr>
              <w:jc w:val="right"/>
              <w:ind w:right="1519"/>
              <w:spacing w:after="0"/>
              <w:rPr>
                <w:sz w:val="20"/>
                <w:szCs w:val="20"/>
                <w:color w:val="auto"/>
              </w:rPr>
            </w:pPr>
            <w:r>
              <w:rPr>
                <w:rFonts w:ascii="Arial" w:cs="Arial" w:eastAsia="Arial" w:hAnsi="Arial"/>
                <w:sz w:val="16"/>
                <w:szCs w:val="16"/>
                <w:color w:val="auto"/>
              </w:rPr>
              <w:t>$22,200</w:t>
            </w:r>
          </w:p>
        </w:tc>
        <w:tc>
          <w:tcPr>
            <w:tcW w:w="2760" w:type="dxa"/>
            <w:vAlign w:val="bottom"/>
          </w:tcPr>
          <w:p>
            <w:pPr>
              <w:jc w:val="right"/>
              <w:ind w:right="859"/>
              <w:spacing w:after="0"/>
              <w:rPr>
                <w:sz w:val="20"/>
                <w:szCs w:val="20"/>
                <w:color w:val="auto"/>
              </w:rPr>
            </w:pPr>
            <w:r>
              <w:rPr>
                <w:rFonts w:ascii="Arial" w:cs="Arial" w:eastAsia="Arial" w:hAnsi="Arial"/>
                <w:sz w:val="16"/>
                <w:szCs w:val="16"/>
                <w:color w:val="auto"/>
              </w:rPr>
              <w:t>$61,679</w:t>
            </w:r>
          </w:p>
        </w:tc>
        <w:tc>
          <w:tcPr>
            <w:tcW w:w="0" w:type="dxa"/>
            <w:vAlign w:val="bottom"/>
          </w:tcPr>
          <w:p>
            <w:pPr>
              <w:spacing w:after="0"/>
              <w:rPr>
                <w:sz w:val="1"/>
                <w:szCs w:val="1"/>
                <w:color w:val="auto"/>
              </w:rPr>
            </w:pPr>
          </w:p>
        </w:tc>
      </w:tr>
      <w:tr>
        <w:trPr>
          <w:trHeight w:val="189"/>
        </w:trPr>
        <w:tc>
          <w:tcPr>
            <w:tcW w:w="3740" w:type="dxa"/>
            <w:vAlign w:val="bottom"/>
            <w:shd w:val="clear" w:color="auto" w:fill="BFBFBF"/>
          </w:tcPr>
          <w:p>
            <w:pPr>
              <w:ind w:left="80"/>
              <w:spacing w:after="0"/>
              <w:rPr>
                <w:sz w:val="20"/>
                <w:szCs w:val="20"/>
                <w:color w:val="auto"/>
              </w:rPr>
            </w:pPr>
            <w:r>
              <w:rPr>
                <w:rFonts w:ascii="Arial" w:cs="Arial" w:eastAsia="Arial" w:hAnsi="Arial"/>
                <w:sz w:val="16"/>
                <w:szCs w:val="16"/>
                <w:b w:val="1"/>
                <w:bCs w:val="1"/>
                <w:color w:val="auto"/>
              </w:rPr>
              <w:t>Broadcom Limited</w:t>
            </w:r>
          </w:p>
        </w:tc>
        <w:tc>
          <w:tcPr>
            <w:tcW w:w="2160" w:type="dxa"/>
            <w:vAlign w:val="bottom"/>
            <w:shd w:val="clear" w:color="auto" w:fill="BFBFBF"/>
          </w:tcPr>
          <w:p>
            <w:pPr>
              <w:spacing w:after="0"/>
              <w:rPr>
                <w:sz w:val="16"/>
                <w:szCs w:val="16"/>
                <w:color w:val="auto"/>
              </w:rPr>
            </w:pPr>
          </w:p>
        </w:tc>
        <w:tc>
          <w:tcPr>
            <w:tcW w:w="2360" w:type="dxa"/>
            <w:vAlign w:val="bottom"/>
            <w:shd w:val="clear" w:color="auto" w:fill="BFBFBF"/>
          </w:tcPr>
          <w:p>
            <w:pPr>
              <w:jc w:val="right"/>
              <w:ind w:right="1519"/>
              <w:spacing w:after="0"/>
              <w:rPr>
                <w:sz w:val="20"/>
                <w:szCs w:val="20"/>
                <w:color w:val="auto"/>
              </w:rPr>
            </w:pPr>
            <w:r>
              <w:rPr>
                <w:rFonts w:ascii="Arial" w:cs="Arial" w:eastAsia="Arial" w:hAnsi="Arial"/>
                <w:sz w:val="16"/>
                <w:szCs w:val="16"/>
                <w:color w:val="auto"/>
              </w:rPr>
              <w:t>$10,892</w:t>
            </w:r>
          </w:p>
        </w:tc>
        <w:tc>
          <w:tcPr>
            <w:tcW w:w="2760" w:type="dxa"/>
            <w:vAlign w:val="bottom"/>
            <w:shd w:val="clear" w:color="auto" w:fill="BFBFBF"/>
          </w:tcPr>
          <w:p>
            <w:pPr>
              <w:jc w:val="right"/>
              <w:ind w:right="859"/>
              <w:spacing w:after="0"/>
              <w:rPr>
                <w:sz w:val="20"/>
                <w:szCs w:val="20"/>
                <w:color w:val="auto"/>
              </w:rPr>
            </w:pPr>
            <w:r>
              <w:rPr>
                <w:rFonts w:ascii="Arial" w:cs="Arial" w:eastAsia="Arial" w:hAnsi="Arial"/>
                <w:sz w:val="16"/>
                <w:szCs w:val="16"/>
                <w:color w:val="auto"/>
              </w:rPr>
              <w:t>$61,869</w:t>
            </w:r>
          </w:p>
        </w:tc>
        <w:tc>
          <w:tcPr>
            <w:tcW w:w="0" w:type="dxa"/>
            <w:vAlign w:val="bottom"/>
          </w:tcPr>
          <w:p>
            <w:pPr>
              <w:spacing w:after="0"/>
              <w:rPr>
                <w:sz w:val="1"/>
                <w:szCs w:val="1"/>
                <w:color w:val="auto"/>
              </w:rPr>
            </w:pPr>
          </w:p>
        </w:tc>
      </w:tr>
      <w:tr>
        <w:trPr>
          <w:trHeight w:val="189"/>
        </w:trPr>
        <w:tc>
          <w:tcPr>
            <w:tcW w:w="3740" w:type="dxa"/>
            <w:vAlign w:val="bottom"/>
            <w:shd w:val="clear" w:color="auto" w:fill="BFBFBF"/>
          </w:tcPr>
          <w:p>
            <w:pPr>
              <w:spacing w:after="0"/>
              <w:rPr>
                <w:sz w:val="16"/>
                <w:szCs w:val="16"/>
                <w:color w:val="auto"/>
              </w:rPr>
            </w:pPr>
          </w:p>
        </w:tc>
        <w:tc>
          <w:tcPr>
            <w:tcW w:w="2160" w:type="dxa"/>
            <w:vAlign w:val="bottom"/>
            <w:shd w:val="clear" w:color="auto" w:fill="BFBFBF"/>
          </w:tcPr>
          <w:p>
            <w:pPr>
              <w:jc w:val="center"/>
              <w:ind w:right="59"/>
              <w:spacing w:after="0"/>
              <w:rPr>
                <w:sz w:val="20"/>
                <w:szCs w:val="20"/>
                <w:color w:val="auto"/>
              </w:rPr>
            </w:pPr>
            <w:r>
              <w:rPr>
                <w:rFonts w:ascii="Arial" w:cs="Arial" w:eastAsia="Arial" w:hAnsi="Arial"/>
                <w:sz w:val="16"/>
                <w:szCs w:val="16"/>
                <w:b w:val="1"/>
                <w:bCs w:val="1"/>
                <w:i w:val="1"/>
                <w:iCs w:val="1"/>
                <w:color w:val="auto"/>
                <w:w w:val="97"/>
              </w:rPr>
              <w:t>Rank</w:t>
            </w:r>
          </w:p>
        </w:tc>
        <w:tc>
          <w:tcPr>
            <w:tcW w:w="2360" w:type="dxa"/>
            <w:vAlign w:val="bottom"/>
            <w:shd w:val="clear" w:color="auto" w:fill="BFBFBF"/>
          </w:tcPr>
          <w:p>
            <w:pPr>
              <w:jc w:val="right"/>
              <w:ind w:right="1659"/>
              <w:spacing w:after="0"/>
              <w:rPr>
                <w:sz w:val="20"/>
                <w:szCs w:val="20"/>
                <w:color w:val="auto"/>
              </w:rPr>
            </w:pPr>
            <w:r>
              <w:rPr>
                <w:rFonts w:ascii="Arial" w:cs="Arial" w:eastAsia="Arial" w:hAnsi="Arial"/>
                <w:sz w:val="16"/>
                <w:szCs w:val="16"/>
                <w:b w:val="1"/>
                <w:bCs w:val="1"/>
                <w:color w:val="auto"/>
              </w:rPr>
              <w:t>28%</w:t>
            </w:r>
          </w:p>
        </w:tc>
        <w:tc>
          <w:tcPr>
            <w:tcW w:w="2760" w:type="dxa"/>
            <w:vAlign w:val="bottom"/>
            <w:shd w:val="clear" w:color="auto" w:fill="BFBFBF"/>
          </w:tcPr>
          <w:p>
            <w:pPr>
              <w:jc w:val="right"/>
              <w:ind w:right="1459"/>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85725</wp:posOffset>
            </wp:positionV>
            <wp:extent cx="13290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71" w:lineRule="exact"/>
        <w:rPr>
          <w:sz w:val="20"/>
          <w:szCs w:val="20"/>
          <w:color w:val="auto"/>
        </w:rPr>
      </w:pPr>
    </w:p>
    <w:p>
      <w:pPr>
        <w:ind w:left="780" w:hanging="246"/>
        <w:spacing w:after="0"/>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publicly reported revenue for the trailing four quarters ended July 30, 2016.</w:t>
      </w:r>
    </w:p>
    <w:p>
      <w:pPr>
        <w:spacing w:after="0" w:line="5" w:lineRule="exact"/>
        <w:rPr>
          <w:rFonts w:ascii="Arial" w:cs="Arial" w:eastAsia="Arial" w:hAnsi="Arial"/>
          <w:sz w:val="16"/>
          <w:szCs w:val="16"/>
          <w:color w:val="auto"/>
        </w:rPr>
      </w:pPr>
    </w:p>
    <w:p>
      <w:pPr>
        <w:ind w:left="780" w:hanging="246"/>
        <w:spacing w:after="0"/>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of July 15, 2016, using publicly reported data available at such date.</w:t>
      </w:r>
    </w:p>
    <w:p>
      <w:pPr>
        <w:spacing w:after="0" w:line="164"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In September 2017, the compensation peer group for Fiscal Year 2018 was updated to reflect the growth in our revenue and market capitalization. Agilent Technologies, Inc., Lam Research Corporation and Seagate Technology PLC were removed due to their revenues or market capitalizations falling below the financial selection criteria set forth above. Companies added to the peer group were Mastercard, Inc., NVIDIA Corporation, PayPal Holdings, Inc., The Priceline Group, Inc., and Visa Inc., which were viewed as appropriate peers because they have revenues and market capitalizations aligned with the applicable selection criteria detailed above, even though some of these companies do not operate in the semiconductor-related or other technology-focused industry.</w:t>
      </w:r>
    </w:p>
    <w:p>
      <w:pPr>
        <w:spacing w:after="0" w:line="151"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Where the peer group data does not provide sufficient information for a particular executive position, the Compensation Committee reviews industry-based market compensation survey data (“</w:t>
      </w:r>
      <w:r>
        <w:rPr>
          <w:rFonts w:ascii="Arial" w:cs="Arial" w:eastAsia="Arial" w:hAnsi="Arial"/>
          <w:sz w:val="18"/>
          <w:szCs w:val="18"/>
          <w:u w:val="single" w:color="auto"/>
          <w:color w:val="auto"/>
        </w:rPr>
        <w:t>market salary surveys</w:t>
      </w:r>
      <w:r>
        <w:rPr>
          <w:rFonts w:ascii="Arial" w:cs="Arial" w:eastAsia="Arial" w:hAnsi="Arial"/>
          <w:sz w:val="18"/>
          <w:szCs w:val="18"/>
          <w:color w:val="auto"/>
        </w:rPr>
        <w:t>”) from the following data sources:</w:t>
      </w:r>
    </w:p>
    <w:p>
      <w:pPr>
        <w:spacing w:after="0" w:line="48" w:lineRule="exact"/>
        <w:rPr>
          <w:sz w:val="20"/>
          <w:szCs w:val="20"/>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Radford Global Technology Survey;</w:t>
      </w:r>
    </w:p>
    <w:p>
      <w:pPr>
        <w:spacing w:after="0" w:line="63"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Radford Global Sales Survey; and</w:t>
      </w:r>
    </w:p>
    <w:p>
      <w:pPr>
        <w:spacing w:after="0" w:line="63"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Mercer High Tech Salary Survey (Asia).</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color w:val="auto"/>
        </w:rPr>
        <w:t>V.</w:t>
        <w:tab/>
        <w:t>Elements of Executive Compensation</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principal components of our executive compensation program are:</w:t>
      </w:r>
    </w:p>
    <w:p>
      <w:pPr>
        <w:spacing w:after="0" w:line="117" w:lineRule="exact"/>
        <w:rPr>
          <w:sz w:val="20"/>
          <w:szCs w:val="20"/>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annual cash incentive bonus plan;</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LTI compensation in the form of equity awards, including a substantial weighting toward performance-based RSUs;</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severance and change in control payments and benefits; and</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modest perquisites and other personal benefits.</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Base Salary</w:t>
      </w:r>
    </w:p>
    <w:p>
      <w:pPr>
        <w:spacing w:after="0" w:line="99"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We believe that a competitive base salary is an important component of our compensation program designed to attract, engage and retain key executives. Base salaries provide fixed, baseline compensation and are set at levels intended to reflect an executive’s level and scope of responsibility, to be within a competitive range for similar positions at the companies in our compensation peer group and/or in the market salary surveys, and taking into account internal pay parity among our executives. The base salaries of our key executives are reviewed annually by the Compensation Committee.</w:t>
      </w:r>
    </w:p>
    <w:p>
      <w:pPr>
        <w:spacing w:after="0" w:line="149" w:lineRule="exact"/>
        <w:rPr>
          <w:sz w:val="20"/>
          <w:szCs w:val="20"/>
          <w:color w:val="auto"/>
        </w:rPr>
      </w:pPr>
    </w:p>
    <w:p>
      <w:pPr>
        <w:ind w:left="200" w:right="360" w:firstLine="551"/>
        <w:spacing w:after="0"/>
        <w:rPr>
          <w:sz w:val="20"/>
          <w:szCs w:val="20"/>
          <w:color w:val="auto"/>
        </w:rPr>
      </w:pPr>
      <w:r>
        <w:rPr>
          <w:rFonts w:ascii="Arial" w:cs="Arial" w:eastAsia="Arial" w:hAnsi="Arial"/>
          <w:sz w:val="18"/>
          <w:szCs w:val="18"/>
          <w:color w:val="auto"/>
        </w:rPr>
        <w:t>Our CEO makes recommendations to the Compensation Committee with respect to base salary adjustments for key executives (other than himself). The Compensation Committee reviews and considers several factors in determining annual adjustments to an executive’s base salary, including:</w:t>
      </w:r>
    </w:p>
    <w:p>
      <w:pPr>
        <w:spacing w:after="0" w:line="108" w:lineRule="exact"/>
        <w:rPr>
          <w:sz w:val="20"/>
          <w:szCs w:val="20"/>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economic and business conditions and outlook;</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individual performance throughout the prior fiscal year, including senior leadership ability and fiscal responsibility;</w:t>
      </w:r>
    </w:p>
    <w:p>
      <w:pPr>
        <w:spacing w:after="0" w:line="117" w:lineRule="exact"/>
        <w:rPr>
          <w:rFonts w:ascii="Arial" w:cs="Arial" w:eastAsia="Arial" w:hAnsi="Arial"/>
          <w:sz w:val="18"/>
          <w:szCs w:val="18"/>
          <w:color w:val="auto"/>
        </w:rPr>
      </w:pPr>
    </w:p>
    <w:p>
      <w:pPr>
        <w:ind w:left="1180" w:right="340" w:hanging="436"/>
        <w:spacing w:after="0" w:line="246"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actual pay rate of our executives as compared to market pay rates from the compensation peer group data and market survey data; and</w:t>
      </w:r>
    </w:p>
    <w:p>
      <w:pPr>
        <w:spacing w:after="0" w:line="102"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internal pay parity.</w:t>
      </w:r>
    </w:p>
    <w:p>
      <w:pPr>
        <w:spacing w:after="0" w:line="158" w:lineRule="exact"/>
        <w:rPr>
          <w:sz w:val="20"/>
          <w:szCs w:val="20"/>
          <w:color w:val="auto"/>
        </w:rPr>
      </w:pPr>
    </w:p>
    <w:p>
      <w:pPr>
        <w:ind w:left="200" w:right="540" w:firstLine="551"/>
        <w:spacing w:after="0"/>
        <w:rPr>
          <w:sz w:val="20"/>
          <w:szCs w:val="20"/>
          <w:color w:val="auto"/>
        </w:rPr>
      </w:pPr>
      <w:r>
        <w:rPr>
          <w:rFonts w:ascii="Arial" w:cs="Arial" w:eastAsia="Arial" w:hAnsi="Arial"/>
          <w:sz w:val="18"/>
          <w:szCs w:val="18"/>
          <w:color w:val="auto"/>
        </w:rPr>
        <w:t>The Compensation Committee reviews and considers many factors in determining individual performance for the purposes of adjusting base salaries. These factors include such measures as division or function performance against budget, achievement of divisional or functional goals, new product introductions and corporate strategy implementation.</w:t>
      </w:r>
    </w:p>
    <w:p>
      <w:pPr>
        <w:spacing w:after="0" w:line="149"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For Fiscal Year 2017, the Compensation Committee and, in the case of our CEO, the Independent Directors elected to maintain the base salary for our NEOs at their Fiscal Year 2016 levels.</w:t>
      </w:r>
    </w:p>
    <w:p>
      <w:pPr>
        <w:spacing w:after="0" w:line="17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260" w:type="dxa"/>
            <w:vAlign w:val="bottom"/>
            <w:shd w:val="clear" w:color="auto" w:fill="7F7F7F"/>
          </w:tcPr>
          <w:p>
            <w:pPr>
              <w:spacing w:after="0"/>
              <w:rPr>
                <w:sz w:val="16"/>
                <w:szCs w:val="16"/>
                <w:color w:val="auto"/>
              </w:rPr>
            </w:pPr>
          </w:p>
        </w:tc>
        <w:tc>
          <w:tcPr>
            <w:tcW w:w="4620" w:type="dxa"/>
            <w:vAlign w:val="bottom"/>
            <w:shd w:val="clear" w:color="auto" w:fill="7F7F7F"/>
          </w:tcPr>
          <w:p>
            <w:pPr>
              <w:spacing w:after="0"/>
              <w:rPr>
                <w:sz w:val="16"/>
                <w:szCs w:val="16"/>
                <w:color w:val="auto"/>
              </w:rPr>
            </w:pPr>
          </w:p>
        </w:tc>
        <w:tc>
          <w:tcPr>
            <w:tcW w:w="640" w:type="dxa"/>
            <w:vAlign w:val="bottom"/>
            <w:shd w:val="clear" w:color="auto" w:fill="7F7F7F"/>
          </w:tcPr>
          <w:p>
            <w:pPr>
              <w:spacing w:after="0"/>
              <w:rPr>
                <w:sz w:val="16"/>
                <w:szCs w:val="16"/>
                <w:color w:val="auto"/>
              </w:rPr>
            </w:pPr>
          </w:p>
        </w:tc>
        <w:tc>
          <w:tcPr>
            <w:tcW w:w="940" w:type="dxa"/>
            <w:vAlign w:val="bottom"/>
            <w:shd w:val="clear" w:color="auto" w:fill="7F7F7F"/>
          </w:tcPr>
          <w:p>
            <w:pPr>
              <w:jc w:val="center"/>
              <w:ind w:right="339"/>
              <w:spacing w:after="0"/>
              <w:rPr>
                <w:sz w:val="20"/>
                <w:szCs w:val="20"/>
                <w:color w:val="auto"/>
              </w:rPr>
            </w:pPr>
            <w:r>
              <w:rPr>
                <w:rFonts w:ascii="Arial" w:cs="Arial" w:eastAsia="Arial" w:hAnsi="Arial"/>
                <w:sz w:val="16"/>
                <w:szCs w:val="16"/>
                <w:b w:val="1"/>
                <w:bCs w:val="1"/>
                <w:color w:val="FFFFFF"/>
              </w:rPr>
              <w:t>Base</w:t>
            </w:r>
          </w:p>
        </w:tc>
        <w:tc>
          <w:tcPr>
            <w:tcW w:w="420" w:type="dxa"/>
            <w:vAlign w:val="bottom"/>
            <w:shd w:val="clear" w:color="auto" w:fill="7F7F7F"/>
          </w:tcPr>
          <w:p>
            <w:pPr>
              <w:spacing w:after="0"/>
              <w:rPr>
                <w:sz w:val="16"/>
                <w:szCs w:val="16"/>
                <w:color w:val="auto"/>
              </w:rPr>
            </w:pPr>
          </w:p>
        </w:tc>
        <w:tc>
          <w:tcPr>
            <w:tcW w:w="1120" w:type="dxa"/>
            <w:vAlign w:val="bottom"/>
            <w:shd w:val="clear" w:color="auto" w:fill="7F7F7F"/>
          </w:tcPr>
          <w:p>
            <w:pPr>
              <w:jc w:val="center"/>
              <w:ind w:right="521"/>
              <w:spacing w:after="0"/>
              <w:rPr>
                <w:sz w:val="20"/>
                <w:szCs w:val="20"/>
                <w:color w:val="auto"/>
              </w:rPr>
            </w:pPr>
            <w:r>
              <w:rPr>
                <w:rFonts w:ascii="Arial" w:cs="Arial" w:eastAsia="Arial" w:hAnsi="Arial"/>
                <w:sz w:val="16"/>
                <w:szCs w:val="16"/>
                <w:b w:val="1"/>
                <w:bCs w:val="1"/>
                <w:color w:val="FFFFFF"/>
              </w:rPr>
              <w:t>Base</w:t>
            </w:r>
          </w:p>
        </w:tc>
        <w:tc>
          <w:tcPr>
            <w:tcW w:w="1020" w:type="dxa"/>
            <w:vAlign w:val="bottom"/>
            <w:shd w:val="clear" w:color="auto" w:fill="7F7F7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7F7F7F"/>
          </w:tcPr>
          <w:p>
            <w:pPr>
              <w:spacing w:after="0"/>
              <w:rPr>
                <w:sz w:val="16"/>
                <w:szCs w:val="16"/>
                <w:color w:val="auto"/>
              </w:rPr>
            </w:pPr>
          </w:p>
        </w:tc>
        <w:tc>
          <w:tcPr>
            <w:tcW w:w="4620" w:type="dxa"/>
            <w:vAlign w:val="bottom"/>
            <w:shd w:val="clear" w:color="auto" w:fill="7F7F7F"/>
          </w:tcPr>
          <w:p>
            <w:pPr>
              <w:spacing w:after="0"/>
              <w:rPr>
                <w:sz w:val="16"/>
                <w:szCs w:val="16"/>
                <w:color w:val="auto"/>
              </w:rPr>
            </w:pPr>
          </w:p>
        </w:tc>
        <w:tc>
          <w:tcPr>
            <w:tcW w:w="640" w:type="dxa"/>
            <w:vAlign w:val="bottom"/>
            <w:shd w:val="clear" w:color="auto" w:fill="7F7F7F"/>
          </w:tcPr>
          <w:p>
            <w:pPr>
              <w:spacing w:after="0"/>
              <w:rPr>
                <w:sz w:val="16"/>
                <w:szCs w:val="16"/>
                <w:color w:val="auto"/>
              </w:rPr>
            </w:pPr>
          </w:p>
        </w:tc>
        <w:tc>
          <w:tcPr>
            <w:tcW w:w="940" w:type="dxa"/>
            <w:vAlign w:val="bottom"/>
            <w:shd w:val="clear" w:color="auto" w:fill="7F7F7F"/>
          </w:tcPr>
          <w:p>
            <w:pPr>
              <w:jc w:val="center"/>
              <w:ind w:right="339"/>
              <w:spacing w:after="0"/>
              <w:rPr>
                <w:sz w:val="20"/>
                <w:szCs w:val="20"/>
                <w:color w:val="auto"/>
              </w:rPr>
            </w:pPr>
            <w:r>
              <w:rPr>
                <w:rFonts w:ascii="Arial" w:cs="Arial" w:eastAsia="Arial" w:hAnsi="Arial"/>
                <w:sz w:val="16"/>
                <w:szCs w:val="16"/>
                <w:b w:val="1"/>
                <w:bCs w:val="1"/>
                <w:color w:val="FFFFFF"/>
                <w:w w:val="99"/>
              </w:rPr>
              <w:t>Salary</w:t>
            </w:r>
          </w:p>
        </w:tc>
        <w:tc>
          <w:tcPr>
            <w:tcW w:w="420" w:type="dxa"/>
            <w:vAlign w:val="bottom"/>
            <w:shd w:val="clear" w:color="auto" w:fill="7F7F7F"/>
          </w:tcPr>
          <w:p>
            <w:pPr>
              <w:spacing w:after="0"/>
              <w:rPr>
                <w:sz w:val="16"/>
                <w:szCs w:val="16"/>
                <w:color w:val="auto"/>
              </w:rPr>
            </w:pPr>
          </w:p>
        </w:tc>
        <w:tc>
          <w:tcPr>
            <w:tcW w:w="1120" w:type="dxa"/>
            <w:vAlign w:val="bottom"/>
            <w:shd w:val="clear" w:color="auto" w:fill="7F7F7F"/>
          </w:tcPr>
          <w:p>
            <w:pPr>
              <w:jc w:val="center"/>
              <w:ind w:right="521"/>
              <w:spacing w:after="0"/>
              <w:rPr>
                <w:sz w:val="20"/>
                <w:szCs w:val="20"/>
                <w:color w:val="auto"/>
              </w:rPr>
            </w:pPr>
            <w:r>
              <w:rPr>
                <w:rFonts w:ascii="Arial" w:cs="Arial" w:eastAsia="Arial" w:hAnsi="Arial"/>
                <w:sz w:val="16"/>
                <w:szCs w:val="16"/>
                <w:b w:val="1"/>
                <w:bCs w:val="1"/>
                <w:color w:val="FFFFFF"/>
                <w:w w:val="99"/>
              </w:rPr>
              <w:t>Salary</w:t>
            </w:r>
          </w:p>
        </w:tc>
        <w:tc>
          <w:tcPr>
            <w:tcW w:w="1020" w:type="dxa"/>
            <w:vAlign w:val="bottom"/>
            <w:shd w:val="clear" w:color="auto" w:fill="7F7F7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7F7F7F"/>
          </w:tcPr>
          <w:p>
            <w:pPr>
              <w:spacing w:after="0"/>
              <w:rPr>
                <w:sz w:val="16"/>
                <w:szCs w:val="16"/>
                <w:color w:val="auto"/>
              </w:rPr>
            </w:pPr>
          </w:p>
        </w:tc>
        <w:tc>
          <w:tcPr>
            <w:tcW w:w="4620" w:type="dxa"/>
            <w:vAlign w:val="bottom"/>
            <w:shd w:val="clear" w:color="auto" w:fill="7F7F7F"/>
          </w:tcPr>
          <w:p>
            <w:pPr>
              <w:spacing w:after="0"/>
              <w:rPr>
                <w:sz w:val="16"/>
                <w:szCs w:val="16"/>
                <w:color w:val="auto"/>
              </w:rPr>
            </w:pPr>
          </w:p>
        </w:tc>
        <w:tc>
          <w:tcPr>
            <w:tcW w:w="640" w:type="dxa"/>
            <w:vAlign w:val="bottom"/>
            <w:shd w:val="clear" w:color="auto" w:fill="7F7F7F"/>
          </w:tcPr>
          <w:p>
            <w:pPr>
              <w:spacing w:after="0"/>
              <w:rPr>
                <w:sz w:val="16"/>
                <w:szCs w:val="16"/>
                <w:color w:val="auto"/>
              </w:rPr>
            </w:pPr>
          </w:p>
        </w:tc>
        <w:tc>
          <w:tcPr>
            <w:tcW w:w="940" w:type="dxa"/>
            <w:vAlign w:val="bottom"/>
            <w:shd w:val="clear" w:color="auto" w:fill="7F7F7F"/>
          </w:tcPr>
          <w:p>
            <w:pPr>
              <w:jc w:val="center"/>
              <w:ind w:right="339"/>
              <w:spacing w:after="0"/>
              <w:rPr>
                <w:sz w:val="20"/>
                <w:szCs w:val="20"/>
                <w:color w:val="auto"/>
              </w:rPr>
            </w:pPr>
            <w:r>
              <w:rPr>
                <w:rFonts w:ascii="Arial" w:cs="Arial" w:eastAsia="Arial" w:hAnsi="Arial"/>
                <w:sz w:val="16"/>
                <w:szCs w:val="16"/>
                <w:b w:val="1"/>
                <w:bCs w:val="1"/>
                <w:color w:val="FFFFFF"/>
                <w:w w:val="98"/>
              </w:rPr>
              <w:t>(USD)</w:t>
            </w:r>
          </w:p>
        </w:tc>
        <w:tc>
          <w:tcPr>
            <w:tcW w:w="420" w:type="dxa"/>
            <w:vAlign w:val="bottom"/>
            <w:shd w:val="clear" w:color="auto" w:fill="7F7F7F"/>
          </w:tcPr>
          <w:p>
            <w:pPr>
              <w:spacing w:after="0"/>
              <w:rPr>
                <w:sz w:val="16"/>
                <w:szCs w:val="16"/>
                <w:color w:val="auto"/>
              </w:rPr>
            </w:pPr>
          </w:p>
        </w:tc>
        <w:tc>
          <w:tcPr>
            <w:tcW w:w="1120" w:type="dxa"/>
            <w:vAlign w:val="bottom"/>
            <w:shd w:val="clear" w:color="auto" w:fill="7F7F7F"/>
          </w:tcPr>
          <w:p>
            <w:pPr>
              <w:jc w:val="center"/>
              <w:ind w:right="521"/>
              <w:spacing w:after="0"/>
              <w:rPr>
                <w:sz w:val="20"/>
                <w:szCs w:val="20"/>
                <w:color w:val="auto"/>
              </w:rPr>
            </w:pPr>
            <w:r>
              <w:rPr>
                <w:rFonts w:ascii="Arial" w:cs="Arial" w:eastAsia="Arial" w:hAnsi="Arial"/>
                <w:sz w:val="16"/>
                <w:szCs w:val="16"/>
                <w:b w:val="1"/>
                <w:bCs w:val="1"/>
                <w:color w:val="FFFFFF"/>
                <w:w w:val="98"/>
              </w:rPr>
              <w:t>(USD)</w:t>
            </w:r>
          </w:p>
        </w:tc>
        <w:tc>
          <w:tcPr>
            <w:tcW w:w="1020" w:type="dxa"/>
            <w:vAlign w:val="bottom"/>
            <w:shd w:val="clear" w:color="auto" w:fill="7F7F7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7F7F7F"/>
          </w:tcPr>
          <w:p>
            <w:pPr>
              <w:spacing w:after="0"/>
              <w:rPr>
                <w:sz w:val="16"/>
                <w:szCs w:val="16"/>
                <w:color w:val="auto"/>
              </w:rPr>
            </w:pPr>
          </w:p>
        </w:tc>
        <w:tc>
          <w:tcPr>
            <w:tcW w:w="4620" w:type="dxa"/>
            <w:vAlign w:val="bottom"/>
            <w:shd w:val="clear" w:color="auto" w:fill="7F7F7F"/>
          </w:tcPr>
          <w:p>
            <w:pPr>
              <w:spacing w:after="0"/>
              <w:rPr>
                <w:sz w:val="16"/>
                <w:szCs w:val="16"/>
                <w:color w:val="auto"/>
              </w:rPr>
            </w:pPr>
          </w:p>
        </w:tc>
        <w:tc>
          <w:tcPr>
            <w:tcW w:w="1580" w:type="dxa"/>
            <w:vAlign w:val="bottom"/>
            <w:gridSpan w:val="2"/>
            <w:shd w:val="clear" w:color="auto" w:fill="7F7F7F"/>
          </w:tcPr>
          <w:p>
            <w:pPr>
              <w:ind w:left="560"/>
              <w:spacing w:after="0"/>
              <w:rPr>
                <w:sz w:val="20"/>
                <w:szCs w:val="20"/>
                <w:color w:val="auto"/>
              </w:rPr>
            </w:pPr>
            <w:r>
              <w:rPr>
                <w:rFonts w:ascii="Arial" w:cs="Arial" w:eastAsia="Arial" w:hAnsi="Arial"/>
                <w:sz w:val="16"/>
                <w:szCs w:val="16"/>
                <w:b w:val="1"/>
                <w:bCs w:val="1"/>
                <w:color w:val="FFFFFF"/>
              </w:rPr>
              <w:t>Effective</w:t>
            </w:r>
          </w:p>
        </w:tc>
        <w:tc>
          <w:tcPr>
            <w:tcW w:w="1540" w:type="dxa"/>
            <w:vAlign w:val="bottom"/>
            <w:gridSpan w:val="2"/>
            <w:shd w:val="clear" w:color="auto" w:fill="7F7F7F"/>
          </w:tcPr>
          <w:p>
            <w:pPr>
              <w:ind w:left="340"/>
              <w:spacing w:after="0"/>
              <w:rPr>
                <w:sz w:val="20"/>
                <w:szCs w:val="20"/>
                <w:color w:val="auto"/>
              </w:rPr>
            </w:pPr>
            <w:r>
              <w:rPr>
                <w:rFonts w:ascii="Arial" w:cs="Arial" w:eastAsia="Arial" w:hAnsi="Arial"/>
                <w:sz w:val="16"/>
                <w:szCs w:val="16"/>
                <w:b w:val="1"/>
                <w:bCs w:val="1"/>
                <w:color w:val="FFFFFF"/>
              </w:rPr>
              <w:t>Effective</w:t>
            </w:r>
          </w:p>
        </w:tc>
        <w:tc>
          <w:tcPr>
            <w:tcW w:w="1020" w:type="dxa"/>
            <w:vAlign w:val="bottom"/>
            <w:shd w:val="clear" w:color="auto" w:fill="7F7F7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260" w:type="dxa"/>
            <w:vAlign w:val="bottom"/>
            <w:shd w:val="clear" w:color="auto" w:fill="7F7F7F"/>
          </w:tcPr>
          <w:p>
            <w:pPr>
              <w:ind w:left="900"/>
              <w:spacing w:after="0"/>
              <w:rPr>
                <w:sz w:val="20"/>
                <w:szCs w:val="20"/>
                <w:color w:val="auto"/>
              </w:rPr>
            </w:pPr>
            <w:r>
              <w:rPr>
                <w:rFonts w:ascii="Arial" w:cs="Arial" w:eastAsia="Arial" w:hAnsi="Arial"/>
                <w:sz w:val="16"/>
                <w:szCs w:val="16"/>
                <w:b w:val="1"/>
                <w:bCs w:val="1"/>
                <w:color w:val="FFFFFF"/>
              </w:rPr>
              <w:t>NEO</w:t>
            </w:r>
          </w:p>
        </w:tc>
        <w:tc>
          <w:tcPr>
            <w:tcW w:w="4620" w:type="dxa"/>
            <w:vAlign w:val="bottom"/>
            <w:shd w:val="clear" w:color="auto" w:fill="7F7F7F"/>
          </w:tcPr>
          <w:p>
            <w:pPr>
              <w:ind w:left="2320"/>
              <w:spacing w:after="0"/>
              <w:rPr>
                <w:sz w:val="20"/>
                <w:szCs w:val="20"/>
                <w:color w:val="auto"/>
              </w:rPr>
            </w:pPr>
            <w:r>
              <w:rPr>
                <w:rFonts w:ascii="Arial" w:cs="Arial" w:eastAsia="Arial" w:hAnsi="Arial"/>
                <w:sz w:val="16"/>
                <w:szCs w:val="16"/>
                <w:b w:val="1"/>
                <w:bCs w:val="1"/>
                <w:color w:val="FFFFFF"/>
              </w:rPr>
              <w:t>Title</w:t>
            </w:r>
          </w:p>
        </w:tc>
        <w:tc>
          <w:tcPr>
            <w:tcW w:w="1580" w:type="dxa"/>
            <w:vAlign w:val="bottom"/>
            <w:gridSpan w:val="2"/>
            <w:shd w:val="clear" w:color="auto" w:fill="7F7F7F"/>
          </w:tcPr>
          <w:p>
            <w:pPr>
              <w:jc w:val="center"/>
              <w:ind w:left="139"/>
              <w:spacing w:after="0"/>
              <w:rPr>
                <w:sz w:val="20"/>
                <w:szCs w:val="20"/>
                <w:color w:val="auto"/>
              </w:rPr>
            </w:pPr>
            <w:r>
              <w:rPr>
                <w:rFonts w:ascii="Arial" w:cs="Arial" w:eastAsia="Arial" w:hAnsi="Arial"/>
                <w:sz w:val="16"/>
                <w:szCs w:val="16"/>
                <w:b w:val="1"/>
                <w:bCs w:val="1"/>
                <w:color w:val="FFFFFF"/>
              </w:rPr>
              <w:t>July 1, 2016</w:t>
            </w:r>
          </w:p>
        </w:tc>
        <w:tc>
          <w:tcPr>
            <w:tcW w:w="1540" w:type="dxa"/>
            <w:vAlign w:val="bottom"/>
            <w:gridSpan w:val="2"/>
            <w:shd w:val="clear" w:color="auto" w:fill="7F7F7F"/>
          </w:tcPr>
          <w:p>
            <w:pPr>
              <w:jc w:val="center"/>
              <w:ind w:right="101"/>
              <w:spacing w:after="0"/>
              <w:rPr>
                <w:sz w:val="20"/>
                <w:szCs w:val="20"/>
                <w:color w:val="auto"/>
              </w:rPr>
            </w:pPr>
            <w:r>
              <w:rPr>
                <w:rFonts w:ascii="Arial" w:cs="Arial" w:eastAsia="Arial" w:hAnsi="Arial"/>
                <w:sz w:val="16"/>
                <w:szCs w:val="16"/>
                <w:b w:val="1"/>
                <w:bCs w:val="1"/>
                <w:color w:val="FFFFFF"/>
              </w:rPr>
              <w:t>July 1, 2017</w:t>
            </w:r>
          </w:p>
        </w:tc>
        <w:tc>
          <w:tcPr>
            <w:tcW w:w="1020" w:type="dxa"/>
            <w:vAlign w:val="bottom"/>
            <w:shd w:val="clear" w:color="auto" w:fill="7F7F7F"/>
          </w:tcPr>
          <w:p>
            <w:pPr>
              <w:ind w:left="220"/>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89"/>
        </w:trPr>
        <w:tc>
          <w:tcPr>
            <w:tcW w:w="2260" w:type="dxa"/>
            <w:vAlign w:val="bottom"/>
          </w:tcPr>
          <w:p>
            <w:pPr>
              <w:ind w:left="80"/>
              <w:spacing w:after="0"/>
              <w:rPr>
                <w:sz w:val="20"/>
                <w:szCs w:val="20"/>
                <w:color w:val="auto"/>
              </w:rPr>
            </w:pPr>
            <w:r>
              <w:rPr>
                <w:rFonts w:ascii="Arial" w:cs="Arial" w:eastAsia="Arial" w:hAnsi="Arial"/>
                <w:sz w:val="16"/>
                <w:szCs w:val="16"/>
                <w:color w:val="auto"/>
              </w:rPr>
              <w:t>Hock E. Tan</w:t>
            </w:r>
          </w:p>
        </w:tc>
        <w:tc>
          <w:tcPr>
            <w:tcW w:w="4620" w:type="dxa"/>
            <w:vAlign w:val="bottom"/>
          </w:tcPr>
          <w:p>
            <w:pPr>
              <w:ind w:left="320"/>
              <w:spacing w:after="0"/>
              <w:rPr>
                <w:sz w:val="20"/>
                <w:szCs w:val="20"/>
                <w:color w:val="auto"/>
              </w:rPr>
            </w:pPr>
            <w:r>
              <w:rPr>
                <w:rFonts w:ascii="Arial" w:cs="Arial" w:eastAsia="Arial" w:hAnsi="Arial"/>
                <w:sz w:val="16"/>
                <w:szCs w:val="16"/>
                <w:color w:val="auto"/>
              </w:rPr>
              <w:t>President and Chief Executive Officer</w:t>
            </w:r>
          </w:p>
        </w:tc>
        <w:tc>
          <w:tcPr>
            <w:tcW w:w="640" w:type="dxa"/>
            <w:vAlign w:val="bottom"/>
          </w:tcPr>
          <w:p>
            <w:pPr>
              <w:ind w:left="5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w w:val="98"/>
              </w:rPr>
              <w:t>1,100,000</w:t>
            </w:r>
          </w:p>
        </w:tc>
        <w:tc>
          <w:tcPr>
            <w:tcW w:w="420" w:type="dxa"/>
            <w:vAlign w:val="bottom"/>
          </w:tcPr>
          <w:p>
            <w:pPr>
              <w:ind w:left="3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21"/>
              <w:spacing w:after="0"/>
              <w:rPr>
                <w:sz w:val="20"/>
                <w:szCs w:val="20"/>
                <w:color w:val="auto"/>
              </w:rPr>
            </w:pPr>
            <w:r>
              <w:rPr>
                <w:rFonts w:ascii="Arial" w:cs="Arial" w:eastAsia="Arial" w:hAnsi="Arial"/>
                <w:sz w:val="16"/>
                <w:szCs w:val="16"/>
                <w:color w:val="auto"/>
                <w:w w:val="98"/>
              </w:rPr>
              <w:t>1,100,000</w:t>
            </w:r>
          </w:p>
        </w:tc>
        <w:tc>
          <w:tcPr>
            <w:tcW w:w="1020" w:type="dxa"/>
            <w:vAlign w:val="bottom"/>
          </w:tcPr>
          <w:p>
            <w:pPr>
              <w:jc w:val="center"/>
              <w:ind w:lef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260" w:type="dxa"/>
            <w:vAlign w:val="bottom"/>
            <w:shd w:val="clear" w:color="auto" w:fill="BFBFBF"/>
          </w:tcPr>
          <w:p>
            <w:pPr>
              <w:ind w:left="80"/>
              <w:spacing w:after="0"/>
              <w:rPr>
                <w:sz w:val="20"/>
                <w:szCs w:val="20"/>
                <w:color w:val="auto"/>
              </w:rPr>
            </w:pPr>
            <w:r>
              <w:rPr>
                <w:rFonts w:ascii="Arial" w:cs="Arial" w:eastAsia="Arial" w:hAnsi="Arial"/>
                <w:sz w:val="16"/>
                <w:szCs w:val="16"/>
                <w:color w:val="auto"/>
              </w:rPr>
              <w:t>Thomas H. Krause Jr.</w:t>
            </w:r>
          </w:p>
        </w:tc>
        <w:tc>
          <w:tcPr>
            <w:tcW w:w="4620" w:type="dxa"/>
            <w:vAlign w:val="bottom"/>
            <w:shd w:val="clear" w:color="auto" w:fill="BFBFBF"/>
          </w:tcPr>
          <w:p>
            <w:pPr>
              <w:ind w:left="320"/>
              <w:spacing w:after="0"/>
              <w:rPr>
                <w:sz w:val="20"/>
                <w:szCs w:val="20"/>
                <w:color w:val="auto"/>
              </w:rPr>
            </w:pPr>
            <w:r>
              <w:rPr>
                <w:rFonts w:ascii="Arial" w:cs="Arial" w:eastAsia="Arial" w:hAnsi="Arial"/>
                <w:sz w:val="16"/>
                <w:szCs w:val="16"/>
                <w:color w:val="auto"/>
              </w:rPr>
              <w:t>Chief Financial Officer</w:t>
            </w:r>
          </w:p>
        </w:tc>
        <w:tc>
          <w:tcPr>
            <w:tcW w:w="640" w:type="dxa"/>
            <w:vAlign w:val="bottom"/>
            <w:shd w:val="clear" w:color="auto" w:fill="BFBFBF"/>
          </w:tcPr>
          <w:p>
            <w:pPr>
              <w:ind w:left="54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371,158</w:t>
            </w:r>
          </w:p>
        </w:tc>
        <w:tc>
          <w:tcPr>
            <w:tcW w:w="420" w:type="dxa"/>
            <w:vAlign w:val="bottom"/>
            <w:shd w:val="clear" w:color="auto" w:fill="BFBFBF"/>
          </w:tcPr>
          <w:p>
            <w:pPr>
              <w:ind w:left="32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BFBFBF"/>
          </w:tcPr>
          <w:p>
            <w:pPr>
              <w:jc w:val="right"/>
              <w:ind w:right="161"/>
              <w:spacing w:after="0" w:line="189" w:lineRule="exact"/>
              <w:rPr>
                <w:sz w:val="20"/>
                <w:szCs w:val="20"/>
                <w:color w:val="auto"/>
              </w:rPr>
            </w:pPr>
            <w:r>
              <w:rPr>
                <w:rFonts w:ascii="Arial" w:cs="Arial" w:eastAsia="Arial" w:hAnsi="Arial"/>
                <w:sz w:val="13"/>
                <w:szCs w:val="13"/>
                <w:color w:val="auto"/>
              </w:rPr>
              <w:t>400,000</w:t>
            </w:r>
            <w:r>
              <w:rPr>
                <w:rFonts w:ascii="Arial" w:cs="Arial" w:eastAsia="Arial" w:hAnsi="Arial"/>
                <w:sz w:val="21"/>
                <w:szCs w:val="21"/>
                <w:color w:val="auto"/>
                <w:vertAlign w:val="superscript"/>
              </w:rPr>
              <w:t>(1)</w:t>
            </w:r>
          </w:p>
        </w:tc>
        <w:tc>
          <w:tcPr>
            <w:tcW w:w="1020" w:type="dxa"/>
            <w:vAlign w:val="bottom"/>
            <w:shd w:val="clear" w:color="auto" w:fill="BFBFBF"/>
          </w:tcPr>
          <w:p>
            <w:pPr>
              <w:jc w:val="center"/>
              <w:ind w:left="1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89"/>
        </w:trPr>
        <w:tc>
          <w:tcPr>
            <w:tcW w:w="2260" w:type="dxa"/>
            <w:vAlign w:val="bottom"/>
          </w:tcPr>
          <w:p>
            <w:pPr>
              <w:ind w:left="80"/>
              <w:spacing w:after="0"/>
              <w:rPr>
                <w:sz w:val="20"/>
                <w:szCs w:val="20"/>
                <w:color w:val="auto"/>
              </w:rPr>
            </w:pPr>
            <w:r>
              <w:rPr>
                <w:rFonts w:ascii="Arial" w:cs="Arial" w:eastAsia="Arial" w:hAnsi="Arial"/>
                <w:sz w:val="16"/>
                <w:szCs w:val="16"/>
                <w:color w:val="auto"/>
              </w:rPr>
              <w:t>Charlie B. Kawwas, Ph.D.</w:t>
            </w:r>
          </w:p>
        </w:tc>
        <w:tc>
          <w:tcPr>
            <w:tcW w:w="4620" w:type="dxa"/>
            <w:vAlign w:val="bottom"/>
          </w:tcPr>
          <w:p>
            <w:pPr>
              <w:ind w:left="320"/>
              <w:spacing w:after="0"/>
              <w:rPr>
                <w:sz w:val="20"/>
                <w:szCs w:val="20"/>
                <w:color w:val="auto"/>
              </w:rPr>
            </w:pPr>
            <w:r>
              <w:rPr>
                <w:rFonts w:ascii="Arial" w:cs="Arial" w:eastAsia="Arial" w:hAnsi="Arial"/>
                <w:sz w:val="16"/>
                <w:szCs w:val="16"/>
                <w:color w:val="auto"/>
              </w:rPr>
              <w:t>Senior Vice President and Chief Sales Officer</w:t>
            </w:r>
          </w:p>
        </w:tc>
        <w:tc>
          <w:tcPr>
            <w:tcW w:w="640" w:type="dxa"/>
            <w:vAlign w:val="bottom"/>
          </w:tcPr>
          <w:p>
            <w:pPr>
              <w:ind w:left="5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488,529</w:t>
            </w:r>
          </w:p>
        </w:tc>
        <w:tc>
          <w:tcPr>
            <w:tcW w:w="420" w:type="dxa"/>
            <w:vAlign w:val="bottom"/>
          </w:tcPr>
          <w:p>
            <w:pPr>
              <w:ind w:left="3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21"/>
              <w:spacing w:after="0"/>
              <w:rPr>
                <w:sz w:val="20"/>
                <w:szCs w:val="20"/>
                <w:color w:val="auto"/>
              </w:rPr>
            </w:pPr>
            <w:r>
              <w:rPr>
                <w:rFonts w:ascii="Arial" w:cs="Arial" w:eastAsia="Arial" w:hAnsi="Arial"/>
                <w:sz w:val="16"/>
                <w:szCs w:val="16"/>
                <w:color w:val="auto"/>
              </w:rPr>
              <w:t>488,529</w:t>
            </w:r>
          </w:p>
        </w:tc>
        <w:tc>
          <w:tcPr>
            <w:tcW w:w="1020" w:type="dxa"/>
            <w:vAlign w:val="bottom"/>
          </w:tcPr>
          <w:p>
            <w:pPr>
              <w:jc w:val="center"/>
              <w:ind w:lef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260" w:type="dxa"/>
            <w:vAlign w:val="bottom"/>
            <w:shd w:val="clear" w:color="auto" w:fill="BFBFBF"/>
          </w:tcPr>
          <w:p>
            <w:pPr>
              <w:ind w:left="80"/>
              <w:spacing w:after="0" w:line="189" w:lineRule="exact"/>
              <w:rPr>
                <w:sz w:val="20"/>
                <w:szCs w:val="20"/>
                <w:color w:val="auto"/>
              </w:rPr>
            </w:pPr>
            <w:r>
              <w:rPr>
                <w:rFonts w:ascii="Arial" w:cs="Arial" w:eastAsia="Arial" w:hAnsi="Arial"/>
                <w:sz w:val="13"/>
                <w:szCs w:val="13"/>
                <w:color w:val="auto"/>
              </w:rPr>
              <w:t>Mark D. Brazeal</w:t>
            </w:r>
            <w:r>
              <w:rPr>
                <w:rFonts w:ascii="Arial" w:cs="Arial" w:eastAsia="Arial" w:hAnsi="Arial"/>
                <w:sz w:val="21"/>
                <w:szCs w:val="21"/>
                <w:color w:val="auto"/>
                <w:vertAlign w:val="superscript"/>
              </w:rPr>
              <w:t>(2)</w:t>
            </w:r>
          </w:p>
        </w:tc>
        <w:tc>
          <w:tcPr>
            <w:tcW w:w="4620" w:type="dxa"/>
            <w:vAlign w:val="bottom"/>
            <w:shd w:val="clear" w:color="auto" w:fill="BFBFBF"/>
          </w:tcPr>
          <w:p>
            <w:pPr>
              <w:ind w:left="320"/>
              <w:spacing w:after="0"/>
              <w:rPr>
                <w:sz w:val="20"/>
                <w:szCs w:val="20"/>
                <w:color w:val="auto"/>
              </w:rPr>
            </w:pPr>
            <w:r>
              <w:rPr>
                <w:rFonts w:ascii="Arial" w:cs="Arial" w:eastAsia="Arial" w:hAnsi="Arial"/>
                <w:sz w:val="16"/>
                <w:szCs w:val="16"/>
                <w:color w:val="auto"/>
              </w:rPr>
              <w:t>Chief Legal Officer</w:t>
            </w:r>
          </w:p>
        </w:tc>
        <w:tc>
          <w:tcPr>
            <w:tcW w:w="640" w:type="dxa"/>
            <w:vAlign w:val="bottom"/>
            <w:shd w:val="clear" w:color="auto" w:fill="BFBFBF"/>
          </w:tcPr>
          <w:p>
            <w:pPr>
              <w:spacing w:after="0"/>
              <w:rPr>
                <w:sz w:val="16"/>
                <w:szCs w:val="16"/>
                <w:color w:val="auto"/>
              </w:rPr>
            </w:pPr>
          </w:p>
        </w:tc>
        <w:tc>
          <w:tcPr>
            <w:tcW w:w="94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shd w:val="clear" w:color="auto" w:fill="BFBFBF"/>
          </w:tcPr>
          <w:p>
            <w:pPr>
              <w:ind w:left="32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BFBFBF"/>
          </w:tcPr>
          <w:p>
            <w:pPr>
              <w:jc w:val="right"/>
              <w:ind w:right="321"/>
              <w:spacing w:after="0"/>
              <w:rPr>
                <w:sz w:val="20"/>
                <w:szCs w:val="20"/>
                <w:color w:val="auto"/>
              </w:rPr>
            </w:pPr>
            <w:r>
              <w:rPr>
                <w:rFonts w:ascii="Arial" w:cs="Arial" w:eastAsia="Arial" w:hAnsi="Arial"/>
                <w:sz w:val="16"/>
                <w:szCs w:val="16"/>
                <w:color w:val="auto"/>
              </w:rPr>
              <w:t>450,000</w:t>
            </w:r>
          </w:p>
        </w:tc>
        <w:tc>
          <w:tcPr>
            <w:tcW w:w="1020" w:type="dxa"/>
            <w:vAlign w:val="bottom"/>
            <w:shd w:val="clear" w:color="auto" w:fill="BFBFBF"/>
          </w:tcPr>
          <w:p>
            <w:pPr>
              <w:jc w:val="center"/>
              <w:ind w:lef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1"/>
        </w:trPr>
        <w:tc>
          <w:tcPr>
            <w:tcW w:w="2260" w:type="dxa"/>
            <w:vAlign w:val="bottom"/>
            <w:vMerge w:val="restart"/>
          </w:tcPr>
          <w:p>
            <w:pPr>
              <w:ind w:left="80"/>
              <w:spacing w:after="0"/>
              <w:rPr>
                <w:sz w:val="20"/>
                <w:szCs w:val="20"/>
                <w:color w:val="auto"/>
              </w:rPr>
            </w:pPr>
            <w:r>
              <w:rPr>
                <w:rFonts w:ascii="Arial" w:cs="Arial" w:eastAsia="Arial" w:hAnsi="Arial"/>
                <w:sz w:val="16"/>
                <w:szCs w:val="16"/>
                <w:color w:val="auto"/>
              </w:rPr>
              <w:t>Bryan T. Ingram</w:t>
            </w:r>
          </w:p>
        </w:tc>
        <w:tc>
          <w:tcPr>
            <w:tcW w:w="4620" w:type="dxa"/>
            <w:vAlign w:val="bottom"/>
          </w:tcPr>
          <w:p>
            <w:pPr>
              <w:ind w:left="320"/>
              <w:spacing w:after="0"/>
              <w:rPr>
                <w:sz w:val="20"/>
                <w:szCs w:val="20"/>
                <w:color w:val="auto"/>
              </w:rPr>
            </w:pPr>
            <w:r>
              <w:rPr>
                <w:rFonts w:ascii="Arial" w:cs="Arial" w:eastAsia="Arial" w:hAnsi="Arial"/>
                <w:sz w:val="16"/>
                <w:szCs w:val="16"/>
                <w:color w:val="auto"/>
              </w:rPr>
              <w:t>Senior Vice President and General Manager, Wireless</w:t>
            </w:r>
          </w:p>
        </w:tc>
        <w:tc>
          <w:tcPr>
            <w:tcW w:w="640" w:type="dxa"/>
            <w:vAlign w:val="bottom"/>
            <w:vMerge w:val="restart"/>
          </w:tcPr>
          <w:p>
            <w:pPr>
              <w:ind w:left="540"/>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ind w:right="139"/>
              <w:spacing w:after="0"/>
              <w:rPr>
                <w:sz w:val="20"/>
                <w:szCs w:val="20"/>
                <w:color w:val="auto"/>
              </w:rPr>
            </w:pPr>
            <w:r>
              <w:rPr>
                <w:rFonts w:ascii="Arial" w:cs="Arial" w:eastAsia="Arial" w:hAnsi="Arial"/>
                <w:sz w:val="16"/>
                <w:szCs w:val="16"/>
                <w:color w:val="auto"/>
              </w:rPr>
              <w:t>592,250</w:t>
            </w:r>
          </w:p>
        </w:tc>
        <w:tc>
          <w:tcPr>
            <w:tcW w:w="420" w:type="dxa"/>
            <w:vAlign w:val="bottom"/>
            <w:vMerge w:val="restart"/>
          </w:tcPr>
          <w:p>
            <w:pPr>
              <w:ind w:left="320"/>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321"/>
              <w:spacing w:after="0"/>
              <w:rPr>
                <w:sz w:val="20"/>
                <w:szCs w:val="20"/>
                <w:color w:val="auto"/>
              </w:rPr>
            </w:pPr>
            <w:r>
              <w:rPr>
                <w:rFonts w:ascii="Arial" w:cs="Arial" w:eastAsia="Arial" w:hAnsi="Arial"/>
                <w:sz w:val="16"/>
                <w:szCs w:val="16"/>
                <w:color w:val="auto"/>
              </w:rPr>
              <w:t>592,250</w:t>
            </w:r>
          </w:p>
        </w:tc>
        <w:tc>
          <w:tcPr>
            <w:tcW w:w="1020" w:type="dxa"/>
            <w:vAlign w:val="bottom"/>
            <w:vMerge w:val="restart"/>
          </w:tcPr>
          <w:p>
            <w:pPr>
              <w:jc w:val="center"/>
              <w:ind w:lef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0"/>
        </w:trPr>
        <w:tc>
          <w:tcPr>
            <w:tcW w:w="2260" w:type="dxa"/>
            <w:vAlign w:val="bottom"/>
            <w:vMerge w:val="continue"/>
          </w:tcPr>
          <w:p>
            <w:pPr>
              <w:spacing w:after="0"/>
              <w:rPr>
                <w:sz w:val="8"/>
                <w:szCs w:val="8"/>
                <w:color w:val="auto"/>
              </w:rPr>
            </w:pPr>
          </w:p>
        </w:tc>
        <w:tc>
          <w:tcPr>
            <w:tcW w:w="4620" w:type="dxa"/>
            <w:vAlign w:val="bottom"/>
            <w:vMerge w:val="restart"/>
          </w:tcPr>
          <w:p>
            <w:pPr>
              <w:ind w:left="320"/>
              <w:spacing w:after="0"/>
              <w:rPr>
                <w:sz w:val="20"/>
                <w:szCs w:val="20"/>
                <w:color w:val="auto"/>
              </w:rPr>
            </w:pPr>
            <w:r>
              <w:rPr>
                <w:rFonts w:ascii="Arial" w:cs="Arial" w:eastAsia="Arial" w:hAnsi="Arial"/>
                <w:sz w:val="16"/>
                <w:szCs w:val="16"/>
                <w:color w:val="auto"/>
              </w:rPr>
              <w:t>Semiconductor Division</w:t>
            </w:r>
          </w:p>
        </w:tc>
        <w:tc>
          <w:tcPr>
            <w:tcW w:w="6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6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11150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0" w:lineRule="exact"/>
        <w:rPr>
          <w:sz w:val="20"/>
          <w:szCs w:val="20"/>
          <w:color w:val="auto"/>
        </w:rPr>
      </w:pPr>
    </w:p>
    <w:p>
      <w:pPr>
        <w:ind w:left="740" w:hanging="536"/>
        <w:spacing w:after="0"/>
        <w:tabs>
          <w:tab w:leader="none" w:pos="7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connection with his appointment to CFO, Mr. Krause’s base salary was increased to $400,000 effective October 31, 2016.</w:t>
      </w:r>
    </w:p>
    <w:p>
      <w:pPr>
        <w:spacing w:after="0" w:line="5" w:lineRule="exact"/>
        <w:rPr>
          <w:rFonts w:ascii="Arial" w:cs="Arial" w:eastAsia="Arial" w:hAnsi="Arial"/>
          <w:sz w:val="16"/>
          <w:szCs w:val="16"/>
          <w:color w:val="auto"/>
        </w:rPr>
      </w:pPr>
    </w:p>
    <w:p>
      <w:pPr>
        <w:ind w:left="740" w:hanging="536"/>
        <w:spacing w:after="0"/>
        <w:tabs>
          <w:tab w:leader="none" w:pos="7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Mr. Brazeal’s base salary was effective as of his hire date of March 27, 2017.</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Annual Cash Incentive Bonus Plan</w:t>
      </w:r>
    </w:p>
    <w:p>
      <w:pPr>
        <w:spacing w:after="0" w:line="99"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believe that a significant portion of our executives’ target total direct compensation should be dependent upon performance. We use the APB Plan to provide a performance-based annual cash incentive opportunity for our executives. The APB Plan is designed to encourage and motivate our CEO to achieve overall corporate goals and our other executives to achieve both corporate and divisional or functional goals, and to drive positive contribution to our Company’s growth and performance.</w:t>
      </w:r>
    </w:p>
    <w:p>
      <w:pPr>
        <w:spacing w:after="0" w:line="148"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Each executive is annually assigned a specified target annual cash incentive bonus opportunity under the APB Plan, expressed as a percentage of his or her base salary. The Compensation Committee considers the compensation peer group data and market survey data as one factor in determining an executive’s target annual cash incentive bonus opportunity and, in the case of our CEO, its recommendation to the Independent Directors. In addition, the Compensation Committee determines or, in the case of our CEO, recommends to the Independent Directors for approval, target annual cash incentive bonus opportunities based on an executive’s experience in his or her role with us and his or her level of responsibility, which the Compensation Committee believes directly correlates to his or her ability to influence corporate and operational results.</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Fiscal Year 2017 APB Plan</w:t>
      </w:r>
    </w:p>
    <w:p>
      <w:pPr>
        <w:spacing w:after="0" w:line="158" w:lineRule="exact"/>
        <w:rPr>
          <w:sz w:val="20"/>
          <w:szCs w:val="20"/>
          <w:color w:val="auto"/>
        </w:rPr>
      </w:pPr>
    </w:p>
    <w:p>
      <w:pPr>
        <w:ind w:left="200" w:right="720" w:firstLine="551"/>
        <w:spacing w:after="0" w:line="246" w:lineRule="auto"/>
        <w:rPr>
          <w:sz w:val="20"/>
          <w:szCs w:val="20"/>
          <w:color w:val="auto"/>
        </w:rPr>
      </w:pPr>
      <w:r>
        <w:rPr>
          <w:rFonts w:ascii="Arial" w:cs="Arial" w:eastAsia="Arial" w:hAnsi="Arial"/>
          <w:sz w:val="18"/>
          <w:szCs w:val="18"/>
          <w:color w:val="auto"/>
        </w:rPr>
        <w:t>The target annual cash incentive bonus opportunities for our NEOs for Fiscal Year 2017, other than in connection with new appointments, remained the same as for Fiscal Year 2016.</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Target Annual Cash Incentive Bonus Opportunities</w:t>
      </w:r>
    </w:p>
    <w:p>
      <w:pPr>
        <w:spacing w:after="0" w:line="204"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5260" w:type="dxa"/>
            <w:vAlign w:val="bottom"/>
            <w:shd w:val="clear" w:color="auto" w:fill="7F7F7F"/>
          </w:tcPr>
          <w:p>
            <w:pPr>
              <w:spacing w:after="0"/>
              <w:rPr>
                <w:sz w:val="16"/>
                <w:szCs w:val="16"/>
                <w:color w:val="auto"/>
              </w:rPr>
            </w:pPr>
          </w:p>
        </w:tc>
        <w:tc>
          <w:tcPr>
            <w:tcW w:w="4660" w:type="dxa"/>
            <w:vAlign w:val="bottom"/>
            <w:shd w:val="clear" w:color="auto" w:fill="7F7F7F"/>
          </w:tcPr>
          <w:p>
            <w:pPr>
              <w:jc w:val="center"/>
              <w:ind w:left="2739"/>
              <w:spacing w:after="0"/>
              <w:rPr>
                <w:sz w:val="20"/>
                <w:szCs w:val="20"/>
                <w:color w:val="auto"/>
              </w:rPr>
            </w:pPr>
            <w:r>
              <w:rPr>
                <w:rFonts w:ascii="Arial" w:cs="Arial" w:eastAsia="Arial" w:hAnsi="Arial"/>
                <w:sz w:val="16"/>
                <w:szCs w:val="16"/>
                <w:b w:val="1"/>
                <w:bCs w:val="1"/>
                <w:color w:val="FFFFFF"/>
              </w:rPr>
              <w:t>APB Plan Target Bonus</w:t>
            </w:r>
          </w:p>
        </w:tc>
      </w:tr>
      <w:tr>
        <w:trPr>
          <w:trHeight w:val="207"/>
        </w:trPr>
        <w:tc>
          <w:tcPr>
            <w:tcW w:w="5260" w:type="dxa"/>
            <w:vAlign w:val="bottom"/>
            <w:shd w:val="clear" w:color="auto" w:fill="7F7F7F"/>
          </w:tcPr>
          <w:p>
            <w:pPr>
              <w:ind w:left="2080"/>
              <w:spacing w:after="0"/>
              <w:rPr>
                <w:sz w:val="20"/>
                <w:szCs w:val="20"/>
                <w:color w:val="auto"/>
              </w:rPr>
            </w:pPr>
            <w:r>
              <w:rPr>
                <w:rFonts w:ascii="Arial" w:cs="Arial" w:eastAsia="Arial" w:hAnsi="Arial"/>
                <w:sz w:val="16"/>
                <w:szCs w:val="16"/>
                <w:b w:val="1"/>
                <w:bCs w:val="1"/>
                <w:color w:val="FFFFFF"/>
              </w:rPr>
              <w:t>NEO</w:t>
            </w:r>
          </w:p>
        </w:tc>
        <w:tc>
          <w:tcPr>
            <w:tcW w:w="4660" w:type="dxa"/>
            <w:vAlign w:val="bottom"/>
            <w:shd w:val="clear" w:color="auto" w:fill="7F7F7F"/>
          </w:tcPr>
          <w:p>
            <w:pPr>
              <w:jc w:val="center"/>
              <w:ind w:left="2759"/>
              <w:spacing w:after="0"/>
              <w:rPr>
                <w:sz w:val="20"/>
                <w:szCs w:val="20"/>
                <w:color w:val="auto"/>
              </w:rPr>
            </w:pPr>
            <w:r>
              <w:rPr>
                <w:rFonts w:ascii="Arial" w:cs="Arial" w:eastAsia="Arial" w:hAnsi="Arial"/>
                <w:sz w:val="16"/>
                <w:szCs w:val="16"/>
                <w:b w:val="1"/>
                <w:bCs w:val="1"/>
                <w:color w:val="FFFFFF"/>
              </w:rPr>
              <w:t>(as a % of base salary)</w:t>
            </w:r>
          </w:p>
        </w:tc>
      </w:tr>
      <w:tr>
        <w:trPr>
          <w:trHeight w:val="189"/>
        </w:trPr>
        <w:tc>
          <w:tcPr>
            <w:tcW w:w="5260" w:type="dxa"/>
            <w:vAlign w:val="bottom"/>
          </w:tcPr>
          <w:p>
            <w:pPr>
              <w:ind w:left="80"/>
              <w:spacing w:after="0"/>
              <w:rPr>
                <w:sz w:val="20"/>
                <w:szCs w:val="20"/>
                <w:color w:val="auto"/>
              </w:rPr>
            </w:pPr>
            <w:r>
              <w:rPr>
                <w:rFonts w:ascii="Arial" w:cs="Arial" w:eastAsia="Arial" w:hAnsi="Arial"/>
                <w:sz w:val="16"/>
                <w:szCs w:val="16"/>
                <w:color w:val="auto"/>
              </w:rPr>
              <w:t>Hock E. Tan</w:t>
            </w:r>
          </w:p>
        </w:tc>
        <w:tc>
          <w:tcPr>
            <w:tcW w:w="4660" w:type="dxa"/>
            <w:vAlign w:val="bottom"/>
          </w:tcPr>
          <w:p>
            <w:pPr>
              <w:jc w:val="center"/>
              <w:ind w:left="2759"/>
              <w:spacing w:after="0"/>
              <w:rPr>
                <w:sz w:val="20"/>
                <w:szCs w:val="20"/>
                <w:color w:val="auto"/>
              </w:rPr>
            </w:pPr>
            <w:r>
              <w:rPr>
                <w:rFonts w:ascii="Arial" w:cs="Arial" w:eastAsia="Arial" w:hAnsi="Arial"/>
                <w:sz w:val="16"/>
                <w:szCs w:val="16"/>
                <w:color w:val="auto"/>
              </w:rPr>
              <w:t>150%</w:t>
            </w:r>
          </w:p>
        </w:tc>
      </w:tr>
      <w:tr>
        <w:trPr>
          <w:trHeight w:val="189"/>
        </w:trPr>
        <w:tc>
          <w:tcPr>
            <w:tcW w:w="5260" w:type="dxa"/>
            <w:vAlign w:val="bottom"/>
            <w:shd w:val="clear" w:color="auto" w:fill="BFBFBF"/>
          </w:tcPr>
          <w:p>
            <w:pPr>
              <w:ind w:left="80"/>
              <w:spacing w:after="0" w:line="189" w:lineRule="exact"/>
              <w:rPr>
                <w:sz w:val="20"/>
                <w:szCs w:val="20"/>
                <w:color w:val="auto"/>
              </w:rPr>
            </w:pPr>
            <w:r>
              <w:rPr>
                <w:rFonts w:ascii="Arial" w:cs="Arial" w:eastAsia="Arial" w:hAnsi="Arial"/>
                <w:sz w:val="13"/>
                <w:szCs w:val="13"/>
                <w:color w:val="auto"/>
              </w:rPr>
              <w:t>Thomas H. Krause Jr.</w:t>
            </w:r>
            <w:r>
              <w:rPr>
                <w:rFonts w:ascii="Arial" w:cs="Arial" w:eastAsia="Arial" w:hAnsi="Arial"/>
                <w:sz w:val="21"/>
                <w:szCs w:val="21"/>
                <w:color w:val="auto"/>
                <w:vertAlign w:val="superscript"/>
              </w:rPr>
              <w:t>(1)</w:t>
            </w:r>
          </w:p>
        </w:tc>
        <w:tc>
          <w:tcPr>
            <w:tcW w:w="4660" w:type="dxa"/>
            <w:vAlign w:val="bottom"/>
            <w:shd w:val="clear" w:color="auto" w:fill="BFBFBF"/>
          </w:tcPr>
          <w:p>
            <w:pPr>
              <w:jc w:val="center"/>
              <w:ind w:left="2739"/>
              <w:spacing w:after="0"/>
              <w:rPr>
                <w:sz w:val="20"/>
                <w:szCs w:val="20"/>
                <w:color w:val="auto"/>
              </w:rPr>
            </w:pPr>
            <w:r>
              <w:rPr>
                <w:rFonts w:ascii="Arial" w:cs="Arial" w:eastAsia="Arial" w:hAnsi="Arial"/>
                <w:sz w:val="16"/>
                <w:szCs w:val="16"/>
                <w:color w:val="auto"/>
                <w:w w:val="99"/>
              </w:rPr>
              <w:t>75%</w:t>
            </w:r>
          </w:p>
        </w:tc>
      </w:tr>
      <w:tr>
        <w:trPr>
          <w:trHeight w:val="189"/>
        </w:trPr>
        <w:tc>
          <w:tcPr>
            <w:tcW w:w="5260" w:type="dxa"/>
            <w:vAlign w:val="bottom"/>
          </w:tcPr>
          <w:p>
            <w:pPr>
              <w:ind w:left="80"/>
              <w:spacing w:after="0"/>
              <w:rPr>
                <w:sz w:val="20"/>
                <w:szCs w:val="20"/>
                <w:color w:val="auto"/>
              </w:rPr>
            </w:pPr>
            <w:r>
              <w:rPr>
                <w:rFonts w:ascii="Arial" w:cs="Arial" w:eastAsia="Arial" w:hAnsi="Arial"/>
                <w:sz w:val="16"/>
                <w:szCs w:val="16"/>
                <w:color w:val="auto"/>
              </w:rPr>
              <w:t>Charlie B. Kawwas, Ph.D.</w:t>
            </w:r>
          </w:p>
        </w:tc>
        <w:tc>
          <w:tcPr>
            <w:tcW w:w="4660" w:type="dxa"/>
            <w:vAlign w:val="bottom"/>
          </w:tcPr>
          <w:p>
            <w:pPr>
              <w:jc w:val="center"/>
              <w:ind w:left="2739"/>
              <w:spacing w:after="0"/>
              <w:rPr>
                <w:sz w:val="20"/>
                <w:szCs w:val="20"/>
                <w:color w:val="auto"/>
              </w:rPr>
            </w:pPr>
            <w:r>
              <w:rPr>
                <w:rFonts w:ascii="Arial" w:cs="Arial" w:eastAsia="Arial" w:hAnsi="Arial"/>
                <w:sz w:val="16"/>
                <w:szCs w:val="16"/>
                <w:color w:val="auto"/>
                <w:w w:val="99"/>
              </w:rPr>
              <w:t>75%</w:t>
            </w:r>
          </w:p>
        </w:tc>
      </w:tr>
      <w:tr>
        <w:trPr>
          <w:trHeight w:val="189"/>
        </w:trPr>
        <w:tc>
          <w:tcPr>
            <w:tcW w:w="5260" w:type="dxa"/>
            <w:vAlign w:val="bottom"/>
            <w:shd w:val="clear" w:color="auto" w:fill="BFBFBF"/>
          </w:tcPr>
          <w:p>
            <w:pPr>
              <w:ind w:left="80"/>
              <w:spacing w:after="0"/>
              <w:rPr>
                <w:sz w:val="20"/>
                <w:szCs w:val="20"/>
                <w:color w:val="auto"/>
              </w:rPr>
            </w:pPr>
            <w:r>
              <w:rPr>
                <w:rFonts w:ascii="Arial" w:cs="Arial" w:eastAsia="Arial" w:hAnsi="Arial"/>
                <w:sz w:val="16"/>
                <w:szCs w:val="16"/>
                <w:color w:val="auto"/>
              </w:rPr>
              <w:t>Mark D. Brazeal</w:t>
            </w:r>
          </w:p>
        </w:tc>
        <w:tc>
          <w:tcPr>
            <w:tcW w:w="4660" w:type="dxa"/>
            <w:vAlign w:val="bottom"/>
            <w:shd w:val="clear" w:color="auto" w:fill="BFBFBF"/>
          </w:tcPr>
          <w:p>
            <w:pPr>
              <w:jc w:val="center"/>
              <w:ind w:left="2739"/>
              <w:spacing w:after="0"/>
              <w:rPr>
                <w:sz w:val="20"/>
                <w:szCs w:val="20"/>
                <w:color w:val="auto"/>
              </w:rPr>
            </w:pPr>
            <w:r>
              <w:rPr>
                <w:rFonts w:ascii="Arial" w:cs="Arial" w:eastAsia="Arial" w:hAnsi="Arial"/>
                <w:sz w:val="16"/>
                <w:szCs w:val="16"/>
                <w:color w:val="auto"/>
                <w:w w:val="99"/>
              </w:rPr>
              <w:t>60%</w:t>
            </w:r>
          </w:p>
        </w:tc>
      </w:tr>
      <w:tr>
        <w:trPr>
          <w:trHeight w:val="197"/>
        </w:trPr>
        <w:tc>
          <w:tcPr>
            <w:tcW w:w="5260" w:type="dxa"/>
            <w:vAlign w:val="bottom"/>
          </w:tcPr>
          <w:p>
            <w:pPr>
              <w:ind w:left="80"/>
              <w:spacing w:after="0"/>
              <w:rPr>
                <w:sz w:val="20"/>
                <w:szCs w:val="20"/>
                <w:color w:val="auto"/>
              </w:rPr>
            </w:pPr>
            <w:r>
              <w:rPr>
                <w:rFonts w:ascii="Arial" w:cs="Arial" w:eastAsia="Arial" w:hAnsi="Arial"/>
                <w:sz w:val="16"/>
                <w:szCs w:val="16"/>
                <w:color w:val="auto"/>
              </w:rPr>
              <w:t>Bryan T. Ingram</w:t>
            </w:r>
          </w:p>
        </w:tc>
        <w:tc>
          <w:tcPr>
            <w:tcW w:w="4660" w:type="dxa"/>
            <w:vAlign w:val="bottom"/>
          </w:tcPr>
          <w:p>
            <w:pPr>
              <w:jc w:val="center"/>
              <w:ind w:left="2759"/>
              <w:spacing w:after="0"/>
              <w:rPr>
                <w:sz w:val="20"/>
                <w:szCs w:val="20"/>
                <w:color w:val="auto"/>
              </w:rPr>
            </w:pPr>
            <w:r>
              <w:rPr>
                <w:rFonts w:ascii="Arial" w:cs="Arial" w:eastAsia="Arial" w:hAnsi="Arial"/>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158115</wp:posOffset>
            </wp:positionV>
            <wp:extent cx="11233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72" w:lineRule="exact"/>
        <w:rPr>
          <w:sz w:val="20"/>
          <w:szCs w:val="20"/>
          <w:color w:val="auto"/>
        </w:rPr>
      </w:pPr>
    </w:p>
    <w:p>
      <w:pPr>
        <w:ind w:left="1280" w:right="40" w:hanging="428"/>
        <w:spacing w:after="0" w:line="260" w:lineRule="auto"/>
        <w:tabs>
          <w:tab w:leader="none" w:pos="12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connection with Mr. Krause’s appointment as CFO, his target bonus percentage under the APB Plan increased from 60% of base salary to 75% of base salary.</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Annual cash incentive bonuses under the APB Plan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152400</wp:posOffset>
            </wp:positionV>
            <wp:extent cx="5205730" cy="6261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0573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Bonuses under the APB Plan are payable to our NEOs in cash, with the exception of our CEO in certain circumstances. In the event the Independent Directors assign our CEO an individual performance multiplier (discussed in more detail below) greater than 100%, they may elect to pay the difference between the dollar amount of our CEO’s actual annual cash incentive bonus amount and the dollar amount of his annual cash incentive bonus calculated using a performance factor of 100% in the form of an equity award under the 2009 Plan. The type and terms of any such equity award would be determined by the Independent Directors. The Independent Directors believe that this feature gives them the flexibility to further incentivize our CEO to focus on our mid-term to long-term performance and to further provide for value creation for our shareholders, to more closely align our CEO’s interests with those of our shareholders generally, and to provide additional retention incentive to our CEO.</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Corporate Performance Components</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corporate performance goals for the Fiscal Year 2017 APB Plan were:</w:t>
      </w:r>
    </w:p>
    <w:p>
      <w:pPr>
        <w:spacing w:after="0" w:line="117" w:lineRule="exact"/>
        <w:rPr>
          <w:sz w:val="20"/>
          <w:szCs w:val="20"/>
          <w:color w:val="auto"/>
        </w:rPr>
      </w:pPr>
    </w:p>
    <w:p>
      <w:pPr>
        <w:ind w:left="1180" w:right="380" w:hanging="436"/>
        <w:spacing w:after="0" w:line="246"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non-GAAP revenue, which included the effect of acquisition-related purchase accounting adjustments relating to licensing revenue; and</w:t>
      </w:r>
    </w:p>
    <w:p>
      <w:pPr>
        <w:spacing w:after="0" w:line="102" w:lineRule="exact"/>
        <w:rPr>
          <w:rFonts w:ascii="Arial" w:cs="Arial" w:eastAsia="Arial" w:hAnsi="Arial"/>
          <w:sz w:val="18"/>
          <w:szCs w:val="18"/>
          <w:color w:val="auto"/>
        </w:rPr>
      </w:pPr>
    </w:p>
    <w:p>
      <w:pPr>
        <w:ind w:left="1180" w:right="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non-GAAP operating income as a percentage of non-GAAP revenue, adjusted to exclude the effects of provisions or accruals for anticipated payouts under the APB Plan, which would otherwise have the effect of reducing non-GAAP operating income margin, referred to as “</w:t>
      </w:r>
      <w:r>
        <w:rPr>
          <w:rFonts w:ascii="Arial" w:cs="Arial" w:eastAsia="Arial" w:hAnsi="Arial"/>
          <w:sz w:val="18"/>
          <w:szCs w:val="18"/>
          <w:u w:val="single" w:color="auto"/>
          <w:color w:val="auto"/>
        </w:rPr>
        <w:t>non-GAAP operating margin.</w:t>
      </w:r>
      <w:r>
        <w:rPr>
          <w:rFonts w:ascii="Arial" w:cs="Arial" w:eastAsia="Arial" w:hAnsi="Arial"/>
          <w:sz w:val="18"/>
          <w:szCs w:val="18"/>
          <w:color w:val="auto"/>
        </w:rPr>
        <w:t>”</w:t>
      </w:r>
    </w:p>
    <w:p>
      <w:pPr>
        <w:spacing w:after="0" w:line="149" w:lineRule="exact"/>
        <w:rPr>
          <w:sz w:val="20"/>
          <w:szCs w:val="20"/>
          <w:color w:val="auto"/>
        </w:rPr>
      </w:pPr>
    </w:p>
    <w:p>
      <w:pPr>
        <w:jc w:val="both"/>
        <w:ind w:left="200" w:right="340" w:firstLine="551"/>
        <w:spacing w:after="0"/>
        <w:rPr>
          <w:sz w:val="20"/>
          <w:szCs w:val="20"/>
          <w:color w:val="auto"/>
        </w:rPr>
      </w:pPr>
      <w:r>
        <w:rPr>
          <w:rFonts w:ascii="Arial" w:cs="Arial" w:eastAsia="Arial" w:hAnsi="Arial"/>
          <w:sz w:val="18"/>
          <w:szCs w:val="18"/>
          <w:color w:val="auto"/>
        </w:rPr>
        <w:t>Each goal carried an equal weighting of 50% of the corporate performance component. In determining the actual attainment of these goals, the calculation of non-GAAP revenue and non-GAAP operating margin also excluded the financial effects of extraordinary items not considered when the performance goals were originally set.</w:t>
      </w:r>
    </w:p>
    <w:p>
      <w:pPr>
        <w:spacing w:after="0" w:line="149" w:lineRule="exact"/>
        <w:rPr>
          <w:sz w:val="20"/>
          <w:szCs w:val="20"/>
          <w:color w:val="auto"/>
        </w:rPr>
      </w:pPr>
    </w:p>
    <w:p>
      <w:pPr>
        <w:ind w:left="200" w:right="180" w:firstLine="551"/>
        <w:spacing w:after="0" w:line="237" w:lineRule="auto"/>
        <w:rPr>
          <w:sz w:val="20"/>
          <w:szCs w:val="20"/>
          <w:color w:val="auto"/>
        </w:rPr>
      </w:pPr>
      <w:r>
        <w:rPr>
          <w:rFonts w:ascii="Arial" w:cs="Arial" w:eastAsia="Arial" w:hAnsi="Arial"/>
          <w:sz w:val="18"/>
          <w:szCs w:val="18"/>
          <w:color w:val="auto"/>
        </w:rPr>
        <w:t>The target attainment level for non-GAAP revenue for Fiscal Year 2017 was set at $15,716 million, and the maximum attainment level was set at $16,502 million. The target attainment level for non-GAAP operating margin for Fiscal Year 2017 was set at 44.9%, and the maximum attainment level was set at 46.9%. These target and maximum attainment levels were established by the Compensation Committee, based on the recommendation of our CEO, and approved by the Independent Directors. They were set at levels significantly above our Fiscal Year 2016 actual performance levels and were designed to be difficult to attain and to require substantial effort to achieve.</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Divisional or Functional Performance Components</w:t>
      </w:r>
    </w:p>
    <w:p>
      <w:pPr>
        <w:spacing w:after="0" w:line="81"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Compensation Committee, following consideration of our CEO’s recommendations (with respect to executives other than himself), determined an executive’s divisional or functional goals and sets their weightings based on its assessment of the business requirements of the particular division or function to which the goals relate and the relative importance of the goals to the division or function. Each divisional or functional goal was set by the Compensation Committee to be difficult to attain and to require substantial effort on behalf of the division or function, and the NEO in charge of the division or function, to achieve. The table below under “</w:t>
      </w:r>
      <w:r>
        <w:rPr>
          <w:rFonts w:ascii="Arial" w:cs="Arial" w:eastAsia="Arial" w:hAnsi="Arial"/>
          <w:sz w:val="18"/>
          <w:szCs w:val="18"/>
          <w:i w:val="1"/>
          <w:iCs w:val="1"/>
          <w:color w:val="auto"/>
        </w:rPr>
        <w:t>Fiscal Year 2017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APB Plan Attainment and Payout Amounts” </w:t>
      </w:r>
      <w:r>
        <w:rPr>
          <w:rFonts w:ascii="Arial" w:cs="Arial" w:eastAsia="Arial" w:hAnsi="Arial"/>
          <w:sz w:val="18"/>
          <w:szCs w:val="18"/>
          <w:color w:val="auto"/>
        </w:rPr>
        <w:t>sets forth the divisional and functional goals for Fiscal Year 2017.</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Individual Performance Multiplier</w:t>
      </w:r>
    </w:p>
    <w:p>
      <w:pPr>
        <w:spacing w:after="0" w:line="81"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final payouts under the APB Plan include the effect of each NEO’s applicable individual performance multiplier. Each individual NEO’s performance multiplier (other than our CEO’s) is approved by the Compensation Committee based, in part, on the recommendations of our CEO and by the Independent Directors in the case of our CEO with input from the Compensation Committee. In evaluating individual performance to determine the multiplier, the Compensation Committee considers the requirements of the NEO’s position, including the achievement of the divisional or functional goals, fiscal responsibility as determined by the Compensation Committee with input from our CEO, the NEO’s senior leadership ability, and how each of these factors impact the overall performance of the NEO’s division or function. Based on their respective division or function’s levels of performance and their individual contribution to that performance, the Compensation Committee or, in the case of our CEO, the Independent Directors, assigns each NEO an individual performance multiplier of between 50% and 150%. NEOs who consistently meet or exceed the requirements of their position, as determined by the Compensation Committee, receive an individual performance multiplier of between 100% and 150%. NEOs who meet some, but not all, of the requirements of their position or for whom the Compensation Committee believes that improvement is needed receive a bonus multiplier of between 50% and 100%.</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Fiscal Year 2017 APB Plan Attainment</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Corporate Performance Components</w:t>
      </w:r>
    </w:p>
    <w:p>
      <w:pPr>
        <w:spacing w:after="0" w:line="122"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In December 2017, the Compensation Committee and the Independent Directors determined that we achieved Fiscal Year 2017 adjusted non-GAAP revenue of $17,658 million and adjusted non-GAAP operating</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margin of 48.1%, which were above the pre-established maximum attainment levels of performance. The following tables show the non-GAAP revenue and non-GAAP operating margin actually achieved for Fiscal Year 2017 and used for the purposes of determining the level of achievement of the corporate performance goals under the Fiscal Year 2017 APB Plan.</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Non-GAAP Revenue Performance Goal Attainment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140335</wp:posOffset>
            </wp:positionV>
            <wp:extent cx="8890" cy="523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523240"/>
                    </a:xfrm>
                    <a:prstGeom prst="rect">
                      <a:avLst/>
                    </a:prstGeom>
                    <a:noFill/>
                  </pic:spPr>
                </pic:pic>
              </a:graphicData>
            </a:graphic>
          </wp:anchor>
        </w:drawing>
      </w:r>
    </w:p>
    <w:p>
      <w:pPr>
        <w:spacing w:after="0" w:line="189"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640" w:type="dxa"/>
            <w:vAlign w:val="bottom"/>
            <w:shd w:val="clear" w:color="auto" w:fill="7F7F7F"/>
          </w:tcPr>
          <w:p>
            <w:pPr>
              <w:jc w:val="center"/>
              <w:ind w:left="407"/>
              <w:spacing w:after="0"/>
              <w:rPr>
                <w:sz w:val="20"/>
                <w:szCs w:val="20"/>
                <w:color w:val="auto"/>
              </w:rPr>
            </w:pPr>
            <w:r>
              <w:rPr>
                <w:rFonts w:ascii="Arial" w:cs="Arial" w:eastAsia="Arial" w:hAnsi="Arial"/>
                <w:sz w:val="14"/>
                <w:szCs w:val="14"/>
                <w:b w:val="1"/>
                <w:bCs w:val="1"/>
                <w:color w:val="FFFFFF"/>
              </w:rPr>
              <w:t>Fiscal Year 2017</w:t>
            </w:r>
          </w:p>
        </w:tc>
        <w:tc>
          <w:tcPr>
            <w:tcW w:w="2280" w:type="dxa"/>
            <w:vAlign w:val="bottom"/>
            <w:tcBorders>
              <w:right w:val="single" w:sz="8" w:color="7F7F7F"/>
            </w:tcBorders>
            <w:shd w:val="clear" w:color="auto" w:fill="7F7F7F"/>
          </w:tcPr>
          <w:p>
            <w:pPr>
              <w:spacing w:after="0"/>
              <w:rPr>
                <w:sz w:val="14"/>
                <w:szCs w:val="14"/>
                <w:color w:val="auto"/>
              </w:rPr>
            </w:pPr>
          </w:p>
        </w:tc>
        <w:tc>
          <w:tcPr>
            <w:tcW w:w="2620" w:type="dxa"/>
            <w:vAlign w:val="bottom"/>
            <w:shd w:val="clear" w:color="auto" w:fill="7F7F7F"/>
          </w:tcPr>
          <w:p>
            <w:pPr>
              <w:spacing w:after="0"/>
              <w:rPr>
                <w:sz w:val="14"/>
                <w:szCs w:val="14"/>
                <w:color w:val="auto"/>
              </w:rPr>
            </w:pPr>
          </w:p>
        </w:tc>
        <w:tc>
          <w:tcPr>
            <w:tcW w:w="1420" w:type="dxa"/>
            <w:vAlign w:val="bottom"/>
            <w:shd w:val="clear" w:color="auto" w:fill="7F7F7F"/>
          </w:tcPr>
          <w:p>
            <w:pPr>
              <w:spacing w:after="0"/>
              <w:rPr>
                <w:sz w:val="14"/>
                <w:szCs w:val="14"/>
                <w:color w:val="auto"/>
              </w:rPr>
            </w:pPr>
          </w:p>
        </w:tc>
        <w:tc>
          <w:tcPr>
            <w:tcW w:w="152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Fiscal Year 2017 APB</w:t>
            </w:r>
          </w:p>
        </w:tc>
      </w:tr>
      <w:tr>
        <w:trPr>
          <w:trHeight w:val="162"/>
        </w:trPr>
        <w:tc>
          <w:tcPr>
            <w:tcW w:w="2640" w:type="dxa"/>
            <w:vAlign w:val="bottom"/>
            <w:shd w:val="clear" w:color="auto" w:fill="7F7F7F"/>
          </w:tcPr>
          <w:p>
            <w:pPr>
              <w:jc w:val="center"/>
              <w:ind w:left="427"/>
              <w:spacing w:after="0"/>
              <w:rPr>
                <w:sz w:val="20"/>
                <w:szCs w:val="20"/>
                <w:color w:val="auto"/>
              </w:rPr>
            </w:pPr>
            <w:r>
              <w:rPr>
                <w:rFonts w:ascii="Arial" w:cs="Arial" w:eastAsia="Arial" w:hAnsi="Arial"/>
                <w:sz w:val="14"/>
                <w:szCs w:val="14"/>
                <w:b w:val="1"/>
                <w:bCs w:val="1"/>
                <w:color w:val="FFFFFF"/>
              </w:rPr>
              <w:t>Non-GAAP</w:t>
            </w:r>
          </w:p>
        </w:tc>
        <w:tc>
          <w:tcPr>
            <w:tcW w:w="2280" w:type="dxa"/>
            <w:vAlign w:val="bottom"/>
            <w:tcBorders>
              <w:right w:val="single" w:sz="8" w:color="7F7F7F"/>
            </w:tcBorders>
            <w:shd w:val="clear" w:color="auto" w:fill="7F7F7F"/>
          </w:tcPr>
          <w:p>
            <w:pPr>
              <w:jc w:val="center"/>
              <w:ind w:left="406"/>
              <w:spacing w:after="0"/>
              <w:rPr>
                <w:sz w:val="20"/>
                <w:szCs w:val="20"/>
                <w:color w:val="auto"/>
              </w:rPr>
            </w:pPr>
            <w:r>
              <w:rPr>
                <w:rFonts w:ascii="Arial" w:cs="Arial" w:eastAsia="Arial" w:hAnsi="Arial"/>
                <w:sz w:val="14"/>
                <w:szCs w:val="14"/>
                <w:b w:val="1"/>
                <w:bCs w:val="1"/>
                <w:color w:val="FFFFFF"/>
              </w:rPr>
              <w:t>Fiscal Year 2017 Non-</w:t>
            </w:r>
          </w:p>
        </w:tc>
        <w:tc>
          <w:tcPr>
            <w:tcW w:w="2620" w:type="dxa"/>
            <w:vAlign w:val="bottom"/>
            <w:shd w:val="clear" w:color="auto" w:fill="7F7F7F"/>
          </w:tcPr>
          <w:p>
            <w:pPr>
              <w:jc w:val="center"/>
              <w:ind w:left="1169"/>
              <w:spacing w:after="0"/>
              <w:rPr>
                <w:sz w:val="20"/>
                <w:szCs w:val="20"/>
                <w:color w:val="auto"/>
              </w:rPr>
            </w:pPr>
            <w:r>
              <w:rPr>
                <w:rFonts w:ascii="Arial" w:cs="Arial" w:eastAsia="Arial" w:hAnsi="Arial"/>
                <w:sz w:val="14"/>
                <w:szCs w:val="14"/>
                <w:b w:val="1"/>
                <w:bCs w:val="1"/>
                <w:color w:val="FFFFFF"/>
              </w:rPr>
              <w:t>Fiscal Year 2017</w:t>
            </w:r>
          </w:p>
        </w:tc>
        <w:tc>
          <w:tcPr>
            <w:tcW w:w="142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Fiscal Year 2017</w:t>
            </w:r>
          </w:p>
        </w:tc>
        <w:tc>
          <w:tcPr>
            <w:tcW w:w="152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Plan Adjusted Non-</w:t>
            </w:r>
          </w:p>
        </w:tc>
      </w:tr>
      <w:tr>
        <w:trPr>
          <w:trHeight w:val="162"/>
        </w:trPr>
        <w:tc>
          <w:tcPr>
            <w:tcW w:w="2640" w:type="dxa"/>
            <w:vAlign w:val="bottom"/>
            <w:shd w:val="clear" w:color="auto" w:fill="7F7F7F"/>
          </w:tcPr>
          <w:p>
            <w:pPr>
              <w:jc w:val="center"/>
              <w:ind w:left="407"/>
              <w:spacing w:after="0"/>
              <w:rPr>
                <w:sz w:val="20"/>
                <w:szCs w:val="20"/>
                <w:color w:val="auto"/>
              </w:rPr>
            </w:pPr>
            <w:r>
              <w:rPr>
                <w:rFonts w:ascii="Arial" w:cs="Arial" w:eastAsia="Arial" w:hAnsi="Arial"/>
                <w:sz w:val="14"/>
                <w:szCs w:val="14"/>
                <w:b w:val="1"/>
                <w:bCs w:val="1"/>
                <w:color w:val="FFFFFF"/>
              </w:rPr>
              <w:t>Revenue Target</w:t>
            </w:r>
          </w:p>
        </w:tc>
        <w:tc>
          <w:tcPr>
            <w:tcW w:w="2280" w:type="dxa"/>
            <w:vAlign w:val="bottom"/>
            <w:tcBorders>
              <w:right w:val="single" w:sz="8" w:color="7F7F7F"/>
            </w:tcBorders>
            <w:shd w:val="clear" w:color="auto" w:fill="7F7F7F"/>
          </w:tcPr>
          <w:p>
            <w:pPr>
              <w:jc w:val="center"/>
              <w:ind w:left="406"/>
              <w:spacing w:after="0"/>
              <w:rPr>
                <w:sz w:val="20"/>
                <w:szCs w:val="20"/>
                <w:color w:val="auto"/>
              </w:rPr>
            </w:pPr>
            <w:r>
              <w:rPr>
                <w:rFonts w:ascii="Arial" w:cs="Arial" w:eastAsia="Arial" w:hAnsi="Arial"/>
                <w:sz w:val="14"/>
                <w:szCs w:val="14"/>
                <w:b w:val="1"/>
                <w:bCs w:val="1"/>
                <w:color w:val="FFFFFF"/>
              </w:rPr>
              <w:t>GAAP Revenue Maximum</w:t>
            </w:r>
          </w:p>
        </w:tc>
        <w:tc>
          <w:tcPr>
            <w:tcW w:w="2620" w:type="dxa"/>
            <w:vAlign w:val="bottom"/>
            <w:shd w:val="clear" w:color="auto" w:fill="7F7F7F"/>
          </w:tcPr>
          <w:p>
            <w:pPr>
              <w:jc w:val="center"/>
              <w:ind w:left="1169"/>
              <w:spacing w:after="0"/>
              <w:rPr>
                <w:sz w:val="20"/>
                <w:szCs w:val="20"/>
                <w:color w:val="auto"/>
              </w:rPr>
            </w:pPr>
            <w:r>
              <w:rPr>
                <w:rFonts w:ascii="Arial" w:cs="Arial" w:eastAsia="Arial" w:hAnsi="Arial"/>
                <w:sz w:val="14"/>
                <w:szCs w:val="14"/>
                <w:b w:val="1"/>
                <w:bCs w:val="1"/>
                <w:color w:val="FFFFFF"/>
              </w:rPr>
              <w:t>Non-GAAP</w:t>
            </w:r>
          </w:p>
        </w:tc>
        <w:tc>
          <w:tcPr>
            <w:tcW w:w="142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Revenue from</w:t>
            </w:r>
          </w:p>
        </w:tc>
        <w:tc>
          <w:tcPr>
            <w:tcW w:w="152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GAAP</w:t>
            </w:r>
          </w:p>
        </w:tc>
      </w:tr>
      <w:tr>
        <w:trPr>
          <w:trHeight w:val="162"/>
        </w:trPr>
        <w:tc>
          <w:tcPr>
            <w:tcW w:w="2640" w:type="dxa"/>
            <w:vAlign w:val="bottom"/>
            <w:shd w:val="clear" w:color="auto" w:fill="7F7F7F"/>
          </w:tcPr>
          <w:p>
            <w:pPr>
              <w:jc w:val="center"/>
              <w:ind w:left="407"/>
              <w:spacing w:after="0"/>
              <w:rPr>
                <w:sz w:val="20"/>
                <w:szCs w:val="20"/>
                <w:color w:val="auto"/>
              </w:rPr>
            </w:pPr>
            <w:r>
              <w:rPr>
                <w:rFonts w:ascii="Arial" w:cs="Arial" w:eastAsia="Arial" w:hAnsi="Arial"/>
                <w:sz w:val="14"/>
                <w:szCs w:val="14"/>
                <w:b w:val="1"/>
                <w:bCs w:val="1"/>
                <w:color w:val="FFFFFF"/>
              </w:rPr>
              <w:t>Attainment Level</w:t>
            </w:r>
          </w:p>
        </w:tc>
        <w:tc>
          <w:tcPr>
            <w:tcW w:w="2280" w:type="dxa"/>
            <w:vAlign w:val="bottom"/>
            <w:tcBorders>
              <w:right w:val="single" w:sz="8" w:color="7F7F7F"/>
            </w:tcBorders>
            <w:shd w:val="clear" w:color="auto" w:fill="7F7F7F"/>
          </w:tcPr>
          <w:p>
            <w:pPr>
              <w:jc w:val="center"/>
              <w:ind w:left="406"/>
              <w:spacing w:after="0"/>
              <w:rPr>
                <w:sz w:val="20"/>
                <w:szCs w:val="20"/>
                <w:color w:val="auto"/>
              </w:rPr>
            </w:pPr>
            <w:r>
              <w:rPr>
                <w:rFonts w:ascii="Arial" w:cs="Arial" w:eastAsia="Arial" w:hAnsi="Arial"/>
                <w:sz w:val="14"/>
                <w:szCs w:val="14"/>
                <w:b w:val="1"/>
                <w:bCs w:val="1"/>
                <w:color w:val="FFFFFF"/>
              </w:rPr>
              <w:t>Attainment Level</w:t>
            </w:r>
          </w:p>
        </w:tc>
        <w:tc>
          <w:tcPr>
            <w:tcW w:w="4040" w:type="dxa"/>
            <w:vAlign w:val="bottom"/>
            <w:gridSpan w:val="2"/>
            <w:shd w:val="clear" w:color="auto" w:fill="7F7F7F"/>
          </w:tcPr>
          <w:p>
            <w:pPr>
              <w:ind w:left="1300"/>
              <w:spacing w:after="0"/>
              <w:rPr>
                <w:sz w:val="20"/>
                <w:szCs w:val="20"/>
                <w:color w:val="auto"/>
              </w:rPr>
            </w:pPr>
            <w:r>
              <w:rPr>
                <w:rFonts w:ascii="Arial" w:cs="Arial" w:eastAsia="Arial" w:hAnsi="Arial"/>
                <w:sz w:val="14"/>
                <w:szCs w:val="14"/>
                <w:b w:val="1"/>
                <w:bCs w:val="1"/>
                <w:color w:val="FFFFFF"/>
              </w:rPr>
              <w:t>Revenue AchievedAcquired Businesses</w:t>
            </w:r>
          </w:p>
        </w:tc>
        <w:tc>
          <w:tcPr>
            <w:tcW w:w="152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Revenue Achieved</w:t>
            </w:r>
          </w:p>
        </w:tc>
      </w:tr>
      <w:tr>
        <w:trPr>
          <w:trHeight w:val="189"/>
        </w:trPr>
        <w:tc>
          <w:tcPr>
            <w:tcW w:w="2640" w:type="dxa"/>
            <w:vAlign w:val="bottom"/>
            <w:shd w:val="clear" w:color="auto" w:fill="7F7F7F"/>
          </w:tcPr>
          <w:p>
            <w:pPr>
              <w:jc w:val="center"/>
              <w:ind w:left="407"/>
              <w:spacing w:after="0"/>
              <w:rPr>
                <w:sz w:val="20"/>
                <w:szCs w:val="20"/>
                <w:color w:val="auto"/>
              </w:rPr>
            </w:pPr>
            <w:r>
              <w:rPr>
                <w:rFonts w:ascii="Arial" w:cs="Arial" w:eastAsia="Arial" w:hAnsi="Arial"/>
                <w:sz w:val="14"/>
                <w:szCs w:val="14"/>
                <w:b w:val="1"/>
                <w:bCs w:val="1"/>
                <w:color w:val="FFFFFF"/>
              </w:rPr>
              <w:t>(in millions)</w:t>
            </w:r>
          </w:p>
        </w:tc>
        <w:tc>
          <w:tcPr>
            <w:tcW w:w="2280" w:type="dxa"/>
            <w:vAlign w:val="bottom"/>
            <w:tcBorders>
              <w:right w:val="single" w:sz="8" w:color="7F7F7F"/>
            </w:tcBorders>
            <w:shd w:val="clear" w:color="auto" w:fill="7F7F7F"/>
          </w:tcPr>
          <w:p>
            <w:pPr>
              <w:jc w:val="center"/>
              <w:ind w:left="406"/>
              <w:spacing w:after="0"/>
              <w:rPr>
                <w:sz w:val="20"/>
                <w:szCs w:val="20"/>
                <w:color w:val="auto"/>
              </w:rPr>
            </w:pPr>
            <w:r>
              <w:rPr>
                <w:rFonts w:ascii="Arial" w:cs="Arial" w:eastAsia="Arial" w:hAnsi="Arial"/>
                <w:sz w:val="14"/>
                <w:szCs w:val="14"/>
                <w:b w:val="1"/>
                <w:bCs w:val="1"/>
                <w:color w:val="FFFFFF"/>
              </w:rPr>
              <w:t>(in millions)</w:t>
            </w:r>
          </w:p>
        </w:tc>
        <w:tc>
          <w:tcPr>
            <w:tcW w:w="2620" w:type="dxa"/>
            <w:vAlign w:val="bottom"/>
            <w:shd w:val="clear" w:color="auto" w:fill="7F7F7F"/>
          </w:tcPr>
          <w:p>
            <w:pPr>
              <w:jc w:val="center"/>
              <w:ind w:left="1169"/>
              <w:spacing w:after="0"/>
              <w:rPr>
                <w:sz w:val="20"/>
                <w:szCs w:val="20"/>
                <w:color w:val="auto"/>
              </w:rPr>
            </w:pPr>
            <w:r>
              <w:rPr>
                <w:rFonts w:ascii="Arial" w:cs="Arial" w:eastAsia="Arial" w:hAnsi="Arial"/>
                <w:sz w:val="14"/>
                <w:szCs w:val="14"/>
                <w:b w:val="1"/>
                <w:bCs w:val="1"/>
                <w:color w:val="FFFFFF"/>
              </w:rPr>
              <w:t>(in millions)</w:t>
            </w:r>
          </w:p>
        </w:tc>
        <w:tc>
          <w:tcPr>
            <w:tcW w:w="142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(in millions)</w:t>
            </w:r>
          </w:p>
        </w:tc>
        <w:tc>
          <w:tcPr>
            <w:tcW w:w="152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(in millions)</w:t>
            </w:r>
          </w:p>
        </w:tc>
      </w:tr>
      <w:tr>
        <w:trPr>
          <w:trHeight w:val="189"/>
        </w:trPr>
        <w:tc>
          <w:tcPr>
            <w:tcW w:w="2640" w:type="dxa"/>
            <w:vAlign w:val="bottom"/>
          </w:tcPr>
          <w:p>
            <w:pPr>
              <w:jc w:val="center"/>
              <w:ind w:left="427"/>
              <w:spacing w:after="0"/>
              <w:rPr>
                <w:sz w:val="20"/>
                <w:szCs w:val="20"/>
                <w:color w:val="auto"/>
              </w:rPr>
            </w:pPr>
            <w:r>
              <w:rPr>
                <w:rFonts w:ascii="Arial" w:cs="Arial" w:eastAsia="Arial" w:hAnsi="Arial"/>
                <w:sz w:val="16"/>
                <w:szCs w:val="16"/>
                <w:color w:val="auto"/>
              </w:rPr>
              <w:t>$15,716</w:t>
            </w:r>
          </w:p>
        </w:tc>
        <w:tc>
          <w:tcPr>
            <w:tcW w:w="2280" w:type="dxa"/>
            <w:vAlign w:val="bottom"/>
            <w:tcBorders>
              <w:right w:val="single" w:sz="8" w:color="auto"/>
            </w:tcBorders>
          </w:tcPr>
          <w:p>
            <w:pPr>
              <w:jc w:val="center"/>
              <w:ind w:left="386"/>
              <w:spacing w:after="0"/>
              <w:rPr>
                <w:sz w:val="20"/>
                <w:szCs w:val="20"/>
                <w:color w:val="auto"/>
              </w:rPr>
            </w:pPr>
            <w:r>
              <w:rPr>
                <w:rFonts w:ascii="Arial" w:cs="Arial" w:eastAsia="Arial" w:hAnsi="Arial"/>
                <w:sz w:val="16"/>
                <w:szCs w:val="16"/>
                <w:color w:val="auto"/>
              </w:rPr>
              <w:t>$16,502</w:t>
            </w:r>
          </w:p>
        </w:tc>
        <w:tc>
          <w:tcPr>
            <w:tcW w:w="2620" w:type="dxa"/>
            <w:vAlign w:val="bottom"/>
          </w:tcPr>
          <w:p>
            <w:pPr>
              <w:jc w:val="center"/>
              <w:ind w:left="1169"/>
              <w:spacing w:after="0" w:line="189" w:lineRule="exact"/>
              <w:rPr>
                <w:sz w:val="20"/>
                <w:szCs w:val="20"/>
                <w:color w:val="auto"/>
              </w:rPr>
            </w:pPr>
            <w:r>
              <w:rPr>
                <w:rFonts w:ascii="Arial" w:cs="Arial" w:eastAsia="Arial" w:hAnsi="Arial"/>
                <w:sz w:val="13"/>
                <w:szCs w:val="13"/>
                <w:color w:val="auto"/>
              </w:rPr>
              <w:t>$17,665</w:t>
            </w:r>
            <w:r>
              <w:rPr>
                <w:rFonts w:ascii="Arial" w:cs="Arial" w:eastAsia="Arial" w:hAnsi="Arial"/>
                <w:sz w:val="21"/>
                <w:szCs w:val="21"/>
                <w:color w:val="auto"/>
                <w:vertAlign w:val="superscript"/>
              </w:rPr>
              <w:t>(1)</w:t>
            </w:r>
          </w:p>
        </w:tc>
        <w:tc>
          <w:tcPr>
            <w:tcW w:w="1420" w:type="dxa"/>
            <w:vAlign w:val="bottom"/>
          </w:tcPr>
          <w:p>
            <w:pPr>
              <w:jc w:val="center"/>
              <w:spacing w:after="0" w:line="189" w:lineRule="exact"/>
              <w:rPr>
                <w:sz w:val="20"/>
                <w:szCs w:val="20"/>
                <w:color w:val="auto"/>
              </w:rPr>
            </w:pPr>
            <w:r>
              <w:rPr>
                <w:rFonts w:ascii="Arial" w:cs="Arial" w:eastAsia="Arial" w:hAnsi="Arial"/>
                <w:sz w:val="13"/>
                <w:szCs w:val="13"/>
                <w:color w:val="auto"/>
              </w:rPr>
              <w:t>$(7)</w:t>
            </w:r>
            <w:r>
              <w:rPr>
                <w:rFonts w:ascii="Arial" w:cs="Arial" w:eastAsia="Arial" w:hAnsi="Arial"/>
                <w:sz w:val="21"/>
                <w:szCs w:val="21"/>
                <w:color w:val="auto"/>
                <w:vertAlign w:val="superscript"/>
              </w:rPr>
              <w:t>(2)</w:t>
            </w:r>
          </w:p>
        </w:tc>
        <w:tc>
          <w:tcPr>
            <w:tcW w:w="1520" w:type="dxa"/>
            <w:vAlign w:val="bottom"/>
          </w:tcPr>
          <w:p>
            <w:pPr>
              <w:jc w:val="center"/>
              <w:spacing w:after="0"/>
              <w:rPr>
                <w:sz w:val="20"/>
                <w:szCs w:val="20"/>
                <w:color w:val="auto"/>
              </w:rPr>
            </w:pPr>
            <w:r>
              <w:rPr>
                <w:rFonts w:ascii="Arial" w:cs="Arial" w:eastAsia="Arial" w:hAnsi="Arial"/>
                <w:sz w:val="16"/>
                <w:szCs w:val="16"/>
                <w:color w:val="auto"/>
              </w:rPr>
              <w:t>$17,658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10547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71" w:lineRule="exact"/>
        <w:rPr>
          <w:sz w:val="20"/>
          <w:szCs w:val="20"/>
          <w:color w:val="auto"/>
        </w:rPr>
      </w:pPr>
    </w:p>
    <w:p>
      <w:pPr>
        <w:ind w:left="1280" w:right="1060" w:hanging="536"/>
        <w:spacing w:after="0" w:line="246" w:lineRule="auto"/>
        <w:tabs>
          <w:tab w:leader="none" w:pos="12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Non-GAAP revenue is calculated from our consolidated audited financial statements in our 2017 Form 10-K by adding to our $17,636 million of GAAP revenue $29 million of licensing revenue.</w:t>
      </w:r>
    </w:p>
    <w:p>
      <w:pPr>
        <w:ind w:left="1280" w:hanging="536"/>
        <w:spacing w:after="0"/>
        <w:tabs>
          <w:tab w:leader="none" w:pos="12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revenue from a business acquired after Fiscal Year 2017 performance goals were set.</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Non-GAAP Operating Margin Performance Goal Attainment</w:t>
      </w:r>
    </w:p>
    <w:p>
      <w:pPr>
        <w:sectPr>
          <w:pgSz w:w="11900" w:h="16838" w:orient="portrait"/>
          <w:cols w:equalWidth="0" w:num="1">
            <w:col w:w="11240"/>
          </w:cols>
          <w:pgMar w:left="240" w:top="459" w:right="419" w:bottom="1440" w:gutter="0" w:footer="0" w:header="0"/>
        </w:sectPr>
      </w:pPr>
    </w:p>
    <w:p>
      <w:pPr>
        <w:spacing w:after="0" w:line="221"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1560" w:type="dxa"/>
            <w:vAlign w:val="bottom"/>
          </w:tcPr>
          <w:p>
            <w:pPr>
              <w:jc w:val="center"/>
              <w:ind w:left="327"/>
              <w:spacing w:after="0"/>
              <w:rPr>
                <w:sz w:val="20"/>
                <w:szCs w:val="20"/>
                <w:color w:val="auto"/>
              </w:rPr>
            </w:pPr>
            <w:r>
              <w:rPr>
                <w:rFonts w:ascii="Arial" w:cs="Arial" w:eastAsia="Arial" w:hAnsi="Arial"/>
                <w:sz w:val="14"/>
                <w:szCs w:val="14"/>
                <w:b w:val="1"/>
                <w:bCs w:val="1"/>
                <w:color w:val="FFFFFF"/>
              </w:rPr>
              <w:t>Fiscal Year 2017</w:t>
            </w:r>
          </w:p>
        </w:tc>
        <w:tc>
          <w:tcPr>
            <w:tcW w:w="0" w:type="dxa"/>
            <w:vAlign w:val="bottom"/>
          </w:tcPr>
          <w:p>
            <w:pPr>
              <w:spacing w:after="0"/>
              <w:rPr>
                <w:sz w:val="1"/>
                <w:szCs w:val="1"/>
                <w:color w:val="auto"/>
              </w:rPr>
            </w:pPr>
          </w:p>
        </w:tc>
      </w:tr>
      <w:tr>
        <w:trPr>
          <w:trHeight w:val="162"/>
        </w:trPr>
        <w:tc>
          <w:tcPr>
            <w:tcW w:w="1580" w:type="dxa"/>
            <w:vAlign w:val="bottom"/>
            <w:vMerge w:val="restart"/>
          </w:tcPr>
          <w:p>
            <w:pPr>
              <w:jc w:val="center"/>
              <w:ind w:right="327"/>
              <w:spacing w:after="0"/>
              <w:rPr>
                <w:sz w:val="20"/>
                <w:szCs w:val="20"/>
                <w:color w:val="auto"/>
              </w:rPr>
            </w:pPr>
            <w:r>
              <w:rPr>
                <w:rFonts w:ascii="Arial" w:cs="Arial" w:eastAsia="Arial" w:hAnsi="Arial"/>
                <w:sz w:val="14"/>
                <w:szCs w:val="14"/>
                <w:b w:val="1"/>
                <w:bCs w:val="1"/>
                <w:color w:val="FFFFFF"/>
              </w:rPr>
              <w:t>Fiscal Year 2017</w:t>
            </w:r>
          </w:p>
        </w:tc>
        <w:tc>
          <w:tcPr>
            <w:tcW w:w="1560" w:type="dxa"/>
            <w:vAlign w:val="bottom"/>
          </w:tcPr>
          <w:p>
            <w:pPr>
              <w:jc w:val="center"/>
              <w:ind w:left="327"/>
              <w:spacing w:after="0"/>
              <w:rPr>
                <w:sz w:val="20"/>
                <w:szCs w:val="20"/>
                <w:color w:val="auto"/>
              </w:rPr>
            </w:pPr>
            <w:r>
              <w:rPr>
                <w:rFonts w:ascii="Arial" w:cs="Arial" w:eastAsia="Arial" w:hAnsi="Arial"/>
                <w:sz w:val="14"/>
                <w:szCs w:val="14"/>
                <w:b w:val="1"/>
                <w:bCs w:val="1"/>
                <w:color w:val="FFFFFF"/>
              </w:rPr>
              <w:t>Non-GAAP</w:t>
            </w:r>
          </w:p>
        </w:tc>
        <w:tc>
          <w:tcPr>
            <w:tcW w:w="0" w:type="dxa"/>
            <w:vAlign w:val="bottom"/>
          </w:tcPr>
          <w:p>
            <w:pPr>
              <w:spacing w:after="0"/>
              <w:rPr>
                <w:sz w:val="1"/>
                <w:szCs w:val="1"/>
                <w:color w:val="auto"/>
              </w:rPr>
            </w:pPr>
          </w:p>
        </w:tc>
      </w:tr>
      <w:tr>
        <w:trPr>
          <w:trHeight w:val="149"/>
        </w:trPr>
        <w:tc>
          <w:tcPr>
            <w:tcW w:w="1580" w:type="dxa"/>
            <w:vAlign w:val="bottom"/>
            <w:vMerge w:val="continue"/>
          </w:tcPr>
          <w:p>
            <w:pPr>
              <w:spacing w:after="0"/>
              <w:rPr>
                <w:sz w:val="12"/>
                <w:szCs w:val="12"/>
                <w:color w:val="auto"/>
              </w:rPr>
            </w:pPr>
          </w:p>
        </w:tc>
        <w:tc>
          <w:tcPr>
            <w:tcW w:w="156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FFFFFF"/>
              </w:rPr>
              <w:t>Operating</w:t>
            </w:r>
          </w:p>
        </w:tc>
        <w:tc>
          <w:tcPr>
            <w:tcW w:w="0" w:type="dxa"/>
            <w:vAlign w:val="bottom"/>
          </w:tcPr>
          <w:p>
            <w:pPr>
              <w:spacing w:after="0"/>
              <w:rPr>
                <w:sz w:val="1"/>
                <w:szCs w:val="1"/>
                <w:color w:val="auto"/>
              </w:rPr>
            </w:pPr>
          </w:p>
        </w:tc>
      </w:tr>
      <w:tr>
        <w:trPr>
          <w:trHeight w:val="162"/>
        </w:trPr>
        <w:tc>
          <w:tcPr>
            <w:tcW w:w="1580" w:type="dxa"/>
            <w:vAlign w:val="bottom"/>
          </w:tcPr>
          <w:p>
            <w:pPr>
              <w:jc w:val="center"/>
              <w:ind w:right="327"/>
              <w:spacing w:after="0"/>
              <w:rPr>
                <w:sz w:val="20"/>
                <w:szCs w:val="20"/>
                <w:color w:val="auto"/>
              </w:rPr>
            </w:pPr>
            <w:r>
              <w:rPr>
                <w:rFonts w:ascii="Arial" w:cs="Arial" w:eastAsia="Arial" w:hAnsi="Arial"/>
                <w:sz w:val="14"/>
                <w:szCs w:val="14"/>
                <w:b w:val="1"/>
                <w:bCs w:val="1"/>
                <w:color w:val="FFFFFF"/>
              </w:rPr>
              <w:t>Non-GAAP</w:t>
            </w:r>
          </w:p>
        </w:tc>
        <w:tc>
          <w:tcPr>
            <w:tcW w:w="1560" w:type="dxa"/>
            <w:vAlign w:val="bottom"/>
          </w:tcPr>
          <w:p>
            <w:pPr>
              <w:jc w:val="center"/>
              <w:ind w:left="287"/>
              <w:spacing w:after="0"/>
              <w:rPr>
                <w:sz w:val="20"/>
                <w:szCs w:val="20"/>
                <w:color w:val="auto"/>
              </w:rPr>
            </w:pPr>
            <w:r>
              <w:rPr>
                <w:rFonts w:ascii="Arial" w:cs="Arial" w:eastAsia="Arial" w:hAnsi="Arial"/>
                <w:sz w:val="14"/>
                <w:szCs w:val="14"/>
                <w:b w:val="1"/>
                <w:bCs w:val="1"/>
                <w:color w:val="FFFFFF"/>
              </w:rPr>
              <w:t>Margin</w:t>
            </w:r>
          </w:p>
        </w:tc>
        <w:tc>
          <w:tcPr>
            <w:tcW w:w="0" w:type="dxa"/>
            <w:vAlign w:val="bottom"/>
          </w:tcPr>
          <w:p>
            <w:pPr>
              <w:spacing w:after="0"/>
              <w:rPr>
                <w:sz w:val="1"/>
                <w:szCs w:val="1"/>
                <w:color w:val="auto"/>
              </w:rPr>
            </w:pPr>
          </w:p>
        </w:tc>
      </w:tr>
      <w:tr>
        <w:trPr>
          <w:trHeight w:val="162"/>
        </w:trPr>
        <w:tc>
          <w:tcPr>
            <w:tcW w:w="1580" w:type="dxa"/>
            <w:vAlign w:val="bottom"/>
          </w:tcPr>
          <w:p>
            <w:pPr>
              <w:jc w:val="center"/>
              <w:ind w:right="347"/>
              <w:spacing w:after="0"/>
              <w:rPr>
                <w:sz w:val="20"/>
                <w:szCs w:val="20"/>
                <w:color w:val="auto"/>
              </w:rPr>
            </w:pPr>
            <w:r>
              <w:rPr>
                <w:rFonts w:ascii="Arial" w:cs="Arial" w:eastAsia="Arial" w:hAnsi="Arial"/>
                <w:sz w:val="14"/>
                <w:szCs w:val="14"/>
                <w:b w:val="1"/>
                <w:bCs w:val="1"/>
                <w:color w:val="FFFFFF"/>
              </w:rPr>
              <w:t>Operating</w:t>
            </w:r>
          </w:p>
        </w:tc>
        <w:tc>
          <w:tcPr>
            <w:tcW w:w="1560" w:type="dxa"/>
            <w:vAlign w:val="bottom"/>
          </w:tcPr>
          <w:p>
            <w:pPr>
              <w:jc w:val="center"/>
              <w:ind w:left="327"/>
              <w:spacing w:after="0"/>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162"/>
        </w:trPr>
        <w:tc>
          <w:tcPr>
            <w:tcW w:w="1580" w:type="dxa"/>
            <w:vAlign w:val="bottom"/>
          </w:tcPr>
          <w:p>
            <w:pPr>
              <w:jc w:val="center"/>
              <w:ind w:right="327"/>
              <w:spacing w:after="0"/>
              <w:rPr>
                <w:sz w:val="20"/>
                <w:szCs w:val="20"/>
                <w:color w:val="auto"/>
              </w:rPr>
            </w:pPr>
            <w:r>
              <w:rPr>
                <w:rFonts w:ascii="Arial" w:cs="Arial" w:eastAsia="Arial" w:hAnsi="Arial"/>
                <w:sz w:val="14"/>
                <w:szCs w:val="14"/>
                <w:b w:val="1"/>
                <w:bCs w:val="1"/>
                <w:color w:val="FFFFFF"/>
              </w:rPr>
              <w:t>Margin Target</w:t>
            </w:r>
          </w:p>
        </w:tc>
        <w:tc>
          <w:tcPr>
            <w:tcW w:w="1560" w:type="dxa"/>
            <w:vAlign w:val="bottom"/>
          </w:tcPr>
          <w:p>
            <w:pPr>
              <w:jc w:val="center"/>
              <w:ind w:left="327"/>
              <w:spacing w:after="0"/>
              <w:rPr>
                <w:sz w:val="20"/>
                <w:szCs w:val="20"/>
                <w:color w:val="auto"/>
              </w:rPr>
            </w:pPr>
            <w:r>
              <w:rPr>
                <w:rFonts w:ascii="Arial" w:cs="Arial" w:eastAsia="Arial" w:hAnsi="Arial"/>
                <w:sz w:val="14"/>
                <w:szCs w:val="14"/>
                <w:b w:val="1"/>
                <w:bCs w:val="1"/>
                <w:color w:val="FFFFFF"/>
              </w:rPr>
              <w:t>Attainment</w:t>
            </w:r>
          </w:p>
        </w:tc>
        <w:tc>
          <w:tcPr>
            <w:tcW w:w="0" w:type="dxa"/>
            <w:vAlign w:val="bottom"/>
          </w:tcPr>
          <w:p>
            <w:pPr>
              <w:spacing w:after="0"/>
              <w:rPr>
                <w:sz w:val="1"/>
                <w:szCs w:val="1"/>
                <w:color w:val="auto"/>
              </w:rPr>
            </w:pPr>
          </w:p>
        </w:tc>
      </w:tr>
      <w:tr>
        <w:trPr>
          <w:trHeight w:val="189"/>
        </w:trPr>
        <w:tc>
          <w:tcPr>
            <w:tcW w:w="1580" w:type="dxa"/>
            <w:vAlign w:val="bottom"/>
          </w:tcPr>
          <w:p>
            <w:pPr>
              <w:jc w:val="center"/>
              <w:ind w:right="347"/>
              <w:spacing w:after="0"/>
              <w:rPr>
                <w:sz w:val="20"/>
                <w:szCs w:val="20"/>
                <w:color w:val="auto"/>
              </w:rPr>
            </w:pPr>
            <w:r>
              <w:rPr>
                <w:rFonts w:ascii="Arial" w:cs="Arial" w:eastAsia="Arial" w:hAnsi="Arial"/>
                <w:sz w:val="14"/>
                <w:szCs w:val="14"/>
                <w:b w:val="1"/>
                <w:bCs w:val="1"/>
                <w:color w:val="FFFFFF"/>
              </w:rPr>
              <w:t>Attainment Level</w:t>
            </w:r>
          </w:p>
        </w:tc>
        <w:tc>
          <w:tcPr>
            <w:tcW w:w="1560" w:type="dxa"/>
            <w:vAlign w:val="bottom"/>
          </w:tcPr>
          <w:p>
            <w:pPr>
              <w:jc w:val="center"/>
              <w:ind w:left="327"/>
              <w:spacing w:after="0"/>
              <w:rPr>
                <w:sz w:val="20"/>
                <w:szCs w:val="20"/>
                <w:color w:val="auto"/>
              </w:rPr>
            </w:pPr>
            <w:r>
              <w:rPr>
                <w:rFonts w:ascii="Arial" w:cs="Arial" w:eastAsia="Arial" w:hAnsi="Arial"/>
                <w:sz w:val="14"/>
                <w:szCs w:val="14"/>
                <w:b w:val="1"/>
                <w:bCs w:val="1"/>
                <w:color w:val="FFFFFF"/>
              </w:rPr>
              <w:t>Level</w:t>
            </w:r>
          </w:p>
        </w:tc>
        <w:tc>
          <w:tcPr>
            <w:tcW w:w="0" w:type="dxa"/>
            <w:vAlign w:val="bottom"/>
          </w:tcPr>
          <w:p>
            <w:pPr>
              <w:spacing w:after="0"/>
              <w:rPr>
                <w:sz w:val="1"/>
                <w:szCs w:val="1"/>
                <w:color w:val="auto"/>
              </w:rPr>
            </w:pPr>
          </w:p>
        </w:tc>
      </w:tr>
      <w:tr>
        <w:trPr>
          <w:trHeight w:val="189"/>
        </w:trPr>
        <w:tc>
          <w:tcPr>
            <w:tcW w:w="1580" w:type="dxa"/>
            <w:vAlign w:val="bottom"/>
          </w:tcPr>
          <w:p>
            <w:pPr>
              <w:jc w:val="center"/>
              <w:ind w:right="327"/>
              <w:spacing w:after="0"/>
              <w:rPr>
                <w:sz w:val="20"/>
                <w:szCs w:val="20"/>
                <w:color w:val="auto"/>
              </w:rPr>
            </w:pPr>
            <w:r>
              <w:rPr>
                <w:rFonts w:ascii="Arial" w:cs="Arial" w:eastAsia="Arial" w:hAnsi="Arial"/>
                <w:sz w:val="16"/>
                <w:szCs w:val="16"/>
                <w:color w:val="auto"/>
              </w:rPr>
              <w:t>44.9%</w:t>
            </w:r>
          </w:p>
        </w:tc>
        <w:tc>
          <w:tcPr>
            <w:tcW w:w="1560" w:type="dxa"/>
            <w:vAlign w:val="bottom"/>
            <w:tcBorders>
              <w:right w:val="single" w:sz="8" w:color="auto"/>
            </w:tcBorders>
          </w:tcPr>
          <w:p>
            <w:pPr>
              <w:jc w:val="center"/>
              <w:ind w:left="347"/>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1191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FFFFFF"/>
              </w:rPr>
              <w:t>Fiscal Year Provisions or</w:t>
            </w:r>
          </w:p>
        </w:tc>
        <w:tc>
          <w:tcPr>
            <w:tcW w:w="1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FFFFFF"/>
              </w:rPr>
              <w:t>Fiscal Year 2017</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FFFFF"/>
              </w:rPr>
              <w:t>Fiscal Year</w:t>
            </w: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b w:val="1"/>
                <w:bCs w:val="1"/>
                <w:color w:val="FFFFFF"/>
              </w:rPr>
              <w:t>2017 Non-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FFFFF"/>
              </w:rPr>
              <w:t>Accruals</w:t>
            </w:r>
          </w:p>
        </w:tc>
        <w:tc>
          <w:tcPr>
            <w:tcW w:w="1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FFFFFF"/>
              </w:rPr>
              <w:t>APB Plan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FFFFF"/>
              </w:rPr>
              <w:t>2017 APB</w:t>
            </w: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b w:val="1"/>
                <w:bCs w:val="1"/>
                <w:color w:val="FFFFFF"/>
              </w:rPr>
              <w:t>GAAP</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FFFFF"/>
              </w:rPr>
              <w:t>for Anticipated</w:t>
            </w:r>
          </w:p>
        </w:tc>
        <w:tc>
          <w:tcPr>
            <w:tcW w:w="1120" w:type="dxa"/>
            <w:vAlign w:val="bottom"/>
          </w:tcPr>
          <w:p>
            <w:pPr>
              <w:spacing w:after="0"/>
              <w:rPr>
                <w:sz w:val="14"/>
                <w:szCs w:val="14"/>
                <w:color w:val="auto"/>
              </w:rPr>
            </w:pPr>
          </w:p>
        </w:tc>
        <w:tc>
          <w:tcPr>
            <w:tcW w:w="2140" w:type="dxa"/>
            <w:vAlign w:val="bottom"/>
            <w:gridSpan w:val="2"/>
          </w:tcPr>
          <w:p>
            <w:pPr>
              <w:ind w:left="120"/>
              <w:spacing w:after="0"/>
              <w:rPr>
                <w:sz w:val="20"/>
                <w:szCs w:val="20"/>
                <w:color w:val="auto"/>
              </w:rPr>
            </w:pPr>
            <w:r>
              <w:rPr>
                <w:rFonts w:ascii="Arial" w:cs="Arial" w:eastAsia="Arial" w:hAnsi="Arial"/>
                <w:sz w:val="14"/>
                <w:szCs w:val="14"/>
                <w:b w:val="1"/>
                <w:bCs w:val="1"/>
                <w:color w:val="FFFFFF"/>
              </w:rPr>
              <w:t>Adjusted Non- Plan Adjusted</w:t>
            </w: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b w:val="1"/>
                <w:bCs w:val="1"/>
                <w:color w:val="FFFFFF"/>
              </w:rPr>
              <w:t>Operating</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FFFFF"/>
              </w:rPr>
              <w:t>Payouts</w:t>
            </w:r>
          </w:p>
        </w:tc>
        <w:tc>
          <w:tcPr>
            <w:tcW w:w="2360" w:type="dxa"/>
            <w:vAlign w:val="bottom"/>
            <w:gridSpan w:val="2"/>
          </w:tcPr>
          <w:p>
            <w:pPr>
              <w:ind w:left="20"/>
              <w:spacing w:after="0"/>
              <w:rPr>
                <w:sz w:val="20"/>
                <w:szCs w:val="20"/>
                <w:color w:val="auto"/>
              </w:rPr>
            </w:pPr>
            <w:r>
              <w:rPr>
                <w:rFonts w:ascii="Arial" w:cs="Arial" w:eastAsia="Arial" w:hAnsi="Arial"/>
                <w:sz w:val="14"/>
                <w:szCs w:val="14"/>
                <w:b w:val="1"/>
                <w:bCs w:val="1"/>
                <w:color w:val="FFFFFF"/>
              </w:rPr>
              <w:t>Other ProvisionsGAAP Operating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FFFFF"/>
              </w:rPr>
              <w:t>Non-GAAP</w:t>
            </w: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b w:val="1"/>
                <w:bCs w:val="1"/>
                <w:color w:val="FFFFFF"/>
              </w:rPr>
              <w:t>Income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FFFFF"/>
              </w:rPr>
              <w:t>Under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FFFFF"/>
                <w:w w:val="99"/>
              </w:rPr>
              <w:t>or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FFFFFF"/>
              </w:rPr>
              <w:t>Income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FFFFF"/>
              </w:rPr>
              <w:t>Operating</w:t>
            </w: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b w:val="1"/>
                <w:bCs w:val="1"/>
                <w:color w:val="FFFFFF"/>
              </w:rPr>
              <w:t>Achieved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FFFFF"/>
              </w:rPr>
              <w:t>APB Plan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FFFFFF"/>
              </w:rPr>
              <w:t>Accruals, Net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FFFFFF"/>
              </w:rPr>
              <w:t>Achieved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FFFFF"/>
              </w:rPr>
              <w:t>Margin</w:t>
            </w:r>
          </w:p>
        </w:tc>
      </w:tr>
      <w:tr>
        <w:trPr>
          <w:trHeight w:val="186"/>
        </w:trPr>
        <w:tc>
          <w:tcPr>
            <w:tcW w:w="820" w:type="dxa"/>
            <w:vAlign w:val="bottom"/>
          </w:tcPr>
          <w:p>
            <w:pPr>
              <w:jc w:val="center"/>
              <w:spacing w:after="0"/>
              <w:rPr>
                <w:sz w:val="20"/>
                <w:szCs w:val="20"/>
                <w:color w:val="auto"/>
              </w:rPr>
            </w:pPr>
            <w:r>
              <w:rPr>
                <w:rFonts w:ascii="Arial" w:cs="Arial" w:eastAsia="Arial" w:hAnsi="Arial"/>
                <w:sz w:val="14"/>
                <w:szCs w:val="14"/>
                <w:b w:val="1"/>
                <w:bCs w:val="1"/>
                <w:color w:val="FFFFFF"/>
              </w:rPr>
              <w:t>(in millions)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FFFFF"/>
              </w:rPr>
              <w:t>(in millions)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FFFFF"/>
              </w:rPr>
              <w:t>(in millions)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FFFFFF"/>
              </w:rPr>
              <w:t>(in millions)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FFFFF"/>
              </w:rPr>
              <w:t>Achieved</w:t>
            </w:r>
          </w:p>
        </w:tc>
      </w:tr>
      <w:tr>
        <w:trPr>
          <w:trHeight w:val="352"/>
        </w:trPr>
        <w:tc>
          <w:tcPr>
            <w:tcW w:w="820" w:type="dxa"/>
            <w:vAlign w:val="bottom"/>
          </w:tcPr>
          <w:p>
            <w:pPr>
              <w:jc w:val="center"/>
              <w:spacing w:after="0"/>
              <w:rPr>
                <w:sz w:val="20"/>
                <w:szCs w:val="20"/>
                <w:color w:val="auto"/>
              </w:rPr>
            </w:pPr>
            <w:r>
              <w:rPr>
                <w:rFonts w:ascii="Arial" w:cs="Arial" w:eastAsia="Arial" w:hAnsi="Arial"/>
                <w:sz w:val="16"/>
                <w:szCs w:val="16"/>
                <w:color w:val="auto"/>
                <w:w w:val="92"/>
              </w:rPr>
              <w:t>$8,011</w:t>
            </w:r>
            <w:r>
              <w:rPr>
                <w:rFonts w:ascii="Arial" w:cs="Arial" w:eastAsia="Arial" w:hAnsi="Arial"/>
                <w:sz w:val="27"/>
                <w:szCs w:val="27"/>
                <w:color w:val="auto"/>
                <w:w w:val="92"/>
                <w:vertAlign w:val="superscript"/>
              </w:rPr>
              <w:t>(1)</w:t>
            </w:r>
          </w:p>
        </w:tc>
        <w:tc>
          <w:tcPr>
            <w:tcW w:w="1000" w:type="dxa"/>
            <w:vAlign w:val="bottom"/>
          </w:tcPr>
          <w:p>
            <w:pPr>
              <w:jc w:val="center"/>
              <w:spacing w:after="0"/>
              <w:rPr>
                <w:sz w:val="20"/>
                <w:szCs w:val="20"/>
                <w:color w:val="auto"/>
              </w:rPr>
            </w:pPr>
            <w:r>
              <w:rPr>
                <w:rFonts w:ascii="Arial" w:cs="Arial" w:eastAsia="Arial" w:hAnsi="Arial"/>
                <w:sz w:val="16"/>
                <w:szCs w:val="16"/>
                <w:color w:val="auto"/>
              </w:rPr>
              <w:t>$458</w:t>
            </w:r>
          </w:p>
        </w:tc>
        <w:tc>
          <w:tcPr>
            <w:tcW w:w="1120" w:type="dxa"/>
            <w:vAlign w:val="bottom"/>
          </w:tcPr>
          <w:p>
            <w:pPr>
              <w:jc w:val="center"/>
              <w:spacing w:after="0"/>
              <w:rPr>
                <w:sz w:val="20"/>
                <w:szCs w:val="20"/>
                <w:color w:val="auto"/>
              </w:rPr>
            </w:pPr>
            <w:r>
              <w:rPr>
                <w:rFonts w:ascii="Arial" w:cs="Arial" w:eastAsia="Arial" w:hAnsi="Arial"/>
                <w:sz w:val="16"/>
                <w:szCs w:val="16"/>
                <w:color w:val="auto"/>
                <w:w w:val="86"/>
              </w:rPr>
              <w:t>$16</w:t>
            </w:r>
            <w:r>
              <w:rPr>
                <w:rFonts w:ascii="Arial" w:cs="Arial" w:eastAsia="Arial" w:hAnsi="Arial"/>
                <w:sz w:val="27"/>
                <w:szCs w:val="27"/>
                <w:color w:val="auto"/>
                <w:w w:val="86"/>
                <w:vertAlign w:val="superscript"/>
              </w:rPr>
              <w:t>(2)</w:t>
            </w: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$8,485</w:t>
            </w:r>
          </w:p>
        </w:tc>
        <w:tc>
          <w:tcPr>
            <w:tcW w:w="900" w:type="dxa"/>
            <w:vAlign w:val="bottom"/>
          </w:tcPr>
          <w:p>
            <w:pPr>
              <w:jc w:val="center"/>
              <w:spacing w:after="0"/>
              <w:rPr>
                <w:sz w:val="20"/>
                <w:szCs w:val="20"/>
                <w:color w:val="auto"/>
              </w:rPr>
            </w:pPr>
            <w:r>
              <w:rPr>
                <w:rFonts w:ascii="Arial" w:cs="Arial" w:eastAsia="Arial" w:hAnsi="Arial"/>
                <w:sz w:val="16"/>
                <w:szCs w:val="16"/>
                <w:color w:val="auto"/>
              </w:rPr>
              <w:t>48.1%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-949325</wp:posOffset>
            </wp:positionV>
            <wp:extent cx="6646545" cy="728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46545" cy="72898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5420" w:space="720"/>
            <w:col w:w="5100"/>
          </w:cols>
          <w:pgMar w:left="240" w:top="459" w:right="419" w:bottom="1440" w:gutter="0" w:footer="0" w:header="0"/>
          <w:type w:val="continuous"/>
        </w:sectPr>
      </w:pPr>
    </w:p>
    <w:p>
      <w:pPr>
        <w:ind w:left="1280" w:hanging="536"/>
        <w:spacing w:after="0"/>
        <w:tabs>
          <w:tab w:leader="none" w:pos="1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Non-GAAP operating income is calculated from our consolidated audited financial statements in our 2017 Form 10-K by adding to our</w:t>
      </w:r>
    </w:p>
    <w:p>
      <w:pPr>
        <w:spacing w:after="0" w:line="5" w:lineRule="exact"/>
        <w:rPr>
          <w:rFonts w:ascii="Arial" w:cs="Arial" w:eastAsia="Arial" w:hAnsi="Arial"/>
          <w:sz w:val="16"/>
          <w:szCs w:val="16"/>
          <w:color w:val="auto"/>
        </w:rPr>
      </w:pPr>
    </w:p>
    <w:p>
      <w:pPr>
        <w:ind w:left="1280" w:right="160"/>
        <w:spacing w:after="0" w:line="246" w:lineRule="auto"/>
        <w:rPr>
          <w:rFonts w:ascii="Arial" w:cs="Arial" w:eastAsia="Arial" w:hAnsi="Arial"/>
          <w:sz w:val="16"/>
          <w:szCs w:val="16"/>
          <w:color w:val="auto"/>
        </w:rPr>
      </w:pPr>
      <w:r>
        <w:rPr>
          <w:rFonts w:ascii="Arial" w:cs="Arial" w:eastAsia="Arial" w:hAnsi="Arial"/>
          <w:sz w:val="16"/>
          <w:szCs w:val="16"/>
          <w:color w:val="auto"/>
        </w:rPr>
        <w:t>$2,383 million GAAP operating income: $29 million related to the acquisition-related purchase accounting revenue adjustment, $4 million related to the acquisition-related purchase accounting effect on inventory, $4,275 million related to the amortization of acquisition-related intangibles ($2,511 million reported as amortization of intangible assets as part of cost of products sold and $1,764 million reported in amortization of intangible assets as part of operating expenses), $920 million related to share-based compensation expense ($64 million reported as part of cost of products sold and $856 million reported as part of operating expenses), $180 million related to restructuring charges ($19 million reported as part of cost of products sold and $161 million reported as part of operating expenses), $98 million in acquisition-related costs ($1 million reported as part of cost of products sold and $97 million reported as part of operating expenses), and $122 million in litigation settlements.</w:t>
      </w:r>
    </w:p>
    <w:p>
      <w:pPr>
        <w:spacing w:after="0" w:line="3" w:lineRule="exact"/>
        <w:rPr>
          <w:rFonts w:ascii="Arial" w:cs="Arial" w:eastAsia="Arial" w:hAnsi="Arial"/>
          <w:sz w:val="16"/>
          <w:szCs w:val="16"/>
          <w:color w:val="auto"/>
        </w:rPr>
      </w:pPr>
    </w:p>
    <w:p>
      <w:pPr>
        <w:ind w:left="1280" w:right="260" w:hanging="536"/>
        <w:spacing w:after="0" w:line="260" w:lineRule="auto"/>
        <w:tabs>
          <w:tab w:leader="none" w:pos="1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expenses of a business acquired after Fiscal Year 2017 performance goals were set, as well as extraordinary expenses not considered at the time performance goals were set.</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Corporate Performance Attainment Level</w:t>
      </w:r>
    </w:p>
    <w:p>
      <w:pPr>
        <w:spacing w:after="0" w:line="209"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280" w:type="dxa"/>
            <w:vAlign w:val="bottom"/>
            <w:shd w:val="clear" w:color="auto" w:fill="7F7F7F"/>
          </w:tcPr>
          <w:p>
            <w:pPr>
              <w:spacing w:after="0"/>
              <w:rPr>
                <w:sz w:val="14"/>
                <w:szCs w:val="14"/>
                <w:color w:val="auto"/>
              </w:rPr>
            </w:pPr>
          </w:p>
        </w:tc>
        <w:tc>
          <w:tcPr>
            <w:tcW w:w="2500" w:type="dxa"/>
            <w:vAlign w:val="bottom"/>
            <w:shd w:val="clear" w:color="auto" w:fill="7F7F7F"/>
          </w:tcPr>
          <w:p>
            <w:pPr>
              <w:jc w:val="center"/>
              <w:ind w:left="168"/>
              <w:spacing w:after="0"/>
              <w:rPr>
                <w:sz w:val="20"/>
                <w:szCs w:val="20"/>
                <w:color w:val="auto"/>
              </w:rPr>
            </w:pPr>
            <w:r>
              <w:rPr>
                <w:rFonts w:ascii="Arial" w:cs="Arial" w:eastAsia="Arial" w:hAnsi="Arial"/>
                <w:sz w:val="14"/>
                <w:szCs w:val="14"/>
                <w:b w:val="1"/>
                <w:bCs w:val="1"/>
                <w:color w:val="FFFFFF"/>
              </w:rPr>
              <w:t>Actual Fiscal Year</w:t>
            </w:r>
          </w:p>
        </w:tc>
        <w:tc>
          <w:tcPr>
            <w:tcW w:w="176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As a % of</w:t>
            </w:r>
          </w:p>
        </w:tc>
        <w:tc>
          <w:tcPr>
            <w:tcW w:w="1480" w:type="dxa"/>
            <w:vAlign w:val="bottom"/>
            <w:shd w:val="clear" w:color="auto" w:fill="7F7F7F"/>
          </w:tcPr>
          <w:p>
            <w:pPr>
              <w:spacing w:after="0"/>
              <w:rPr>
                <w:sz w:val="14"/>
                <w:szCs w:val="14"/>
                <w:color w:val="auto"/>
              </w:rPr>
            </w:pPr>
          </w:p>
        </w:tc>
        <w:tc>
          <w:tcPr>
            <w:tcW w:w="1340" w:type="dxa"/>
            <w:vAlign w:val="bottom"/>
            <w:shd w:val="clear" w:color="auto" w:fill="7F7F7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7F7F7F"/>
          </w:tcPr>
          <w:p>
            <w:pPr>
              <w:spacing w:after="0"/>
              <w:rPr>
                <w:sz w:val="14"/>
                <w:szCs w:val="14"/>
                <w:color w:val="auto"/>
              </w:rPr>
            </w:pPr>
          </w:p>
        </w:tc>
        <w:tc>
          <w:tcPr>
            <w:tcW w:w="2500" w:type="dxa"/>
            <w:vAlign w:val="bottom"/>
            <w:shd w:val="clear" w:color="auto" w:fill="7F7F7F"/>
          </w:tcPr>
          <w:p>
            <w:pPr>
              <w:jc w:val="center"/>
              <w:ind w:left="188"/>
              <w:spacing w:after="0"/>
              <w:rPr>
                <w:sz w:val="20"/>
                <w:szCs w:val="20"/>
                <w:color w:val="auto"/>
              </w:rPr>
            </w:pPr>
            <w:r>
              <w:rPr>
                <w:rFonts w:ascii="Arial" w:cs="Arial" w:eastAsia="Arial" w:hAnsi="Arial"/>
                <w:sz w:val="14"/>
                <w:szCs w:val="14"/>
                <w:b w:val="1"/>
                <w:bCs w:val="1"/>
                <w:color w:val="FFFFFF"/>
              </w:rPr>
              <w:t>2017 Performance</w:t>
            </w:r>
          </w:p>
        </w:tc>
        <w:tc>
          <w:tcPr>
            <w:tcW w:w="176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480" w:type="dxa"/>
            <w:vAlign w:val="bottom"/>
            <w:shd w:val="clear" w:color="auto" w:fill="7F7F7F"/>
          </w:tcPr>
          <w:p>
            <w:pPr>
              <w:spacing w:after="0"/>
              <w:rPr>
                <w:sz w:val="14"/>
                <w:szCs w:val="14"/>
                <w:color w:val="auto"/>
              </w:rPr>
            </w:pPr>
          </w:p>
        </w:tc>
        <w:tc>
          <w:tcPr>
            <w:tcW w:w="1340" w:type="dxa"/>
            <w:vAlign w:val="bottom"/>
            <w:shd w:val="clear" w:color="auto" w:fill="7F7F7F"/>
          </w:tcPr>
          <w:p>
            <w:pPr>
              <w:jc w:val="center"/>
              <w:ind w:left="348"/>
              <w:spacing w:after="0"/>
              <w:rPr>
                <w:sz w:val="20"/>
                <w:szCs w:val="20"/>
                <w:color w:val="auto"/>
              </w:rPr>
            </w:pPr>
            <w:r>
              <w:rPr>
                <w:rFonts w:ascii="Arial" w:cs="Arial" w:eastAsia="Arial" w:hAnsi="Arial"/>
                <w:sz w:val="14"/>
                <w:szCs w:val="14"/>
                <w:b w:val="1"/>
                <w:bCs w:val="1"/>
                <w:color w:val="FFFFFF"/>
              </w:rPr>
              <w:t>Weighted</w:t>
            </w:r>
          </w:p>
        </w:tc>
        <w:tc>
          <w:tcPr>
            <w:tcW w:w="0" w:type="dxa"/>
            <w:vAlign w:val="bottom"/>
          </w:tcPr>
          <w:p>
            <w:pPr>
              <w:spacing w:after="0"/>
              <w:rPr>
                <w:sz w:val="1"/>
                <w:szCs w:val="1"/>
                <w:color w:val="auto"/>
              </w:rPr>
            </w:pPr>
          </w:p>
        </w:tc>
      </w:tr>
      <w:tr>
        <w:trPr>
          <w:trHeight w:val="189"/>
        </w:trPr>
        <w:tc>
          <w:tcPr>
            <w:tcW w:w="3280" w:type="dxa"/>
            <w:vAlign w:val="bottom"/>
            <w:shd w:val="clear" w:color="auto" w:fill="7F7F7F"/>
          </w:tcPr>
          <w:p>
            <w:pPr>
              <w:ind w:left="500"/>
              <w:spacing w:after="0"/>
              <w:rPr>
                <w:sz w:val="20"/>
                <w:szCs w:val="20"/>
                <w:color w:val="auto"/>
              </w:rPr>
            </w:pPr>
            <w:r>
              <w:rPr>
                <w:rFonts w:ascii="Arial" w:cs="Arial" w:eastAsia="Arial" w:hAnsi="Arial"/>
                <w:sz w:val="14"/>
                <w:szCs w:val="14"/>
                <w:b w:val="1"/>
                <w:bCs w:val="1"/>
                <w:color w:val="FFFFFF"/>
              </w:rPr>
              <w:t>Corporate Performance Goals</w:t>
            </w:r>
          </w:p>
        </w:tc>
        <w:tc>
          <w:tcPr>
            <w:tcW w:w="2500" w:type="dxa"/>
            <w:vAlign w:val="bottom"/>
            <w:shd w:val="clear" w:color="auto" w:fill="7F7F7F"/>
          </w:tcPr>
          <w:p>
            <w:pPr>
              <w:jc w:val="center"/>
              <w:ind w:left="188"/>
              <w:spacing w:after="0"/>
              <w:rPr>
                <w:sz w:val="20"/>
                <w:szCs w:val="20"/>
                <w:color w:val="auto"/>
              </w:rPr>
            </w:pPr>
            <w:r>
              <w:rPr>
                <w:rFonts w:ascii="Arial" w:cs="Arial" w:eastAsia="Arial" w:hAnsi="Arial"/>
                <w:sz w:val="14"/>
                <w:szCs w:val="14"/>
                <w:b w:val="1"/>
                <w:bCs w:val="1"/>
                <w:color w:val="FFFFFF"/>
              </w:rPr>
              <w:t>(in millions)</w:t>
            </w:r>
          </w:p>
        </w:tc>
        <w:tc>
          <w:tcPr>
            <w:tcW w:w="176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Attainment</w:t>
            </w:r>
          </w:p>
        </w:tc>
        <w:tc>
          <w:tcPr>
            <w:tcW w:w="14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Weight</w:t>
            </w:r>
          </w:p>
        </w:tc>
        <w:tc>
          <w:tcPr>
            <w:tcW w:w="1340" w:type="dxa"/>
            <w:vAlign w:val="bottom"/>
            <w:shd w:val="clear" w:color="auto" w:fill="7F7F7F"/>
          </w:tcPr>
          <w:p>
            <w:pPr>
              <w:jc w:val="center"/>
              <w:ind w:left="348"/>
              <w:spacing w:after="0"/>
              <w:rPr>
                <w:sz w:val="20"/>
                <w:szCs w:val="20"/>
                <w:color w:val="auto"/>
              </w:rPr>
            </w:pPr>
            <w:r>
              <w:rPr>
                <w:rFonts w:ascii="Arial" w:cs="Arial" w:eastAsia="Arial" w:hAnsi="Arial"/>
                <w:sz w:val="14"/>
                <w:szCs w:val="14"/>
                <w:b w:val="1"/>
                <w:bCs w:val="1"/>
                <w:color w:val="FFFFFF"/>
              </w:rPr>
              <w:t>Attainment</w:t>
            </w:r>
          </w:p>
        </w:tc>
        <w:tc>
          <w:tcPr>
            <w:tcW w:w="0" w:type="dxa"/>
            <w:vAlign w:val="bottom"/>
          </w:tcPr>
          <w:p>
            <w:pPr>
              <w:spacing w:after="0"/>
              <w:rPr>
                <w:sz w:val="1"/>
                <w:szCs w:val="1"/>
                <w:color w:val="auto"/>
              </w:rPr>
            </w:pPr>
          </w:p>
        </w:tc>
      </w:tr>
      <w:tr>
        <w:trPr>
          <w:trHeight w:val="177"/>
        </w:trPr>
        <w:tc>
          <w:tcPr>
            <w:tcW w:w="3280" w:type="dxa"/>
            <w:vAlign w:val="bottom"/>
          </w:tcPr>
          <w:p>
            <w:pPr>
              <w:ind w:left="80"/>
              <w:spacing w:after="0"/>
              <w:rPr>
                <w:sz w:val="20"/>
                <w:szCs w:val="20"/>
                <w:color w:val="auto"/>
              </w:rPr>
            </w:pPr>
            <w:r>
              <w:rPr>
                <w:rFonts w:ascii="Arial" w:cs="Arial" w:eastAsia="Arial" w:hAnsi="Arial"/>
                <w:sz w:val="14"/>
                <w:szCs w:val="14"/>
                <w:color w:val="auto"/>
              </w:rPr>
              <w:t>Non-GAAP Revenue</w:t>
            </w:r>
          </w:p>
        </w:tc>
        <w:tc>
          <w:tcPr>
            <w:tcW w:w="2500" w:type="dxa"/>
            <w:vAlign w:val="bottom"/>
          </w:tcPr>
          <w:p>
            <w:pPr>
              <w:jc w:val="right"/>
              <w:ind w:right="788"/>
              <w:spacing w:after="0"/>
              <w:rPr>
                <w:sz w:val="20"/>
                <w:szCs w:val="20"/>
                <w:color w:val="auto"/>
              </w:rPr>
            </w:pPr>
            <w:r>
              <w:rPr>
                <w:rFonts w:ascii="Arial" w:cs="Arial" w:eastAsia="Arial" w:hAnsi="Arial"/>
                <w:sz w:val="14"/>
                <w:szCs w:val="14"/>
                <w:color w:val="auto"/>
              </w:rPr>
              <w:t>$17,658</w:t>
            </w:r>
          </w:p>
        </w:tc>
        <w:tc>
          <w:tcPr>
            <w:tcW w:w="1760" w:type="dxa"/>
            <w:vAlign w:val="bottom"/>
          </w:tcPr>
          <w:p>
            <w:pPr>
              <w:jc w:val="center"/>
              <w:spacing w:after="0"/>
              <w:rPr>
                <w:sz w:val="20"/>
                <w:szCs w:val="20"/>
                <w:color w:val="auto"/>
              </w:rPr>
            </w:pPr>
            <w:r>
              <w:rPr>
                <w:rFonts w:ascii="Arial" w:cs="Arial" w:eastAsia="Arial" w:hAnsi="Arial"/>
                <w:sz w:val="14"/>
                <w:szCs w:val="14"/>
                <w:color w:val="auto"/>
              </w:rPr>
              <w:t>150%</w:t>
            </w:r>
          </w:p>
        </w:tc>
        <w:tc>
          <w:tcPr>
            <w:tcW w:w="1480" w:type="dxa"/>
            <w:vAlign w:val="bottom"/>
          </w:tcPr>
          <w:p>
            <w:pPr>
              <w:jc w:val="center"/>
              <w:spacing w:after="0"/>
              <w:rPr>
                <w:sz w:val="20"/>
                <w:szCs w:val="20"/>
                <w:color w:val="auto"/>
              </w:rPr>
            </w:pPr>
            <w:r>
              <w:rPr>
                <w:rFonts w:ascii="Arial" w:cs="Arial" w:eastAsia="Arial" w:hAnsi="Arial"/>
                <w:sz w:val="14"/>
                <w:szCs w:val="14"/>
                <w:color w:val="auto"/>
              </w:rPr>
              <w:t>50%</w:t>
            </w:r>
          </w:p>
        </w:tc>
        <w:tc>
          <w:tcPr>
            <w:tcW w:w="1340" w:type="dxa"/>
            <w:vAlign w:val="bottom"/>
          </w:tcPr>
          <w:p>
            <w:pPr>
              <w:jc w:val="center"/>
              <w:ind w:left="428"/>
              <w:spacing w:after="0"/>
              <w:rPr>
                <w:sz w:val="20"/>
                <w:szCs w:val="20"/>
                <w:color w:val="auto"/>
              </w:rPr>
            </w:pPr>
            <w:r>
              <w:rPr>
                <w:rFonts w:ascii="Arial" w:cs="Arial" w:eastAsia="Arial" w:hAnsi="Arial"/>
                <w:sz w:val="14"/>
                <w:szCs w:val="14"/>
                <w:color w:val="auto"/>
                <w:w w:val="99"/>
              </w:rPr>
              <w:t>75%</w:t>
            </w:r>
          </w:p>
        </w:tc>
        <w:tc>
          <w:tcPr>
            <w:tcW w:w="0" w:type="dxa"/>
            <w:vAlign w:val="bottom"/>
          </w:tcPr>
          <w:p>
            <w:pPr>
              <w:spacing w:after="0"/>
              <w:rPr>
                <w:sz w:val="1"/>
                <w:szCs w:val="1"/>
                <w:color w:val="auto"/>
              </w:rPr>
            </w:pPr>
          </w:p>
        </w:tc>
      </w:tr>
      <w:tr>
        <w:trPr>
          <w:trHeight w:val="257"/>
        </w:trPr>
        <w:tc>
          <w:tcPr>
            <w:tcW w:w="3280" w:type="dxa"/>
            <w:vAlign w:val="bottom"/>
          </w:tcPr>
          <w:p>
            <w:pPr>
              <w:ind w:left="80"/>
              <w:spacing w:after="0"/>
              <w:rPr>
                <w:sz w:val="20"/>
                <w:szCs w:val="20"/>
                <w:color w:val="auto"/>
              </w:rPr>
            </w:pPr>
            <w:r>
              <w:rPr>
                <w:rFonts w:ascii="Arial" w:cs="Arial" w:eastAsia="Arial" w:hAnsi="Arial"/>
                <w:sz w:val="14"/>
                <w:szCs w:val="14"/>
                <w:color w:val="auto"/>
              </w:rPr>
              <w:t>Non-GAAP Operating Margin</w:t>
            </w:r>
          </w:p>
        </w:tc>
        <w:tc>
          <w:tcPr>
            <w:tcW w:w="2500" w:type="dxa"/>
            <w:vAlign w:val="bottom"/>
          </w:tcPr>
          <w:p>
            <w:pPr>
              <w:jc w:val="right"/>
              <w:ind w:right="848"/>
              <w:spacing w:after="0"/>
              <w:rPr>
                <w:sz w:val="20"/>
                <w:szCs w:val="20"/>
                <w:color w:val="auto"/>
              </w:rPr>
            </w:pPr>
            <w:r>
              <w:rPr>
                <w:rFonts w:ascii="Arial" w:cs="Arial" w:eastAsia="Arial" w:hAnsi="Arial"/>
                <w:sz w:val="14"/>
                <w:szCs w:val="14"/>
                <w:color w:val="auto"/>
              </w:rPr>
              <w:t>48.1%</w:t>
            </w:r>
          </w:p>
        </w:tc>
        <w:tc>
          <w:tcPr>
            <w:tcW w:w="1760" w:type="dxa"/>
            <w:vAlign w:val="bottom"/>
          </w:tcPr>
          <w:p>
            <w:pPr>
              <w:jc w:val="center"/>
              <w:spacing w:after="0"/>
              <w:rPr>
                <w:sz w:val="20"/>
                <w:szCs w:val="20"/>
                <w:color w:val="auto"/>
              </w:rPr>
            </w:pPr>
            <w:r>
              <w:rPr>
                <w:rFonts w:ascii="Arial" w:cs="Arial" w:eastAsia="Arial" w:hAnsi="Arial"/>
                <w:sz w:val="14"/>
                <w:szCs w:val="14"/>
                <w:color w:val="auto"/>
              </w:rPr>
              <w:t>150%</w:t>
            </w:r>
          </w:p>
        </w:tc>
        <w:tc>
          <w:tcPr>
            <w:tcW w:w="1480" w:type="dxa"/>
            <w:vAlign w:val="bottom"/>
          </w:tcPr>
          <w:p>
            <w:pPr>
              <w:jc w:val="center"/>
              <w:spacing w:after="0"/>
              <w:rPr>
                <w:sz w:val="20"/>
                <w:szCs w:val="20"/>
                <w:color w:val="auto"/>
              </w:rPr>
            </w:pPr>
            <w:r>
              <w:rPr>
                <w:rFonts w:ascii="Arial" w:cs="Arial" w:eastAsia="Arial" w:hAnsi="Arial"/>
                <w:sz w:val="14"/>
                <w:szCs w:val="14"/>
                <w:color w:val="auto"/>
              </w:rPr>
              <w:t>50%</w:t>
            </w:r>
          </w:p>
        </w:tc>
        <w:tc>
          <w:tcPr>
            <w:tcW w:w="1340" w:type="dxa"/>
            <w:vAlign w:val="bottom"/>
          </w:tcPr>
          <w:p>
            <w:pPr>
              <w:jc w:val="center"/>
              <w:ind w:left="428"/>
              <w:spacing w:after="0"/>
              <w:rPr>
                <w:sz w:val="20"/>
                <w:szCs w:val="20"/>
                <w:color w:val="auto"/>
              </w:rPr>
            </w:pPr>
            <w:r>
              <w:rPr>
                <w:rFonts w:ascii="Arial" w:cs="Arial" w:eastAsia="Arial" w:hAnsi="Arial"/>
                <w:sz w:val="14"/>
                <w:szCs w:val="14"/>
                <w:color w:val="auto"/>
                <w:w w:val="99"/>
              </w:rPr>
              <w:t>75%</w:t>
            </w:r>
          </w:p>
        </w:tc>
        <w:tc>
          <w:tcPr>
            <w:tcW w:w="0" w:type="dxa"/>
            <w:vAlign w:val="bottom"/>
          </w:tcPr>
          <w:p>
            <w:pPr>
              <w:spacing w:after="0"/>
              <w:rPr>
                <w:sz w:val="1"/>
                <w:szCs w:val="1"/>
                <w:color w:val="auto"/>
              </w:rPr>
            </w:pPr>
          </w:p>
        </w:tc>
      </w:tr>
      <w:tr>
        <w:trPr>
          <w:trHeight w:val="257"/>
        </w:trPr>
        <w:tc>
          <w:tcPr>
            <w:tcW w:w="3280" w:type="dxa"/>
            <w:vAlign w:val="bottom"/>
          </w:tcPr>
          <w:p>
            <w:pPr>
              <w:ind w:left="80"/>
              <w:spacing w:after="0"/>
              <w:rPr>
                <w:sz w:val="20"/>
                <w:szCs w:val="20"/>
                <w:color w:val="auto"/>
              </w:rPr>
            </w:pPr>
            <w:r>
              <w:rPr>
                <w:rFonts w:ascii="Arial" w:cs="Arial" w:eastAsia="Arial" w:hAnsi="Arial"/>
                <w:sz w:val="14"/>
                <w:szCs w:val="14"/>
                <w:color w:val="auto"/>
              </w:rPr>
              <w:t>Total Attainment</w:t>
            </w: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40" w:type="dxa"/>
            <w:vAlign w:val="bottom"/>
            <w:vMerge w:val="restart"/>
          </w:tcPr>
          <w:p>
            <w:pPr>
              <w:jc w:val="center"/>
              <w:ind w:left="4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Divisional or Functional Performance Components</w:t>
      </w:r>
    </w:p>
    <w:p>
      <w:pPr>
        <w:spacing w:after="0" w:line="81" w:lineRule="exact"/>
        <w:rPr>
          <w:sz w:val="20"/>
          <w:szCs w:val="20"/>
          <w:color w:val="auto"/>
        </w:rPr>
      </w:pPr>
    </w:p>
    <w:p>
      <w:pPr>
        <w:ind w:left="200" w:right="280" w:firstLine="551"/>
        <w:spacing w:after="0"/>
        <w:rPr>
          <w:sz w:val="20"/>
          <w:szCs w:val="20"/>
          <w:color w:val="auto"/>
        </w:rPr>
      </w:pPr>
      <w:r>
        <w:rPr>
          <w:rFonts w:ascii="Arial" w:cs="Arial" w:eastAsia="Arial" w:hAnsi="Arial"/>
          <w:sz w:val="18"/>
          <w:szCs w:val="18"/>
          <w:color w:val="auto"/>
        </w:rPr>
        <w:t>For purposes of the Fiscal Year 2017 APB Plan, the Compensation Committee determined an executive’s divisional or functional performance percentage based on the achievement of specified goals by the division or function overseen by him or her. In December 2017, the Independent Directors and the Compensation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459" w:right="41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20"/>
        <w:spacing w:after="0" w:line="267" w:lineRule="auto"/>
        <w:rPr>
          <w:sz w:val="20"/>
          <w:szCs w:val="20"/>
          <w:color w:val="auto"/>
        </w:rPr>
      </w:pPr>
      <w:r>
        <w:rPr>
          <w:rFonts w:ascii="Arial" w:cs="Arial" w:eastAsia="Arial" w:hAnsi="Arial"/>
          <w:sz w:val="18"/>
          <w:szCs w:val="18"/>
          <w:color w:val="auto"/>
        </w:rPr>
        <w:t>Committee determined that the divisional or functional goals had been achieved at the levels set forth in the table below under “</w:t>
      </w:r>
      <w:r>
        <w:rPr>
          <w:rFonts w:ascii="Arial" w:cs="Arial" w:eastAsia="Arial" w:hAnsi="Arial"/>
          <w:sz w:val="18"/>
          <w:szCs w:val="18"/>
          <w:i w:val="1"/>
          <w:iCs w:val="1"/>
          <w:color w:val="auto"/>
        </w:rPr>
        <w:t>Fiscal Year</w:t>
      </w:r>
      <w:r>
        <w:rPr>
          <w:rFonts w:ascii="Arial" w:cs="Arial" w:eastAsia="Arial" w:hAnsi="Arial"/>
          <w:sz w:val="18"/>
          <w:szCs w:val="18"/>
          <w:color w:val="auto"/>
        </w:rPr>
        <w:t xml:space="preserve"> </w:t>
      </w:r>
      <w:r>
        <w:rPr>
          <w:rFonts w:ascii="Arial" w:cs="Arial" w:eastAsia="Arial" w:hAnsi="Arial"/>
          <w:sz w:val="18"/>
          <w:szCs w:val="18"/>
          <w:i w:val="1"/>
          <w:iCs w:val="1"/>
          <w:color w:val="auto"/>
        </w:rPr>
        <w:t>2017 APB Plan Attainment and Payout Amounts”</w:t>
      </w:r>
      <w:r>
        <w:rPr>
          <w:rFonts w:ascii="Arial" w:cs="Arial" w:eastAsia="Arial" w:hAnsi="Arial"/>
          <w:sz w:val="18"/>
          <w:szCs w:val="18"/>
          <w:color w:val="auto"/>
        </w:rPr>
        <w:t>.</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Individual Performance Multiplier</w:t>
      </w:r>
    </w:p>
    <w:p>
      <w:pPr>
        <w:spacing w:after="0" w:line="122" w:lineRule="exact"/>
        <w:rPr>
          <w:sz w:val="20"/>
          <w:szCs w:val="20"/>
          <w:color w:val="auto"/>
        </w:rPr>
      </w:pPr>
    </w:p>
    <w:p>
      <w:pPr>
        <w:ind w:left="200" w:right="260" w:firstLine="551"/>
        <w:spacing w:after="0"/>
        <w:rPr>
          <w:sz w:val="20"/>
          <w:szCs w:val="20"/>
          <w:color w:val="auto"/>
        </w:rPr>
      </w:pPr>
      <w:r>
        <w:rPr>
          <w:rFonts w:ascii="Arial" w:cs="Arial" w:eastAsia="Arial" w:hAnsi="Arial"/>
          <w:sz w:val="18"/>
          <w:szCs w:val="18"/>
          <w:color w:val="auto"/>
        </w:rPr>
        <w:t>The Compensation Committee, with input from our CEO, determined that each of our NEOs (other than the CEO) should receive an individual performance multiplier of between 120% and 130% based on these individuals’ respective contributions towards the corporate goal achievements and their respective divisional or functional achievements.</w:t>
      </w:r>
    </w:p>
    <w:p>
      <w:pPr>
        <w:spacing w:after="0" w:line="149" w:lineRule="exact"/>
        <w:rPr>
          <w:sz w:val="20"/>
          <w:szCs w:val="20"/>
          <w:color w:val="auto"/>
        </w:rPr>
      </w:pPr>
    </w:p>
    <w:p>
      <w:pPr>
        <w:ind w:left="200" w:right="300" w:firstLine="551"/>
        <w:spacing w:after="0"/>
        <w:rPr>
          <w:sz w:val="20"/>
          <w:szCs w:val="20"/>
          <w:color w:val="auto"/>
        </w:rPr>
      </w:pPr>
      <w:r>
        <w:rPr>
          <w:rFonts w:ascii="Arial" w:cs="Arial" w:eastAsia="Arial" w:hAnsi="Arial"/>
          <w:sz w:val="18"/>
          <w:szCs w:val="18"/>
          <w:color w:val="auto"/>
        </w:rPr>
        <w:t>The Independent Directors, based upon the recommendation of the Compensation Committee, determined that Mr. Tan should receive a performance multiplier of 150% for his performance in delivering extremely strong financial and operational results, above the APB Plan maximum performance goals.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of the corporate and divisional or functional goals for our NEOs, and their respective weighting is described in the following</w:t>
      </w:r>
    </w:p>
    <w:p>
      <w:pPr>
        <w:ind w:left="200"/>
        <w:spacing w:after="0"/>
        <w:rPr>
          <w:sz w:val="20"/>
          <w:szCs w:val="20"/>
          <w:color w:val="auto"/>
        </w:rPr>
      </w:pPr>
      <w:r>
        <w:rPr>
          <w:rFonts w:ascii="Arial" w:cs="Arial" w:eastAsia="Arial" w:hAnsi="Arial"/>
          <w:sz w:val="18"/>
          <w:szCs w:val="18"/>
          <w:color w:val="auto"/>
        </w:rPr>
        <w:t>table.</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Fiscal Year 2017 APB Plan Attainment and Payout Amounts</w:t>
      </w:r>
    </w:p>
    <w:p>
      <w:pPr>
        <w:spacing w:after="0" w:line="197" w:lineRule="exact"/>
        <w:rPr>
          <w:sz w:val="20"/>
          <w:szCs w:val="20"/>
          <w:color w:val="auto"/>
        </w:rPr>
      </w:pPr>
    </w:p>
    <w:tbl>
      <w:tblPr>
        <w:tblLayout w:type="fixed"/>
        <w:tblInd w:w="730" w:type="dxa"/>
        <w:tblCellMar>
          <w:top w:w="0" w:type="dxa"/>
          <w:left w:w="0" w:type="dxa"/>
          <w:bottom w:w="0" w:type="dxa"/>
          <w:right w:w="0" w:type="dxa"/>
        </w:tblCellMar>
      </w:tblPr>
      <w:tr>
        <w:trPr>
          <w:trHeight w:val="184"/>
        </w:trPr>
        <w:tc>
          <w:tcPr>
            <w:tcW w:w="2860" w:type="dxa"/>
            <w:vAlign w:val="bottom"/>
            <w:tcBorders>
              <w:top w:val="single" w:sz="8" w:color="auto"/>
              <w:left w:val="single" w:sz="8" w:color="auto"/>
              <w:right w:val="single" w:sz="8" w:color="auto"/>
            </w:tcBorders>
            <w:shd w:val="clear" w:color="auto" w:fill="7F7F7F"/>
          </w:tcPr>
          <w:p>
            <w:pPr>
              <w:spacing w:after="0"/>
              <w:rPr>
                <w:sz w:val="16"/>
                <w:szCs w:val="16"/>
                <w:color w:val="auto"/>
              </w:rPr>
            </w:pPr>
          </w:p>
        </w:tc>
        <w:tc>
          <w:tcPr>
            <w:tcW w:w="700" w:type="dxa"/>
            <w:vAlign w:val="bottom"/>
            <w:tcBorders>
              <w:top w:val="single" w:sz="8" w:color="auto"/>
              <w:right w:val="single" w:sz="8" w:color="auto"/>
            </w:tcBorders>
            <w:shd w:val="clear" w:color="auto" w:fill="7F7F7F"/>
          </w:tcPr>
          <w:p>
            <w:pPr>
              <w:spacing w:after="0"/>
              <w:rPr>
                <w:sz w:val="16"/>
                <w:szCs w:val="16"/>
                <w:color w:val="auto"/>
              </w:rPr>
            </w:pPr>
          </w:p>
        </w:tc>
        <w:tc>
          <w:tcPr>
            <w:tcW w:w="3060" w:type="dxa"/>
            <w:vAlign w:val="bottom"/>
            <w:tcBorders>
              <w:top w:val="single" w:sz="8" w:color="auto"/>
              <w:right w:val="single" w:sz="8" w:color="auto"/>
            </w:tcBorders>
            <w:shd w:val="clear" w:color="auto" w:fill="7F7F7F"/>
          </w:tcPr>
          <w:p>
            <w:pPr>
              <w:spacing w:after="0"/>
              <w:rPr>
                <w:sz w:val="16"/>
                <w:szCs w:val="16"/>
                <w:color w:val="auto"/>
              </w:rPr>
            </w:pPr>
          </w:p>
        </w:tc>
        <w:tc>
          <w:tcPr>
            <w:tcW w:w="1120" w:type="dxa"/>
            <w:vAlign w:val="bottom"/>
            <w:tcBorders>
              <w:top w:val="single" w:sz="8" w:color="auto"/>
              <w:right w:val="single" w:sz="8" w:color="auto"/>
            </w:tcBorders>
            <w:shd w:val="clear" w:color="auto" w:fill="7F7F7F"/>
          </w:tcPr>
          <w:p>
            <w:pPr>
              <w:spacing w:after="0"/>
              <w:rPr>
                <w:sz w:val="16"/>
                <w:szCs w:val="16"/>
                <w:color w:val="auto"/>
              </w:rPr>
            </w:pPr>
          </w:p>
        </w:tc>
        <w:tc>
          <w:tcPr>
            <w:tcW w:w="2800" w:type="dxa"/>
            <w:vAlign w:val="bottom"/>
            <w:tcBorders>
              <w:top w:val="single" w:sz="8" w:color="auto"/>
              <w:right w:val="single" w:sz="8" w:color="auto"/>
            </w:tcBorders>
            <w:gridSpan w:val="3"/>
            <w:shd w:val="clear" w:color="auto" w:fill="7F7F7F"/>
          </w:tcPr>
          <w:p>
            <w:pPr>
              <w:jc w:val="center"/>
              <w:ind w:right="88"/>
              <w:spacing w:after="0"/>
              <w:rPr>
                <w:sz w:val="20"/>
                <w:szCs w:val="20"/>
                <w:color w:val="auto"/>
              </w:rPr>
            </w:pPr>
            <w:r>
              <w:rPr>
                <w:rFonts w:ascii="Arial" w:cs="Arial" w:eastAsia="Arial" w:hAnsi="Arial"/>
                <w:sz w:val="16"/>
                <w:szCs w:val="16"/>
                <w:b w:val="1"/>
                <w:bCs w:val="1"/>
                <w:color w:val="FFFFFF"/>
              </w:rPr>
              <w:t>Fiscal Year 2017 Payout Amount</w:t>
            </w:r>
          </w:p>
        </w:tc>
      </w:tr>
      <w:tr>
        <w:trPr>
          <w:trHeight w:val="189"/>
        </w:trPr>
        <w:tc>
          <w:tcPr>
            <w:tcW w:w="2860" w:type="dxa"/>
            <w:vAlign w:val="bottom"/>
            <w:tcBorders>
              <w:left w:val="single" w:sz="8" w:color="auto"/>
              <w:right w:val="single" w:sz="8" w:color="auto"/>
            </w:tcBorders>
            <w:shd w:val="clear" w:color="auto" w:fill="7F7F7F"/>
          </w:tcPr>
          <w:p>
            <w:pPr>
              <w:spacing w:after="0"/>
              <w:rPr>
                <w:sz w:val="16"/>
                <w:szCs w:val="16"/>
                <w:color w:val="auto"/>
              </w:rPr>
            </w:pPr>
          </w:p>
        </w:tc>
        <w:tc>
          <w:tcPr>
            <w:tcW w:w="700" w:type="dxa"/>
            <w:vAlign w:val="bottom"/>
            <w:tcBorders>
              <w:right w:val="single" w:sz="8" w:color="auto"/>
            </w:tcBorders>
            <w:shd w:val="clear" w:color="auto" w:fill="7F7F7F"/>
          </w:tcPr>
          <w:p>
            <w:pPr>
              <w:jc w:val="center"/>
              <w:spacing w:after="0"/>
              <w:rPr>
                <w:sz w:val="20"/>
                <w:szCs w:val="20"/>
                <w:color w:val="auto"/>
              </w:rPr>
            </w:pPr>
            <w:r>
              <w:rPr>
                <w:rFonts w:ascii="Arial" w:cs="Arial" w:eastAsia="Arial" w:hAnsi="Arial"/>
                <w:sz w:val="16"/>
                <w:szCs w:val="16"/>
                <w:b w:val="1"/>
                <w:bCs w:val="1"/>
                <w:color w:val="FFFFFF"/>
              </w:rPr>
              <w:t>Bonus</w:t>
            </w:r>
          </w:p>
        </w:tc>
        <w:tc>
          <w:tcPr>
            <w:tcW w:w="3060" w:type="dxa"/>
            <w:vAlign w:val="bottom"/>
            <w:tcBorders>
              <w:right w:val="single" w:sz="8" w:color="auto"/>
            </w:tcBorders>
            <w:shd w:val="clear" w:color="auto" w:fill="7F7F7F"/>
          </w:tcPr>
          <w:p>
            <w:pPr>
              <w:spacing w:after="0"/>
              <w:rPr>
                <w:sz w:val="16"/>
                <w:szCs w:val="16"/>
                <w:color w:val="auto"/>
              </w:rPr>
            </w:pPr>
          </w:p>
        </w:tc>
        <w:tc>
          <w:tcPr>
            <w:tcW w:w="1120" w:type="dxa"/>
            <w:vAlign w:val="bottom"/>
            <w:tcBorders>
              <w:right w:val="single" w:sz="8" w:color="auto"/>
            </w:tcBorders>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Fiscal Year</w:t>
            </w:r>
          </w:p>
        </w:tc>
        <w:tc>
          <w:tcPr>
            <w:tcW w:w="2800" w:type="dxa"/>
            <w:vAlign w:val="bottom"/>
            <w:tcBorders>
              <w:right w:val="single" w:sz="8" w:color="auto"/>
            </w:tcBorders>
            <w:gridSpan w:val="3"/>
            <w:shd w:val="clear" w:color="auto" w:fill="7F7F7F"/>
          </w:tcPr>
          <w:p>
            <w:pPr>
              <w:jc w:val="center"/>
              <w:ind w:right="88"/>
              <w:spacing w:after="0"/>
              <w:rPr>
                <w:sz w:val="20"/>
                <w:szCs w:val="20"/>
                <w:color w:val="auto"/>
              </w:rPr>
            </w:pPr>
            <w:r>
              <w:rPr>
                <w:rFonts w:ascii="Arial" w:cs="Arial" w:eastAsia="Arial" w:hAnsi="Arial"/>
                <w:sz w:val="16"/>
                <w:szCs w:val="16"/>
                <w:b w:val="1"/>
                <w:bCs w:val="1"/>
                <w:color w:val="FFFFFF"/>
              </w:rPr>
              <w:t>in Dollars (USD) and as a</w:t>
            </w:r>
          </w:p>
        </w:tc>
      </w:tr>
      <w:tr>
        <w:trPr>
          <w:trHeight w:val="188"/>
        </w:trPr>
        <w:tc>
          <w:tcPr>
            <w:tcW w:w="2860" w:type="dxa"/>
            <w:vAlign w:val="bottom"/>
            <w:tcBorders>
              <w:left w:val="single" w:sz="8" w:color="auto"/>
              <w:right w:val="single" w:sz="8" w:color="auto"/>
            </w:tcBorders>
            <w:shd w:val="clear" w:color="auto" w:fill="7F7F7F"/>
          </w:tcPr>
          <w:p>
            <w:pPr>
              <w:spacing w:after="0"/>
              <w:rPr>
                <w:sz w:val="16"/>
                <w:szCs w:val="16"/>
                <w:color w:val="auto"/>
              </w:rPr>
            </w:pPr>
          </w:p>
        </w:tc>
        <w:tc>
          <w:tcPr>
            <w:tcW w:w="700" w:type="dxa"/>
            <w:vAlign w:val="bottom"/>
            <w:tcBorders>
              <w:right w:val="single" w:sz="8" w:color="auto"/>
            </w:tcBorders>
            <w:shd w:val="clear" w:color="auto" w:fill="7F7F7F"/>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3060" w:type="dxa"/>
            <w:vAlign w:val="bottom"/>
            <w:tcBorders>
              <w:right w:val="single" w:sz="8" w:color="auto"/>
            </w:tcBorders>
            <w:shd w:val="clear" w:color="auto" w:fill="7F7F7F"/>
          </w:tcPr>
          <w:p>
            <w:pPr>
              <w:spacing w:after="0"/>
              <w:rPr>
                <w:sz w:val="16"/>
                <w:szCs w:val="16"/>
                <w:color w:val="auto"/>
              </w:rPr>
            </w:pPr>
          </w:p>
        </w:tc>
        <w:tc>
          <w:tcPr>
            <w:tcW w:w="1120" w:type="dxa"/>
            <w:vAlign w:val="bottom"/>
            <w:tcBorders>
              <w:right w:val="single" w:sz="8" w:color="auto"/>
            </w:tcBorders>
            <w:shd w:val="clear" w:color="auto" w:fill="7F7F7F"/>
          </w:tcPr>
          <w:p>
            <w:pPr>
              <w:jc w:val="center"/>
              <w:spacing w:after="0"/>
              <w:rPr>
                <w:sz w:val="20"/>
                <w:szCs w:val="20"/>
                <w:color w:val="auto"/>
              </w:rPr>
            </w:pPr>
            <w:r>
              <w:rPr>
                <w:rFonts w:ascii="Arial" w:cs="Arial" w:eastAsia="Arial" w:hAnsi="Arial"/>
                <w:sz w:val="16"/>
                <w:szCs w:val="16"/>
                <w:b w:val="1"/>
                <w:bCs w:val="1"/>
                <w:color w:val="FFFFFF"/>
              </w:rPr>
              <w:t>2017 Bonus</w:t>
            </w:r>
          </w:p>
        </w:tc>
        <w:tc>
          <w:tcPr>
            <w:tcW w:w="2800" w:type="dxa"/>
            <w:vAlign w:val="bottom"/>
            <w:tcBorders>
              <w:right w:val="single" w:sz="8" w:color="auto"/>
            </w:tcBorders>
            <w:gridSpan w:val="3"/>
            <w:shd w:val="clear" w:color="auto" w:fill="7F7F7F"/>
          </w:tcPr>
          <w:p>
            <w:pPr>
              <w:jc w:val="center"/>
              <w:ind w:right="88"/>
              <w:spacing w:after="0"/>
              <w:rPr>
                <w:sz w:val="20"/>
                <w:szCs w:val="20"/>
                <w:color w:val="auto"/>
              </w:rPr>
            </w:pPr>
            <w:r>
              <w:rPr>
                <w:rFonts w:ascii="Arial" w:cs="Arial" w:eastAsia="Arial" w:hAnsi="Arial"/>
                <w:sz w:val="16"/>
                <w:szCs w:val="16"/>
                <w:b w:val="1"/>
                <w:bCs w:val="1"/>
                <w:color w:val="FFFFFF"/>
              </w:rPr>
              <w:t>Percentage of Base Salary</w:t>
            </w:r>
          </w:p>
        </w:tc>
      </w:tr>
      <w:tr>
        <w:trPr>
          <w:trHeight w:val="208"/>
        </w:trPr>
        <w:tc>
          <w:tcPr>
            <w:tcW w:w="2860" w:type="dxa"/>
            <w:vAlign w:val="bottom"/>
            <w:tcBorders>
              <w:left w:val="single" w:sz="8" w:color="auto"/>
              <w:bottom w:val="single" w:sz="8" w:color="auto"/>
              <w:right w:val="single" w:sz="8" w:color="auto"/>
            </w:tcBorders>
            <w:shd w:val="clear" w:color="auto" w:fill="7F7F7F"/>
          </w:tcPr>
          <w:p>
            <w:pPr>
              <w:ind w:left="240"/>
              <w:spacing w:after="0"/>
              <w:rPr>
                <w:sz w:val="20"/>
                <w:szCs w:val="20"/>
                <w:color w:val="auto"/>
              </w:rPr>
            </w:pPr>
            <w:r>
              <w:rPr>
                <w:rFonts w:ascii="Arial" w:cs="Arial" w:eastAsia="Arial" w:hAnsi="Arial"/>
                <w:sz w:val="16"/>
                <w:szCs w:val="16"/>
                <w:b w:val="1"/>
                <w:bCs w:val="1"/>
                <w:color w:val="FFFFFF"/>
              </w:rPr>
              <w:t>Name</w:t>
            </w:r>
          </w:p>
        </w:tc>
        <w:tc>
          <w:tcPr>
            <w:tcW w:w="700" w:type="dxa"/>
            <w:vAlign w:val="bottom"/>
            <w:tcBorders>
              <w:bottom w:val="single" w:sz="8" w:color="auto"/>
              <w:right w:val="single" w:sz="8" w:color="auto"/>
            </w:tcBorders>
            <w:shd w:val="clear" w:color="auto" w:fill="7F7F7F"/>
          </w:tcPr>
          <w:p>
            <w:pPr>
              <w:jc w:val="center"/>
              <w:spacing w:after="0"/>
              <w:rPr>
                <w:sz w:val="20"/>
                <w:szCs w:val="20"/>
                <w:color w:val="auto"/>
              </w:rPr>
            </w:pPr>
            <w:r>
              <w:rPr>
                <w:rFonts w:ascii="Arial" w:cs="Arial" w:eastAsia="Arial" w:hAnsi="Arial"/>
                <w:sz w:val="16"/>
                <w:szCs w:val="16"/>
                <w:b w:val="1"/>
                <w:bCs w:val="1"/>
                <w:color w:val="FFFFFF"/>
                <w:w w:val="98"/>
              </w:rPr>
              <w:t>Percent</w:t>
            </w:r>
          </w:p>
        </w:tc>
        <w:tc>
          <w:tcPr>
            <w:tcW w:w="3060" w:type="dxa"/>
            <w:vAlign w:val="bottom"/>
            <w:tcBorders>
              <w:bottom w:val="single" w:sz="8" w:color="auto"/>
              <w:right w:val="single" w:sz="8" w:color="auto"/>
            </w:tcBorders>
            <w:shd w:val="clear" w:color="auto" w:fill="7F7F7F"/>
          </w:tcPr>
          <w:p>
            <w:pPr>
              <w:ind w:left="500"/>
              <w:spacing w:after="0"/>
              <w:rPr>
                <w:sz w:val="20"/>
                <w:szCs w:val="20"/>
                <w:color w:val="auto"/>
              </w:rPr>
            </w:pPr>
            <w:r>
              <w:rPr>
                <w:rFonts w:ascii="Arial" w:cs="Arial" w:eastAsia="Arial" w:hAnsi="Arial"/>
                <w:sz w:val="16"/>
                <w:szCs w:val="16"/>
                <w:b w:val="1"/>
                <w:bCs w:val="1"/>
                <w:color w:val="FFFFFF"/>
              </w:rPr>
              <w:t>Fiscal Year 2017 Bonus Goals</w:t>
            </w:r>
          </w:p>
        </w:tc>
        <w:tc>
          <w:tcPr>
            <w:tcW w:w="1120" w:type="dxa"/>
            <w:vAlign w:val="bottom"/>
            <w:tcBorders>
              <w:bottom w:val="single" w:sz="8" w:color="auto"/>
              <w:right w:val="single" w:sz="8" w:color="auto"/>
            </w:tcBorders>
            <w:shd w:val="clear" w:color="auto" w:fill="7F7F7F"/>
          </w:tcPr>
          <w:p>
            <w:pPr>
              <w:jc w:val="center"/>
              <w:spacing w:after="0"/>
              <w:rPr>
                <w:sz w:val="20"/>
                <w:szCs w:val="20"/>
                <w:color w:val="auto"/>
              </w:rPr>
            </w:pPr>
            <w:r>
              <w:rPr>
                <w:rFonts w:ascii="Arial" w:cs="Arial" w:eastAsia="Arial" w:hAnsi="Arial"/>
                <w:sz w:val="16"/>
                <w:szCs w:val="16"/>
                <w:b w:val="1"/>
                <w:bCs w:val="1"/>
                <w:color w:val="FFFFFF"/>
              </w:rPr>
              <w:t>Achievement</w:t>
            </w:r>
          </w:p>
        </w:tc>
        <w:tc>
          <w:tcPr>
            <w:tcW w:w="800" w:type="dxa"/>
            <w:vAlign w:val="bottom"/>
            <w:tcBorders>
              <w:bottom w:val="single" w:sz="8" w:color="auto"/>
            </w:tcBorders>
            <w:shd w:val="clear" w:color="auto" w:fill="7F7F7F"/>
          </w:tcPr>
          <w:p>
            <w:pPr>
              <w:spacing w:after="0"/>
              <w:rPr>
                <w:sz w:val="18"/>
                <w:szCs w:val="18"/>
                <w:color w:val="auto"/>
              </w:rPr>
            </w:pPr>
          </w:p>
        </w:tc>
        <w:tc>
          <w:tcPr>
            <w:tcW w:w="820" w:type="dxa"/>
            <w:vAlign w:val="bottom"/>
            <w:tcBorders>
              <w:bottom w:val="single" w:sz="8" w:color="auto"/>
              <w:right w:val="single" w:sz="8" w:color="7F7F7F"/>
            </w:tcBorders>
            <w:shd w:val="clear" w:color="auto" w:fill="7F7F7F"/>
          </w:tcPr>
          <w:p>
            <w:pPr>
              <w:jc w:val="center"/>
              <w:ind w:left="150"/>
              <w:spacing w:after="0" w:line="209" w:lineRule="exact"/>
              <w:rPr>
                <w:sz w:val="20"/>
                <w:szCs w:val="20"/>
                <w:color w:val="auto"/>
              </w:rPr>
            </w:pPr>
            <w:r>
              <w:rPr>
                <w:rFonts w:ascii="Arial" w:cs="Arial" w:eastAsia="Arial" w:hAnsi="Arial"/>
                <w:sz w:val="15"/>
                <w:szCs w:val="15"/>
                <w:b w:val="1"/>
                <w:bCs w:val="1"/>
                <w:color w:val="FFFFFF"/>
              </w:rPr>
              <w:t>Paid</w:t>
            </w:r>
            <w:r>
              <w:rPr>
                <w:rFonts w:ascii="Arial" w:cs="Arial" w:eastAsia="Arial" w:hAnsi="Arial"/>
                <w:sz w:val="24"/>
                <w:szCs w:val="24"/>
                <w:b w:val="1"/>
                <w:bCs w:val="1"/>
                <w:color w:val="FFFFFF"/>
                <w:vertAlign w:val="superscript"/>
              </w:rPr>
              <w:t>(1)</w:t>
            </w:r>
          </w:p>
        </w:tc>
        <w:tc>
          <w:tcPr>
            <w:tcW w:w="1180" w:type="dxa"/>
            <w:vAlign w:val="bottom"/>
            <w:tcBorders>
              <w:bottom w:val="single" w:sz="8" w:color="auto"/>
              <w:right w:val="single" w:sz="8" w:color="auto"/>
            </w:tcBorders>
            <w:shd w:val="clear" w:color="auto" w:fill="7F7F7F"/>
          </w:tcPr>
          <w:p>
            <w:pPr>
              <w:spacing w:after="0"/>
              <w:rPr>
                <w:sz w:val="18"/>
                <w:szCs w:val="18"/>
                <w:color w:val="auto"/>
              </w:rPr>
            </w:pPr>
          </w:p>
        </w:tc>
      </w:tr>
      <w:tr>
        <w:trPr>
          <w:trHeight w:val="160"/>
        </w:trPr>
        <w:tc>
          <w:tcPr>
            <w:tcW w:w="2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Hock E. Tan</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30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Non-GAAP Revenue (50%)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80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r>
      <w:tr>
        <w:trPr>
          <w:trHeight w:val="162"/>
        </w:trPr>
        <w:tc>
          <w:tcPr>
            <w:tcW w:w="2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President and Chief Executive</w:t>
            </w:r>
          </w:p>
        </w:tc>
        <w:tc>
          <w:tcPr>
            <w:tcW w:w="700" w:type="dxa"/>
            <w:vAlign w:val="bottom"/>
            <w:tcBorders>
              <w:right w:val="single" w:sz="8" w:color="auto"/>
            </w:tcBorders>
          </w:tcPr>
          <w:p>
            <w:pPr>
              <w:spacing w:after="0"/>
              <w:rPr>
                <w:sz w:val="14"/>
                <w:szCs w:val="14"/>
                <w:color w:val="auto"/>
              </w:rPr>
            </w:pPr>
          </w:p>
        </w:tc>
        <w:tc>
          <w:tcPr>
            <w:tcW w:w="30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Non-GAAP Operating Margin (50%)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80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71"/>
        </w:trPr>
        <w:tc>
          <w:tcPr>
            <w:tcW w:w="28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Officer</w:t>
            </w:r>
          </w:p>
        </w:tc>
        <w:tc>
          <w:tcPr>
            <w:tcW w:w="700" w:type="dxa"/>
            <w:vAlign w:val="bottom"/>
            <w:tcBorders>
              <w:bottom w:val="single" w:sz="8" w:color="auto"/>
              <w:right w:val="single" w:sz="8" w:color="auto"/>
            </w:tcBorders>
          </w:tcPr>
          <w:p>
            <w:pPr>
              <w:spacing w:after="0"/>
              <w:rPr>
                <w:sz w:val="14"/>
                <w:szCs w:val="14"/>
                <w:color w:val="auto"/>
              </w:rPr>
            </w:pPr>
          </w:p>
        </w:tc>
        <w:tc>
          <w:tcPr>
            <w:tcW w:w="30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i w:val="1"/>
                <w:iCs w:val="1"/>
                <w:color w:val="auto"/>
              </w:rPr>
              <w:t>Fiscal Year 2017 Attainment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rPr>
              <w:t>150%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3,712,500</w:t>
            </w:r>
          </w:p>
        </w:tc>
        <w:tc>
          <w:tcPr>
            <w:tcW w:w="118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337.5%</w:t>
            </w:r>
          </w:p>
        </w:tc>
      </w:tr>
      <w:tr>
        <w:trPr>
          <w:trHeight w:val="156"/>
        </w:trPr>
        <w:tc>
          <w:tcPr>
            <w:tcW w:w="2860" w:type="dxa"/>
            <w:vAlign w:val="bottom"/>
            <w:tcBorders>
              <w:left w:val="single" w:sz="8" w:color="auto"/>
              <w:right w:val="single" w:sz="8" w:color="auto"/>
            </w:tcBorders>
            <w:shd w:val="clear" w:color="auto" w:fill="BFBFBF"/>
          </w:tcPr>
          <w:p>
            <w:pPr>
              <w:ind w:left="220"/>
              <w:spacing w:after="0" w:line="155" w:lineRule="exact"/>
              <w:rPr>
                <w:sz w:val="20"/>
                <w:szCs w:val="20"/>
                <w:color w:val="auto"/>
              </w:rPr>
            </w:pPr>
            <w:r>
              <w:rPr>
                <w:rFonts w:ascii="Arial" w:cs="Arial" w:eastAsia="Arial" w:hAnsi="Arial"/>
                <w:sz w:val="14"/>
                <w:szCs w:val="14"/>
                <w:color w:val="auto"/>
              </w:rPr>
              <w:t>Thomas H. Krause Jr.</w:t>
            </w:r>
          </w:p>
        </w:tc>
        <w:tc>
          <w:tcPr>
            <w:tcW w:w="700" w:type="dxa"/>
            <w:vAlign w:val="bottom"/>
            <w:tcBorders>
              <w:right w:val="single" w:sz="8" w:color="auto"/>
            </w:tcBorders>
            <w:shd w:val="clear" w:color="auto" w:fill="BFBFBF"/>
          </w:tcPr>
          <w:p>
            <w:pPr>
              <w:jc w:val="center"/>
              <w:spacing w:after="0" w:line="155" w:lineRule="exact"/>
              <w:rPr>
                <w:sz w:val="20"/>
                <w:szCs w:val="20"/>
                <w:color w:val="auto"/>
              </w:rPr>
            </w:pPr>
            <w:r>
              <w:rPr>
                <w:rFonts w:ascii="Arial" w:cs="Arial" w:eastAsia="Arial" w:hAnsi="Arial"/>
                <w:sz w:val="14"/>
                <w:szCs w:val="14"/>
                <w:color w:val="auto"/>
              </w:rPr>
              <w:t>75%</w:t>
            </w:r>
          </w:p>
        </w:tc>
        <w:tc>
          <w:tcPr>
            <w:tcW w:w="3060" w:type="dxa"/>
            <w:vAlign w:val="bottom"/>
            <w:tcBorders>
              <w:right w:val="single" w:sz="8" w:color="auto"/>
            </w:tcBorders>
            <w:shd w:val="clear" w:color="auto" w:fill="BFBFBF"/>
          </w:tcPr>
          <w:p>
            <w:pPr>
              <w:ind w:left="240"/>
              <w:spacing w:after="0" w:line="155" w:lineRule="exact"/>
              <w:rPr>
                <w:sz w:val="20"/>
                <w:szCs w:val="20"/>
                <w:color w:val="auto"/>
              </w:rPr>
            </w:pPr>
            <w:r>
              <w:rPr>
                <w:rFonts w:ascii="Arial" w:cs="Arial" w:eastAsia="Arial" w:hAnsi="Arial"/>
                <w:sz w:val="14"/>
                <w:szCs w:val="14"/>
                <w:color w:val="auto"/>
              </w:rPr>
              <w:t>Non-GAAP Revenue (25%)</w:t>
            </w:r>
          </w:p>
        </w:tc>
        <w:tc>
          <w:tcPr>
            <w:tcW w:w="1120" w:type="dxa"/>
            <w:vAlign w:val="bottom"/>
            <w:tcBorders>
              <w:right w:val="single" w:sz="8" w:color="auto"/>
            </w:tcBorders>
            <w:shd w:val="clear" w:color="auto" w:fill="BFBFBF"/>
          </w:tcPr>
          <w:p>
            <w:pPr>
              <w:jc w:val="center"/>
              <w:spacing w:after="0" w:line="155" w:lineRule="exact"/>
              <w:rPr>
                <w:sz w:val="20"/>
                <w:szCs w:val="20"/>
                <w:color w:val="auto"/>
              </w:rPr>
            </w:pPr>
            <w:r>
              <w:rPr>
                <w:rFonts w:ascii="Arial" w:cs="Arial" w:eastAsia="Arial" w:hAnsi="Arial"/>
                <w:sz w:val="14"/>
                <w:szCs w:val="14"/>
                <w:color w:val="auto"/>
              </w:rPr>
              <w:t>150%</w:t>
            </w:r>
          </w:p>
        </w:tc>
        <w:tc>
          <w:tcPr>
            <w:tcW w:w="800" w:type="dxa"/>
            <w:vAlign w:val="bottom"/>
            <w:shd w:val="clear" w:color="auto" w:fill="BFBFBF"/>
          </w:tcPr>
          <w:p>
            <w:pPr>
              <w:spacing w:after="0"/>
              <w:rPr>
                <w:sz w:val="13"/>
                <w:szCs w:val="13"/>
                <w:color w:val="auto"/>
              </w:rPr>
            </w:pPr>
          </w:p>
        </w:tc>
        <w:tc>
          <w:tcPr>
            <w:tcW w:w="820" w:type="dxa"/>
            <w:vAlign w:val="bottom"/>
            <w:tcBorders>
              <w:right w:val="single" w:sz="8" w:color="auto"/>
            </w:tcBorders>
            <w:shd w:val="clear" w:color="auto" w:fill="BFBFBF"/>
          </w:tcPr>
          <w:p>
            <w:pPr>
              <w:spacing w:after="0"/>
              <w:rPr>
                <w:sz w:val="13"/>
                <w:szCs w:val="13"/>
                <w:color w:val="auto"/>
              </w:rPr>
            </w:pPr>
          </w:p>
        </w:tc>
        <w:tc>
          <w:tcPr>
            <w:tcW w:w="1180" w:type="dxa"/>
            <w:vAlign w:val="bottom"/>
            <w:tcBorders>
              <w:right w:val="single" w:sz="8" w:color="auto"/>
            </w:tcBorders>
            <w:shd w:val="clear" w:color="auto" w:fill="BFBFBF"/>
          </w:tcPr>
          <w:p>
            <w:pPr>
              <w:spacing w:after="0"/>
              <w:rPr>
                <w:sz w:val="13"/>
                <w:szCs w:val="13"/>
                <w:color w:val="auto"/>
              </w:rPr>
            </w:pPr>
          </w:p>
        </w:tc>
      </w:tr>
      <w:tr>
        <w:trPr>
          <w:trHeight w:val="159"/>
        </w:trPr>
        <w:tc>
          <w:tcPr>
            <w:tcW w:w="2860" w:type="dxa"/>
            <w:vAlign w:val="bottom"/>
            <w:tcBorders>
              <w:left w:val="single" w:sz="8" w:color="auto"/>
              <w:right w:val="single" w:sz="8" w:color="auto"/>
            </w:tcBorders>
            <w:shd w:val="clear" w:color="auto" w:fill="BFBFBF"/>
          </w:tcPr>
          <w:p>
            <w:pPr>
              <w:ind w:left="220"/>
              <w:spacing w:after="0" w:line="159" w:lineRule="exact"/>
              <w:rPr>
                <w:sz w:val="20"/>
                <w:szCs w:val="20"/>
                <w:color w:val="auto"/>
              </w:rPr>
            </w:pPr>
            <w:r>
              <w:rPr>
                <w:rFonts w:ascii="Arial" w:cs="Arial" w:eastAsia="Arial" w:hAnsi="Arial"/>
                <w:sz w:val="14"/>
                <w:szCs w:val="14"/>
                <w:color w:val="auto"/>
              </w:rPr>
              <w:t>Chief Financial Officer</w:t>
            </w:r>
          </w:p>
        </w:tc>
        <w:tc>
          <w:tcPr>
            <w:tcW w:w="700" w:type="dxa"/>
            <w:vAlign w:val="bottom"/>
            <w:tcBorders>
              <w:right w:val="single" w:sz="8" w:color="auto"/>
            </w:tcBorders>
            <w:shd w:val="clear" w:color="auto" w:fill="BFBFBF"/>
          </w:tcPr>
          <w:p>
            <w:pPr>
              <w:spacing w:after="0"/>
              <w:rPr>
                <w:sz w:val="13"/>
                <w:szCs w:val="13"/>
                <w:color w:val="auto"/>
              </w:rPr>
            </w:pPr>
          </w:p>
        </w:tc>
        <w:tc>
          <w:tcPr>
            <w:tcW w:w="3060" w:type="dxa"/>
            <w:vAlign w:val="bottom"/>
            <w:tcBorders>
              <w:right w:val="single" w:sz="8" w:color="auto"/>
            </w:tcBorders>
            <w:shd w:val="clear" w:color="auto" w:fill="BFBFBF"/>
          </w:tcPr>
          <w:p>
            <w:pPr>
              <w:ind w:left="240"/>
              <w:spacing w:after="0" w:line="159" w:lineRule="exact"/>
              <w:rPr>
                <w:sz w:val="20"/>
                <w:szCs w:val="20"/>
                <w:color w:val="auto"/>
              </w:rPr>
            </w:pPr>
            <w:r>
              <w:rPr>
                <w:rFonts w:ascii="Arial" w:cs="Arial" w:eastAsia="Arial" w:hAnsi="Arial"/>
                <w:sz w:val="14"/>
                <w:szCs w:val="14"/>
                <w:color w:val="auto"/>
              </w:rPr>
              <w:t>Non-GAAP Operating Margin (25%)</w:t>
            </w:r>
          </w:p>
        </w:tc>
        <w:tc>
          <w:tcPr>
            <w:tcW w:w="1120" w:type="dxa"/>
            <w:vAlign w:val="bottom"/>
            <w:tcBorders>
              <w:right w:val="single" w:sz="8" w:color="auto"/>
            </w:tcBorders>
            <w:shd w:val="clear" w:color="auto" w:fill="BFBFBF"/>
          </w:tcPr>
          <w:p>
            <w:pPr>
              <w:jc w:val="center"/>
              <w:spacing w:after="0" w:line="159" w:lineRule="exact"/>
              <w:rPr>
                <w:sz w:val="20"/>
                <w:szCs w:val="20"/>
                <w:color w:val="auto"/>
              </w:rPr>
            </w:pPr>
            <w:r>
              <w:rPr>
                <w:rFonts w:ascii="Arial" w:cs="Arial" w:eastAsia="Arial" w:hAnsi="Arial"/>
                <w:sz w:val="14"/>
                <w:szCs w:val="14"/>
                <w:color w:val="auto"/>
              </w:rPr>
              <w:t>150%</w:t>
            </w:r>
          </w:p>
        </w:tc>
        <w:tc>
          <w:tcPr>
            <w:tcW w:w="800" w:type="dxa"/>
            <w:vAlign w:val="bottom"/>
            <w:shd w:val="clear" w:color="auto" w:fill="BFBFBF"/>
          </w:tcPr>
          <w:p>
            <w:pPr>
              <w:spacing w:after="0"/>
              <w:rPr>
                <w:sz w:val="13"/>
                <w:szCs w:val="13"/>
                <w:color w:val="auto"/>
              </w:rPr>
            </w:pPr>
          </w:p>
        </w:tc>
        <w:tc>
          <w:tcPr>
            <w:tcW w:w="820" w:type="dxa"/>
            <w:vAlign w:val="bottom"/>
            <w:tcBorders>
              <w:right w:val="single" w:sz="8" w:color="auto"/>
            </w:tcBorders>
            <w:shd w:val="clear" w:color="auto" w:fill="BFBFBF"/>
          </w:tcPr>
          <w:p>
            <w:pPr>
              <w:spacing w:after="0"/>
              <w:rPr>
                <w:sz w:val="13"/>
                <w:szCs w:val="13"/>
                <w:color w:val="auto"/>
              </w:rPr>
            </w:pPr>
          </w:p>
        </w:tc>
        <w:tc>
          <w:tcPr>
            <w:tcW w:w="1180" w:type="dxa"/>
            <w:vAlign w:val="bottom"/>
            <w:tcBorders>
              <w:right w:val="single" w:sz="8" w:color="auto"/>
            </w:tcBorders>
            <w:shd w:val="clear" w:color="auto" w:fill="BFBFBF"/>
          </w:tcPr>
          <w:p>
            <w:pPr>
              <w:spacing w:after="0"/>
              <w:rPr>
                <w:sz w:val="13"/>
                <w:szCs w:val="13"/>
                <w:color w:val="auto"/>
              </w:rPr>
            </w:pPr>
          </w:p>
        </w:tc>
      </w:tr>
      <w:tr>
        <w:trPr>
          <w:trHeight w:val="165"/>
        </w:trPr>
        <w:tc>
          <w:tcPr>
            <w:tcW w:w="2860" w:type="dxa"/>
            <w:vAlign w:val="bottom"/>
            <w:tcBorders>
              <w:left w:val="single" w:sz="8" w:color="auto"/>
              <w:right w:val="single" w:sz="8" w:color="auto"/>
            </w:tcBorders>
            <w:shd w:val="clear" w:color="auto" w:fill="BFBFBF"/>
          </w:tcPr>
          <w:p>
            <w:pPr>
              <w:spacing w:after="0"/>
              <w:rPr>
                <w:sz w:val="14"/>
                <w:szCs w:val="14"/>
                <w:color w:val="auto"/>
              </w:rPr>
            </w:pPr>
          </w:p>
        </w:tc>
        <w:tc>
          <w:tcPr>
            <w:tcW w:w="700" w:type="dxa"/>
            <w:vAlign w:val="bottom"/>
            <w:tcBorders>
              <w:right w:val="single" w:sz="8" w:color="auto"/>
            </w:tcBorders>
            <w:shd w:val="clear" w:color="auto" w:fill="BFBFBF"/>
          </w:tcPr>
          <w:p>
            <w:pPr>
              <w:spacing w:after="0"/>
              <w:rPr>
                <w:sz w:val="14"/>
                <w:szCs w:val="14"/>
                <w:color w:val="auto"/>
              </w:rPr>
            </w:pPr>
          </w:p>
        </w:tc>
        <w:tc>
          <w:tcPr>
            <w:tcW w:w="3060" w:type="dxa"/>
            <w:vAlign w:val="bottom"/>
            <w:tcBorders>
              <w:right w:val="single" w:sz="8" w:color="auto"/>
            </w:tcBorders>
            <w:shd w:val="clear" w:color="auto" w:fill="BFBFBF"/>
          </w:tcPr>
          <w:p>
            <w:pPr>
              <w:ind w:left="240"/>
              <w:spacing w:after="0" w:line="164" w:lineRule="exact"/>
              <w:rPr>
                <w:sz w:val="20"/>
                <w:szCs w:val="20"/>
                <w:color w:val="auto"/>
              </w:rPr>
            </w:pPr>
            <w:r>
              <w:rPr>
                <w:rFonts w:ascii="Arial" w:cs="Arial" w:eastAsia="Arial" w:hAnsi="Arial"/>
                <w:sz w:val="12"/>
                <w:szCs w:val="12"/>
                <w:color w:val="auto"/>
              </w:rPr>
              <w:t>Direct Expenses (50%)</w:t>
            </w:r>
            <w:r>
              <w:rPr>
                <w:rFonts w:ascii="Arial" w:cs="Arial" w:eastAsia="Arial" w:hAnsi="Arial"/>
                <w:sz w:val="19"/>
                <w:szCs w:val="19"/>
                <w:color w:val="auto"/>
                <w:vertAlign w:val="superscript"/>
              </w:rPr>
              <w:t>(2)</w:t>
            </w:r>
          </w:p>
        </w:tc>
        <w:tc>
          <w:tcPr>
            <w:tcW w:w="112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4"/>
                <w:szCs w:val="14"/>
                <w:color w:val="auto"/>
              </w:rPr>
              <w:t>117%</w:t>
            </w:r>
          </w:p>
        </w:tc>
        <w:tc>
          <w:tcPr>
            <w:tcW w:w="800" w:type="dxa"/>
            <w:vAlign w:val="bottom"/>
            <w:shd w:val="clear" w:color="auto" w:fill="BFBFBF"/>
          </w:tcPr>
          <w:p>
            <w:pPr>
              <w:spacing w:after="0"/>
              <w:rPr>
                <w:sz w:val="14"/>
                <w:szCs w:val="14"/>
                <w:color w:val="auto"/>
              </w:rPr>
            </w:pPr>
          </w:p>
        </w:tc>
        <w:tc>
          <w:tcPr>
            <w:tcW w:w="820" w:type="dxa"/>
            <w:vAlign w:val="bottom"/>
            <w:tcBorders>
              <w:right w:val="single" w:sz="8" w:color="auto"/>
            </w:tcBorders>
            <w:shd w:val="clear" w:color="auto" w:fill="BFBFBF"/>
          </w:tcPr>
          <w:p>
            <w:pPr>
              <w:spacing w:after="0"/>
              <w:rPr>
                <w:sz w:val="14"/>
                <w:szCs w:val="14"/>
                <w:color w:val="auto"/>
              </w:rPr>
            </w:pPr>
          </w:p>
        </w:tc>
        <w:tc>
          <w:tcPr>
            <w:tcW w:w="1180" w:type="dxa"/>
            <w:vAlign w:val="bottom"/>
            <w:tcBorders>
              <w:right w:val="single" w:sz="8" w:color="auto"/>
            </w:tcBorders>
            <w:shd w:val="clear" w:color="auto" w:fill="BFBFBF"/>
          </w:tcPr>
          <w:p>
            <w:pPr>
              <w:spacing w:after="0"/>
              <w:rPr>
                <w:sz w:val="14"/>
                <w:szCs w:val="14"/>
                <w:color w:val="auto"/>
              </w:rPr>
            </w:pPr>
          </w:p>
        </w:tc>
      </w:tr>
      <w:tr>
        <w:trPr>
          <w:trHeight w:val="162"/>
        </w:trPr>
        <w:tc>
          <w:tcPr>
            <w:tcW w:w="2860" w:type="dxa"/>
            <w:vAlign w:val="bottom"/>
            <w:tcBorders>
              <w:left w:val="single" w:sz="8" w:color="auto"/>
              <w:bottom w:val="single" w:sz="8" w:color="auto"/>
              <w:right w:val="single" w:sz="8" w:color="auto"/>
            </w:tcBorders>
            <w:shd w:val="clear" w:color="auto" w:fill="BFBFBF"/>
          </w:tcPr>
          <w:p>
            <w:pPr>
              <w:spacing w:after="0"/>
              <w:rPr>
                <w:sz w:val="14"/>
                <w:szCs w:val="14"/>
                <w:color w:val="auto"/>
              </w:rPr>
            </w:pPr>
          </w:p>
        </w:tc>
        <w:tc>
          <w:tcPr>
            <w:tcW w:w="700" w:type="dxa"/>
            <w:vAlign w:val="bottom"/>
            <w:tcBorders>
              <w:bottom w:val="single" w:sz="8" w:color="auto"/>
              <w:right w:val="single" w:sz="8" w:color="auto"/>
            </w:tcBorders>
            <w:shd w:val="clear" w:color="auto" w:fill="BFBFBF"/>
          </w:tcPr>
          <w:p>
            <w:pPr>
              <w:spacing w:after="0"/>
              <w:rPr>
                <w:sz w:val="14"/>
                <w:szCs w:val="14"/>
                <w:color w:val="auto"/>
              </w:rPr>
            </w:pPr>
          </w:p>
        </w:tc>
        <w:tc>
          <w:tcPr>
            <w:tcW w:w="3060" w:type="dxa"/>
            <w:vAlign w:val="bottom"/>
            <w:tcBorders>
              <w:bottom w:val="single" w:sz="8" w:color="auto"/>
              <w:right w:val="single" w:sz="8" w:color="auto"/>
            </w:tcBorders>
            <w:shd w:val="clear" w:color="auto" w:fill="BFBFBF"/>
          </w:tcPr>
          <w:p>
            <w:pPr>
              <w:ind w:left="240"/>
              <w:spacing w:after="0"/>
              <w:rPr>
                <w:sz w:val="20"/>
                <w:szCs w:val="20"/>
                <w:color w:val="auto"/>
              </w:rPr>
            </w:pPr>
            <w:r>
              <w:rPr>
                <w:rFonts w:ascii="Arial" w:cs="Arial" w:eastAsia="Arial" w:hAnsi="Arial"/>
                <w:sz w:val="14"/>
                <w:szCs w:val="14"/>
                <w:i w:val="1"/>
                <w:iCs w:val="1"/>
                <w:color w:val="auto"/>
              </w:rPr>
              <w:t>Fiscal Year 2017 Attainment</w:t>
            </w:r>
          </w:p>
        </w:tc>
        <w:tc>
          <w:tcPr>
            <w:tcW w:w="11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i w:val="1"/>
                <w:iCs w:val="1"/>
                <w:color w:val="auto"/>
              </w:rPr>
              <w:t>134%</w:t>
            </w:r>
          </w:p>
        </w:tc>
        <w:tc>
          <w:tcPr>
            <w:tcW w:w="8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BFBFBF"/>
          </w:tcPr>
          <w:p>
            <w:pPr>
              <w:jc w:val="right"/>
              <w:ind w:right="70"/>
              <w:spacing w:after="0"/>
              <w:rPr>
                <w:sz w:val="20"/>
                <w:szCs w:val="20"/>
                <w:color w:val="auto"/>
              </w:rPr>
            </w:pPr>
            <w:r>
              <w:rPr>
                <w:rFonts w:ascii="Arial" w:cs="Arial" w:eastAsia="Arial" w:hAnsi="Arial"/>
                <w:sz w:val="14"/>
                <w:szCs w:val="14"/>
                <w:color w:val="auto"/>
              </w:rPr>
              <w:t>520,888</w:t>
            </w:r>
          </w:p>
        </w:tc>
        <w:tc>
          <w:tcPr>
            <w:tcW w:w="1180" w:type="dxa"/>
            <w:vAlign w:val="bottom"/>
            <w:tcBorders>
              <w:bottom w:val="single" w:sz="8" w:color="auto"/>
              <w:right w:val="single" w:sz="8" w:color="auto"/>
            </w:tcBorders>
            <w:shd w:val="clear" w:color="auto" w:fill="BFBFBF"/>
          </w:tcPr>
          <w:p>
            <w:pPr>
              <w:jc w:val="right"/>
              <w:ind w:right="148"/>
              <w:spacing w:after="0"/>
              <w:rPr>
                <w:sz w:val="20"/>
                <w:szCs w:val="20"/>
                <w:color w:val="auto"/>
              </w:rPr>
            </w:pPr>
            <w:r>
              <w:rPr>
                <w:rFonts w:ascii="Arial" w:cs="Arial" w:eastAsia="Arial" w:hAnsi="Arial"/>
                <w:sz w:val="14"/>
                <w:szCs w:val="14"/>
                <w:color w:val="auto"/>
              </w:rPr>
              <w:t>130.2%</w:t>
            </w:r>
          </w:p>
        </w:tc>
      </w:tr>
      <w:tr>
        <w:trPr>
          <w:trHeight w:val="160"/>
        </w:trPr>
        <w:tc>
          <w:tcPr>
            <w:tcW w:w="2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Charlie B. Kawwas, Ph.D.</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75%</w:t>
            </w:r>
          </w:p>
        </w:tc>
        <w:tc>
          <w:tcPr>
            <w:tcW w:w="30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Non-GAAP Revenue (25%)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80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r>
      <w:tr>
        <w:trPr>
          <w:trHeight w:val="162"/>
        </w:trPr>
        <w:tc>
          <w:tcPr>
            <w:tcW w:w="2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Senior Vice President and</w:t>
            </w:r>
          </w:p>
        </w:tc>
        <w:tc>
          <w:tcPr>
            <w:tcW w:w="700" w:type="dxa"/>
            <w:vAlign w:val="bottom"/>
            <w:tcBorders>
              <w:right w:val="single" w:sz="8" w:color="auto"/>
            </w:tcBorders>
          </w:tcPr>
          <w:p>
            <w:pPr>
              <w:spacing w:after="0"/>
              <w:rPr>
                <w:sz w:val="14"/>
                <w:szCs w:val="14"/>
                <w:color w:val="auto"/>
              </w:rPr>
            </w:pPr>
          </w:p>
        </w:tc>
        <w:tc>
          <w:tcPr>
            <w:tcW w:w="30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Non-GAAP Operating Margin (25%)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80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55"/>
        </w:trPr>
        <w:tc>
          <w:tcPr>
            <w:tcW w:w="2860" w:type="dxa"/>
            <w:vAlign w:val="bottom"/>
            <w:tcBorders>
              <w:left w:val="single" w:sz="8" w:color="auto"/>
              <w:right w:val="single" w:sz="8" w:color="auto"/>
            </w:tcBorders>
          </w:tcPr>
          <w:p>
            <w:pPr>
              <w:ind w:left="220"/>
              <w:spacing w:after="0" w:line="155" w:lineRule="exact"/>
              <w:rPr>
                <w:sz w:val="20"/>
                <w:szCs w:val="20"/>
                <w:color w:val="auto"/>
              </w:rPr>
            </w:pPr>
            <w:r>
              <w:rPr>
                <w:rFonts w:ascii="Arial" w:cs="Arial" w:eastAsia="Arial" w:hAnsi="Arial"/>
                <w:sz w:val="14"/>
                <w:szCs w:val="14"/>
                <w:color w:val="auto"/>
              </w:rPr>
              <w:t>Chief Sales Officer</w:t>
            </w:r>
          </w:p>
        </w:tc>
        <w:tc>
          <w:tcPr>
            <w:tcW w:w="700" w:type="dxa"/>
            <w:vAlign w:val="bottom"/>
            <w:tcBorders>
              <w:right w:val="single" w:sz="8" w:color="auto"/>
            </w:tcBorders>
          </w:tcPr>
          <w:p>
            <w:pPr>
              <w:spacing w:after="0"/>
              <w:rPr>
                <w:sz w:val="13"/>
                <w:szCs w:val="13"/>
                <w:color w:val="auto"/>
              </w:rPr>
            </w:pPr>
          </w:p>
        </w:tc>
        <w:tc>
          <w:tcPr>
            <w:tcW w:w="3060" w:type="dxa"/>
            <w:vAlign w:val="bottom"/>
            <w:tcBorders>
              <w:right w:val="single" w:sz="8" w:color="auto"/>
            </w:tcBorders>
          </w:tcPr>
          <w:p>
            <w:pPr>
              <w:ind w:left="240"/>
              <w:spacing w:after="0" w:line="155" w:lineRule="exact"/>
              <w:rPr>
                <w:sz w:val="20"/>
                <w:szCs w:val="20"/>
                <w:color w:val="auto"/>
              </w:rPr>
            </w:pPr>
            <w:r>
              <w:rPr>
                <w:rFonts w:ascii="Arial" w:cs="Arial" w:eastAsia="Arial" w:hAnsi="Arial"/>
                <w:sz w:val="14"/>
                <w:szCs w:val="14"/>
                <w:color w:val="auto"/>
              </w:rPr>
              <w:t>Design Wins (15%)</w:t>
            </w:r>
          </w:p>
        </w:tc>
        <w:tc>
          <w:tcPr>
            <w:tcW w:w="112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122%</w:t>
            </w:r>
          </w:p>
        </w:tc>
        <w:tc>
          <w:tcPr>
            <w:tcW w:w="80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r>
      <w:tr>
        <w:trPr>
          <w:trHeight w:val="170"/>
        </w:trPr>
        <w:tc>
          <w:tcPr>
            <w:tcW w:w="2860" w:type="dxa"/>
            <w:vAlign w:val="bottom"/>
            <w:tcBorders>
              <w:left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3060" w:type="dxa"/>
            <w:vAlign w:val="bottom"/>
            <w:tcBorders>
              <w:right w:val="single" w:sz="8" w:color="auto"/>
            </w:tcBorders>
          </w:tcPr>
          <w:p>
            <w:pPr>
              <w:ind w:left="240"/>
              <w:spacing w:after="0" w:line="170" w:lineRule="exact"/>
              <w:rPr>
                <w:sz w:val="20"/>
                <w:szCs w:val="20"/>
                <w:color w:val="auto"/>
              </w:rPr>
            </w:pPr>
            <w:r>
              <w:rPr>
                <w:rFonts w:ascii="Arial" w:cs="Arial" w:eastAsia="Arial" w:hAnsi="Arial"/>
                <w:sz w:val="12"/>
                <w:szCs w:val="12"/>
                <w:color w:val="auto"/>
              </w:rPr>
              <w:t>Direct Expenses (15%)</w:t>
            </w:r>
            <w:r>
              <w:rPr>
                <w:rFonts w:ascii="Arial" w:cs="Arial" w:eastAsia="Arial" w:hAnsi="Arial"/>
                <w:sz w:val="19"/>
                <w:szCs w:val="19"/>
                <w:color w:val="auto"/>
                <w:vertAlign w:val="superscript"/>
              </w:rPr>
              <w:t>(2)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120%</w:t>
            </w:r>
          </w:p>
        </w:tc>
        <w:tc>
          <w:tcPr>
            <w:tcW w:w="80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62"/>
        </w:trPr>
        <w:tc>
          <w:tcPr>
            <w:tcW w:w="2860" w:type="dxa"/>
            <w:vAlign w:val="bottom"/>
            <w:tcBorders>
              <w:left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30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Product Revenue (10%)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80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48"/>
        </w:trPr>
        <w:tc>
          <w:tcPr>
            <w:tcW w:w="286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3060" w:type="dxa"/>
            <w:vAlign w:val="bottom"/>
            <w:tcBorders>
              <w:right w:val="single" w:sz="8" w:color="auto"/>
            </w:tcBorders>
          </w:tcPr>
          <w:p>
            <w:pPr>
              <w:ind w:left="240"/>
              <w:spacing w:after="0" w:line="148" w:lineRule="exact"/>
              <w:rPr>
                <w:sz w:val="20"/>
                <w:szCs w:val="20"/>
                <w:color w:val="auto"/>
              </w:rPr>
            </w:pPr>
            <w:r>
              <w:rPr>
                <w:rFonts w:ascii="Arial" w:cs="Arial" w:eastAsia="Arial" w:hAnsi="Arial"/>
                <w:sz w:val="14"/>
                <w:szCs w:val="14"/>
                <w:color w:val="auto"/>
              </w:rPr>
              <w:t>Margin Improvement (10%)</w:t>
            </w:r>
          </w:p>
        </w:tc>
        <w:tc>
          <w:tcPr>
            <w:tcW w:w="11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150%</w:t>
            </w:r>
          </w:p>
        </w:tc>
        <w:tc>
          <w:tcPr>
            <w:tcW w:w="8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71"/>
        </w:trPr>
        <w:tc>
          <w:tcPr>
            <w:tcW w:w="28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30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i w:val="1"/>
                <w:iCs w:val="1"/>
                <w:color w:val="auto"/>
              </w:rPr>
              <w:t>Fiscal Year 2017 Attainment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rPr>
              <w:t>141%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672,688</w:t>
            </w:r>
          </w:p>
        </w:tc>
        <w:tc>
          <w:tcPr>
            <w:tcW w:w="118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137.7%</w:t>
            </w:r>
          </w:p>
        </w:tc>
      </w:tr>
      <w:tr>
        <w:trPr>
          <w:trHeight w:val="156"/>
        </w:trPr>
        <w:tc>
          <w:tcPr>
            <w:tcW w:w="2860" w:type="dxa"/>
            <w:vAlign w:val="bottom"/>
            <w:tcBorders>
              <w:left w:val="single" w:sz="8" w:color="auto"/>
              <w:right w:val="single" w:sz="8" w:color="auto"/>
            </w:tcBorders>
            <w:shd w:val="clear" w:color="auto" w:fill="BFBFBF"/>
          </w:tcPr>
          <w:p>
            <w:pPr>
              <w:ind w:left="220"/>
              <w:spacing w:after="0" w:line="155" w:lineRule="exact"/>
              <w:rPr>
                <w:sz w:val="20"/>
                <w:szCs w:val="20"/>
                <w:color w:val="auto"/>
              </w:rPr>
            </w:pPr>
            <w:r>
              <w:rPr>
                <w:rFonts w:ascii="Arial" w:cs="Arial" w:eastAsia="Arial" w:hAnsi="Arial"/>
                <w:sz w:val="14"/>
                <w:szCs w:val="14"/>
                <w:color w:val="auto"/>
              </w:rPr>
              <w:t>Mark D. Brazeal</w:t>
            </w:r>
          </w:p>
        </w:tc>
        <w:tc>
          <w:tcPr>
            <w:tcW w:w="700" w:type="dxa"/>
            <w:vAlign w:val="bottom"/>
            <w:tcBorders>
              <w:right w:val="single" w:sz="8" w:color="auto"/>
            </w:tcBorders>
            <w:shd w:val="clear" w:color="auto" w:fill="BFBFBF"/>
          </w:tcPr>
          <w:p>
            <w:pPr>
              <w:jc w:val="center"/>
              <w:spacing w:after="0" w:line="155" w:lineRule="exact"/>
              <w:rPr>
                <w:sz w:val="20"/>
                <w:szCs w:val="20"/>
                <w:color w:val="auto"/>
              </w:rPr>
            </w:pPr>
            <w:r>
              <w:rPr>
                <w:rFonts w:ascii="Arial" w:cs="Arial" w:eastAsia="Arial" w:hAnsi="Arial"/>
                <w:sz w:val="14"/>
                <w:szCs w:val="14"/>
                <w:color w:val="auto"/>
              </w:rPr>
              <w:t>60%</w:t>
            </w:r>
          </w:p>
        </w:tc>
        <w:tc>
          <w:tcPr>
            <w:tcW w:w="3060" w:type="dxa"/>
            <w:vAlign w:val="bottom"/>
            <w:tcBorders>
              <w:right w:val="single" w:sz="8" w:color="auto"/>
            </w:tcBorders>
            <w:shd w:val="clear" w:color="auto" w:fill="BFBFBF"/>
          </w:tcPr>
          <w:p>
            <w:pPr>
              <w:ind w:left="240"/>
              <w:spacing w:after="0" w:line="155" w:lineRule="exact"/>
              <w:rPr>
                <w:sz w:val="20"/>
                <w:szCs w:val="20"/>
                <w:color w:val="auto"/>
              </w:rPr>
            </w:pPr>
            <w:r>
              <w:rPr>
                <w:rFonts w:ascii="Arial" w:cs="Arial" w:eastAsia="Arial" w:hAnsi="Arial"/>
                <w:sz w:val="14"/>
                <w:szCs w:val="14"/>
                <w:color w:val="auto"/>
              </w:rPr>
              <w:t>Non-GAAP Revenue (25%)</w:t>
            </w:r>
          </w:p>
        </w:tc>
        <w:tc>
          <w:tcPr>
            <w:tcW w:w="1120" w:type="dxa"/>
            <w:vAlign w:val="bottom"/>
            <w:tcBorders>
              <w:right w:val="single" w:sz="8" w:color="auto"/>
            </w:tcBorders>
            <w:shd w:val="clear" w:color="auto" w:fill="BFBFBF"/>
          </w:tcPr>
          <w:p>
            <w:pPr>
              <w:jc w:val="center"/>
              <w:spacing w:after="0" w:line="155" w:lineRule="exact"/>
              <w:rPr>
                <w:sz w:val="20"/>
                <w:szCs w:val="20"/>
                <w:color w:val="auto"/>
              </w:rPr>
            </w:pPr>
            <w:r>
              <w:rPr>
                <w:rFonts w:ascii="Arial" w:cs="Arial" w:eastAsia="Arial" w:hAnsi="Arial"/>
                <w:sz w:val="14"/>
                <w:szCs w:val="14"/>
                <w:color w:val="auto"/>
              </w:rPr>
              <w:t>150%</w:t>
            </w:r>
          </w:p>
        </w:tc>
        <w:tc>
          <w:tcPr>
            <w:tcW w:w="800" w:type="dxa"/>
            <w:vAlign w:val="bottom"/>
            <w:shd w:val="clear" w:color="auto" w:fill="BFBFBF"/>
          </w:tcPr>
          <w:p>
            <w:pPr>
              <w:spacing w:after="0"/>
              <w:rPr>
                <w:sz w:val="13"/>
                <w:szCs w:val="13"/>
                <w:color w:val="auto"/>
              </w:rPr>
            </w:pPr>
          </w:p>
        </w:tc>
        <w:tc>
          <w:tcPr>
            <w:tcW w:w="820" w:type="dxa"/>
            <w:vAlign w:val="bottom"/>
            <w:tcBorders>
              <w:right w:val="single" w:sz="8" w:color="auto"/>
            </w:tcBorders>
            <w:shd w:val="clear" w:color="auto" w:fill="BFBFBF"/>
          </w:tcPr>
          <w:p>
            <w:pPr>
              <w:spacing w:after="0"/>
              <w:rPr>
                <w:sz w:val="13"/>
                <w:szCs w:val="13"/>
                <w:color w:val="auto"/>
              </w:rPr>
            </w:pPr>
          </w:p>
        </w:tc>
        <w:tc>
          <w:tcPr>
            <w:tcW w:w="1180" w:type="dxa"/>
            <w:vAlign w:val="bottom"/>
            <w:tcBorders>
              <w:right w:val="single" w:sz="8" w:color="auto"/>
            </w:tcBorders>
            <w:shd w:val="clear" w:color="auto" w:fill="BFBFBF"/>
          </w:tcPr>
          <w:p>
            <w:pPr>
              <w:spacing w:after="0"/>
              <w:rPr>
                <w:sz w:val="13"/>
                <w:szCs w:val="13"/>
                <w:color w:val="auto"/>
              </w:rPr>
            </w:pPr>
          </w:p>
        </w:tc>
      </w:tr>
      <w:tr>
        <w:trPr>
          <w:trHeight w:val="159"/>
        </w:trPr>
        <w:tc>
          <w:tcPr>
            <w:tcW w:w="2860" w:type="dxa"/>
            <w:vAlign w:val="bottom"/>
            <w:tcBorders>
              <w:left w:val="single" w:sz="8" w:color="auto"/>
              <w:right w:val="single" w:sz="8" w:color="auto"/>
            </w:tcBorders>
            <w:shd w:val="clear" w:color="auto" w:fill="BFBFBF"/>
          </w:tcPr>
          <w:p>
            <w:pPr>
              <w:ind w:left="220"/>
              <w:spacing w:after="0" w:line="159" w:lineRule="exact"/>
              <w:rPr>
                <w:sz w:val="20"/>
                <w:szCs w:val="20"/>
                <w:color w:val="auto"/>
              </w:rPr>
            </w:pPr>
            <w:r>
              <w:rPr>
                <w:rFonts w:ascii="Arial" w:cs="Arial" w:eastAsia="Arial" w:hAnsi="Arial"/>
                <w:sz w:val="14"/>
                <w:szCs w:val="14"/>
                <w:color w:val="auto"/>
              </w:rPr>
              <w:t>Chief Legal Officer</w:t>
            </w:r>
          </w:p>
        </w:tc>
        <w:tc>
          <w:tcPr>
            <w:tcW w:w="700" w:type="dxa"/>
            <w:vAlign w:val="bottom"/>
            <w:tcBorders>
              <w:right w:val="single" w:sz="8" w:color="auto"/>
            </w:tcBorders>
            <w:shd w:val="clear" w:color="auto" w:fill="BFBFBF"/>
          </w:tcPr>
          <w:p>
            <w:pPr>
              <w:spacing w:after="0"/>
              <w:rPr>
                <w:sz w:val="13"/>
                <w:szCs w:val="13"/>
                <w:color w:val="auto"/>
              </w:rPr>
            </w:pPr>
          </w:p>
        </w:tc>
        <w:tc>
          <w:tcPr>
            <w:tcW w:w="3060" w:type="dxa"/>
            <w:vAlign w:val="bottom"/>
            <w:tcBorders>
              <w:right w:val="single" w:sz="8" w:color="auto"/>
            </w:tcBorders>
            <w:shd w:val="clear" w:color="auto" w:fill="BFBFBF"/>
          </w:tcPr>
          <w:p>
            <w:pPr>
              <w:ind w:left="240"/>
              <w:spacing w:after="0" w:line="159" w:lineRule="exact"/>
              <w:rPr>
                <w:sz w:val="20"/>
                <w:szCs w:val="20"/>
                <w:color w:val="auto"/>
              </w:rPr>
            </w:pPr>
            <w:r>
              <w:rPr>
                <w:rFonts w:ascii="Arial" w:cs="Arial" w:eastAsia="Arial" w:hAnsi="Arial"/>
                <w:sz w:val="14"/>
                <w:szCs w:val="14"/>
                <w:color w:val="auto"/>
              </w:rPr>
              <w:t>Non-GAAP Operating Margin (25%)</w:t>
            </w:r>
          </w:p>
        </w:tc>
        <w:tc>
          <w:tcPr>
            <w:tcW w:w="1120" w:type="dxa"/>
            <w:vAlign w:val="bottom"/>
            <w:tcBorders>
              <w:right w:val="single" w:sz="8" w:color="auto"/>
            </w:tcBorders>
            <w:shd w:val="clear" w:color="auto" w:fill="BFBFBF"/>
          </w:tcPr>
          <w:p>
            <w:pPr>
              <w:jc w:val="center"/>
              <w:spacing w:after="0" w:line="159" w:lineRule="exact"/>
              <w:rPr>
                <w:sz w:val="20"/>
                <w:szCs w:val="20"/>
                <w:color w:val="auto"/>
              </w:rPr>
            </w:pPr>
            <w:r>
              <w:rPr>
                <w:rFonts w:ascii="Arial" w:cs="Arial" w:eastAsia="Arial" w:hAnsi="Arial"/>
                <w:sz w:val="14"/>
                <w:szCs w:val="14"/>
                <w:color w:val="auto"/>
              </w:rPr>
              <w:t>150%</w:t>
            </w:r>
          </w:p>
        </w:tc>
        <w:tc>
          <w:tcPr>
            <w:tcW w:w="800" w:type="dxa"/>
            <w:vAlign w:val="bottom"/>
            <w:shd w:val="clear" w:color="auto" w:fill="BFBFBF"/>
          </w:tcPr>
          <w:p>
            <w:pPr>
              <w:spacing w:after="0"/>
              <w:rPr>
                <w:sz w:val="13"/>
                <w:szCs w:val="13"/>
                <w:color w:val="auto"/>
              </w:rPr>
            </w:pPr>
          </w:p>
        </w:tc>
        <w:tc>
          <w:tcPr>
            <w:tcW w:w="820" w:type="dxa"/>
            <w:vAlign w:val="bottom"/>
            <w:tcBorders>
              <w:right w:val="single" w:sz="8" w:color="auto"/>
            </w:tcBorders>
            <w:shd w:val="clear" w:color="auto" w:fill="BFBFBF"/>
          </w:tcPr>
          <w:p>
            <w:pPr>
              <w:spacing w:after="0"/>
              <w:rPr>
                <w:sz w:val="13"/>
                <w:szCs w:val="13"/>
                <w:color w:val="auto"/>
              </w:rPr>
            </w:pPr>
          </w:p>
        </w:tc>
        <w:tc>
          <w:tcPr>
            <w:tcW w:w="1180" w:type="dxa"/>
            <w:vAlign w:val="bottom"/>
            <w:tcBorders>
              <w:right w:val="single" w:sz="8" w:color="auto"/>
            </w:tcBorders>
            <w:shd w:val="clear" w:color="auto" w:fill="BFBFBF"/>
          </w:tcPr>
          <w:p>
            <w:pPr>
              <w:spacing w:after="0"/>
              <w:rPr>
                <w:sz w:val="13"/>
                <w:szCs w:val="13"/>
                <w:color w:val="auto"/>
              </w:rPr>
            </w:pPr>
          </w:p>
        </w:tc>
      </w:tr>
      <w:tr>
        <w:trPr>
          <w:trHeight w:val="165"/>
        </w:trPr>
        <w:tc>
          <w:tcPr>
            <w:tcW w:w="2860" w:type="dxa"/>
            <w:vAlign w:val="bottom"/>
            <w:tcBorders>
              <w:left w:val="single" w:sz="8" w:color="auto"/>
              <w:right w:val="single" w:sz="8" w:color="auto"/>
            </w:tcBorders>
            <w:shd w:val="clear" w:color="auto" w:fill="BFBFBF"/>
          </w:tcPr>
          <w:p>
            <w:pPr>
              <w:spacing w:after="0"/>
              <w:rPr>
                <w:sz w:val="14"/>
                <w:szCs w:val="14"/>
                <w:color w:val="auto"/>
              </w:rPr>
            </w:pPr>
          </w:p>
        </w:tc>
        <w:tc>
          <w:tcPr>
            <w:tcW w:w="700" w:type="dxa"/>
            <w:vAlign w:val="bottom"/>
            <w:tcBorders>
              <w:right w:val="single" w:sz="8" w:color="auto"/>
            </w:tcBorders>
            <w:shd w:val="clear" w:color="auto" w:fill="BFBFBF"/>
          </w:tcPr>
          <w:p>
            <w:pPr>
              <w:spacing w:after="0"/>
              <w:rPr>
                <w:sz w:val="14"/>
                <w:szCs w:val="14"/>
                <w:color w:val="auto"/>
              </w:rPr>
            </w:pPr>
          </w:p>
        </w:tc>
        <w:tc>
          <w:tcPr>
            <w:tcW w:w="3060" w:type="dxa"/>
            <w:vAlign w:val="bottom"/>
            <w:tcBorders>
              <w:right w:val="single" w:sz="8" w:color="auto"/>
            </w:tcBorders>
            <w:shd w:val="clear" w:color="auto" w:fill="BFBFBF"/>
          </w:tcPr>
          <w:p>
            <w:pPr>
              <w:ind w:left="240"/>
              <w:spacing w:after="0" w:line="164" w:lineRule="exact"/>
              <w:rPr>
                <w:sz w:val="20"/>
                <w:szCs w:val="20"/>
                <w:color w:val="auto"/>
              </w:rPr>
            </w:pPr>
            <w:r>
              <w:rPr>
                <w:rFonts w:ascii="Arial" w:cs="Arial" w:eastAsia="Arial" w:hAnsi="Arial"/>
                <w:sz w:val="12"/>
                <w:szCs w:val="12"/>
                <w:color w:val="auto"/>
              </w:rPr>
              <w:t>Direct Expenses (35%)</w:t>
            </w:r>
            <w:r>
              <w:rPr>
                <w:rFonts w:ascii="Arial" w:cs="Arial" w:eastAsia="Arial" w:hAnsi="Arial"/>
                <w:sz w:val="19"/>
                <w:szCs w:val="19"/>
                <w:color w:val="auto"/>
                <w:vertAlign w:val="superscript"/>
              </w:rPr>
              <w:t>(2)</w:t>
            </w:r>
          </w:p>
        </w:tc>
        <w:tc>
          <w:tcPr>
            <w:tcW w:w="112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4"/>
                <w:szCs w:val="14"/>
                <w:color w:val="auto"/>
              </w:rPr>
              <w:t>120%</w:t>
            </w:r>
          </w:p>
        </w:tc>
        <w:tc>
          <w:tcPr>
            <w:tcW w:w="800" w:type="dxa"/>
            <w:vAlign w:val="bottom"/>
            <w:shd w:val="clear" w:color="auto" w:fill="BFBFBF"/>
          </w:tcPr>
          <w:p>
            <w:pPr>
              <w:spacing w:after="0"/>
              <w:rPr>
                <w:sz w:val="14"/>
                <w:szCs w:val="14"/>
                <w:color w:val="auto"/>
              </w:rPr>
            </w:pPr>
          </w:p>
        </w:tc>
        <w:tc>
          <w:tcPr>
            <w:tcW w:w="820" w:type="dxa"/>
            <w:vAlign w:val="bottom"/>
            <w:tcBorders>
              <w:right w:val="single" w:sz="8" w:color="auto"/>
            </w:tcBorders>
            <w:shd w:val="clear" w:color="auto" w:fill="BFBFBF"/>
          </w:tcPr>
          <w:p>
            <w:pPr>
              <w:spacing w:after="0"/>
              <w:rPr>
                <w:sz w:val="14"/>
                <w:szCs w:val="14"/>
                <w:color w:val="auto"/>
              </w:rPr>
            </w:pPr>
          </w:p>
        </w:tc>
        <w:tc>
          <w:tcPr>
            <w:tcW w:w="1180" w:type="dxa"/>
            <w:vAlign w:val="bottom"/>
            <w:tcBorders>
              <w:right w:val="single" w:sz="8" w:color="auto"/>
            </w:tcBorders>
            <w:shd w:val="clear" w:color="auto" w:fill="BFBFBF"/>
          </w:tcPr>
          <w:p>
            <w:pPr>
              <w:spacing w:after="0"/>
              <w:rPr>
                <w:sz w:val="14"/>
                <w:szCs w:val="14"/>
                <w:color w:val="auto"/>
              </w:rPr>
            </w:pPr>
          </w:p>
        </w:tc>
      </w:tr>
      <w:tr>
        <w:trPr>
          <w:trHeight w:val="153"/>
        </w:trPr>
        <w:tc>
          <w:tcPr>
            <w:tcW w:w="2860" w:type="dxa"/>
            <w:vAlign w:val="bottom"/>
            <w:tcBorders>
              <w:left w:val="single" w:sz="8" w:color="auto"/>
              <w:right w:val="single" w:sz="8" w:color="auto"/>
            </w:tcBorders>
            <w:shd w:val="clear" w:color="auto" w:fill="BFBFBF"/>
          </w:tcPr>
          <w:p>
            <w:pPr>
              <w:spacing w:after="0"/>
              <w:rPr>
                <w:sz w:val="13"/>
                <w:szCs w:val="13"/>
                <w:color w:val="auto"/>
              </w:rPr>
            </w:pPr>
          </w:p>
        </w:tc>
        <w:tc>
          <w:tcPr>
            <w:tcW w:w="700" w:type="dxa"/>
            <w:vAlign w:val="bottom"/>
            <w:tcBorders>
              <w:right w:val="single" w:sz="8" w:color="auto"/>
            </w:tcBorders>
            <w:shd w:val="clear" w:color="auto" w:fill="BFBFBF"/>
          </w:tcPr>
          <w:p>
            <w:pPr>
              <w:spacing w:after="0"/>
              <w:rPr>
                <w:sz w:val="13"/>
                <w:szCs w:val="13"/>
                <w:color w:val="auto"/>
              </w:rPr>
            </w:pPr>
          </w:p>
        </w:tc>
        <w:tc>
          <w:tcPr>
            <w:tcW w:w="3060" w:type="dxa"/>
            <w:vAlign w:val="bottom"/>
            <w:tcBorders>
              <w:right w:val="single" w:sz="8" w:color="auto"/>
            </w:tcBorders>
            <w:shd w:val="clear" w:color="auto" w:fill="BFBFBF"/>
          </w:tcPr>
          <w:p>
            <w:pPr>
              <w:ind w:left="260"/>
              <w:spacing w:after="0" w:line="153" w:lineRule="exact"/>
              <w:rPr>
                <w:sz w:val="20"/>
                <w:szCs w:val="20"/>
                <w:color w:val="auto"/>
              </w:rPr>
            </w:pPr>
            <w:r>
              <w:rPr>
                <w:rFonts w:ascii="Arial" w:cs="Arial" w:eastAsia="Arial" w:hAnsi="Arial"/>
                <w:sz w:val="14"/>
                <w:szCs w:val="14"/>
                <w:color w:val="auto"/>
              </w:rPr>
              <w:t>Litigation Expense (15%)</w:t>
            </w:r>
          </w:p>
        </w:tc>
        <w:tc>
          <w:tcPr>
            <w:tcW w:w="1120" w:type="dxa"/>
            <w:vAlign w:val="bottom"/>
            <w:tcBorders>
              <w:right w:val="single" w:sz="8" w:color="auto"/>
            </w:tcBorders>
            <w:shd w:val="clear" w:color="auto" w:fill="BFBFBF"/>
          </w:tcPr>
          <w:p>
            <w:pPr>
              <w:jc w:val="center"/>
              <w:spacing w:after="0" w:line="153" w:lineRule="exact"/>
              <w:rPr>
                <w:sz w:val="20"/>
                <w:szCs w:val="20"/>
                <w:color w:val="auto"/>
              </w:rPr>
            </w:pPr>
            <w:r>
              <w:rPr>
                <w:rFonts w:ascii="Arial" w:cs="Arial" w:eastAsia="Arial" w:hAnsi="Arial"/>
                <w:sz w:val="14"/>
                <w:szCs w:val="14"/>
                <w:color w:val="auto"/>
              </w:rPr>
              <w:t>120%</w:t>
            </w:r>
          </w:p>
        </w:tc>
        <w:tc>
          <w:tcPr>
            <w:tcW w:w="800" w:type="dxa"/>
            <w:vAlign w:val="bottom"/>
            <w:shd w:val="clear" w:color="auto" w:fill="BFBFBF"/>
          </w:tcPr>
          <w:p>
            <w:pPr>
              <w:spacing w:after="0"/>
              <w:rPr>
                <w:sz w:val="13"/>
                <w:szCs w:val="13"/>
                <w:color w:val="auto"/>
              </w:rPr>
            </w:pPr>
          </w:p>
        </w:tc>
        <w:tc>
          <w:tcPr>
            <w:tcW w:w="820" w:type="dxa"/>
            <w:vAlign w:val="bottom"/>
            <w:tcBorders>
              <w:right w:val="single" w:sz="8" w:color="auto"/>
            </w:tcBorders>
            <w:shd w:val="clear" w:color="auto" w:fill="BFBFBF"/>
          </w:tcPr>
          <w:p>
            <w:pPr>
              <w:spacing w:after="0"/>
              <w:rPr>
                <w:sz w:val="13"/>
                <w:szCs w:val="13"/>
                <w:color w:val="auto"/>
              </w:rPr>
            </w:pPr>
          </w:p>
        </w:tc>
        <w:tc>
          <w:tcPr>
            <w:tcW w:w="1180" w:type="dxa"/>
            <w:vAlign w:val="bottom"/>
            <w:tcBorders>
              <w:right w:val="single" w:sz="8" w:color="auto"/>
            </w:tcBorders>
            <w:shd w:val="clear" w:color="auto" w:fill="BFBFBF"/>
          </w:tcPr>
          <w:p>
            <w:pPr>
              <w:spacing w:after="0"/>
              <w:rPr>
                <w:sz w:val="13"/>
                <w:szCs w:val="13"/>
                <w:color w:val="auto"/>
              </w:rPr>
            </w:pPr>
          </w:p>
        </w:tc>
      </w:tr>
      <w:tr>
        <w:trPr>
          <w:trHeight w:val="171"/>
        </w:trPr>
        <w:tc>
          <w:tcPr>
            <w:tcW w:w="2860" w:type="dxa"/>
            <w:vAlign w:val="bottom"/>
            <w:tcBorders>
              <w:left w:val="single" w:sz="8" w:color="auto"/>
              <w:bottom w:val="single" w:sz="8" w:color="auto"/>
              <w:right w:val="single" w:sz="8" w:color="auto"/>
            </w:tcBorders>
            <w:shd w:val="clear" w:color="auto" w:fill="BFBFBF"/>
          </w:tcPr>
          <w:p>
            <w:pPr>
              <w:spacing w:after="0"/>
              <w:rPr>
                <w:sz w:val="14"/>
                <w:szCs w:val="14"/>
                <w:color w:val="auto"/>
              </w:rPr>
            </w:pPr>
          </w:p>
        </w:tc>
        <w:tc>
          <w:tcPr>
            <w:tcW w:w="700" w:type="dxa"/>
            <w:vAlign w:val="bottom"/>
            <w:tcBorders>
              <w:bottom w:val="single" w:sz="8" w:color="auto"/>
              <w:right w:val="single" w:sz="8" w:color="auto"/>
            </w:tcBorders>
            <w:shd w:val="clear" w:color="auto" w:fill="BFBFBF"/>
          </w:tcPr>
          <w:p>
            <w:pPr>
              <w:spacing w:after="0"/>
              <w:rPr>
                <w:sz w:val="14"/>
                <w:szCs w:val="14"/>
                <w:color w:val="auto"/>
              </w:rPr>
            </w:pPr>
          </w:p>
        </w:tc>
        <w:tc>
          <w:tcPr>
            <w:tcW w:w="3060" w:type="dxa"/>
            <w:vAlign w:val="bottom"/>
            <w:tcBorders>
              <w:bottom w:val="single" w:sz="8" w:color="auto"/>
              <w:right w:val="single" w:sz="8" w:color="auto"/>
            </w:tcBorders>
            <w:shd w:val="clear" w:color="auto" w:fill="BFBFBF"/>
          </w:tcPr>
          <w:p>
            <w:pPr>
              <w:ind w:left="260"/>
              <w:spacing w:after="0"/>
              <w:rPr>
                <w:sz w:val="20"/>
                <w:szCs w:val="20"/>
                <w:color w:val="auto"/>
              </w:rPr>
            </w:pPr>
            <w:r>
              <w:rPr>
                <w:rFonts w:ascii="Arial" w:cs="Arial" w:eastAsia="Arial" w:hAnsi="Arial"/>
                <w:sz w:val="14"/>
                <w:szCs w:val="14"/>
                <w:i w:val="1"/>
                <w:iCs w:val="1"/>
                <w:color w:val="auto"/>
              </w:rPr>
              <w:t>Fiscal Year 2017 Attainment</w:t>
            </w:r>
          </w:p>
        </w:tc>
        <w:tc>
          <w:tcPr>
            <w:tcW w:w="11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i w:val="1"/>
                <w:iCs w:val="1"/>
                <w:color w:val="auto"/>
              </w:rPr>
              <w:t>135%</w:t>
            </w:r>
          </w:p>
        </w:tc>
        <w:tc>
          <w:tcPr>
            <w:tcW w:w="8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BFBFBF"/>
          </w:tcPr>
          <w:p>
            <w:pPr>
              <w:jc w:val="right"/>
              <w:spacing w:after="0" w:line="172" w:lineRule="exact"/>
              <w:rPr>
                <w:sz w:val="20"/>
                <w:szCs w:val="20"/>
                <w:color w:val="auto"/>
              </w:rPr>
            </w:pPr>
            <w:r>
              <w:rPr>
                <w:rFonts w:ascii="Arial" w:cs="Arial" w:eastAsia="Arial" w:hAnsi="Arial"/>
                <w:sz w:val="12"/>
                <w:szCs w:val="12"/>
                <w:color w:val="auto"/>
              </w:rPr>
              <w:t>243,935</w:t>
            </w:r>
            <w:r>
              <w:rPr>
                <w:rFonts w:ascii="Arial" w:cs="Arial" w:eastAsia="Arial" w:hAnsi="Arial"/>
                <w:sz w:val="19"/>
                <w:szCs w:val="19"/>
                <w:color w:val="auto"/>
                <w:vertAlign w:val="superscript"/>
              </w:rPr>
              <w:t>(3)</w:t>
            </w:r>
          </w:p>
        </w:tc>
        <w:tc>
          <w:tcPr>
            <w:tcW w:w="1180" w:type="dxa"/>
            <w:vAlign w:val="bottom"/>
            <w:tcBorders>
              <w:bottom w:val="single" w:sz="8" w:color="auto"/>
              <w:right w:val="single" w:sz="8" w:color="auto"/>
            </w:tcBorders>
            <w:shd w:val="clear" w:color="auto" w:fill="BFBFBF"/>
          </w:tcPr>
          <w:p>
            <w:pPr>
              <w:jc w:val="right"/>
              <w:ind w:right="148"/>
              <w:spacing w:after="0"/>
              <w:rPr>
                <w:sz w:val="20"/>
                <w:szCs w:val="20"/>
                <w:color w:val="auto"/>
              </w:rPr>
            </w:pPr>
            <w:r>
              <w:rPr>
                <w:rFonts w:ascii="Arial" w:cs="Arial" w:eastAsia="Arial" w:hAnsi="Arial"/>
                <w:sz w:val="14"/>
                <w:szCs w:val="14"/>
                <w:color w:val="auto"/>
              </w:rPr>
              <w:t>97.2%</w:t>
            </w:r>
          </w:p>
        </w:tc>
      </w:tr>
      <w:tr>
        <w:trPr>
          <w:trHeight w:val="160"/>
        </w:trPr>
        <w:tc>
          <w:tcPr>
            <w:tcW w:w="2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Bryan T. Ingram</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30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Non-GAAP Revenue (25%)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80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r>
      <w:tr>
        <w:trPr>
          <w:trHeight w:val="162"/>
        </w:trPr>
        <w:tc>
          <w:tcPr>
            <w:tcW w:w="2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Senior Vice President and</w:t>
            </w:r>
          </w:p>
        </w:tc>
        <w:tc>
          <w:tcPr>
            <w:tcW w:w="700" w:type="dxa"/>
            <w:vAlign w:val="bottom"/>
            <w:tcBorders>
              <w:right w:val="single" w:sz="8" w:color="auto"/>
            </w:tcBorders>
          </w:tcPr>
          <w:p>
            <w:pPr>
              <w:spacing w:after="0"/>
              <w:rPr>
                <w:sz w:val="14"/>
                <w:szCs w:val="14"/>
                <w:color w:val="auto"/>
              </w:rPr>
            </w:pPr>
          </w:p>
        </w:tc>
        <w:tc>
          <w:tcPr>
            <w:tcW w:w="30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Non-GAAP Operating Margin (25%)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80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62"/>
        </w:trPr>
        <w:tc>
          <w:tcPr>
            <w:tcW w:w="2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General Manager, Wireless</w:t>
            </w:r>
          </w:p>
        </w:tc>
        <w:tc>
          <w:tcPr>
            <w:tcW w:w="700" w:type="dxa"/>
            <w:vAlign w:val="bottom"/>
            <w:tcBorders>
              <w:right w:val="single" w:sz="8" w:color="auto"/>
            </w:tcBorders>
          </w:tcPr>
          <w:p>
            <w:pPr>
              <w:spacing w:after="0"/>
              <w:rPr>
                <w:sz w:val="14"/>
                <w:szCs w:val="14"/>
                <w:color w:val="auto"/>
              </w:rPr>
            </w:pPr>
          </w:p>
        </w:tc>
        <w:tc>
          <w:tcPr>
            <w:tcW w:w="30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WSD Revenue (25%)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80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48"/>
        </w:trPr>
        <w:tc>
          <w:tcPr>
            <w:tcW w:w="2860" w:type="dxa"/>
            <w:vAlign w:val="bottom"/>
            <w:tcBorders>
              <w:left w:val="single" w:sz="8" w:color="auto"/>
              <w:right w:val="single" w:sz="8" w:color="auto"/>
            </w:tcBorders>
          </w:tcPr>
          <w:p>
            <w:pPr>
              <w:ind w:left="220"/>
              <w:spacing w:after="0" w:line="148" w:lineRule="exact"/>
              <w:rPr>
                <w:sz w:val="20"/>
                <w:szCs w:val="20"/>
                <w:color w:val="auto"/>
              </w:rPr>
            </w:pPr>
            <w:r>
              <w:rPr>
                <w:rFonts w:ascii="Arial" w:cs="Arial" w:eastAsia="Arial" w:hAnsi="Arial"/>
                <w:sz w:val="14"/>
                <w:szCs w:val="14"/>
                <w:color w:val="auto"/>
              </w:rPr>
              <w:t>Semiconductor Division</w:t>
            </w:r>
          </w:p>
        </w:tc>
        <w:tc>
          <w:tcPr>
            <w:tcW w:w="700" w:type="dxa"/>
            <w:vAlign w:val="bottom"/>
            <w:tcBorders>
              <w:right w:val="single" w:sz="8" w:color="auto"/>
            </w:tcBorders>
          </w:tcPr>
          <w:p>
            <w:pPr>
              <w:spacing w:after="0"/>
              <w:rPr>
                <w:sz w:val="12"/>
                <w:szCs w:val="12"/>
                <w:color w:val="auto"/>
              </w:rPr>
            </w:pPr>
          </w:p>
        </w:tc>
        <w:tc>
          <w:tcPr>
            <w:tcW w:w="3060" w:type="dxa"/>
            <w:vAlign w:val="bottom"/>
            <w:tcBorders>
              <w:right w:val="single" w:sz="8" w:color="auto"/>
            </w:tcBorders>
          </w:tcPr>
          <w:p>
            <w:pPr>
              <w:ind w:left="240"/>
              <w:spacing w:after="0" w:line="148" w:lineRule="exact"/>
              <w:rPr>
                <w:sz w:val="20"/>
                <w:szCs w:val="20"/>
                <w:color w:val="auto"/>
              </w:rPr>
            </w:pPr>
            <w:r>
              <w:rPr>
                <w:rFonts w:ascii="Arial" w:cs="Arial" w:eastAsia="Arial" w:hAnsi="Arial"/>
                <w:sz w:val="14"/>
                <w:szCs w:val="14"/>
                <w:color w:val="auto"/>
              </w:rPr>
              <w:t>WSD Operating Margin (25%)</w:t>
            </w:r>
          </w:p>
        </w:tc>
        <w:tc>
          <w:tcPr>
            <w:tcW w:w="11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145%</w:t>
            </w:r>
          </w:p>
        </w:tc>
        <w:tc>
          <w:tcPr>
            <w:tcW w:w="8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71"/>
        </w:trPr>
        <w:tc>
          <w:tcPr>
            <w:tcW w:w="28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30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i w:val="1"/>
                <w:iCs w:val="1"/>
                <w:color w:val="auto"/>
              </w:rPr>
              <w:t>Fiscal Year 2017 Attainment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rPr>
              <w:t>149%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1,145,780</w:t>
            </w:r>
          </w:p>
        </w:tc>
        <w:tc>
          <w:tcPr>
            <w:tcW w:w="118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16122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71" w:lineRule="exact"/>
        <w:rPr>
          <w:sz w:val="20"/>
          <w:szCs w:val="20"/>
          <w:color w:val="auto"/>
        </w:rPr>
      </w:pPr>
    </w:p>
    <w:p>
      <w:pPr>
        <w:ind w:left="1060" w:hanging="424"/>
        <w:spacing w:after="0"/>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the quantitative effect of the NEOs applicable individual performance multiplier.</w:t>
      </w:r>
    </w:p>
    <w:p>
      <w:pPr>
        <w:spacing w:after="0" w:line="5" w:lineRule="exact"/>
        <w:rPr>
          <w:rFonts w:ascii="Arial" w:cs="Arial" w:eastAsia="Arial" w:hAnsi="Arial"/>
          <w:sz w:val="16"/>
          <w:szCs w:val="16"/>
          <w:color w:val="auto"/>
        </w:rPr>
      </w:pPr>
    </w:p>
    <w:p>
      <w:pPr>
        <w:ind w:left="1060" w:hanging="424"/>
        <w:spacing w:after="0"/>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direct expenses of the division or function, as applicable.</w:t>
      </w:r>
    </w:p>
    <w:p>
      <w:pPr>
        <w:spacing w:after="0" w:line="5" w:lineRule="exact"/>
        <w:rPr>
          <w:rFonts w:ascii="Arial" w:cs="Arial" w:eastAsia="Arial" w:hAnsi="Arial"/>
          <w:sz w:val="16"/>
          <w:szCs w:val="16"/>
          <w:color w:val="auto"/>
        </w:rPr>
      </w:pPr>
    </w:p>
    <w:p>
      <w:pPr>
        <w:ind w:left="1060" w:hanging="424"/>
        <w:spacing w:after="0"/>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Pro-rated based on approximately seven months of service as Chief Legal Officer.</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Discretionary Bonuses</w:t>
      </w:r>
    </w:p>
    <w:p>
      <w:pPr>
        <w:spacing w:after="0" w:line="104" w:lineRule="exact"/>
        <w:rPr>
          <w:sz w:val="20"/>
          <w:szCs w:val="20"/>
          <w:color w:val="auto"/>
        </w:rPr>
      </w:pPr>
    </w:p>
    <w:p>
      <w:pPr>
        <w:ind w:left="200" w:right="260" w:firstLine="551"/>
        <w:spacing w:after="0" w:line="257" w:lineRule="auto"/>
        <w:rPr>
          <w:sz w:val="20"/>
          <w:szCs w:val="20"/>
          <w:color w:val="auto"/>
        </w:rPr>
      </w:pPr>
      <w:r>
        <w:rPr>
          <w:rFonts w:ascii="Arial" w:cs="Arial" w:eastAsia="Arial" w:hAnsi="Arial"/>
          <w:sz w:val="17"/>
          <w:szCs w:val="17"/>
          <w:color w:val="auto"/>
        </w:rPr>
        <w:t>Each year, the Compensation Committee may supplement the APB Plan payout earned by our NEOs with discretionary bonuses that are awarded based on our CEO’s recommendations, other than with respect to himself, and the Compensation Committee’s assessment of individual contributions. Mr. Krause received a $100,000 discretionary cash bonus due to his contributions outside of the regular scope of his responsibility, in particular due to his significant efforts toward the completion of the acquisition of Brocade.</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80"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Our equity awards provide a long-term retention tool for our executives and are intended to reflect the value we place on their contribution to our Company. The philosophy behind equity awards is to provide each executive with a strong incentive to remain with, and build value in, us over an extended period of time. The Compensation Committee believes that a combination of service-based RSU and PSU awards promotes long-term retention of our executive. This combination provides an element of certainty of value from their service-based RSU awards, while motivating the executive to improve performance and maximize our TSR, thereby more closely aligning their interests with those of our shareholders generally, through the PSU awards.</w:t>
      </w:r>
    </w:p>
    <w:p>
      <w:pPr>
        <w:spacing w:after="0" w:line="151"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The Compensation Committee approves equity awards granted under our annual equity program to our NEOs, other than our CEO whose equity awards are approved by the Independent Directors, typically in March of each year. These awards are 50% service-based and 50% performance-based. In addition, the Compensation Committee may grant additional awards to our NEOs (other than the CEO) from time to time. In granting initial and subsequent equity awards, the Compensation Committee takes into consideration our CEO’s recommendation, except with respect to his own awards, the executive’s position and level, past equity awards, his or her other compensation and the perceived value he or she brings to our Company based on his or her technical experience, expertise and leadership capabilities. The Compensation Committee also reviews annually the amount of vested and unvested equity that an executive holds and the fair market value of the unvested equity awards compared to his or her base salary.</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Fiscal Year 2017 Mix of Equity Awards</w:t>
      </w:r>
    </w:p>
    <w:p>
      <w:pPr>
        <w:spacing w:after="0" w:line="158"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Consistent with our compensation philosophy, the Compensation Committee granted equity awards to our NEOs (other than our CEO) in Fiscal Year 2017 as set forth in the table below. The awards vest over four years, with 25% of the ordinary shares subject to the awards vesting annually, subject to the executive’s continued service on the vesting dates. The PSU awards however are also subject to the satisfaction of the applicable performance criteria, discussed in more detail below under “</w:t>
      </w:r>
      <w:r>
        <w:rPr>
          <w:rFonts w:ascii="Arial" w:cs="Arial" w:eastAsia="Arial" w:hAnsi="Arial"/>
          <w:sz w:val="18"/>
          <w:szCs w:val="18"/>
          <w:i w:val="1"/>
          <w:iCs w:val="1"/>
          <w:color w:val="auto"/>
        </w:rPr>
        <w:t>Fiscal Year 2017 Performance-Based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Awards</w:t>
      </w:r>
      <w:r>
        <w:rPr>
          <w:rFonts w:ascii="Arial" w:cs="Arial" w:eastAsia="Arial" w:hAnsi="Arial"/>
          <w:sz w:val="18"/>
          <w:szCs w:val="18"/>
          <w:color w:val="auto"/>
        </w:rPr>
        <w:t>”.</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Fiscal Year 2017 Equity Awards Granted to NEOs other than our CEO</w:t>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276"/>
        </w:trPr>
        <w:tc>
          <w:tcPr>
            <w:tcW w:w="3560" w:type="dxa"/>
            <w:vAlign w:val="bottom"/>
            <w:shd w:val="clear" w:color="auto" w:fill="7F7F7F"/>
          </w:tcPr>
          <w:p>
            <w:pPr>
              <w:spacing w:after="0"/>
              <w:rPr>
                <w:sz w:val="23"/>
                <w:szCs w:val="23"/>
                <w:color w:val="auto"/>
              </w:rPr>
            </w:pPr>
          </w:p>
        </w:tc>
        <w:tc>
          <w:tcPr>
            <w:tcW w:w="2200" w:type="dxa"/>
            <w:vAlign w:val="bottom"/>
            <w:gridSpan w:val="2"/>
            <w:shd w:val="clear" w:color="auto" w:fill="7F7F7F"/>
          </w:tcPr>
          <w:p>
            <w:pPr>
              <w:jc w:val="right"/>
              <w:ind w:right="368"/>
              <w:spacing w:after="0"/>
              <w:rPr>
                <w:sz w:val="20"/>
                <w:szCs w:val="20"/>
                <w:color w:val="auto"/>
              </w:rPr>
            </w:pPr>
            <w:r>
              <w:rPr>
                <w:rFonts w:ascii="Arial" w:cs="Arial" w:eastAsia="Arial" w:hAnsi="Arial"/>
                <w:sz w:val="14"/>
                <w:szCs w:val="14"/>
                <w:b w:val="1"/>
                <w:bCs w:val="1"/>
                <w:color w:val="FFFFFF"/>
              </w:rPr>
              <w:t>November 2016</w:t>
            </w:r>
            <w:r>
              <w:rPr>
                <w:rFonts w:ascii="Arial" w:cs="Arial" w:eastAsia="Arial" w:hAnsi="Arial"/>
                <w:sz w:val="24"/>
                <w:szCs w:val="24"/>
                <w:b w:val="1"/>
                <w:bCs w:val="1"/>
                <w:color w:val="FFFFFF"/>
                <w:vertAlign w:val="superscript"/>
              </w:rPr>
              <w:t>(1)</w:t>
            </w:r>
          </w:p>
        </w:tc>
        <w:tc>
          <w:tcPr>
            <w:tcW w:w="150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w w:val="98"/>
              </w:rPr>
              <w:t>December 2016</w:t>
            </w:r>
            <w:r>
              <w:rPr>
                <w:rFonts w:ascii="Arial" w:cs="Arial" w:eastAsia="Arial" w:hAnsi="Arial"/>
                <w:sz w:val="24"/>
                <w:szCs w:val="24"/>
                <w:b w:val="1"/>
                <w:bCs w:val="1"/>
                <w:color w:val="FFFFFF"/>
                <w:w w:val="98"/>
                <w:vertAlign w:val="superscript"/>
              </w:rPr>
              <w:t>(2)</w:t>
            </w:r>
          </w:p>
        </w:tc>
        <w:tc>
          <w:tcPr>
            <w:tcW w:w="1880" w:type="dxa"/>
            <w:vAlign w:val="bottom"/>
            <w:gridSpan w:val="2"/>
            <w:shd w:val="clear" w:color="auto" w:fill="7F7F7F"/>
          </w:tcPr>
          <w:p>
            <w:pPr>
              <w:jc w:val="right"/>
              <w:ind w:right="488"/>
              <w:spacing w:after="0"/>
              <w:rPr>
                <w:sz w:val="20"/>
                <w:szCs w:val="20"/>
                <w:color w:val="auto"/>
              </w:rPr>
            </w:pPr>
            <w:r>
              <w:rPr>
                <w:rFonts w:ascii="Arial" w:cs="Arial" w:eastAsia="Arial" w:hAnsi="Arial"/>
                <w:sz w:val="14"/>
                <w:szCs w:val="14"/>
                <w:b w:val="1"/>
                <w:bCs w:val="1"/>
                <w:color w:val="FFFFFF"/>
              </w:rPr>
              <w:t>March 2017</w:t>
            </w:r>
          </w:p>
        </w:tc>
        <w:tc>
          <w:tcPr>
            <w:tcW w:w="1880" w:type="dxa"/>
            <w:vAlign w:val="bottom"/>
            <w:gridSpan w:val="2"/>
            <w:shd w:val="clear" w:color="auto" w:fill="7F7F7F"/>
          </w:tcPr>
          <w:p>
            <w:pPr>
              <w:jc w:val="right"/>
              <w:ind w:right="408"/>
              <w:spacing w:after="0"/>
              <w:rPr>
                <w:sz w:val="20"/>
                <w:szCs w:val="20"/>
                <w:color w:val="auto"/>
              </w:rPr>
            </w:pPr>
            <w:r>
              <w:rPr>
                <w:rFonts w:ascii="Arial" w:cs="Arial" w:eastAsia="Arial" w:hAnsi="Arial"/>
                <w:sz w:val="14"/>
                <w:szCs w:val="14"/>
                <w:b w:val="1"/>
                <w:bCs w:val="1"/>
                <w:color w:val="FFFFFF"/>
              </w:rPr>
              <w:t>April 2017</w:t>
            </w:r>
            <w:r>
              <w:rPr>
                <w:rFonts w:ascii="Arial" w:cs="Arial" w:eastAsia="Arial" w:hAnsi="Arial"/>
                <w:sz w:val="24"/>
                <w:szCs w:val="24"/>
                <w:b w:val="1"/>
                <w:bCs w:val="1"/>
                <w:color w:val="FFFFFF"/>
                <w:vertAlign w:val="superscript"/>
              </w:rPr>
              <w:t>(4)</w:t>
            </w:r>
          </w:p>
        </w:tc>
      </w:tr>
      <w:tr>
        <w:trPr>
          <w:trHeight w:val="162"/>
        </w:trPr>
        <w:tc>
          <w:tcPr>
            <w:tcW w:w="3560" w:type="dxa"/>
            <w:vAlign w:val="bottom"/>
            <w:shd w:val="clear" w:color="auto" w:fill="7F7F7F"/>
          </w:tcPr>
          <w:p>
            <w:pPr>
              <w:spacing w:after="0"/>
              <w:rPr>
                <w:sz w:val="14"/>
                <w:szCs w:val="14"/>
                <w:color w:val="auto"/>
              </w:rPr>
            </w:pPr>
          </w:p>
        </w:tc>
        <w:tc>
          <w:tcPr>
            <w:tcW w:w="1320" w:type="dxa"/>
            <w:vAlign w:val="bottom"/>
            <w:shd w:val="clear" w:color="auto" w:fill="7F7F7F"/>
          </w:tcPr>
          <w:p>
            <w:pPr>
              <w:spacing w:after="0"/>
              <w:rPr>
                <w:sz w:val="14"/>
                <w:szCs w:val="14"/>
                <w:color w:val="auto"/>
              </w:rPr>
            </w:pPr>
          </w:p>
        </w:tc>
        <w:tc>
          <w:tcPr>
            <w:tcW w:w="8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Service-</w:t>
            </w:r>
          </w:p>
        </w:tc>
        <w:tc>
          <w:tcPr>
            <w:tcW w:w="1500" w:type="dxa"/>
            <w:vAlign w:val="bottom"/>
            <w:shd w:val="clear" w:color="auto" w:fill="7F7F7F"/>
          </w:tcPr>
          <w:p>
            <w:pPr>
              <w:spacing w:after="0"/>
              <w:rPr>
                <w:sz w:val="14"/>
                <w:szCs w:val="14"/>
                <w:color w:val="auto"/>
              </w:rPr>
            </w:pPr>
          </w:p>
        </w:tc>
        <w:tc>
          <w:tcPr>
            <w:tcW w:w="1000" w:type="dxa"/>
            <w:vAlign w:val="bottom"/>
            <w:shd w:val="clear" w:color="auto" w:fill="7F7F7F"/>
          </w:tcPr>
          <w:p>
            <w:pPr>
              <w:spacing w:after="0"/>
              <w:rPr>
                <w:sz w:val="14"/>
                <w:szCs w:val="14"/>
                <w:color w:val="auto"/>
              </w:rPr>
            </w:pPr>
          </w:p>
        </w:tc>
        <w:tc>
          <w:tcPr>
            <w:tcW w:w="8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Service-</w:t>
            </w:r>
          </w:p>
        </w:tc>
        <w:tc>
          <w:tcPr>
            <w:tcW w:w="1000" w:type="dxa"/>
            <w:vAlign w:val="bottom"/>
            <w:shd w:val="clear" w:color="auto" w:fill="7F7F7F"/>
          </w:tcPr>
          <w:p>
            <w:pPr>
              <w:spacing w:after="0"/>
              <w:rPr>
                <w:sz w:val="14"/>
                <w:szCs w:val="14"/>
                <w:color w:val="auto"/>
              </w:rPr>
            </w:pPr>
          </w:p>
        </w:tc>
        <w:tc>
          <w:tcPr>
            <w:tcW w:w="880" w:type="dxa"/>
            <w:vAlign w:val="bottom"/>
            <w:shd w:val="clear" w:color="auto" w:fill="7F7F7F"/>
          </w:tcPr>
          <w:p>
            <w:pPr>
              <w:jc w:val="center"/>
              <w:ind w:left="8"/>
              <w:spacing w:after="0"/>
              <w:rPr>
                <w:sz w:val="20"/>
                <w:szCs w:val="20"/>
                <w:color w:val="auto"/>
              </w:rPr>
            </w:pPr>
            <w:r>
              <w:rPr>
                <w:rFonts w:ascii="Arial" w:cs="Arial" w:eastAsia="Arial" w:hAnsi="Arial"/>
                <w:sz w:val="14"/>
                <w:szCs w:val="14"/>
                <w:b w:val="1"/>
                <w:bCs w:val="1"/>
                <w:color w:val="FFFFFF"/>
              </w:rPr>
              <w:t>Service-</w:t>
            </w:r>
          </w:p>
        </w:tc>
      </w:tr>
      <w:tr>
        <w:trPr>
          <w:trHeight w:val="162"/>
        </w:trPr>
        <w:tc>
          <w:tcPr>
            <w:tcW w:w="3560" w:type="dxa"/>
            <w:vAlign w:val="bottom"/>
            <w:shd w:val="clear" w:color="auto" w:fill="7F7F7F"/>
          </w:tcPr>
          <w:p>
            <w:pPr>
              <w:spacing w:after="0"/>
              <w:rPr>
                <w:sz w:val="14"/>
                <w:szCs w:val="14"/>
                <w:color w:val="auto"/>
              </w:rPr>
            </w:pPr>
          </w:p>
        </w:tc>
        <w:tc>
          <w:tcPr>
            <w:tcW w:w="1320" w:type="dxa"/>
            <w:vAlign w:val="bottom"/>
            <w:shd w:val="clear" w:color="auto" w:fill="7F7F7F"/>
          </w:tcPr>
          <w:p>
            <w:pPr>
              <w:spacing w:after="0"/>
              <w:rPr>
                <w:sz w:val="14"/>
                <w:szCs w:val="14"/>
                <w:color w:val="auto"/>
              </w:rPr>
            </w:pPr>
          </w:p>
        </w:tc>
        <w:tc>
          <w:tcPr>
            <w:tcW w:w="8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Based</w:t>
            </w:r>
          </w:p>
        </w:tc>
        <w:tc>
          <w:tcPr>
            <w:tcW w:w="1500" w:type="dxa"/>
            <w:vAlign w:val="bottom"/>
            <w:shd w:val="clear" w:color="auto" w:fill="7F7F7F"/>
          </w:tcPr>
          <w:p>
            <w:pPr>
              <w:spacing w:after="0"/>
              <w:rPr>
                <w:sz w:val="14"/>
                <w:szCs w:val="14"/>
                <w:color w:val="auto"/>
              </w:rPr>
            </w:pPr>
          </w:p>
        </w:tc>
        <w:tc>
          <w:tcPr>
            <w:tcW w:w="100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PSUs</w:t>
            </w:r>
          </w:p>
        </w:tc>
        <w:tc>
          <w:tcPr>
            <w:tcW w:w="8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Based</w:t>
            </w:r>
          </w:p>
        </w:tc>
        <w:tc>
          <w:tcPr>
            <w:tcW w:w="100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PSUs</w:t>
            </w:r>
          </w:p>
        </w:tc>
        <w:tc>
          <w:tcPr>
            <w:tcW w:w="880" w:type="dxa"/>
            <w:vAlign w:val="bottom"/>
            <w:shd w:val="clear" w:color="auto" w:fill="7F7F7F"/>
          </w:tcPr>
          <w:p>
            <w:pPr>
              <w:jc w:val="center"/>
              <w:ind w:left="8"/>
              <w:spacing w:after="0"/>
              <w:rPr>
                <w:sz w:val="20"/>
                <w:szCs w:val="20"/>
                <w:color w:val="auto"/>
              </w:rPr>
            </w:pPr>
            <w:r>
              <w:rPr>
                <w:rFonts w:ascii="Arial" w:cs="Arial" w:eastAsia="Arial" w:hAnsi="Arial"/>
                <w:sz w:val="14"/>
                <w:szCs w:val="14"/>
                <w:b w:val="1"/>
                <w:bCs w:val="1"/>
                <w:color w:val="FFFFFF"/>
              </w:rPr>
              <w:t>Based</w:t>
            </w:r>
          </w:p>
        </w:tc>
      </w:tr>
      <w:tr>
        <w:trPr>
          <w:trHeight w:val="162"/>
        </w:trPr>
        <w:tc>
          <w:tcPr>
            <w:tcW w:w="3560" w:type="dxa"/>
            <w:vAlign w:val="bottom"/>
            <w:shd w:val="clear" w:color="auto" w:fill="7F7F7F"/>
          </w:tcPr>
          <w:p>
            <w:pPr>
              <w:spacing w:after="0"/>
              <w:rPr>
                <w:sz w:val="14"/>
                <w:szCs w:val="14"/>
                <w:color w:val="auto"/>
              </w:rPr>
            </w:pPr>
          </w:p>
        </w:tc>
        <w:tc>
          <w:tcPr>
            <w:tcW w:w="1320" w:type="dxa"/>
            <w:vAlign w:val="bottom"/>
            <w:shd w:val="clear" w:color="auto" w:fill="7F7F7F"/>
          </w:tcPr>
          <w:p>
            <w:pPr>
              <w:jc w:val="center"/>
              <w:ind w:left="28"/>
              <w:spacing w:after="0"/>
              <w:rPr>
                <w:sz w:val="20"/>
                <w:szCs w:val="20"/>
                <w:color w:val="auto"/>
              </w:rPr>
            </w:pPr>
            <w:r>
              <w:rPr>
                <w:rFonts w:ascii="Arial" w:cs="Arial" w:eastAsia="Arial" w:hAnsi="Arial"/>
                <w:sz w:val="14"/>
                <w:szCs w:val="14"/>
                <w:b w:val="1"/>
                <w:bCs w:val="1"/>
                <w:color w:val="FFFFFF"/>
              </w:rPr>
              <w:t>Performance-</w:t>
            </w:r>
          </w:p>
        </w:tc>
        <w:tc>
          <w:tcPr>
            <w:tcW w:w="8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RSUs</w:t>
            </w:r>
          </w:p>
        </w:tc>
        <w:tc>
          <w:tcPr>
            <w:tcW w:w="150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Service-Based</w:t>
            </w:r>
          </w:p>
        </w:tc>
        <w:tc>
          <w:tcPr>
            <w:tcW w:w="100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(Maximum</w:t>
            </w:r>
          </w:p>
        </w:tc>
        <w:tc>
          <w:tcPr>
            <w:tcW w:w="8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RSUs</w:t>
            </w:r>
          </w:p>
        </w:tc>
        <w:tc>
          <w:tcPr>
            <w:tcW w:w="100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(Maximum</w:t>
            </w:r>
          </w:p>
        </w:tc>
        <w:tc>
          <w:tcPr>
            <w:tcW w:w="880" w:type="dxa"/>
            <w:vAlign w:val="bottom"/>
            <w:shd w:val="clear" w:color="auto" w:fill="7F7F7F"/>
          </w:tcPr>
          <w:p>
            <w:pPr>
              <w:jc w:val="center"/>
              <w:ind w:left="8"/>
              <w:spacing w:after="0"/>
              <w:rPr>
                <w:sz w:val="20"/>
                <w:szCs w:val="20"/>
                <w:color w:val="auto"/>
              </w:rPr>
            </w:pPr>
            <w:r>
              <w:rPr>
                <w:rFonts w:ascii="Arial" w:cs="Arial" w:eastAsia="Arial" w:hAnsi="Arial"/>
                <w:sz w:val="14"/>
                <w:szCs w:val="14"/>
                <w:b w:val="1"/>
                <w:bCs w:val="1"/>
                <w:color w:val="FFFFFF"/>
              </w:rPr>
              <w:t>RSUs</w:t>
            </w:r>
          </w:p>
        </w:tc>
      </w:tr>
      <w:tr>
        <w:trPr>
          <w:trHeight w:val="162"/>
        </w:trPr>
        <w:tc>
          <w:tcPr>
            <w:tcW w:w="3560" w:type="dxa"/>
            <w:vAlign w:val="bottom"/>
            <w:shd w:val="clear" w:color="auto" w:fill="7F7F7F"/>
          </w:tcPr>
          <w:p>
            <w:pPr>
              <w:spacing w:after="0"/>
              <w:rPr>
                <w:sz w:val="14"/>
                <w:szCs w:val="14"/>
                <w:color w:val="auto"/>
              </w:rPr>
            </w:pPr>
          </w:p>
        </w:tc>
        <w:tc>
          <w:tcPr>
            <w:tcW w:w="1320" w:type="dxa"/>
            <w:vAlign w:val="bottom"/>
            <w:shd w:val="clear" w:color="auto" w:fill="7F7F7F"/>
          </w:tcPr>
          <w:p>
            <w:pPr>
              <w:jc w:val="center"/>
              <w:ind w:left="28"/>
              <w:spacing w:after="0"/>
              <w:rPr>
                <w:sz w:val="20"/>
                <w:szCs w:val="20"/>
                <w:color w:val="auto"/>
              </w:rPr>
            </w:pPr>
            <w:r>
              <w:rPr>
                <w:rFonts w:ascii="Arial" w:cs="Arial" w:eastAsia="Arial" w:hAnsi="Arial"/>
                <w:sz w:val="14"/>
                <w:szCs w:val="14"/>
                <w:b w:val="1"/>
                <w:bCs w:val="1"/>
                <w:color w:val="FFFFFF"/>
              </w:rPr>
              <w:t>Based RSUs</w:t>
            </w:r>
          </w:p>
        </w:tc>
        <w:tc>
          <w:tcPr>
            <w:tcW w:w="8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(Number</w:t>
            </w:r>
          </w:p>
        </w:tc>
        <w:tc>
          <w:tcPr>
            <w:tcW w:w="150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RSUs</w:t>
            </w:r>
          </w:p>
        </w:tc>
        <w:tc>
          <w:tcPr>
            <w:tcW w:w="100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Number</w:t>
            </w:r>
          </w:p>
        </w:tc>
        <w:tc>
          <w:tcPr>
            <w:tcW w:w="8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(Number</w:t>
            </w:r>
          </w:p>
        </w:tc>
        <w:tc>
          <w:tcPr>
            <w:tcW w:w="100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Number</w:t>
            </w:r>
          </w:p>
        </w:tc>
        <w:tc>
          <w:tcPr>
            <w:tcW w:w="880" w:type="dxa"/>
            <w:vAlign w:val="bottom"/>
            <w:shd w:val="clear" w:color="auto" w:fill="7F7F7F"/>
          </w:tcPr>
          <w:p>
            <w:pPr>
              <w:jc w:val="center"/>
              <w:ind w:left="8"/>
              <w:spacing w:after="0"/>
              <w:rPr>
                <w:sz w:val="20"/>
                <w:szCs w:val="20"/>
                <w:color w:val="auto"/>
              </w:rPr>
            </w:pPr>
            <w:r>
              <w:rPr>
                <w:rFonts w:ascii="Arial" w:cs="Arial" w:eastAsia="Arial" w:hAnsi="Arial"/>
                <w:sz w:val="14"/>
                <w:szCs w:val="14"/>
                <w:b w:val="1"/>
                <w:bCs w:val="1"/>
                <w:color w:val="FFFFFF"/>
              </w:rPr>
              <w:t>(Number</w:t>
            </w:r>
          </w:p>
        </w:tc>
      </w:tr>
      <w:tr>
        <w:trPr>
          <w:trHeight w:val="162"/>
        </w:trPr>
        <w:tc>
          <w:tcPr>
            <w:tcW w:w="3560" w:type="dxa"/>
            <w:vAlign w:val="bottom"/>
            <w:shd w:val="clear" w:color="auto" w:fill="7F7F7F"/>
          </w:tcPr>
          <w:p>
            <w:pPr>
              <w:spacing w:after="0"/>
              <w:rPr>
                <w:sz w:val="14"/>
                <w:szCs w:val="14"/>
                <w:color w:val="auto"/>
              </w:rPr>
            </w:pPr>
          </w:p>
        </w:tc>
        <w:tc>
          <w:tcPr>
            <w:tcW w:w="1320" w:type="dxa"/>
            <w:vAlign w:val="bottom"/>
            <w:shd w:val="clear" w:color="auto" w:fill="7F7F7F"/>
          </w:tcPr>
          <w:p>
            <w:pPr>
              <w:jc w:val="center"/>
              <w:ind w:left="28"/>
              <w:spacing w:after="0"/>
              <w:rPr>
                <w:sz w:val="20"/>
                <w:szCs w:val="20"/>
                <w:color w:val="auto"/>
              </w:rPr>
            </w:pPr>
            <w:r>
              <w:rPr>
                <w:rFonts w:ascii="Arial" w:cs="Arial" w:eastAsia="Arial" w:hAnsi="Arial"/>
                <w:sz w:val="14"/>
                <w:szCs w:val="14"/>
                <w:b w:val="1"/>
                <w:bCs w:val="1"/>
                <w:color w:val="FFFFFF"/>
              </w:rPr>
              <w:t>(Number</w:t>
            </w:r>
          </w:p>
        </w:tc>
        <w:tc>
          <w:tcPr>
            <w:tcW w:w="8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w w:val="90"/>
              </w:rPr>
              <w:t>of</w:t>
            </w:r>
          </w:p>
        </w:tc>
        <w:tc>
          <w:tcPr>
            <w:tcW w:w="150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(Number of</w:t>
            </w:r>
          </w:p>
        </w:tc>
        <w:tc>
          <w:tcPr>
            <w:tcW w:w="100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of</w:t>
            </w:r>
          </w:p>
        </w:tc>
        <w:tc>
          <w:tcPr>
            <w:tcW w:w="8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of</w:t>
            </w:r>
          </w:p>
        </w:tc>
        <w:tc>
          <w:tcPr>
            <w:tcW w:w="100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of</w:t>
            </w:r>
          </w:p>
        </w:tc>
        <w:tc>
          <w:tcPr>
            <w:tcW w:w="880" w:type="dxa"/>
            <w:vAlign w:val="bottom"/>
            <w:shd w:val="clear" w:color="auto" w:fill="7F7F7F"/>
          </w:tcPr>
          <w:p>
            <w:pPr>
              <w:jc w:val="center"/>
              <w:ind w:left="8"/>
              <w:spacing w:after="0"/>
              <w:rPr>
                <w:sz w:val="20"/>
                <w:szCs w:val="20"/>
                <w:color w:val="auto"/>
              </w:rPr>
            </w:pPr>
            <w:r>
              <w:rPr>
                <w:rFonts w:ascii="Arial" w:cs="Arial" w:eastAsia="Arial" w:hAnsi="Arial"/>
                <w:sz w:val="14"/>
                <w:szCs w:val="14"/>
                <w:b w:val="1"/>
                <w:bCs w:val="1"/>
                <w:color w:val="FFFFFF"/>
                <w:w w:val="90"/>
              </w:rPr>
              <w:t>of</w:t>
            </w:r>
          </w:p>
        </w:tc>
      </w:tr>
      <w:tr>
        <w:trPr>
          <w:trHeight w:val="189"/>
        </w:trPr>
        <w:tc>
          <w:tcPr>
            <w:tcW w:w="3560" w:type="dxa"/>
            <w:vAlign w:val="bottom"/>
            <w:shd w:val="clear" w:color="auto" w:fill="7F7F7F"/>
          </w:tcPr>
          <w:p>
            <w:pPr>
              <w:ind w:left="1620"/>
              <w:spacing w:after="0"/>
              <w:rPr>
                <w:sz w:val="20"/>
                <w:szCs w:val="20"/>
                <w:color w:val="auto"/>
              </w:rPr>
            </w:pPr>
            <w:r>
              <w:rPr>
                <w:rFonts w:ascii="Arial" w:cs="Arial" w:eastAsia="Arial" w:hAnsi="Arial"/>
                <w:sz w:val="14"/>
                <w:szCs w:val="14"/>
                <w:b w:val="1"/>
                <w:bCs w:val="1"/>
                <w:color w:val="FFFFFF"/>
              </w:rPr>
              <w:t>NEO</w:t>
            </w:r>
          </w:p>
        </w:tc>
        <w:tc>
          <w:tcPr>
            <w:tcW w:w="1320" w:type="dxa"/>
            <w:vAlign w:val="bottom"/>
            <w:shd w:val="clear" w:color="auto" w:fill="7F7F7F"/>
          </w:tcPr>
          <w:p>
            <w:pPr>
              <w:jc w:val="center"/>
              <w:ind w:left="28"/>
              <w:spacing w:after="0"/>
              <w:rPr>
                <w:sz w:val="20"/>
                <w:szCs w:val="20"/>
                <w:color w:val="auto"/>
              </w:rPr>
            </w:pPr>
            <w:r>
              <w:rPr>
                <w:rFonts w:ascii="Arial" w:cs="Arial" w:eastAsia="Arial" w:hAnsi="Arial"/>
                <w:sz w:val="14"/>
                <w:szCs w:val="14"/>
                <w:b w:val="1"/>
                <w:bCs w:val="1"/>
                <w:color w:val="FFFFFF"/>
              </w:rPr>
              <w:t>of Shares)</w:t>
            </w:r>
          </w:p>
        </w:tc>
        <w:tc>
          <w:tcPr>
            <w:tcW w:w="8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Shares)</w:t>
            </w:r>
          </w:p>
        </w:tc>
        <w:tc>
          <w:tcPr>
            <w:tcW w:w="150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Shares)</w:t>
            </w:r>
          </w:p>
        </w:tc>
        <w:tc>
          <w:tcPr>
            <w:tcW w:w="1000" w:type="dxa"/>
            <w:vAlign w:val="bottom"/>
            <w:shd w:val="clear" w:color="auto" w:fill="7F7F7F"/>
          </w:tcPr>
          <w:p>
            <w:pPr>
              <w:jc w:val="center"/>
              <w:spacing w:after="0" w:line="189" w:lineRule="exact"/>
              <w:rPr>
                <w:sz w:val="20"/>
                <w:szCs w:val="20"/>
                <w:color w:val="auto"/>
              </w:rPr>
            </w:pPr>
            <w:r>
              <w:rPr>
                <w:rFonts w:ascii="Arial" w:cs="Arial" w:eastAsia="Arial" w:hAnsi="Arial"/>
                <w:sz w:val="13"/>
                <w:szCs w:val="13"/>
                <w:b w:val="1"/>
                <w:bCs w:val="1"/>
                <w:color w:val="FFFFFF"/>
              </w:rPr>
              <w:t>Shares)</w:t>
            </w:r>
            <w:r>
              <w:rPr>
                <w:rFonts w:ascii="Arial" w:cs="Arial" w:eastAsia="Arial" w:hAnsi="Arial"/>
                <w:sz w:val="21"/>
                <w:szCs w:val="21"/>
                <w:b w:val="1"/>
                <w:bCs w:val="1"/>
                <w:color w:val="FFFFFF"/>
                <w:vertAlign w:val="superscript"/>
              </w:rPr>
              <w:t>(3)</w:t>
            </w:r>
          </w:p>
        </w:tc>
        <w:tc>
          <w:tcPr>
            <w:tcW w:w="8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Shares)</w:t>
            </w:r>
          </w:p>
        </w:tc>
        <w:tc>
          <w:tcPr>
            <w:tcW w:w="1000" w:type="dxa"/>
            <w:vAlign w:val="bottom"/>
            <w:shd w:val="clear" w:color="auto" w:fill="7F7F7F"/>
          </w:tcPr>
          <w:p>
            <w:pPr>
              <w:jc w:val="center"/>
              <w:spacing w:after="0" w:line="189" w:lineRule="exact"/>
              <w:rPr>
                <w:sz w:val="20"/>
                <w:szCs w:val="20"/>
                <w:color w:val="auto"/>
              </w:rPr>
            </w:pPr>
            <w:r>
              <w:rPr>
                <w:rFonts w:ascii="Arial" w:cs="Arial" w:eastAsia="Arial" w:hAnsi="Arial"/>
                <w:sz w:val="13"/>
                <w:szCs w:val="13"/>
                <w:b w:val="1"/>
                <w:bCs w:val="1"/>
                <w:color w:val="FFFFFF"/>
              </w:rPr>
              <w:t>Shares)</w:t>
            </w:r>
            <w:r>
              <w:rPr>
                <w:rFonts w:ascii="Arial" w:cs="Arial" w:eastAsia="Arial" w:hAnsi="Arial"/>
                <w:sz w:val="21"/>
                <w:szCs w:val="21"/>
                <w:b w:val="1"/>
                <w:bCs w:val="1"/>
                <w:color w:val="FFFFFF"/>
                <w:vertAlign w:val="superscript"/>
              </w:rPr>
              <w:t>(3)</w:t>
            </w:r>
          </w:p>
        </w:tc>
        <w:tc>
          <w:tcPr>
            <w:tcW w:w="880" w:type="dxa"/>
            <w:vAlign w:val="bottom"/>
            <w:shd w:val="clear" w:color="auto" w:fill="7F7F7F"/>
          </w:tcPr>
          <w:p>
            <w:pPr>
              <w:jc w:val="right"/>
              <w:ind w:right="148"/>
              <w:spacing w:after="0"/>
              <w:rPr>
                <w:sz w:val="20"/>
                <w:szCs w:val="20"/>
                <w:color w:val="auto"/>
              </w:rPr>
            </w:pPr>
            <w:r>
              <w:rPr>
                <w:rFonts w:ascii="Arial" w:cs="Arial" w:eastAsia="Arial" w:hAnsi="Arial"/>
                <w:sz w:val="14"/>
                <w:szCs w:val="14"/>
                <w:b w:val="1"/>
                <w:bCs w:val="1"/>
                <w:color w:val="FFFFFF"/>
              </w:rPr>
              <w:t>Shares)</w:t>
            </w:r>
          </w:p>
        </w:tc>
      </w:tr>
      <w:tr>
        <w:trPr>
          <w:trHeight w:val="162"/>
        </w:trPr>
        <w:tc>
          <w:tcPr>
            <w:tcW w:w="3560" w:type="dxa"/>
            <w:vAlign w:val="bottom"/>
          </w:tcPr>
          <w:p>
            <w:pPr>
              <w:ind w:left="60"/>
              <w:spacing w:after="0"/>
              <w:rPr>
                <w:sz w:val="20"/>
                <w:szCs w:val="20"/>
                <w:color w:val="auto"/>
              </w:rPr>
            </w:pPr>
            <w:r>
              <w:rPr>
                <w:rFonts w:ascii="Arial" w:cs="Arial" w:eastAsia="Arial" w:hAnsi="Arial"/>
                <w:sz w:val="14"/>
                <w:szCs w:val="14"/>
                <w:color w:val="auto"/>
              </w:rPr>
              <w:t>Thomas H. Krause Jr.</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10,000</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10,000</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5,000</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25,000</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12,500</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560" w:type="dxa"/>
            <w:vAlign w:val="bottom"/>
            <w:shd w:val="clear" w:color="auto" w:fill="BFBFBF"/>
          </w:tcPr>
          <w:p>
            <w:pPr>
              <w:ind w:left="60"/>
              <w:spacing w:after="0"/>
              <w:rPr>
                <w:sz w:val="20"/>
                <w:szCs w:val="20"/>
                <w:color w:val="auto"/>
              </w:rPr>
            </w:pPr>
            <w:r>
              <w:rPr>
                <w:rFonts w:ascii="Arial" w:cs="Arial" w:eastAsia="Arial" w:hAnsi="Arial"/>
                <w:sz w:val="14"/>
                <w:szCs w:val="14"/>
                <w:color w:val="auto"/>
              </w:rPr>
              <w:t>Charlie B. Kawwas, Ph.D.</w:t>
            </w:r>
          </w:p>
        </w:tc>
        <w:tc>
          <w:tcPr>
            <w:tcW w:w="1320" w:type="dxa"/>
            <w:vAlign w:val="bottom"/>
            <w:shd w:val="clear" w:color="auto" w:fill="BFBFBF"/>
          </w:tcPr>
          <w:p>
            <w:pPr>
              <w:spacing w:after="0"/>
              <w:rPr>
                <w:sz w:val="14"/>
                <w:szCs w:val="14"/>
                <w:color w:val="auto"/>
              </w:rPr>
            </w:pPr>
          </w:p>
        </w:tc>
        <w:tc>
          <w:tcPr>
            <w:tcW w:w="880" w:type="dxa"/>
            <w:vAlign w:val="bottom"/>
            <w:shd w:val="clear" w:color="auto" w:fill="BFBFBF"/>
          </w:tcPr>
          <w:p>
            <w:pPr>
              <w:spacing w:after="0"/>
              <w:rPr>
                <w:sz w:val="14"/>
                <w:szCs w:val="14"/>
                <w:color w:val="auto"/>
              </w:rPr>
            </w:pPr>
          </w:p>
        </w:tc>
        <w:tc>
          <w:tcPr>
            <w:tcW w:w="150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5,000</w:t>
            </w:r>
          </w:p>
        </w:tc>
        <w:tc>
          <w:tcPr>
            <w:tcW w:w="1000" w:type="dxa"/>
            <w:vAlign w:val="bottom"/>
            <w:shd w:val="clear" w:color="auto" w:fill="BFBFBF"/>
          </w:tcPr>
          <w:p>
            <w:pPr>
              <w:jc w:val="right"/>
              <w:ind w:right="69"/>
              <w:spacing w:after="0"/>
              <w:rPr>
                <w:sz w:val="20"/>
                <w:szCs w:val="20"/>
                <w:color w:val="auto"/>
              </w:rPr>
            </w:pPr>
            <w:r>
              <w:rPr>
                <w:rFonts w:ascii="Arial" w:cs="Arial" w:eastAsia="Arial" w:hAnsi="Arial"/>
                <w:sz w:val="14"/>
                <w:szCs w:val="14"/>
                <w:color w:val="auto"/>
              </w:rPr>
              <w:t>25,000</w:t>
            </w:r>
          </w:p>
        </w:tc>
        <w:tc>
          <w:tcPr>
            <w:tcW w:w="8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12,500</w:t>
            </w:r>
          </w:p>
        </w:tc>
        <w:tc>
          <w:tcPr>
            <w:tcW w:w="1000" w:type="dxa"/>
            <w:vAlign w:val="bottom"/>
            <w:shd w:val="clear" w:color="auto" w:fill="BFBFBF"/>
          </w:tcPr>
          <w:p>
            <w:pPr>
              <w:spacing w:after="0"/>
              <w:rPr>
                <w:sz w:val="14"/>
                <w:szCs w:val="14"/>
                <w:color w:val="auto"/>
              </w:rPr>
            </w:pPr>
          </w:p>
        </w:tc>
        <w:tc>
          <w:tcPr>
            <w:tcW w:w="880" w:type="dxa"/>
            <w:vAlign w:val="bottom"/>
            <w:shd w:val="clear" w:color="auto" w:fill="BFBFBF"/>
          </w:tcPr>
          <w:p>
            <w:pPr>
              <w:spacing w:after="0"/>
              <w:rPr>
                <w:sz w:val="14"/>
                <w:szCs w:val="14"/>
                <w:color w:val="auto"/>
              </w:rPr>
            </w:pPr>
          </w:p>
        </w:tc>
      </w:tr>
      <w:tr>
        <w:trPr>
          <w:trHeight w:val="162"/>
        </w:trPr>
        <w:tc>
          <w:tcPr>
            <w:tcW w:w="3560" w:type="dxa"/>
            <w:vAlign w:val="bottom"/>
          </w:tcPr>
          <w:p>
            <w:pPr>
              <w:ind w:left="60"/>
              <w:spacing w:after="0"/>
              <w:rPr>
                <w:sz w:val="20"/>
                <w:szCs w:val="20"/>
                <w:color w:val="auto"/>
              </w:rPr>
            </w:pPr>
            <w:r>
              <w:rPr>
                <w:rFonts w:ascii="Arial" w:cs="Arial" w:eastAsia="Arial" w:hAnsi="Arial"/>
                <w:sz w:val="14"/>
                <w:szCs w:val="14"/>
                <w:color w:val="auto"/>
              </w:rPr>
              <w:t>Mark D. Brazeal</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25,000</w:t>
            </w:r>
          </w:p>
        </w:tc>
        <w:tc>
          <w:tcPr>
            <w:tcW w:w="88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162"/>
        </w:trPr>
        <w:tc>
          <w:tcPr>
            <w:tcW w:w="3560" w:type="dxa"/>
            <w:vAlign w:val="bottom"/>
            <w:shd w:val="clear" w:color="auto" w:fill="BFBFBF"/>
          </w:tcPr>
          <w:p>
            <w:pPr>
              <w:ind w:left="60"/>
              <w:spacing w:after="0"/>
              <w:rPr>
                <w:sz w:val="20"/>
                <w:szCs w:val="20"/>
                <w:color w:val="auto"/>
              </w:rPr>
            </w:pPr>
            <w:r>
              <w:rPr>
                <w:rFonts w:ascii="Arial" w:cs="Arial" w:eastAsia="Arial" w:hAnsi="Arial"/>
                <w:sz w:val="14"/>
                <w:szCs w:val="14"/>
                <w:color w:val="auto"/>
              </w:rPr>
              <w:t>Bryan T. Ingram</w:t>
            </w:r>
          </w:p>
        </w:tc>
        <w:tc>
          <w:tcPr>
            <w:tcW w:w="1320" w:type="dxa"/>
            <w:vAlign w:val="bottom"/>
            <w:shd w:val="clear" w:color="auto" w:fill="BFBFBF"/>
          </w:tcPr>
          <w:p>
            <w:pPr>
              <w:spacing w:after="0"/>
              <w:rPr>
                <w:sz w:val="14"/>
                <w:szCs w:val="14"/>
                <w:color w:val="auto"/>
              </w:rPr>
            </w:pPr>
          </w:p>
        </w:tc>
        <w:tc>
          <w:tcPr>
            <w:tcW w:w="880" w:type="dxa"/>
            <w:vAlign w:val="bottom"/>
            <w:shd w:val="clear" w:color="auto" w:fill="BFBFBF"/>
          </w:tcPr>
          <w:p>
            <w:pPr>
              <w:spacing w:after="0"/>
              <w:rPr>
                <w:sz w:val="14"/>
                <w:szCs w:val="14"/>
                <w:color w:val="auto"/>
              </w:rPr>
            </w:pPr>
          </w:p>
        </w:tc>
        <w:tc>
          <w:tcPr>
            <w:tcW w:w="150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5,000</w:t>
            </w:r>
          </w:p>
        </w:tc>
        <w:tc>
          <w:tcPr>
            <w:tcW w:w="1000" w:type="dxa"/>
            <w:vAlign w:val="bottom"/>
            <w:shd w:val="clear" w:color="auto" w:fill="BFBFBF"/>
          </w:tcPr>
          <w:p>
            <w:pPr>
              <w:jc w:val="right"/>
              <w:ind w:right="69"/>
              <w:spacing w:after="0"/>
              <w:rPr>
                <w:sz w:val="20"/>
                <w:szCs w:val="20"/>
                <w:color w:val="auto"/>
              </w:rPr>
            </w:pPr>
            <w:r>
              <w:rPr>
                <w:rFonts w:ascii="Arial" w:cs="Arial" w:eastAsia="Arial" w:hAnsi="Arial"/>
                <w:sz w:val="14"/>
                <w:szCs w:val="14"/>
                <w:color w:val="auto"/>
              </w:rPr>
              <w:t>25,000</w:t>
            </w:r>
          </w:p>
        </w:tc>
        <w:tc>
          <w:tcPr>
            <w:tcW w:w="8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12,500</w:t>
            </w:r>
          </w:p>
        </w:tc>
        <w:tc>
          <w:tcPr>
            <w:tcW w:w="1000" w:type="dxa"/>
            <w:vAlign w:val="bottom"/>
            <w:shd w:val="clear" w:color="auto" w:fill="BFBFBF"/>
          </w:tcPr>
          <w:p>
            <w:pPr>
              <w:spacing w:after="0"/>
              <w:rPr>
                <w:sz w:val="14"/>
                <w:szCs w:val="14"/>
                <w:color w:val="auto"/>
              </w:rPr>
            </w:pPr>
          </w:p>
        </w:tc>
        <w:tc>
          <w:tcPr>
            <w:tcW w:w="880" w:type="dxa"/>
            <w:vAlign w:val="bottom"/>
            <w:shd w:val="clear" w:color="auto" w:fill="BFBFB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-1045845</wp:posOffset>
            </wp:positionV>
            <wp:extent cx="45453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85725</wp:posOffset>
            </wp:positionV>
            <wp:extent cx="16033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74" w:lineRule="exact"/>
        <w:rPr>
          <w:sz w:val="20"/>
          <w:szCs w:val="20"/>
          <w:color w:val="auto"/>
        </w:rPr>
      </w:pPr>
    </w:p>
    <w:p>
      <w:pPr>
        <w:ind w:left="740" w:hanging="536"/>
        <w:spacing w:after="0"/>
        <w:tabs>
          <w:tab w:leader="none" w:pos="7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an award granted to Mr. Krause in connection with his appointment as our CFO.</w:t>
      </w:r>
    </w:p>
    <w:p>
      <w:pPr>
        <w:spacing w:after="0" w:line="1" w:lineRule="exact"/>
        <w:rPr>
          <w:rFonts w:ascii="Arial" w:cs="Arial" w:eastAsia="Arial" w:hAnsi="Arial"/>
          <w:sz w:val="14"/>
          <w:szCs w:val="14"/>
          <w:color w:val="auto"/>
        </w:rPr>
      </w:pPr>
    </w:p>
    <w:p>
      <w:pPr>
        <w:ind w:left="740" w:right="160" w:hanging="536"/>
        <w:spacing w:after="0" w:line="241" w:lineRule="auto"/>
        <w:tabs>
          <w:tab w:leader="none" w:pos="7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Awards granted to certain executives in recognition of their significant additional contributions during Fiscal Year 2016 with regard to acquisition related activity and for retention purposes.</w:t>
      </w:r>
    </w:p>
    <w:p>
      <w:pPr>
        <w:ind w:left="740" w:right="460" w:hanging="536"/>
        <w:spacing w:after="0" w:line="241" w:lineRule="auto"/>
        <w:tabs>
          <w:tab w:leader="none" w:pos="7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the maximum number of ordinary shares that can be earned. The target number of ordinary shares that can be earned is 50% of this amount (i.e., 12,500 ordinary shares).</w:t>
      </w:r>
    </w:p>
    <w:p>
      <w:pPr>
        <w:ind w:left="740" w:hanging="536"/>
        <w:spacing w:after="0"/>
        <w:tabs>
          <w:tab w:leader="none" w:pos="7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an award granted to Mr. Brazeal upon his appointment as our Chief Legal Officer.</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Fiscal Year 2017 Performance-Based Equity Awards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Share Price Contingency Performance-Based RSUs</w:t>
      </w:r>
    </w:p>
    <w:p>
      <w:pPr>
        <w:spacing w:after="0" w:line="17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ordinary shares subject to the PSU award granted to Mr. Krause in November 2016 in connection with his promotion to CFO will not be earned unless and until the date on which the average of the closing prices of our ordinary shares (as reported on the Nasdaq Global Select Market), over a period of 20 consecutive trading days is equal to or greater than 120% of the closing price of our ordinary shares on November 15, 2016, the date of grant, and vest over a four-year period at the rate of 25% per year subject to Mr. Krause remaining employed with us through the relevant vesting dates. On November 15, 2016, the closing price per share of our ordinary shares was $166.45; 120% of this price is $199.74 per share.</w:t>
      </w:r>
    </w:p>
    <w:p>
      <w:pPr>
        <w:spacing w:after="0" w:line="151"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This share price contingency was met in February 2017 and all ordinary shares subject to this award have the potential to vest (assuming Mr. Krause’s continued service with us).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the share price contingency had not been met by the fourth anniversary of the grant date or, in the event and at, the time</w:t>
      </w:r>
    </w:p>
    <w:p>
      <w:pPr>
        <w:ind w:left="200"/>
        <w:spacing w:after="0" w:line="234" w:lineRule="auto"/>
        <w:rPr>
          <w:sz w:val="20"/>
          <w:szCs w:val="20"/>
          <w:color w:val="auto"/>
        </w:rPr>
      </w:pPr>
      <w:r>
        <w:rPr>
          <w:rFonts w:ascii="Arial" w:cs="Arial" w:eastAsia="Arial" w:hAnsi="Arial"/>
          <w:sz w:val="18"/>
          <w:szCs w:val="18"/>
          <w:color w:val="auto"/>
        </w:rPr>
        <w:t>Mr. Krause ceases to provide services to us, the PSU award would not have vested and the award would have expired or immediately</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terminated, as applicable.</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Relative TSR PSUs</w:t>
      </w:r>
    </w:p>
    <w:p>
      <w:pPr>
        <w:spacing w:after="0" w:line="176"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To more closely align the NEOs’ interests with those of our shareholders, in Fiscal Year 2017 our NEOs were granted PSU awards that are earned based on our Relative TSR and absolute TSR performance over four overlapping performance periods beginning on the grant date and ending on each of March 14 of 2018, 2019, 2020 and 2021. The number of ordinary shares that may be earned is capped at one-quarter of the target number of ordinary shares for each of the first three performance periods. In the aggregate, each NEO may earn up to 200% of the total target number of ordinary shares, if at the end of the fourth performance period our Relative TSR is at or above the 75</w:t>
      </w:r>
      <w:r>
        <w:rPr>
          <w:rFonts w:ascii="Arial" w:cs="Arial" w:eastAsia="Arial" w:hAnsi="Arial"/>
          <w:sz w:val="15"/>
          <w:szCs w:val="15"/>
          <w:color w:val="auto"/>
        </w:rPr>
        <w:t>th</w:t>
      </w:r>
      <w:r>
        <w:rPr>
          <w:rFonts w:ascii="Arial" w:cs="Arial" w:eastAsia="Arial" w:hAnsi="Arial"/>
          <w:sz w:val="18"/>
          <w:szCs w:val="18"/>
          <w:color w:val="auto"/>
        </w:rPr>
        <w:t xml:space="preserve"> percentile of the S&amp;P 500 and our absolute TSR is not negative. The PSU awards vest on the later of (i) the last day of each performance period and (ii) each anniversary of the grant date, subject to the NEO’s continued employment with us on the relevant vesting date. Within 60 days after the end of each performance period, the Compensation Committee will determine the number of ordinary shares earned based on our Relative TSR over the performance period expressed as a percentile. The number of ordinary shares earned will be determined by multiplying the target number of ordinary shares subject to each performance period (one-quarter of the total target number of ordinary shares) by an achievement factor (the “</w:t>
      </w:r>
      <w:r>
        <w:rPr>
          <w:rFonts w:ascii="Arial" w:cs="Arial" w:eastAsia="Arial" w:hAnsi="Arial"/>
          <w:sz w:val="18"/>
          <w:szCs w:val="18"/>
          <w:u w:val="single" w:color="auto"/>
          <w:color w:val="auto"/>
        </w:rPr>
        <w:t>Achievement Factor</w:t>
      </w:r>
      <w:r>
        <w:rPr>
          <w:rFonts w:ascii="Arial" w:cs="Arial" w:eastAsia="Arial" w:hAnsi="Arial"/>
          <w:sz w:val="18"/>
          <w:szCs w:val="18"/>
          <w:color w:val="auto"/>
        </w:rPr>
        <w:t>”). The Achievement Factor is based on our Relative TSR for the performance period determined as follows:</w:t>
      </w:r>
    </w:p>
    <w:p>
      <w:pPr>
        <w:spacing w:after="0" w:line="70" w:lineRule="exact"/>
        <w:rPr>
          <w:sz w:val="20"/>
          <w:szCs w:val="20"/>
          <w:color w:val="auto"/>
        </w:rPr>
      </w:pPr>
    </w:p>
    <w:p>
      <w:pPr>
        <w:ind w:left="1180" w:right="520" w:hanging="436"/>
        <w:spacing w:after="0" w:line="246"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of the target number of ordinary shares subject to each of the first three performance periods will be earned if our Relative TSR is at the 50</w:t>
      </w:r>
      <w:r>
        <w:rPr>
          <w:rFonts w:ascii="Arial" w:cs="Arial" w:eastAsia="Arial" w:hAnsi="Arial"/>
          <w:sz w:val="15"/>
          <w:szCs w:val="15"/>
          <w:color w:val="auto"/>
        </w:rPr>
        <w:t>th</w:t>
      </w:r>
      <w:r>
        <w:rPr>
          <w:rFonts w:ascii="Arial" w:cs="Arial" w:eastAsia="Arial" w:hAnsi="Arial"/>
          <w:sz w:val="18"/>
          <w:szCs w:val="18"/>
          <w:color w:val="auto"/>
        </w:rPr>
        <w:t xml:space="preserve"> percentile of the S&amp;P 500.</w:t>
      </w:r>
    </w:p>
    <w:p>
      <w:pPr>
        <w:spacing w:after="0" w:line="99" w:lineRule="exact"/>
        <w:rPr>
          <w:rFonts w:ascii="Arial" w:cs="Arial" w:eastAsia="Arial" w:hAnsi="Arial"/>
          <w:sz w:val="18"/>
          <w:szCs w:val="18"/>
          <w:color w:val="auto"/>
        </w:rPr>
      </w:pPr>
    </w:p>
    <w:p>
      <w:pPr>
        <w:ind w:left="1180" w:right="700" w:hanging="436"/>
        <w:spacing w:after="0" w:line="249"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ordinary shares will be earned with respect to a performance period if our Relative TSR is not at or above the 25</w:t>
      </w:r>
      <w:r>
        <w:rPr>
          <w:rFonts w:ascii="Arial" w:cs="Arial" w:eastAsia="Arial" w:hAnsi="Arial"/>
          <w:sz w:val="15"/>
          <w:szCs w:val="15"/>
          <w:color w:val="auto"/>
        </w:rPr>
        <w:t>th</w:t>
      </w:r>
      <w:r>
        <w:rPr>
          <w:rFonts w:ascii="Arial" w:cs="Arial" w:eastAsia="Arial" w:hAnsi="Arial"/>
          <w:sz w:val="18"/>
          <w:szCs w:val="18"/>
          <w:color w:val="auto"/>
        </w:rPr>
        <w:t xml:space="preserve"> percentile of the S&amp;P 500.</w:t>
      </w:r>
    </w:p>
    <w:p>
      <w:pPr>
        <w:spacing w:after="0" w:line="99" w:lineRule="exact"/>
        <w:rPr>
          <w:rFonts w:ascii="Arial" w:cs="Arial" w:eastAsia="Arial" w:hAnsi="Arial"/>
          <w:sz w:val="18"/>
          <w:szCs w:val="18"/>
          <w:color w:val="auto"/>
        </w:rPr>
      </w:pPr>
    </w:p>
    <w:p>
      <w:pPr>
        <w:ind w:left="1180" w:right="620" w:hanging="436"/>
        <w:spacing w:after="0" w:line="246"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50% of the target number of ordinary shares subject to each of the first three performance periods will be earned if our Relative TSR is at the 25</w:t>
      </w:r>
      <w:r>
        <w:rPr>
          <w:rFonts w:ascii="Arial" w:cs="Arial" w:eastAsia="Arial" w:hAnsi="Arial"/>
          <w:sz w:val="15"/>
          <w:szCs w:val="15"/>
          <w:color w:val="auto"/>
        </w:rPr>
        <w:t>th</w:t>
      </w:r>
      <w:r>
        <w:rPr>
          <w:rFonts w:ascii="Arial" w:cs="Arial" w:eastAsia="Arial" w:hAnsi="Arial"/>
          <w:sz w:val="18"/>
          <w:szCs w:val="18"/>
          <w:color w:val="auto"/>
        </w:rPr>
        <w:t xml:space="preserve"> percentile of the S&amp;P 500.</w:t>
      </w:r>
    </w:p>
    <w:p>
      <w:pPr>
        <w:spacing w:after="0" w:line="99" w:lineRule="exact"/>
        <w:rPr>
          <w:rFonts w:ascii="Arial" w:cs="Arial" w:eastAsia="Arial" w:hAnsi="Arial"/>
          <w:sz w:val="18"/>
          <w:szCs w:val="18"/>
          <w:color w:val="auto"/>
        </w:rPr>
      </w:pPr>
    </w:p>
    <w:p>
      <w:pPr>
        <w:ind w:left="1180" w:right="120" w:hanging="436"/>
        <w:spacing w:after="0" w:line="242"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our Relative TSR for the fourth performance period is at or above the 75</w:t>
      </w:r>
      <w:r>
        <w:rPr>
          <w:rFonts w:ascii="Arial" w:cs="Arial" w:eastAsia="Arial" w:hAnsi="Arial"/>
          <w:sz w:val="15"/>
          <w:szCs w:val="15"/>
          <w:color w:val="auto"/>
        </w:rPr>
        <w:t>th</w:t>
      </w:r>
      <w:r>
        <w:rPr>
          <w:rFonts w:ascii="Arial" w:cs="Arial" w:eastAsia="Arial" w:hAnsi="Arial"/>
          <w:sz w:val="18"/>
          <w:szCs w:val="18"/>
          <w:color w:val="auto"/>
        </w:rPr>
        <w:t xml:space="preserve"> percentile of the S&amp;P 500 and our absolute TSR is not negative, each NEO will be entitled to receive, in the aggregate, a maximum of 200% of the total target number of ordinary shares.</w:t>
      </w:r>
    </w:p>
    <w:p>
      <w:pPr>
        <w:spacing w:after="0" w:line="105" w:lineRule="exact"/>
        <w:rPr>
          <w:rFonts w:ascii="Arial" w:cs="Arial" w:eastAsia="Arial" w:hAnsi="Arial"/>
          <w:sz w:val="18"/>
          <w:szCs w:val="18"/>
          <w:color w:val="auto"/>
        </w:rPr>
      </w:pPr>
    </w:p>
    <w:p>
      <w:pPr>
        <w:ind w:left="1180" w:hanging="436"/>
        <w:spacing w:after="0" w:line="246"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Relative TSR is between two of the levels set forth in the table above, the TSR performance multiplier will be determined using linear interpolation.</w:t>
      </w:r>
    </w:p>
    <w:p>
      <w:pPr>
        <w:spacing w:after="0" w:line="143" w:lineRule="exact"/>
        <w:rPr>
          <w:sz w:val="20"/>
          <w:szCs w:val="20"/>
          <w:color w:val="auto"/>
        </w:rPr>
      </w:pPr>
    </w:p>
    <w:p>
      <w:pPr>
        <w:ind w:left="200" w:right="80" w:firstLine="551"/>
        <w:spacing w:after="0"/>
        <w:rPr>
          <w:sz w:val="20"/>
          <w:szCs w:val="20"/>
          <w:color w:val="auto"/>
        </w:rPr>
      </w:pPr>
      <w:r>
        <w:rPr>
          <w:rFonts w:ascii="Arial" w:cs="Arial" w:eastAsia="Arial" w:hAnsi="Arial"/>
          <w:sz w:val="18"/>
          <w:szCs w:val="18"/>
          <w:color w:val="auto"/>
        </w:rPr>
        <w:t>The maximum number of ordinary shares that can be earned in the fourth performance period includes ordinary shares that were not earned in the prior three performance periods based on the sum of the Achievement Factors for these three performance periods (the “</w:t>
      </w:r>
      <w:r>
        <w:rPr>
          <w:rFonts w:ascii="Arial" w:cs="Arial" w:eastAsia="Arial" w:hAnsi="Arial"/>
          <w:sz w:val="18"/>
          <w:szCs w:val="18"/>
          <w:u w:val="single" w:color="auto"/>
          <w:color w:val="auto"/>
        </w:rPr>
        <w:t>Prior Achievement Sum</w:t>
      </w:r>
      <w:r>
        <w:rPr>
          <w:rFonts w:ascii="Arial" w:cs="Arial" w:eastAsia="Arial" w:hAnsi="Arial"/>
          <w:sz w:val="18"/>
          <w:szCs w:val="18"/>
          <w:color w:val="auto"/>
        </w:rPr>
        <w:t>”). However, if our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absolute TSR is negative for the fourth performance period, then the maximum number of ordinary shares that may be earned in the fourth performance period is 100% of the target number of ordinary shares.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 the end of each performance period, the Achievement Factor will be determined as follows: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720" w:type="dxa"/>
            <w:vAlign w:val="bottom"/>
            <w:shd w:val="clear" w:color="auto" w:fill="7F7F7F"/>
          </w:tcPr>
          <w:p>
            <w:pPr>
              <w:ind w:left="1860"/>
              <w:spacing w:after="0"/>
              <w:rPr>
                <w:sz w:val="20"/>
                <w:szCs w:val="20"/>
                <w:color w:val="auto"/>
              </w:rPr>
            </w:pPr>
            <w:r>
              <w:rPr>
                <w:rFonts w:ascii="Arial" w:cs="Arial" w:eastAsia="Arial" w:hAnsi="Arial"/>
                <w:sz w:val="16"/>
                <w:szCs w:val="16"/>
                <w:b w:val="1"/>
                <w:bCs w:val="1"/>
                <w:color w:val="FFFFFF"/>
              </w:rPr>
              <w:t>Relative TSR</w:t>
            </w:r>
          </w:p>
        </w:tc>
        <w:tc>
          <w:tcPr>
            <w:tcW w:w="6300" w:type="dxa"/>
            <w:vAlign w:val="bottom"/>
            <w:shd w:val="clear" w:color="auto" w:fill="7F7F7F"/>
          </w:tcPr>
          <w:p>
            <w:pPr>
              <w:jc w:val="center"/>
              <w:ind w:left="259"/>
              <w:spacing w:after="0"/>
              <w:rPr>
                <w:sz w:val="20"/>
                <w:szCs w:val="20"/>
                <w:color w:val="auto"/>
              </w:rPr>
            </w:pPr>
            <w:r>
              <w:rPr>
                <w:rFonts w:ascii="Arial" w:cs="Arial" w:eastAsia="Arial" w:hAnsi="Arial"/>
                <w:sz w:val="16"/>
                <w:szCs w:val="16"/>
                <w:b w:val="1"/>
                <w:bCs w:val="1"/>
                <w:color w:val="FFFFFF"/>
              </w:rPr>
              <w:t>TSR Performance Multiplier</w:t>
            </w:r>
          </w:p>
        </w:tc>
      </w:tr>
      <w:tr>
        <w:trPr>
          <w:trHeight w:val="197"/>
        </w:trPr>
        <w:tc>
          <w:tcPr>
            <w:tcW w:w="4740" w:type="dxa"/>
            <w:vAlign w:val="bottom"/>
            <w:gridSpan w:val="2"/>
          </w:tcPr>
          <w:p>
            <w:pPr>
              <w:spacing w:after="0"/>
              <w:rPr>
                <w:sz w:val="20"/>
                <w:szCs w:val="20"/>
                <w:color w:val="auto"/>
              </w:rPr>
            </w:pPr>
            <w:r>
              <w:rPr>
                <w:rFonts w:ascii="Arial" w:cs="Arial" w:eastAsia="Arial" w:hAnsi="Arial"/>
                <w:sz w:val="16"/>
                <w:szCs w:val="16"/>
                <w:color w:val="auto"/>
              </w:rPr>
              <w:t>Performance Periods 1, 2 and 3</w:t>
            </w:r>
          </w:p>
        </w:tc>
        <w:tc>
          <w:tcPr>
            <w:tcW w:w="6300" w:type="dxa"/>
            <w:vAlign w:val="bottom"/>
          </w:tcPr>
          <w:p>
            <w:pPr>
              <w:spacing w:after="0"/>
              <w:rPr>
                <w:sz w:val="17"/>
                <w:szCs w:val="17"/>
                <w:color w:val="auto"/>
              </w:rPr>
            </w:pPr>
          </w:p>
        </w:tc>
      </w:tr>
      <w:tr>
        <w:trPr>
          <w:trHeight w:val="284"/>
        </w:trPr>
        <w:tc>
          <w:tcPr>
            <w:tcW w:w="20" w:type="dxa"/>
            <w:vAlign w:val="bottom"/>
          </w:tcPr>
          <w:p>
            <w:pPr>
              <w:spacing w:after="0"/>
              <w:rPr>
                <w:sz w:val="24"/>
                <w:szCs w:val="24"/>
                <w:color w:val="auto"/>
              </w:rPr>
            </w:pPr>
          </w:p>
        </w:tc>
        <w:tc>
          <w:tcPr>
            <w:tcW w:w="4720" w:type="dxa"/>
            <w:vAlign w:val="bottom"/>
          </w:tcPr>
          <w:p>
            <w:pPr>
              <w:ind w:left="140"/>
              <w:spacing w:after="0"/>
              <w:rPr>
                <w:sz w:val="20"/>
                <w:szCs w:val="20"/>
                <w:color w:val="auto"/>
              </w:rPr>
            </w:pPr>
            <w:r>
              <w:rPr>
                <w:rFonts w:ascii="Arial" w:cs="Arial" w:eastAsia="Arial" w:hAnsi="Arial"/>
                <w:sz w:val="16"/>
                <w:szCs w:val="16"/>
                <w:color w:val="auto"/>
              </w:rPr>
              <w:t>At the 50th Percentile of the S&amp;P 500</w:t>
            </w:r>
          </w:p>
        </w:tc>
        <w:tc>
          <w:tcPr>
            <w:tcW w:w="6300" w:type="dxa"/>
            <w:vAlign w:val="bottom"/>
          </w:tcPr>
          <w:p>
            <w:pPr>
              <w:jc w:val="center"/>
              <w:ind w:left="239"/>
              <w:spacing w:after="0"/>
              <w:rPr>
                <w:sz w:val="20"/>
                <w:szCs w:val="20"/>
                <w:color w:val="auto"/>
              </w:rPr>
            </w:pPr>
            <w:r>
              <w:rPr>
                <w:rFonts w:ascii="Arial" w:cs="Arial" w:eastAsia="Arial" w:hAnsi="Arial"/>
                <w:sz w:val="16"/>
                <w:szCs w:val="16"/>
                <w:color w:val="auto"/>
              </w:rPr>
              <w:t>1</w:t>
            </w:r>
          </w:p>
        </w:tc>
      </w:tr>
      <w:tr>
        <w:trPr>
          <w:trHeight w:val="87"/>
        </w:trPr>
        <w:tc>
          <w:tcPr>
            <w:tcW w:w="20" w:type="dxa"/>
            <w:vAlign w:val="bottom"/>
          </w:tcPr>
          <w:p>
            <w:pPr>
              <w:spacing w:after="0"/>
              <w:rPr>
                <w:sz w:val="7"/>
                <w:szCs w:val="7"/>
                <w:color w:val="auto"/>
              </w:rPr>
            </w:pPr>
          </w:p>
        </w:tc>
        <w:tc>
          <w:tcPr>
            <w:tcW w:w="4720" w:type="dxa"/>
            <w:vAlign w:val="bottom"/>
          </w:tcPr>
          <w:p>
            <w:pPr>
              <w:spacing w:after="0"/>
              <w:rPr>
                <w:sz w:val="7"/>
                <w:szCs w:val="7"/>
                <w:color w:val="auto"/>
              </w:rPr>
            </w:pPr>
          </w:p>
        </w:tc>
        <w:tc>
          <w:tcPr>
            <w:tcW w:w="6300" w:type="dxa"/>
            <w:vAlign w:val="bottom"/>
          </w:tcPr>
          <w:p>
            <w:pPr>
              <w:spacing w:after="0"/>
              <w:rPr>
                <w:sz w:val="7"/>
                <w:szCs w:val="7"/>
                <w:color w:val="auto"/>
              </w:rPr>
            </w:pPr>
          </w:p>
        </w:tc>
      </w:tr>
      <w:tr>
        <w:trPr>
          <w:trHeight w:val="197"/>
        </w:trPr>
        <w:tc>
          <w:tcPr>
            <w:tcW w:w="20" w:type="dxa"/>
            <w:vAlign w:val="bottom"/>
          </w:tcPr>
          <w:p>
            <w:pPr>
              <w:spacing w:after="0"/>
              <w:rPr>
                <w:sz w:val="17"/>
                <w:szCs w:val="17"/>
                <w:color w:val="auto"/>
              </w:rPr>
            </w:pPr>
          </w:p>
        </w:tc>
        <w:tc>
          <w:tcPr>
            <w:tcW w:w="4720" w:type="dxa"/>
            <w:vAlign w:val="bottom"/>
            <w:shd w:val="clear" w:color="auto" w:fill="BFBFBF"/>
          </w:tcPr>
          <w:p>
            <w:pPr>
              <w:ind w:left="140"/>
              <w:spacing w:after="0"/>
              <w:rPr>
                <w:sz w:val="20"/>
                <w:szCs w:val="20"/>
                <w:color w:val="auto"/>
              </w:rPr>
            </w:pPr>
            <w:r>
              <w:rPr>
                <w:rFonts w:ascii="Arial" w:cs="Arial" w:eastAsia="Arial" w:hAnsi="Arial"/>
                <w:sz w:val="16"/>
                <w:szCs w:val="16"/>
                <w:color w:val="auto"/>
              </w:rPr>
              <w:t>At the 25th Percentile of the S&amp;P 500</w:t>
            </w:r>
          </w:p>
        </w:tc>
        <w:tc>
          <w:tcPr>
            <w:tcW w:w="6300" w:type="dxa"/>
            <w:vAlign w:val="bottom"/>
            <w:shd w:val="clear" w:color="auto" w:fill="BFBFBF"/>
          </w:tcPr>
          <w:p>
            <w:pPr>
              <w:jc w:val="center"/>
              <w:ind w:left="239"/>
              <w:spacing w:after="0"/>
              <w:rPr>
                <w:sz w:val="20"/>
                <w:szCs w:val="20"/>
                <w:color w:val="auto"/>
              </w:rPr>
            </w:pPr>
            <w:r>
              <w:rPr>
                <w:rFonts w:ascii="Arial" w:cs="Arial" w:eastAsia="Arial" w:hAnsi="Arial"/>
                <w:sz w:val="16"/>
                <w:szCs w:val="16"/>
                <w:color w:val="auto"/>
                <w:w w:val="98"/>
              </w:rPr>
              <w:t>0.5</w:t>
            </w:r>
          </w:p>
        </w:tc>
      </w:tr>
      <w:tr>
        <w:trPr>
          <w:trHeight w:val="87"/>
        </w:trPr>
        <w:tc>
          <w:tcPr>
            <w:tcW w:w="20" w:type="dxa"/>
            <w:vAlign w:val="bottom"/>
          </w:tcPr>
          <w:p>
            <w:pPr>
              <w:spacing w:after="0"/>
              <w:rPr>
                <w:sz w:val="7"/>
                <w:szCs w:val="7"/>
                <w:color w:val="auto"/>
              </w:rPr>
            </w:pPr>
          </w:p>
        </w:tc>
        <w:tc>
          <w:tcPr>
            <w:tcW w:w="4720" w:type="dxa"/>
            <w:vAlign w:val="bottom"/>
            <w:shd w:val="clear" w:color="auto" w:fill="BFBFBF"/>
          </w:tcPr>
          <w:p>
            <w:pPr>
              <w:spacing w:after="0"/>
              <w:rPr>
                <w:sz w:val="7"/>
                <w:szCs w:val="7"/>
                <w:color w:val="auto"/>
              </w:rPr>
            </w:pPr>
          </w:p>
        </w:tc>
        <w:tc>
          <w:tcPr>
            <w:tcW w:w="6300" w:type="dxa"/>
            <w:vAlign w:val="bottom"/>
            <w:shd w:val="clear" w:color="auto" w:fill="BFBFBF"/>
          </w:tcPr>
          <w:p>
            <w:pPr>
              <w:spacing w:after="0"/>
              <w:rPr>
                <w:sz w:val="7"/>
                <w:szCs w:val="7"/>
                <w:color w:val="auto"/>
              </w:rPr>
            </w:pPr>
          </w:p>
        </w:tc>
      </w:tr>
      <w:tr>
        <w:trPr>
          <w:trHeight w:val="197"/>
        </w:trPr>
        <w:tc>
          <w:tcPr>
            <w:tcW w:w="20" w:type="dxa"/>
            <w:vAlign w:val="bottom"/>
          </w:tcPr>
          <w:p>
            <w:pPr>
              <w:spacing w:after="0"/>
              <w:rPr>
                <w:sz w:val="17"/>
                <w:szCs w:val="17"/>
                <w:color w:val="auto"/>
              </w:rPr>
            </w:pPr>
          </w:p>
        </w:tc>
        <w:tc>
          <w:tcPr>
            <w:tcW w:w="4720" w:type="dxa"/>
            <w:vAlign w:val="bottom"/>
          </w:tcPr>
          <w:p>
            <w:pPr>
              <w:ind w:left="140"/>
              <w:spacing w:after="0"/>
              <w:rPr>
                <w:sz w:val="20"/>
                <w:szCs w:val="20"/>
                <w:color w:val="auto"/>
              </w:rPr>
            </w:pPr>
            <w:r>
              <w:rPr>
                <w:rFonts w:ascii="Arial" w:cs="Arial" w:eastAsia="Arial" w:hAnsi="Arial"/>
                <w:sz w:val="16"/>
                <w:szCs w:val="16"/>
                <w:color w:val="auto"/>
              </w:rPr>
              <w:t>Below the 25th Percentile of the S&amp;P 500</w:t>
            </w:r>
          </w:p>
        </w:tc>
        <w:tc>
          <w:tcPr>
            <w:tcW w:w="6300" w:type="dxa"/>
            <w:vAlign w:val="bottom"/>
          </w:tcPr>
          <w:p>
            <w:pPr>
              <w:jc w:val="center"/>
              <w:ind w:left="239"/>
              <w:spacing w:after="0"/>
              <w:rPr>
                <w:sz w:val="20"/>
                <w:szCs w:val="20"/>
                <w:color w:val="auto"/>
              </w:rPr>
            </w:pPr>
            <w:r>
              <w:rPr>
                <w:rFonts w:ascii="Arial" w:cs="Arial" w:eastAsia="Arial" w:hAnsi="Arial"/>
                <w:sz w:val="16"/>
                <w:szCs w:val="16"/>
                <w:color w:val="auto"/>
              </w:rPr>
              <w:t>0</w:t>
            </w:r>
          </w:p>
        </w:tc>
      </w:tr>
      <w:tr>
        <w:trPr>
          <w:trHeight w:val="87"/>
        </w:trPr>
        <w:tc>
          <w:tcPr>
            <w:tcW w:w="4740" w:type="dxa"/>
            <w:vAlign w:val="bottom"/>
            <w:gridSpan w:val="2"/>
          </w:tcPr>
          <w:p>
            <w:pPr>
              <w:spacing w:after="0"/>
              <w:rPr>
                <w:sz w:val="7"/>
                <w:szCs w:val="7"/>
                <w:color w:val="auto"/>
              </w:rPr>
            </w:pPr>
          </w:p>
        </w:tc>
        <w:tc>
          <w:tcPr>
            <w:tcW w:w="6300" w:type="dxa"/>
            <w:vAlign w:val="bottom"/>
          </w:tcPr>
          <w:p>
            <w:pPr>
              <w:spacing w:after="0"/>
              <w:rPr>
                <w:sz w:val="7"/>
                <w:szCs w:val="7"/>
                <w:color w:val="auto"/>
              </w:rPr>
            </w:pPr>
          </w:p>
        </w:tc>
      </w:tr>
      <w:tr>
        <w:trPr>
          <w:trHeight w:val="197"/>
        </w:trPr>
        <w:tc>
          <w:tcPr>
            <w:tcW w:w="20" w:type="dxa"/>
            <w:vAlign w:val="bottom"/>
          </w:tcPr>
          <w:p>
            <w:pPr>
              <w:spacing w:after="0"/>
              <w:rPr>
                <w:sz w:val="17"/>
                <w:szCs w:val="17"/>
                <w:color w:val="auto"/>
              </w:rPr>
            </w:pPr>
          </w:p>
        </w:tc>
        <w:tc>
          <w:tcPr>
            <w:tcW w:w="4720" w:type="dxa"/>
            <w:vAlign w:val="bottom"/>
            <w:shd w:val="clear" w:color="auto" w:fill="BFBFBF"/>
          </w:tcPr>
          <w:p>
            <w:pPr>
              <w:spacing w:after="0"/>
              <w:rPr>
                <w:sz w:val="20"/>
                <w:szCs w:val="20"/>
                <w:color w:val="auto"/>
              </w:rPr>
            </w:pPr>
            <w:r>
              <w:rPr>
                <w:rFonts w:ascii="Arial" w:cs="Arial" w:eastAsia="Arial" w:hAnsi="Arial"/>
                <w:sz w:val="16"/>
                <w:szCs w:val="16"/>
                <w:color w:val="auto"/>
              </w:rPr>
              <w:t>Performance Period 4</w:t>
            </w:r>
          </w:p>
        </w:tc>
        <w:tc>
          <w:tcPr>
            <w:tcW w:w="6300" w:type="dxa"/>
            <w:vAlign w:val="bottom"/>
            <w:shd w:val="clear" w:color="auto" w:fill="BFBFBF"/>
          </w:tcPr>
          <w:p>
            <w:pPr>
              <w:spacing w:after="0"/>
              <w:rPr>
                <w:sz w:val="17"/>
                <w:szCs w:val="17"/>
                <w:color w:val="auto"/>
              </w:rPr>
            </w:pPr>
          </w:p>
        </w:tc>
      </w:tr>
      <w:tr>
        <w:trPr>
          <w:trHeight w:val="278"/>
        </w:trPr>
        <w:tc>
          <w:tcPr>
            <w:tcW w:w="20" w:type="dxa"/>
            <w:vAlign w:val="bottom"/>
          </w:tcPr>
          <w:p>
            <w:pPr>
              <w:spacing w:after="0"/>
              <w:rPr>
                <w:sz w:val="24"/>
                <w:szCs w:val="24"/>
                <w:color w:val="auto"/>
              </w:rPr>
            </w:pPr>
          </w:p>
        </w:tc>
        <w:tc>
          <w:tcPr>
            <w:tcW w:w="4720" w:type="dxa"/>
            <w:vAlign w:val="bottom"/>
            <w:shd w:val="clear" w:color="auto" w:fill="BFBFBF"/>
          </w:tcPr>
          <w:p>
            <w:pPr>
              <w:ind w:left="140"/>
              <w:spacing w:after="0"/>
              <w:rPr>
                <w:sz w:val="20"/>
                <w:szCs w:val="20"/>
                <w:color w:val="auto"/>
              </w:rPr>
            </w:pPr>
            <w:r>
              <w:rPr>
                <w:rFonts w:ascii="Arial" w:cs="Arial" w:eastAsia="Arial" w:hAnsi="Arial"/>
                <w:sz w:val="16"/>
                <w:szCs w:val="16"/>
                <w:color w:val="auto"/>
              </w:rPr>
              <w:t>At the 75th Percentile of the S&amp;P 500</w:t>
            </w:r>
          </w:p>
        </w:tc>
        <w:tc>
          <w:tcPr>
            <w:tcW w:w="6300" w:type="dxa"/>
            <w:vAlign w:val="bottom"/>
            <w:shd w:val="clear" w:color="auto" w:fill="BFBFBF"/>
          </w:tcPr>
          <w:p>
            <w:pPr>
              <w:jc w:val="center"/>
              <w:ind w:left="239"/>
              <w:spacing w:after="0"/>
              <w:rPr>
                <w:sz w:val="20"/>
                <w:szCs w:val="20"/>
                <w:color w:val="auto"/>
              </w:rPr>
            </w:pPr>
            <w:r>
              <w:rPr>
                <w:rFonts w:ascii="Arial" w:cs="Arial" w:eastAsia="Arial" w:hAnsi="Arial"/>
                <w:sz w:val="16"/>
                <w:szCs w:val="16"/>
                <w:color w:val="auto"/>
              </w:rPr>
              <w:t>Absolute TSR Negative = 4 less the Prior Achievement Sum</w:t>
            </w:r>
          </w:p>
        </w:tc>
      </w:tr>
      <w:tr>
        <w:trPr>
          <w:trHeight w:val="195"/>
        </w:trPr>
        <w:tc>
          <w:tcPr>
            <w:tcW w:w="20" w:type="dxa"/>
            <w:vAlign w:val="bottom"/>
          </w:tcPr>
          <w:p>
            <w:pPr>
              <w:spacing w:after="0"/>
              <w:rPr>
                <w:sz w:val="16"/>
                <w:szCs w:val="16"/>
                <w:color w:val="auto"/>
              </w:rPr>
            </w:pPr>
          </w:p>
        </w:tc>
        <w:tc>
          <w:tcPr>
            <w:tcW w:w="4720" w:type="dxa"/>
            <w:vAlign w:val="bottom"/>
            <w:shd w:val="clear" w:color="auto" w:fill="BFBFBF"/>
          </w:tcPr>
          <w:p>
            <w:pPr>
              <w:spacing w:after="0"/>
              <w:rPr>
                <w:sz w:val="16"/>
                <w:szCs w:val="16"/>
                <w:color w:val="auto"/>
              </w:rPr>
            </w:pPr>
          </w:p>
        </w:tc>
        <w:tc>
          <w:tcPr>
            <w:tcW w:w="6300" w:type="dxa"/>
            <w:vAlign w:val="bottom"/>
            <w:shd w:val="clear" w:color="auto" w:fill="BFBFBF"/>
          </w:tcPr>
          <w:p>
            <w:pPr>
              <w:jc w:val="center"/>
              <w:ind w:left="259"/>
              <w:spacing w:after="0"/>
              <w:rPr>
                <w:sz w:val="20"/>
                <w:szCs w:val="20"/>
                <w:color w:val="auto"/>
              </w:rPr>
            </w:pPr>
            <w:r>
              <w:rPr>
                <w:rFonts w:ascii="Arial" w:cs="Arial" w:eastAsia="Arial" w:hAnsi="Arial"/>
                <w:sz w:val="16"/>
                <w:szCs w:val="16"/>
                <w:color w:val="auto"/>
              </w:rPr>
              <w:t>Absolute TSR Neutral or Positive = 8 less the Prior Achievement Sum</w:t>
            </w:r>
          </w:p>
        </w:tc>
      </w:tr>
      <w:tr>
        <w:trPr>
          <w:trHeight w:val="87"/>
        </w:trPr>
        <w:tc>
          <w:tcPr>
            <w:tcW w:w="20" w:type="dxa"/>
            <w:vAlign w:val="bottom"/>
          </w:tcPr>
          <w:p>
            <w:pPr>
              <w:spacing w:after="0"/>
              <w:rPr>
                <w:sz w:val="7"/>
                <w:szCs w:val="7"/>
                <w:color w:val="auto"/>
              </w:rPr>
            </w:pPr>
          </w:p>
        </w:tc>
        <w:tc>
          <w:tcPr>
            <w:tcW w:w="4720" w:type="dxa"/>
            <w:vAlign w:val="bottom"/>
            <w:shd w:val="clear" w:color="auto" w:fill="BFBFBF"/>
          </w:tcPr>
          <w:p>
            <w:pPr>
              <w:spacing w:after="0"/>
              <w:rPr>
                <w:sz w:val="7"/>
                <w:szCs w:val="7"/>
                <w:color w:val="auto"/>
              </w:rPr>
            </w:pPr>
          </w:p>
        </w:tc>
        <w:tc>
          <w:tcPr>
            <w:tcW w:w="6300" w:type="dxa"/>
            <w:vAlign w:val="bottom"/>
            <w:shd w:val="clear" w:color="auto" w:fill="BFBFBF"/>
          </w:tcPr>
          <w:p>
            <w:pPr>
              <w:spacing w:after="0"/>
              <w:rPr>
                <w:sz w:val="7"/>
                <w:szCs w:val="7"/>
                <w:color w:val="auto"/>
              </w:rPr>
            </w:pPr>
          </w:p>
        </w:tc>
      </w:tr>
      <w:tr>
        <w:trPr>
          <w:trHeight w:val="197"/>
        </w:trPr>
        <w:tc>
          <w:tcPr>
            <w:tcW w:w="20" w:type="dxa"/>
            <w:vAlign w:val="bottom"/>
          </w:tcPr>
          <w:p>
            <w:pPr>
              <w:spacing w:after="0"/>
              <w:rPr>
                <w:sz w:val="17"/>
                <w:szCs w:val="17"/>
                <w:color w:val="auto"/>
              </w:rPr>
            </w:pPr>
          </w:p>
        </w:tc>
        <w:tc>
          <w:tcPr>
            <w:tcW w:w="4720" w:type="dxa"/>
            <w:vAlign w:val="bottom"/>
          </w:tcPr>
          <w:p>
            <w:pPr>
              <w:ind w:left="140"/>
              <w:spacing w:after="0"/>
              <w:rPr>
                <w:sz w:val="20"/>
                <w:szCs w:val="20"/>
                <w:color w:val="auto"/>
              </w:rPr>
            </w:pPr>
            <w:r>
              <w:rPr>
                <w:rFonts w:ascii="Arial" w:cs="Arial" w:eastAsia="Arial" w:hAnsi="Arial"/>
                <w:sz w:val="16"/>
                <w:szCs w:val="16"/>
                <w:color w:val="auto"/>
              </w:rPr>
              <w:t>At the 50th Percentile of the S&amp;P 500</w:t>
            </w:r>
          </w:p>
        </w:tc>
        <w:tc>
          <w:tcPr>
            <w:tcW w:w="6300" w:type="dxa"/>
            <w:vAlign w:val="bottom"/>
          </w:tcPr>
          <w:p>
            <w:pPr>
              <w:jc w:val="center"/>
              <w:ind w:left="259"/>
              <w:spacing w:after="0"/>
              <w:rPr>
                <w:sz w:val="20"/>
                <w:szCs w:val="20"/>
                <w:color w:val="auto"/>
              </w:rPr>
            </w:pPr>
            <w:r>
              <w:rPr>
                <w:rFonts w:ascii="Arial" w:cs="Arial" w:eastAsia="Arial" w:hAnsi="Arial"/>
                <w:sz w:val="16"/>
                <w:szCs w:val="16"/>
                <w:color w:val="auto"/>
              </w:rPr>
              <w:t>4 less the Prior Achievement Sum</w:t>
            </w:r>
          </w:p>
        </w:tc>
      </w:tr>
      <w:tr>
        <w:trPr>
          <w:trHeight w:val="87"/>
        </w:trPr>
        <w:tc>
          <w:tcPr>
            <w:tcW w:w="20" w:type="dxa"/>
            <w:vAlign w:val="bottom"/>
          </w:tcPr>
          <w:p>
            <w:pPr>
              <w:spacing w:after="0"/>
              <w:rPr>
                <w:sz w:val="7"/>
                <w:szCs w:val="7"/>
                <w:color w:val="auto"/>
              </w:rPr>
            </w:pPr>
          </w:p>
        </w:tc>
        <w:tc>
          <w:tcPr>
            <w:tcW w:w="4720" w:type="dxa"/>
            <w:vAlign w:val="bottom"/>
          </w:tcPr>
          <w:p>
            <w:pPr>
              <w:spacing w:after="0"/>
              <w:rPr>
                <w:sz w:val="7"/>
                <w:szCs w:val="7"/>
                <w:color w:val="auto"/>
              </w:rPr>
            </w:pPr>
          </w:p>
        </w:tc>
        <w:tc>
          <w:tcPr>
            <w:tcW w:w="6300" w:type="dxa"/>
            <w:vAlign w:val="bottom"/>
          </w:tcPr>
          <w:p>
            <w:pPr>
              <w:spacing w:after="0"/>
              <w:rPr>
                <w:sz w:val="7"/>
                <w:szCs w:val="7"/>
                <w:color w:val="auto"/>
              </w:rPr>
            </w:pPr>
          </w:p>
        </w:tc>
      </w:tr>
      <w:tr>
        <w:trPr>
          <w:trHeight w:val="191"/>
        </w:trPr>
        <w:tc>
          <w:tcPr>
            <w:tcW w:w="20" w:type="dxa"/>
            <w:vAlign w:val="bottom"/>
          </w:tcPr>
          <w:p>
            <w:pPr>
              <w:spacing w:after="0"/>
              <w:rPr>
                <w:sz w:val="16"/>
                <w:szCs w:val="16"/>
                <w:color w:val="auto"/>
              </w:rPr>
            </w:pPr>
          </w:p>
        </w:tc>
        <w:tc>
          <w:tcPr>
            <w:tcW w:w="4720" w:type="dxa"/>
            <w:vAlign w:val="bottom"/>
            <w:shd w:val="clear" w:color="auto" w:fill="BFBFBF"/>
          </w:tcPr>
          <w:p>
            <w:pPr>
              <w:ind w:left="140"/>
              <w:spacing w:after="0"/>
              <w:rPr>
                <w:sz w:val="20"/>
                <w:szCs w:val="20"/>
                <w:color w:val="auto"/>
              </w:rPr>
            </w:pPr>
            <w:r>
              <w:rPr>
                <w:rFonts w:ascii="Arial" w:cs="Arial" w:eastAsia="Arial" w:hAnsi="Arial"/>
                <w:sz w:val="16"/>
                <w:szCs w:val="16"/>
                <w:color w:val="auto"/>
              </w:rPr>
              <w:t>At the 25th Percentile of the S&amp;P 500</w:t>
            </w:r>
          </w:p>
        </w:tc>
        <w:tc>
          <w:tcPr>
            <w:tcW w:w="6300" w:type="dxa"/>
            <w:vAlign w:val="bottom"/>
            <w:shd w:val="clear" w:color="auto" w:fill="BFBFBF"/>
          </w:tcPr>
          <w:p>
            <w:pPr>
              <w:jc w:val="center"/>
              <w:ind w:left="239"/>
              <w:spacing w:after="0"/>
              <w:rPr>
                <w:sz w:val="20"/>
                <w:szCs w:val="20"/>
                <w:color w:val="auto"/>
              </w:rPr>
            </w:pPr>
            <w:r>
              <w:rPr>
                <w:rFonts w:ascii="Arial" w:cs="Arial" w:eastAsia="Arial" w:hAnsi="Arial"/>
                <w:sz w:val="16"/>
                <w:szCs w:val="16"/>
                <w:color w:val="auto"/>
              </w:rPr>
              <w:t>Prior Achievement Sum greater than or equal to 1.5 = 0.5</w:t>
            </w:r>
          </w:p>
        </w:tc>
      </w:tr>
      <w:tr>
        <w:trPr>
          <w:trHeight w:val="195"/>
        </w:trPr>
        <w:tc>
          <w:tcPr>
            <w:tcW w:w="20" w:type="dxa"/>
            <w:vAlign w:val="bottom"/>
          </w:tcPr>
          <w:p>
            <w:pPr>
              <w:spacing w:after="0"/>
              <w:rPr>
                <w:sz w:val="16"/>
                <w:szCs w:val="16"/>
                <w:color w:val="auto"/>
              </w:rPr>
            </w:pPr>
          </w:p>
        </w:tc>
        <w:tc>
          <w:tcPr>
            <w:tcW w:w="4720" w:type="dxa"/>
            <w:vAlign w:val="bottom"/>
            <w:shd w:val="clear" w:color="auto" w:fill="BFBFBF"/>
          </w:tcPr>
          <w:p>
            <w:pPr>
              <w:spacing w:after="0"/>
              <w:rPr>
                <w:sz w:val="16"/>
                <w:szCs w:val="16"/>
                <w:color w:val="auto"/>
              </w:rPr>
            </w:pPr>
          </w:p>
        </w:tc>
        <w:tc>
          <w:tcPr>
            <w:tcW w:w="6300" w:type="dxa"/>
            <w:vAlign w:val="bottom"/>
            <w:shd w:val="clear" w:color="auto" w:fill="BFBFBF"/>
          </w:tcPr>
          <w:p>
            <w:pPr>
              <w:jc w:val="center"/>
              <w:ind w:left="239"/>
              <w:spacing w:after="0"/>
              <w:rPr>
                <w:sz w:val="20"/>
                <w:szCs w:val="20"/>
                <w:color w:val="auto"/>
              </w:rPr>
            </w:pPr>
            <w:r>
              <w:rPr>
                <w:rFonts w:ascii="Arial" w:cs="Arial" w:eastAsia="Arial" w:hAnsi="Arial"/>
                <w:sz w:val="16"/>
                <w:szCs w:val="16"/>
                <w:color w:val="auto"/>
              </w:rPr>
              <w:t>Prior Achievement Sum less than 1.5 = 2 less the Prior Achievement Sum</w:t>
            </w:r>
          </w:p>
        </w:tc>
      </w:tr>
      <w:tr>
        <w:trPr>
          <w:trHeight w:val="87"/>
        </w:trPr>
        <w:tc>
          <w:tcPr>
            <w:tcW w:w="20" w:type="dxa"/>
            <w:vAlign w:val="bottom"/>
          </w:tcPr>
          <w:p>
            <w:pPr>
              <w:spacing w:after="0"/>
              <w:rPr>
                <w:sz w:val="7"/>
                <w:szCs w:val="7"/>
                <w:color w:val="auto"/>
              </w:rPr>
            </w:pPr>
          </w:p>
        </w:tc>
        <w:tc>
          <w:tcPr>
            <w:tcW w:w="4720" w:type="dxa"/>
            <w:vAlign w:val="bottom"/>
            <w:shd w:val="clear" w:color="auto" w:fill="BFBFBF"/>
          </w:tcPr>
          <w:p>
            <w:pPr>
              <w:spacing w:after="0"/>
              <w:rPr>
                <w:sz w:val="7"/>
                <w:szCs w:val="7"/>
                <w:color w:val="auto"/>
              </w:rPr>
            </w:pPr>
          </w:p>
        </w:tc>
        <w:tc>
          <w:tcPr>
            <w:tcW w:w="6300" w:type="dxa"/>
            <w:vAlign w:val="bottom"/>
            <w:shd w:val="clear" w:color="auto" w:fill="BFBFBF"/>
          </w:tcPr>
          <w:p>
            <w:pPr>
              <w:spacing w:after="0"/>
              <w:rPr>
                <w:sz w:val="7"/>
                <w:szCs w:val="7"/>
                <w:color w:val="auto"/>
              </w:rPr>
            </w:pPr>
          </w:p>
        </w:tc>
      </w:tr>
      <w:tr>
        <w:trPr>
          <w:trHeight w:val="197"/>
        </w:trPr>
        <w:tc>
          <w:tcPr>
            <w:tcW w:w="20" w:type="dxa"/>
            <w:vAlign w:val="bottom"/>
          </w:tcPr>
          <w:p>
            <w:pPr>
              <w:spacing w:after="0"/>
              <w:rPr>
                <w:sz w:val="17"/>
                <w:szCs w:val="17"/>
                <w:color w:val="auto"/>
              </w:rPr>
            </w:pPr>
          </w:p>
        </w:tc>
        <w:tc>
          <w:tcPr>
            <w:tcW w:w="4720" w:type="dxa"/>
            <w:vAlign w:val="bottom"/>
          </w:tcPr>
          <w:p>
            <w:pPr>
              <w:ind w:left="140"/>
              <w:spacing w:after="0"/>
              <w:rPr>
                <w:sz w:val="20"/>
                <w:szCs w:val="20"/>
                <w:color w:val="auto"/>
              </w:rPr>
            </w:pPr>
            <w:r>
              <w:rPr>
                <w:rFonts w:ascii="Arial" w:cs="Arial" w:eastAsia="Arial" w:hAnsi="Arial"/>
                <w:sz w:val="16"/>
                <w:szCs w:val="16"/>
                <w:color w:val="auto"/>
              </w:rPr>
              <w:t>Below the 25th Percentile of the S&amp;P 500</w:t>
            </w:r>
          </w:p>
        </w:tc>
        <w:tc>
          <w:tcPr>
            <w:tcW w:w="6300" w:type="dxa"/>
            <w:vAlign w:val="bottom"/>
          </w:tcPr>
          <w:p>
            <w:pPr>
              <w:jc w:val="center"/>
              <w:ind w:left="239"/>
              <w:spacing w:after="0"/>
              <w:rPr>
                <w:sz w:val="20"/>
                <w:szCs w:val="20"/>
                <w:color w:val="auto"/>
              </w:rPr>
            </w:pPr>
            <w:r>
              <w:rPr>
                <w:rFonts w:ascii="Arial" w:cs="Arial" w:eastAsia="Arial" w:hAnsi="Arial"/>
                <w:sz w:val="16"/>
                <w:szCs w:val="16"/>
                <w:color w:val="auto"/>
              </w:rPr>
              <w:t>0</w:t>
            </w:r>
          </w:p>
        </w:tc>
      </w:tr>
    </w:tbl>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CEO Equity Award</w:t>
      </w:r>
    </w:p>
    <w:p>
      <w:pPr>
        <w:spacing w:after="0" w:line="158"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On June 15, 2017, the Independent Directors granted Mr. Tan a PSU award consisting of an aggregate number of 168,000 units, which gives him the opportunity to earn up to a maximum of 756,000 ordinary shares. In designing this award, the Independent Directors consulted with Compensia to create a multi-year grant that would incentivize Mr. Tan to continue to lead us to long-term sustained, superior financial and operational performance. The PSU award emphasizes sustainable shareholder value creation and serves as an effective method to retain and motivate Mr. Tan, who has played a critical role in our exceptional performance since he joined in 2006. The value Mr. Tan will realize from the PSU award will depend on his ability to continue to successfully lead our Company to out-perform our peers over the next three to four years. The actual amounts Mr. Tan realizes under the PSU award will be well-aligned with our Company’s performance over the Performance Periods and the corresponding value created for our shareholders. Target performance under the award will result in an annualized value delivered to Mr. Tan that aligns with market median pay for CEOs in our compensation peer group (based on their annual grant values), as measured at the time of grant. Mr. Tan has the ability to earn significantly higher amounts if he can deliver significant sustained, superior performance over the next four years that creates a corresponding substantial value to our shareholders in comparison to an investment in the S&amp;P 500.</w:t>
      </w:r>
    </w:p>
    <w:p>
      <w:pPr>
        <w:spacing w:after="0" w:line="97" w:lineRule="exact"/>
        <w:rPr>
          <w:sz w:val="20"/>
          <w:szCs w:val="20"/>
          <w:color w:val="auto"/>
        </w:rPr>
      </w:pPr>
    </w:p>
    <w:p>
      <w:pPr>
        <w:ind w:left="200" w:right="200" w:firstLine="551"/>
        <w:spacing w:after="0" w:line="239" w:lineRule="auto"/>
        <w:rPr>
          <w:sz w:val="20"/>
          <w:szCs w:val="20"/>
          <w:color w:val="auto"/>
        </w:rPr>
      </w:pPr>
      <w:r>
        <w:rPr>
          <w:rFonts w:ascii="Arial" w:cs="Arial" w:eastAsia="Arial" w:hAnsi="Arial"/>
          <w:sz w:val="18"/>
          <w:szCs w:val="18"/>
          <w:color w:val="auto"/>
        </w:rPr>
        <w:t>Pursuant to the terms of the PSU award, the number of ordinary shares, if any, that may be earned will depend on the level of performance achieved based on both our Relative TSR and our absolute TSR. This PSU award vests in two overlapping performance periods; Performance Period #1 ending in 2020 and Performance Period #2 ending in 2021, with each Performance Period commencing June 15, 2017.</w:t>
      </w:r>
    </w:p>
    <w:p>
      <w:pPr>
        <w:spacing w:after="0" w:line="94"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The number of ordinary shares earned at the end of each Performance Period will be fully vested on the last day of each Performance Period, subject to Mr. Tan’s continued service through such date. Within 60 days after the end of each Performance Period, the Independent Directors will determine the number of ordinary shares that Mr. Tan is entitled to receive by reference to our Relative TSR over the respective Performance Period expressed as a percentile as follows:</w:t>
      </w:r>
    </w:p>
    <w:p>
      <w:pPr>
        <w:spacing w:after="0" w:line="107" w:lineRule="exact"/>
        <w:rPr>
          <w:sz w:val="20"/>
          <w:szCs w:val="20"/>
          <w:color w:val="auto"/>
        </w:rPr>
      </w:pPr>
    </w:p>
    <w:p>
      <w:pPr>
        <w:ind w:left="1180" w:right="120" w:hanging="436"/>
        <w:spacing w:after="0" w:line="246"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100% of the target number of ordinary shares (84,000 ordinary shares) will be earned with respect to a Performance Period if our Relative TSR is at or above the 50</w:t>
      </w:r>
      <w:r>
        <w:rPr>
          <w:rFonts w:ascii="Arial" w:cs="Arial" w:eastAsia="Arial" w:hAnsi="Arial"/>
          <w:sz w:val="15"/>
          <w:szCs w:val="15"/>
          <w:color w:val="auto"/>
        </w:rPr>
        <w:t>th</w:t>
      </w:r>
      <w:r>
        <w:rPr>
          <w:rFonts w:ascii="Arial" w:cs="Arial" w:eastAsia="Arial" w:hAnsi="Arial"/>
          <w:sz w:val="18"/>
          <w:szCs w:val="18"/>
          <w:color w:val="auto"/>
        </w:rPr>
        <w:t xml:space="preserve"> percentile of the S&amp;P 500;</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80" w:right="680" w:hanging="436"/>
        <w:spacing w:after="0" w:line="246"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ordinary shares will be earned with respect to a Performance Period if our Relative TSR is not at or above the 25th percentile of the S&amp;P 500;</w:t>
      </w:r>
    </w:p>
    <w:p>
      <w:pPr>
        <w:spacing w:after="0" w:line="102" w:lineRule="exact"/>
        <w:rPr>
          <w:rFonts w:ascii="Arial" w:cs="Arial" w:eastAsia="Arial" w:hAnsi="Arial"/>
          <w:sz w:val="18"/>
          <w:szCs w:val="18"/>
          <w:color w:val="auto"/>
        </w:rPr>
      </w:pPr>
    </w:p>
    <w:p>
      <w:pPr>
        <w:ind w:left="1180" w:right="220" w:hanging="436"/>
        <w:spacing w:after="0" w:line="246"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25% of the target number of ordinary shares (21,000 ordinary shares) will be earned with respect to a Performance Period if our Relative TSR is at or above the 25th percentile of the S&amp;P 500;</w:t>
      </w:r>
    </w:p>
    <w:p>
      <w:pPr>
        <w:spacing w:after="0" w:line="102" w:lineRule="exact"/>
        <w:rPr>
          <w:rFonts w:ascii="Arial" w:cs="Arial" w:eastAsia="Arial" w:hAnsi="Arial"/>
          <w:sz w:val="18"/>
          <w:szCs w:val="18"/>
          <w:color w:val="auto"/>
        </w:rPr>
      </w:pPr>
    </w:p>
    <w:p>
      <w:pPr>
        <w:ind w:left="1180" w:right="20" w:hanging="436"/>
        <w:spacing w:after="0" w:line="246"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300% of the target number of ordinary shares (252,000 ordinary shares) will be earned with respect to a Performance Period if our Relative TSR is at or above the 75th percentile of the S&amp;P 500; and</w:t>
      </w:r>
    </w:p>
    <w:p>
      <w:pPr>
        <w:spacing w:after="0" w:line="102" w:lineRule="exact"/>
        <w:rPr>
          <w:rFonts w:ascii="Arial" w:cs="Arial" w:eastAsia="Arial" w:hAnsi="Arial"/>
          <w:sz w:val="18"/>
          <w:szCs w:val="18"/>
          <w:color w:val="auto"/>
        </w:rPr>
      </w:pPr>
    </w:p>
    <w:p>
      <w:pPr>
        <w:ind w:left="1180" w:right="20" w:hanging="436"/>
        <w:spacing w:after="0" w:line="246"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our Relative TSR is between these percentages, the number of ordinary shares that may be earned will be determined using linear interpolation.</w:t>
      </w:r>
    </w:p>
    <w:p>
      <w:pPr>
        <w:spacing w:after="0" w:line="143"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If our Relative TSR is at or above the 90th percentile of the S&amp;P 500 in Performance Period #2 and our absolute TSR is not negative, Mr. Tan will earn the maximum amount available under the PSU award, which is 756,000 ordinary shares in aggregate over the two Performance Periods.</w:t>
      </w:r>
    </w:p>
    <w:p>
      <w:pPr>
        <w:spacing w:after="0" w:line="149"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No more than the target number of ordinary shares (84,000 ordinary shares) may be earned with respect to a Performance Period if our absolute TSR is negative.</w:t>
      </w:r>
    </w:p>
    <w:p>
      <w:pPr>
        <w:spacing w:after="0" w:line="164"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2060" w:type="dxa"/>
            <w:vAlign w:val="bottom"/>
            <w:tcBorders>
              <w:top w:val="single" w:sz="8" w:color="auto"/>
              <w:left w:val="single" w:sz="8" w:color="auto"/>
              <w:right w:val="single" w:sz="8" w:color="auto"/>
            </w:tcBorders>
            <w:shd w:val="clear" w:color="auto" w:fill="7F7F7F"/>
          </w:tcPr>
          <w:p>
            <w:pPr>
              <w:spacing w:after="0"/>
              <w:rPr>
                <w:sz w:val="17"/>
                <w:szCs w:val="17"/>
                <w:color w:val="auto"/>
              </w:rPr>
            </w:pPr>
          </w:p>
        </w:tc>
        <w:tc>
          <w:tcPr>
            <w:tcW w:w="3280" w:type="dxa"/>
            <w:vAlign w:val="bottom"/>
            <w:tcBorders>
              <w:top w:val="single" w:sz="8" w:color="auto"/>
              <w:right w:val="single" w:sz="8" w:color="auto"/>
            </w:tcBorders>
            <w:gridSpan w:val="2"/>
            <w:shd w:val="clear" w:color="auto" w:fill="7F7F7F"/>
          </w:tcPr>
          <w:p>
            <w:pPr>
              <w:ind w:left="900"/>
              <w:spacing w:after="0"/>
              <w:rPr>
                <w:sz w:val="20"/>
                <w:szCs w:val="20"/>
                <w:color w:val="auto"/>
              </w:rPr>
            </w:pPr>
            <w:r>
              <w:rPr>
                <w:rFonts w:ascii="Arial" w:cs="Arial" w:eastAsia="Arial" w:hAnsi="Arial"/>
                <w:sz w:val="16"/>
                <w:szCs w:val="16"/>
                <w:b w:val="1"/>
                <w:bCs w:val="1"/>
                <w:color w:val="FFFFFF"/>
              </w:rPr>
              <w:t>Performance Period #1</w:t>
            </w:r>
          </w:p>
        </w:tc>
        <w:tc>
          <w:tcPr>
            <w:tcW w:w="1740" w:type="dxa"/>
            <w:vAlign w:val="bottom"/>
            <w:tcBorders>
              <w:top w:val="single" w:sz="8" w:color="auto"/>
            </w:tcBorders>
            <w:shd w:val="clear" w:color="auto" w:fill="7F7F7F"/>
          </w:tcPr>
          <w:p>
            <w:pPr>
              <w:spacing w:after="0"/>
              <w:rPr>
                <w:sz w:val="17"/>
                <w:szCs w:val="17"/>
                <w:color w:val="auto"/>
              </w:rPr>
            </w:pPr>
          </w:p>
        </w:tc>
        <w:tc>
          <w:tcPr>
            <w:tcW w:w="3960" w:type="dxa"/>
            <w:vAlign w:val="bottom"/>
            <w:tcBorders>
              <w:top w:val="single" w:sz="8" w:color="auto"/>
              <w:right w:val="single" w:sz="8" w:color="auto"/>
            </w:tcBorders>
            <w:gridSpan w:val="2"/>
            <w:shd w:val="clear" w:color="auto" w:fill="7F7F7F"/>
          </w:tcPr>
          <w:p>
            <w:pPr>
              <w:ind w:left="280"/>
              <w:spacing w:after="0"/>
              <w:rPr>
                <w:sz w:val="20"/>
                <w:szCs w:val="20"/>
                <w:color w:val="auto"/>
              </w:rPr>
            </w:pPr>
            <w:r>
              <w:rPr>
                <w:rFonts w:ascii="Arial" w:cs="Arial" w:eastAsia="Arial" w:hAnsi="Arial"/>
                <w:sz w:val="16"/>
                <w:szCs w:val="16"/>
                <w:b w:val="1"/>
                <w:bCs w:val="1"/>
                <w:color w:val="FFFFFF"/>
              </w:rPr>
              <w:t>Performance Period #2</w:t>
            </w:r>
          </w:p>
        </w:tc>
        <w:tc>
          <w:tcPr>
            <w:tcW w:w="0" w:type="dxa"/>
            <w:vAlign w:val="bottom"/>
          </w:tcPr>
          <w:p>
            <w:pPr>
              <w:spacing w:after="0"/>
              <w:rPr>
                <w:sz w:val="1"/>
                <w:szCs w:val="1"/>
                <w:color w:val="auto"/>
              </w:rPr>
            </w:pPr>
          </w:p>
        </w:tc>
      </w:tr>
      <w:tr>
        <w:trPr>
          <w:trHeight w:val="171"/>
        </w:trPr>
        <w:tc>
          <w:tcPr>
            <w:tcW w:w="2060" w:type="dxa"/>
            <w:vAlign w:val="bottom"/>
            <w:tcBorders>
              <w:left w:val="single" w:sz="8" w:color="auto"/>
              <w:right w:val="single" w:sz="8" w:color="auto"/>
            </w:tcBorders>
            <w:shd w:val="clear" w:color="auto" w:fill="7F7F7F"/>
          </w:tcPr>
          <w:p>
            <w:pPr>
              <w:spacing w:after="0"/>
              <w:rPr>
                <w:sz w:val="14"/>
                <w:szCs w:val="14"/>
                <w:color w:val="auto"/>
              </w:rPr>
            </w:pPr>
          </w:p>
        </w:tc>
        <w:tc>
          <w:tcPr>
            <w:tcW w:w="1880" w:type="dxa"/>
            <w:vAlign w:val="bottom"/>
            <w:shd w:val="clear" w:color="auto" w:fill="7F7F7F"/>
          </w:tcPr>
          <w:p>
            <w:pPr>
              <w:jc w:val="center"/>
              <w:ind w:left="90"/>
              <w:spacing w:after="0" w:line="171" w:lineRule="exact"/>
              <w:rPr>
                <w:sz w:val="20"/>
                <w:szCs w:val="20"/>
                <w:color w:val="auto"/>
              </w:rPr>
            </w:pPr>
            <w:r>
              <w:rPr>
                <w:rFonts w:ascii="Arial" w:cs="Arial" w:eastAsia="Arial" w:hAnsi="Arial"/>
                <w:sz w:val="16"/>
                <w:szCs w:val="16"/>
                <w:b w:val="1"/>
                <w:bCs w:val="1"/>
                <w:color w:val="FFFFFF"/>
                <w:w w:val="99"/>
              </w:rPr>
              <w:t>% of Target Share</w:t>
            </w:r>
          </w:p>
        </w:tc>
        <w:tc>
          <w:tcPr>
            <w:tcW w:w="1400" w:type="dxa"/>
            <w:vAlign w:val="bottom"/>
            <w:tcBorders>
              <w:right w:val="single" w:sz="8" w:color="auto"/>
            </w:tcBorders>
            <w:shd w:val="clear" w:color="auto" w:fill="7F7F7F"/>
          </w:tcPr>
          <w:p>
            <w:pPr>
              <w:jc w:val="center"/>
              <w:ind w:left="72"/>
              <w:spacing w:after="0" w:line="171" w:lineRule="exact"/>
              <w:rPr>
                <w:sz w:val="20"/>
                <w:szCs w:val="20"/>
                <w:color w:val="auto"/>
              </w:rPr>
            </w:pPr>
            <w:r>
              <w:rPr>
                <w:rFonts w:ascii="Arial" w:cs="Arial" w:eastAsia="Arial" w:hAnsi="Arial"/>
                <w:sz w:val="16"/>
                <w:szCs w:val="16"/>
                <w:b w:val="1"/>
                <w:bCs w:val="1"/>
                <w:color w:val="FFFFFF"/>
              </w:rPr>
              <w:t>Number of</w:t>
            </w:r>
          </w:p>
        </w:tc>
        <w:tc>
          <w:tcPr>
            <w:tcW w:w="1740" w:type="dxa"/>
            <w:vAlign w:val="bottom"/>
            <w:shd w:val="clear" w:color="auto" w:fill="7F7F7F"/>
          </w:tcPr>
          <w:p>
            <w:pPr>
              <w:jc w:val="center"/>
              <w:spacing w:after="0" w:line="171" w:lineRule="exact"/>
              <w:rPr>
                <w:sz w:val="20"/>
                <w:szCs w:val="20"/>
                <w:color w:val="auto"/>
              </w:rPr>
            </w:pPr>
            <w:r>
              <w:rPr>
                <w:rFonts w:ascii="Arial" w:cs="Arial" w:eastAsia="Arial" w:hAnsi="Arial"/>
                <w:sz w:val="16"/>
                <w:szCs w:val="16"/>
                <w:b w:val="1"/>
                <w:bCs w:val="1"/>
                <w:color w:val="FFFFFF"/>
                <w:w w:val="99"/>
              </w:rPr>
              <w:t>% of Target Share</w:t>
            </w:r>
          </w:p>
        </w:tc>
        <w:tc>
          <w:tcPr>
            <w:tcW w:w="1760" w:type="dxa"/>
            <w:vAlign w:val="bottom"/>
            <w:shd w:val="clear" w:color="auto" w:fill="7F7F7F"/>
          </w:tcPr>
          <w:p>
            <w:pPr>
              <w:jc w:val="center"/>
              <w:spacing w:after="0" w:line="171" w:lineRule="exact"/>
              <w:rPr>
                <w:sz w:val="20"/>
                <w:szCs w:val="20"/>
                <w:color w:val="auto"/>
              </w:rPr>
            </w:pPr>
            <w:r>
              <w:rPr>
                <w:rFonts w:ascii="Arial" w:cs="Arial" w:eastAsia="Arial" w:hAnsi="Arial"/>
                <w:sz w:val="16"/>
                <w:szCs w:val="16"/>
                <w:b w:val="1"/>
                <w:bCs w:val="1"/>
                <w:color w:val="FFFFFF"/>
              </w:rPr>
              <w:t>Number of Shares</w:t>
            </w:r>
          </w:p>
        </w:tc>
        <w:tc>
          <w:tcPr>
            <w:tcW w:w="2200" w:type="dxa"/>
            <w:vAlign w:val="bottom"/>
            <w:tcBorders>
              <w:right w:val="single" w:sz="8" w:color="auto"/>
            </w:tcBorders>
            <w:shd w:val="clear" w:color="auto" w:fill="7F7F7F"/>
          </w:tcPr>
          <w:p>
            <w:pPr>
              <w:jc w:val="center"/>
              <w:ind w:left="32"/>
              <w:spacing w:after="0" w:line="171" w:lineRule="exact"/>
              <w:rPr>
                <w:sz w:val="20"/>
                <w:szCs w:val="20"/>
                <w:color w:val="auto"/>
              </w:rPr>
            </w:pPr>
            <w:r>
              <w:rPr>
                <w:rFonts w:ascii="Arial" w:cs="Arial" w:eastAsia="Arial" w:hAnsi="Arial"/>
                <w:sz w:val="16"/>
                <w:szCs w:val="16"/>
                <w:b w:val="1"/>
                <w:bCs w:val="1"/>
                <w:color w:val="FFFFFF"/>
              </w:rPr>
              <w:t>Maximum Number of</w:t>
            </w:r>
          </w:p>
        </w:tc>
        <w:tc>
          <w:tcPr>
            <w:tcW w:w="0" w:type="dxa"/>
            <w:vAlign w:val="bottom"/>
          </w:tcPr>
          <w:p>
            <w:pPr>
              <w:spacing w:after="0"/>
              <w:rPr>
                <w:sz w:val="1"/>
                <w:szCs w:val="1"/>
                <w:color w:val="auto"/>
              </w:rPr>
            </w:pPr>
          </w:p>
        </w:tc>
      </w:tr>
      <w:tr>
        <w:trPr>
          <w:trHeight w:val="207"/>
        </w:trPr>
        <w:tc>
          <w:tcPr>
            <w:tcW w:w="2060" w:type="dxa"/>
            <w:vAlign w:val="bottom"/>
            <w:tcBorders>
              <w:left w:val="single" w:sz="8" w:color="auto"/>
              <w:bottom w:val="single" w:sz="8" w:color="auto"/>
              <w:right w:val="single" w:sz="8" w:color="auto"/>
            </w:tcBorders>
            <w:shd w:val="clear" w:color="auto" w:fill="7F7F7F"/>
          </w:tcPr>
          <w:p>
            <w:pPr>
              <w:jc w:val="center"/>
              <w:ind w:left="55"/>
              <w:spacing w:after="0"/>
              <w:rPr>
                <w:sz w:val="20"/>
                <w:szCs w:val="20"/>
                <w:color w:val="auto"/>
              </w:rPr>
            </w:pPr>
            <w:r>
              <w:rPr>
                <w:rFonts w:ascii="Arial" w:cs="Arial" w:eastAsia="Arial" w:hAnsi="Arial"/>
                <w:sz w:val="16"/>
                <w:szCs w:val="16"/>
                <w:b w:val="1"/>
                <w:bCs w:val="1"/>
                <w:color w:val="FFFFFF"/>
              </w:rPr>
              <w:t>Relative TSR</w:t>
            </w:r>
          </w:p>
        </w:tc>
        <w:tc>
          <w:tcPr>
            <w:tcW w:w="1880" w:type="dxa"/>
            <w:vAlign w:val="bottom"/>
            <w:tcBorders>
              <w:bottom w:val="single" w:sz="8" w:color="auto"/>
            </w:tcBorders>
            <w:shd w:val="clear" w:color="auto" w:fill="7F7F7F"/>
          </w:tcPr>
          <w:p>
            <w:pPr>
              <w:jc w:val="center"/>
              <w:ind w:left="90"/>
              <w:spacing w:after="0"/>
              <w:rPr>
                <w:sz w:val="20"/>
                <w:szCs w:val="20"/>
                <w:color w:val="auto"/>
              </w:rPr>
            </w:pPr>
            <w:r>
              <w:rPr>
                <w:rFonts w:ascii="Arial" w:cs="Arial" w:eastAsia="Arial" w:hAnsi="Arial"/>
                <w:sz w:val="16"/>
                <w:szCs w:val="16"/>
                <w:b w:val="1"/>
                <w:bCs w:val="1"/>
                <w:color w:val="FFFFFF"/>
              </w:rPr>
              <w:t>Number Earned</w:t>
            </w:r>
          </w:p>
        </w:tc>
        <w:tc>
          <w:tcPr>
            <w:tcW w:w="1400" w:type="dxa"/>
            <w:vAlign w:val="bottom"/>
            <w:tcBorders>
              <w:bottom w:val="single" w:sz="8" w:color="auto"/>
              <w:right w:val="single" w:sz="8" w:color="auto"/>
            </w:tcBorders>
            <w:shd w:val="clear" w:color="auto" w:fill="7F7F7F"/>
          </w:tcPr>
          <w:p>
            <w:pPr>
              <w:jc w:val="center"/>
              <w:ind w:left="32"/>
              <w:spacing w:after="0"/>
              <w:rPr>
                <w:sz w:val="20"/>
                <w:szCs w:val="20"/>
                <w:color w:val="auto"/>
              </w:rPr>
            </w:pPr>
            <w:r>
              <w:rPr>
                <w:rFonts w:ascii="Arial" w:cs="Arial" w:eastAsia="Arial" w:hAnsi="Arial"/>
                <w:sz w:val="16"/>
                <w:szCs w:val="16"/>
                <w:b w:val="1"/>
                <w:bCs w:val="1"/>
                <w:color w:val="FFFFFF"/>
              </w:rPr>
              <w:t>Shares Earned</w:t>
            </w:r>
          </w:p>
        </w:tc>
        <w:tc>
          <w:tcPr>
            <w:tcW w:w="1740" w:type="dxa"/>
            <w:vAlign w:val="bottom"/>
            <w:tcBorders>
              <w:bottom w:val="single" w:sz="8" w:color="auto"/>
            </w:tcBorders>
            <w:shd w:val="clear" w:color="auto" w:fill="7F7F7F"/>
          </w:tcPr>
          <w:p>
            <w:pPr>
              <w:jc w:val="center"/>
              <w:spacing w:after="0"/>
              <w:rPr>
                <w:sz w:val="20"/>
                <w:szCs w:val="20"/>
                <w:color w:val="auto"/>
              </w:rPr>
            </w:pPr>
            <w:r>
              <w:rPr>
                <w:rFonts w:ascii="Arial" w:cs="Arial" w:eastAsia="Arial" w:hAnsi="Arial"/>
                <w:sz w:val="16"/>
                <w:szCs w:val="16"/>
                <w:b w:val="1"/>
                <w:bCs w:val="1"/>
                <w:color w:val="FFFFFF"/>
              </w:rPr>
              <w:t>Number Earned</w:t>
            </w:r>
          </w:p>
        </w:tc>
        <w:tc>
          <w:tcPr>
            <w:tcW w:w="1760" w:type="dxa"/>
            <w:vAlign w:val="bottom"/>
            <w:tcBorders>
              <w:bottom w:val="single" w:sz="8" w:color="auto"/>
            </w:tcBorders>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Earned</w:t>
            </w:r>
          </w:p>
        </w:tc>
        <w:tc>
          <w:tcPr>
            <w:tcW w:w="2200" w:type="dxa"/>
            <w:vAlign w:val="bottom"/>
            <w:tcBorders>
              <w:bottom w:val="single" w:sz="8" w:color="auto"/>
              <w:right w:val="single" w:sz="8" w:color="auto"/>
            </w:tcBorders>
            <w:shd w:val="clear" w:color="auto" w:fill="7F7F7F"/>
          </w:tcPr>
          <w:p>
            <w:pPr>
              <w:jc w:val="center"/>
              <w:spacing w:after="0"/>
              <w:rPr>
                <w:sz w:val="20"/>
                <w:szCs w:val="20"/>
                <w:color w:val="auto"/>
              </w:rPr>
            </w:pPr>
            <w:r>
              <w:rPr>
                <w:rFonts w:ascii="Arial" w:cs="Arial" w:eastAsia="Arial" w:hAnsi="Arial"/>
                <w:sz w:val="16"/>
                <w:szCs w:val="16"/>
                <w:b w:val="1"/>
                <w:bCs w:val="1"/>
                <w:color w:val="FFFFFF"/>
              </w:rPr>
              <w:t>Catch-Up Shares Earned</w:t>
            </w:r>
          </w:p>
        </w:tc>
        <w:tc>
          <w:tcPr>
            <w:tcW w:w="0" w:type="dxa"/>
            <w:vAlign w:val="bottom"/>
          </w:tcPr>
          <w:p>
            <w:pPr>
              <w:spacing w:after="0"/>
              <w:rPr>
                <w:sz w:val="1"/>
                <w:szCs w:val="1"/>
                <w:color w:val="auto"/>
              </w:rPr>
            </w:pPr>
          </w:p>
        </w:tc>
      </w:tr>
      <w:tr>
        <w:trPr>
          <w:trHeight w:val="123"/>
        </w:trPr>
        <w:tc>
          <w:tcPr>
            <w:tcW w:w="2060" w:type="dxa"/>
            <w:vAlign w:val="bottom"/>
            <w:tcBorders>
              <w:left w:val="single" w:sz="8" w:color="auto"/>
            </w:tcBorders>
          </w:tcPr>
          <w:p>
            <w:pPr>
              <w:ind w:left="200"/>
              <w:spacing w:after="0" w:line="123" w:lineRule="exact"/>
              <w:rPr>
                <w:sz w:val="20"/>
                <w:szCs w:val="20"/>
                <w:color w:val="auto"/>
              </w:rPr>
            </w:pPr>
            <w:r>
              <w:rPr>
                <w:rFonts w:ascii="Arial" w:cs="Arial" w:eastAsia="Arial" w:hAnsi="Arial"/>
                <w:sz w:val="13"/>
                <w:szCs w:val="13"/>
                <w:color w:val="auto"/>
              </w:rPr>
              <w:t>At or above 90th Percentile</w:t>
            </w:r>
          </w:p>
        </w:tc>
        <w:tc>
          <w:tcPr>
            <w:tcW w:w="1880" w:type="dxa"/>
            <w:vAlign w:val="bottom"/>
            <w:vMerge w:val="restart"/>
          </w:tcPr>
          <w:p>
            <w:pPr>
              <w:jc w:val="center"/>
              <w:ind w:left="90"/>
              <w:spacing w:after="0"/>
              <w:rPr>
                <w:sz w:val="20"/>
                <w:szCs w:val="20"/>
                <w:color w:val="auto"/>
              </w:rPr>
            </w:pPr>
            <w:r>
              <w:rPr>
                <w:rFonts w:ascii="Arial" w:cs="Arial" w:eastAsia="Arial" w:hAnsi="Arial"/>
                <w:sz w:val="13"/>
                <w:szCs w:val="13"/>
                <w:color w:val="auto"/>
                <w:w w:val="96"/>
              </w:rPr>
              <w:t>300%</w:t>
            </w:r>
          </w:p>
        </w:tc>
        <w:tc>
          <w:tcPr>
            <w:tcW w:w="1400" w:type="dxa"/>
            <w:vAlign w:val="bottom"/>
            <w:tcBorders>
              <w:right w:val="single" w:sz="8" w:color="auto"/>
            </w:tcBorders>
            <w:vMerge w:val="restart"/>
          </w:tcPr>
          <w:p>
            <w:pPr>
              <w:jc w:val="center"/>
              <w:ind w:left="72"/>
              <w:spacing w:after="0"/>
              <w:rPr>
                <w:sz w:val="20"/>
                <w:szCs w:val="20"/>
                <w:color w:val="auto"/>
              </w:rPr>
            </w:pPr>
            <w:r>
              <w:rPr>
                <w:rFonts w:ascii="Arial" w:cs="Arial" w:eastAsia="Arial" w:hAnsi="Arial"/>
                <w:sz w:val="13"/>
                <w:szCs w:val="13"/>
                <w:color w:val="auto"/>
                <w:w w:val="97"/>
              </w:rPr>
              <w:t>252,000</w:t>
            </w:r>
          </w:p>
        </w:tc>
        <w:tc>
          <w:tcPr>
            <w:tcW w:w="1740" w:type="dxa"/>
            <w:vAlign w:val="bottom"/>
            <w:vMerge w:val="restart"/>
          </w:tcPr>
          <w:p>
            <w:pPr>
              <w:jc w:val="center"/>
              <w:spacing w:after="0"/>
              <w:rPr>
                <w:sz w:val="20"/>
                <w:szCs w:val="20"/>
                <w:color w:val="auto"/>
              </w:rPr>
            </w:pPr>
            <w:r>
              <w:rPr>
                <w:rFonts w:ascii="Arial" w:cs="Arial" w:eastAsia="Arial" w:hAnsi="Arial"/>
                <w:sz w:val="13"/>
                <w:szCs w:val="13"/>
                <w:color w:val="auto"/>
                <w:w w:val="96"/>
              </w:rPr>
              <w:t>450%</w:t>
            </w:r>
          </w:p>
        </w:tc>
        <w:tc>
          <w:tcPr>
            <w:tcW w:w="1760" w:type="dxa"/>
            <w:vAlign w:val="bottom"/>
            <w:vMerge w:val="restart"/>
          </w:tcPr>
          <w:p>
            <w:pPr>
              <w:jc w:val="center"/>
              <w:spacing w:after="0"/>
              <w:rPr>
                <w:sz w:val="20"/>
                <w:szCs w:val="20"/>
                <w:color w:val="auto"/>
              </w:rPr>
            </w:pPr>
            <w:r>
              <w:rPr>
                <w:rFonts w:ascii="Arial" w:cs="Arial" w:eastAsia="Arial" w:hAnsi="Arial"/>
                <w:sz w:val="13"/>
                <w:szCs w:val="13"/>
                <w:color w:val="auto"/>
                <w:w w:val="97"/>
              </w:rPr>
              <w:t>378,000</w:t>
            </w:r>
          </w:p>
        </w:tc>
        <w:tc>
          <w:tcPr>
            <w:tcW w:w="2200" w:type="dxa"/>
            <w:vAlign w:val="bottom"/>
            <w:tcBorders>
              <w:right w:val="single" w:sz="8" w:color="auto"/>
            </w:tcBorders>
            <w:vMerge w:val="restart"/>
          </w:tcPr>
          <w:p>
            <w:pPr>
              <w:jc w:val="center"/>
              <w:ind w:left="72"/>
              <w:spacing w:after="0"/>
              <w:rPr>
                <w:sz w:val="20"/>
                <w:szCs w:val="20"/>
                <w:color w:val="auto"/>
              </w:rPr>
            </w:pPr>
            <w:r>
              <w:rPr>
                <w:rFonts w:ascii="Arial" w:cs="Arial" w:eastAsia="Arial" w:hAnsi="Arial"/>
                <w:sz w:val="13"/>
                <w:szCs w:val="13"/>
                <w:color w:val="auto"/>
                <w:w w:val="97"/>
              </w:rPr>
              <w:t>378,000</w:t>
            </w:r>
          </w:p>
        </w:tc>
        <w:tc>
          <w:tcPr>
            <w:tcW w:w="0" w:type="dxa"/>
            <w:vAlign w:val="bottom"/>
          </w:tcPr>
          <w:p>
            <w:pPr>
              <w:spacing w:after="0"/>
              <w:rPr>
                <w:sz w:val="1"/>
                <w:szCs w:val="1"/>
                <w:color w:val="auto"/>
              </w:rPr>
            </w:pPr>
          </w:p>
        </w:tc>
      </w:tr>
      <w:tr>
        <w:trPr>
          <w:trHeight w:val="85"/>
        </w:trPr>
        <w:tc>
          <w:tcPr>
            <w:tcW w:w="2060" w:type="dxa"/>
            <w:vAlign w:val="bottom"/>
            <w:tcBorders>
              <w:left w:val="single" w:sz="8" w:color="auto"/>
            </w:tcBorders>
            <w:vMerge w:val="restart"/>
          </w:tcPr>
          <w:p>
            <w:pPr>
              <w:jc w:val="center"/>
              <w:ind w:left="55"/>
              <w:spacing w:after="0"/>
              <w:rPr>
                <w:sz w:val="20"/>
                <w:szCs w:val="20"/>
                <w:color w:val="auto"/>
              </w:rPr>
            </w:pPr>
            <w:r>
              <w:rPr>
                <w:rFonts w:ascii="Arial" w:cs="Arial" w:eastAsia="Arial" w:hAnsi="Arial"/>
                <w:sz w:val="13"/>
                <w:szCs w:val="13"/>
                <w:color w:val="auto"/>
                <w:w w:val="98"/>
              </w:rPr>
              <w:t>of the S&amp;P 500</w:t>
            </w:r>
          </w:p>
        </w:tc>
        <w:tc>
          <w:tcPr>
            <w:tcW w:w="1880" w:type="dxa"/>
            <w:vAlign w:val="bottom"/>
            <w:vMerge w:val="continue"/>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60" w:type="dxa"/>
            <w:vAlign w:val="bottom"/>
            <w:tcBorders>
              <w:left w:val="single" w:sz="8" w:color="auto"/>
            </w:tcBorders>
            <w:vMerge w:val="continue"/>
          </w:tcPr>
          <w:p>
            <w:pPr>
              <w:spacing w:after="0"/>
              <w:rPr>
                <w:sz w:val="5"/>
                <w:szCs w:val="5"/>
                <w:color w:val="auto"/>
              </w:rPr>
            </w:pPr>
          </w:p>
        </w:tc>
        <w:tc>
          <w:tcPr>
            <w:tcW w:w="1880" w:type="dxa"/>
            <w:vAlign w:val="bottom"/>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1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BFBFBF"/>
            </w:tcBorders>
            <w:shd w:val="clear" w:color="auto" w:fill="BFBFBF"/>
          </w:tcPr>
          <w:p>
            <w:pPr>
              <w:ind w:left="200"/>
              <w:spacing w:after="0" w:line="131" w:lineRule="exact"/>
              <w:rPr>
                <w:sz w:val="20"/>
                <w:szCs w:val="20"/>
                <w:color w:val="auto"/>
              </w:rPr>
            </w:pPr>
            <w:r>
              <w:rPr>
                <w:rFonts w:ascii="Arial" w:cs="Arial" w:eastAsia="Arial" w:hAnsi="Arial"/>
                <w:sz w:val="13"/>
                <w:szCs w:val="13"/>
                <w:color w:val="auto"/>
              </w:rPr>
              <w:t>At the 75th Percentile of the</w:t>
            </w:r>
          </w:p>
        </w:tc>
        <w:tc>
          <w:tcPr>
            <w:tcW w:w="1880" w:type="dxa"/>
            <w:vAlign w:val="bottom"/>
            <w:vMerge w:val="restart"/>
            <w:shd w:val="clear" w:color="auto" w:fill="BFBFBF"/>
          </w:tcPr>
          <w:p>
            <w:pPr>
              <w:jc w:val="center"/>
              <w:ind w:left="90"/>
              <w:spacing w:after="0"/>
              <w:rPr>
                <w:sz w:val="20"/>
                <w:szCs w:val="20"/>
                <w:color w:val="auto"/>
              </w:rPr>
            </w:pPr>
            <w:r>
              <w:rPr>
                <w:rFonts w:ascii="Arial" w:cs="Arial" w:eastAsia="Arial" w:hAnsi="Arial"/>
                <w:sz w:val="13"/>
                <w:szCs w:val="13"/>
                <w:color w:val="auto"/>
                <w:w w:val="96"/>
              </w:rPr>
              <w:t>300%</w:t>
            </w:r>
          </w:p>
        </w:tc>
        <w:tc>
          <w:tcPr>
            <w:tcW w:w="1400" w:type="dxa"/>
            <w:vAlign w:val="bottom"/>
            <w:tcBorders>
              <w:right w:val="single" w:sz="8" w:color="auto"/>
            </w:tcBorders>
            <w:vMerge w:val="restart"/>
            <w:shd w:val="clear" w:color="auto" w:fill="BFBFBF"/>
          </w:tcPr>
          <w:p>
            <w:pPr>
              <w:jc w:val="center"/>
              <w:ind w:left="72"/>
              <w:spacing w:after="0"/>
              <w:rPr>
                <w:sz w:val="20"/>
                <w:szCs w:val="20"/>
                <w:color w:val="auto"/>
              </w:rPr>
            </w:pPr>
            <w:r>
              <w:rPr>
                <w:rFonts w:ascii="Arial" w:cs="Arial" w:eastAsia="Arial" w:hAnsi="Arial"/>
                <w:sz w:val="13"/>
                <w:szCs w:val="13"/>
                <w:color w:val="auto"/>
                <w:w w:val="97"/>
              </w:rPr>
              <w:t>252,000</w:t>
            </w:r>
          </w:p>
        </w:tc>
        <w:tc>
          <w:tcPr>
            <w:tcW w:w="1740" w:type="dxa"/>
            <w:vAlign w:val="bottom"/>
            <w:vMerge w:val="restart"/>
            <w:shd w:val="clear" w:color="auto" w:fill="BFBFBF"/>
          </w:tcPr>
          <w:p>
            <w:pPr>
              <w:jc w:val="center"/>
              <w:spacing w:after="0"/>
              <w:rPr>
                <w:sz w:val="20"/>
                <w:szCs w:val="20"/>
                <w:color w:val="auto"/>
              </w:rPr>
            </w:pPr>
            <w:r>
              <w:rPr>
                <w:rFonts w:ascii="Arial" w:cs="Arial" w:eastAsia="Arial" w:hAnsi="Arial"/>
                <w:sz w:val="13"/>
                <w:szCs w:val="13"/>
                <w:color w:val="auto"/>
                <w:w w:val="96"/>
              </w:rPr>
              <w:t>300%</w:t>
            </w:r>
          </w:p>
        </w:tc>
        <w:tc>
          <w:tcPr>
            <w:tcW w:w="1760" w:type="dxa"/>
            <w:vAlign w:val="bottom"/>
            <w:vMerge w:val="restart"/>
            <w:shd w:val="clear" w:color="auto" w:fill="BFBFBF"/>
          </w:tcPr>
          <w:p>
            <w:pPr>
              <w:jc w:val="center"/>
              <w:spacing w:after="0"/>
              <w:rPr>
                <w:sz w:val="20"/>
                <w:szCs w:val="20"/>
                <w:color w:val="auto"/>
              </w:rPr>
            </w:pPr>
            <w:r>
              <w:rPr>
                <w:rFonts w:ascii="Arial" w:cs="Arial" w:eastAsia="Arial" w:hAnsi="Arial"/>
                <w:sz w:val="13"/>
                <w:szCs w:val="13"/>
                <w:color w:val="auto"/>
                <w:w w:val="97"/>
              </w:rPr>
              <w:t>252,000</w:t>
            </w:r>
          </w:p>
        </w:tc>
        <w:tc>
          <w:tcPr>
            <w:tcW w:w="2200" w:type="dxa"/>
            <w:vAlign w:val="bottom"/>
            <w:tcBorders>
              <w:right w:val="single" w:sz="8" w:color="auto"/>
            </w:tcBorders>
            <w:vMerge w:val="restart"/>
            <w:shd w:val="clear" w:color="auto" w:fill="BFBFBF"/>
          </w:tcPr>
          <w:p>
            <w:pPr>
              <w:jc w:val="center"/>
              <w:ind w:left="72"/>
              <w:spacing w:after="0"/>
              <w:rPr>
                <w:sz w:val="20"/>
                <w:szCs w:val="20"/>
                <w:color w:val="auto"/>
              </w:rPr>
            </w:pPr>
            <w:r>
              <w:rPr>
                <w:rFonts w:ascii="Arial" w:cs="Arial" w:eastAsia="Arial" w:hAnsi="Arial"/>
                <w:sz w:val="13"/>
                <w:szCs w:val="13"/>
                <w:color w:val="auto"/>
                <w:w w:val="97"/>
              </w:rPr>
              <w:t>252,000</w:t>
            </w:r>
          </w:p>
        </w:tc>
        <w:tc>
          <w:tcPr>
            <w:tcW w:w="0" w:type="dxa"/>
            <w:vAlign w:val="bottom"/>
          </w:tcPr>
          <w:p>
            <w:pPr>
              <w:spacing w:after="0"/>
              <w:rPr>
                <w:sz w:val="1"/>
                <w:szCs w:val="1"/>
                <w:color w:val="auto"/>
              </w:rPr>
            </w:pPr>
          </w:p>
        </w:tc>
      </w:tr>
      <w:tr>
        <w:trPr>
          <w:trHeight w:val="85"/>
        </w:trPr>
        <w:tc>
          <w:tcPr>
            <w:tcW w:w="2060" w:type="dxa"/>
            <w:vAlign w:val="bottom"/>
            <w:tcBorders>
              <w:left w:val="single" w:sz="8" w:color="auto"/>
              <w:right w:val="single" w:sz="8" w:color="BFBFBF"/>
            </w:tcBorders>
            <w:vMerge w:val="restart"/>
            <w:shd w:val="clear" w:color="auto" w:fill="BFBFBF"/>
          </w:tcPr>
          <w:p>
            <w:pPr>
              <w:jc w:val="center"/>
              <w:ind w:left="55"/>
              <w:spacing w:after="0"/>
              <w:rPr>
                <w:sz w:val="20"/>
                <w:szCs w:val="20"/>
                <w:color w:val="auto"/>
              </w:rPr>
            </w:pPr>
            <w:r>
              <w:rPr>
                <w:rFonts w:ascii="Arial" w:cs="Arial" w:eastAsia="Arial" w:hAnsi="Arial"/>
                <w:sz w:val="13"/>
                <w:szCs w:val="13"/>
                <w:color w:val="auto"/>
                <w:w w:val="97"/>
              </w:rPr>
              <w:t>S&amp;P 500</w:t>
            </w:r>
          </w:p>
        </w:tc>
        <w:tc>
          <w:tcPr>
            <w:tcW w:w="1880" w:type="dxa"/>
            <w:vAlign w:val="bottom"/>
            <w:vMerge w:val="continue"/>
            <w:shd w:val="clear" w:color="auto" w:fill="BFBFBF"/>
          </w:tcPr>
          <w:p>
            <w:pPr>
              <w:spacing w:after="0"/>
              <w:rPr>
                <w:sz w:val="7"/>
                <w:szCs w:val="7"/>
                <w:color w:val="auto"/>
              </w:rPr>
            </w:pPr>
          </w:p>
        </w:tc>
        <w:tc>
          <w:tcPr>
            <w:tcW w:w="1400" w:type="dxa"/>
            <w:vAlign w:val="bottom"/>
            <w:tcBorders>
              <w:right w:val="single" w:sz="8" w:color="auto"/>
            </w:tcBorders>
            <w:vMerge w:val="continue"/>
            <w:shd w:val="clear" w:color="auto" w:fill="BFBFBF"/>
          </w:tcPr>
          <w:p>
            <w:pPr>
              <w:spacing w:after="0"/>
              <w:rPr>
                <w:sz w:val="7"/>
                <w:szCs w:val="7"/>
                <w:color w:val="auto"/>
              </w:rPr>
            </w:pPr>
          </w:p>
        </w:tc>
        <w:tc>
          <w:tcPr>
            <w:tcW w:w="1740" w:type="dxa"/>
            <w:vAlign w:val="bottom"/>
            <w:vMerge w:val="continue"/>
            <w:shd w:val="clear" w:color="auto" w:fill="BFBFBF"/>
          </w:tcPr>
          <w:p>
            <w:pPr>
              <w:spacing w:after="0"/>
              <w:rPr>
                <w:sz w:val="7"/>
                <w:szCs w:val="7"/>
                <w:color w:val="auto"/>
              </w:rPr>
            </w:pPr>
          </w:p>
        </w:tc>
        <w:tc>
          <w:tcPr>
            <w:tcW w:w="1760" w:type="dxa"/>
            <w:vAlign w:val="bottom"/>
            <w:vMerge w:val="continue"/>
            <w:shd w:val="clear" w:color="auto" w:fill="BFBFBF"/>
          </w:tcPr>
          <w:p>
            <w:pPr>
              <w:spacing w:after="0"/>
              <w:rPr>
                <w:sz w:val="7"/>
                <w:szCs w:val="7"/>
                <w:color w:val="auto"/>
              </w:rPr>
            </w:pPr>
          </w:p>
        </w:tc>
        <w:tc>
          <w:tcPr>
            <w:tcW w:w="2200" w:type="dxa"/>
            <w:vAlign w:val="bottom"/>
            <w:tcBorders>
              <w:right w:val="single" w:sz="8" w:color="auto"/>
            </w:tcBorders>
            <w:vMerge w:val="continue"/>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BFBFBF"/>
            </w:tcBorders>
            <w:vMerge w:val="continue"/>
            <w:shd w:val="clear" w:color="auto" w:fill="BFBFBF"/>
          </w:tcPr>
          <w:p>
            <w:pPr>
              <w:spacing w:after="0"/>
              <w:rPr>
                <w:sz w:val="6"/>
                <w:szCs w:val="6"/>
                <w:color w:val="auto"/>
              </w:rPr>
            </w:pPr>
          </w:p>
        </w:tc>
        <w:tc>
          <w:tcPr>
            <w:tcW w:w="1880" w:type="dxa"/>
            <w:vAlign w:val="bottom"/>
            <w:shd w:val="clear" w:color="auto" w:fill="BFBFBF"/>
          </w:tcPr>
          <w:p>
            <w:pPr>
              <w:spacing w:after="0"/>
              <w:rPr>
                <w:sz w:val="6"/>
                <w:szCs w:val="6"/>
                <w:color w:val="auto"/>
              </w:rPr>
            </w:pPr>
          </w:p>
        </w:tc>
        <w:tc>
          <w:tcPr>
            <w:tcW w:w="1400" w:type="dxa"/>
            <w:vAlign w:val="bottom"/>
            <w:tcBorders>
              <w:right w:val="single" w:sz="8" w:color="auto"/>
            </w:tcBorders>
            <w:shd w:val="clear" w:color="auto" w:fill="BFBFBF"/>
          </w:tcPr>
          <w:p>
            <w:pPr>
              <w:spacing w:after="0"/>
              <w:rPr>
                <w:sz w:val="6"/>
                <w:szCs w:val="6"/>
                <w:color w:val="auto"/>
              </w:rPr>
            </w:pPr>
          </w:p>
        </w:tc>
        <w:tc>
          <w:tcPr>
            <w:tcW w:w="1740" w:type="dxa"/>
            <w:vAlign w:val="bottom"/>
            <w:shd w:val="clear" w:color="auto" w:fill="BFBFBF"/>
          </w:tcPr>
          <w:p>
            <w:pPr>
              <w:spacing w:after="0"/>
              <w:rPr>
                <w:sz w:val="6"/>
                <w:szCs w:val="6"/>
                <w:color w:val="auto"/>
              </w:rPr>
            </w:pPr>
          </w:p>
        </w:tc>
        <w:tc>
          <w:tcPr>
            <w:tcW w:w="1760" w:type="dxa"/>
            <w:vAlign w:val="bottom"/>
            <w:shd w:val="clear" w:color="auto" w:fill="BFBFBF"/>
          </w:tcPr>
          <w:p>
            <w:pPr>
              <w:spacing w:after="0"/>
              <w:rPr>
                <w:sz w:val="6"/>
                <w:szCs w:val="6"/>
                <w:color w:val="auto"/>
              </w:rPr>
            </w:pPr>
          </w:p>
        </w:tc>
        <w:tc>
          <w:tcPr>
            <w:tcW w:w="2200" w:type="dxa"/>
            <w:vAlign w:val="bottom"/>
            <w:tcBorders>
              <w:right w:val="single" w:sz="8" w:color="auto"/>
            </w:tcBorders>
            <w:shd w:val="clear" w:color="auto" w:fill="BFBFBF"/>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60" w:type="dxa"/>
            <w:vAlign w:val="bottom"/>
            <w:tcBorders>
              <w:left w:val="single" w:sz="8" w:color="auto"/>
            </w:tcBorders>
          </w:tcPr>
          <w:p>
            <w:pPr>
              <w:ind w:left="200"/>
              <w:spacing w:after="0" w:line="129" w:lineRule="exact"/>
              <w:rPr>
                <w:sz w:val="20"/>
                <w:szCs w:val="20"/>
                <w:color w:val="auto"/>
              </w:rPr>
            </w:pPr>
            <w:r>
              <w:rPr>
                <w:rFonts w:ascii="Arial" w:cs="Arial" w:eastAsia="Arial" w:hAnsi="Arial"/>
                <w:sz w:val="13"/>
                <w:szCs w:val="13"/>
                <w:color w:val="auto"/>
              </w:rPr>
              <w:t>At the 50th Percentile of the</w:t>
            </w:r>
          </w:p>
        </w:tc>
        <w:tc>
          <w:tcPr>
            <w:tcW w:w="1880" w:type="dxa"/>
            <w:vAlign w:val="bottom"/>
            <w:vMerge w:val="restart"/>
          </w:tcPr>
          <w:p>
            <w:pPr>
              <w:jc w:val="center"/>
              <w:ind w:left="90"/>
              <w:spacing w:after="0"/>
              <w:rPr>
                <w:sz w:val="20"/>
                <w:szCs w:val="20"/>
                <w:color w:val="auto"/>
              </w:rPr>
            </w:pPr>
            <w:r>
              <w:rPr>
                <w:rFonts w:ascii="Arial" w:cs="Arial" w:eastAsia="Arial" w:hAnsi="Arial"/>
                <w:sz w:val="13"/>
                <w:szCs w:val="13"/>
                <w:color w:val="auto"/>
                <w:w w:val="96"/>
              </w:rPr>
              <w:t>100%</w:t>
            </w:r>
          </w:p>
        </w:tc>
        <w:tc>
          <w:tcPr>
            <w:tcW w:w="1400" w:type="dxa"/>
            <w:vAlign w:val="bottom"/>
            <w:tcBorders>
              <w:right w:val="single" w:sz="8" w:color="auto"/>
            </w:tcBorders>
            <w:vMerge w:val="restart"/>
          </w:tcPr>
          <w:p>
            <w:pPr>
              <w:jc w:val="center"/>
              <w:ind w:left="72"/>
              <w:spacing w:after="0"/>
              <w:rPr>
                <w:sz w:val="20"/>
                <w:szCs w:val="20"/>
                <w:color w:val="auto"/>
              </w:rPr>
            </w:pPr>
            <w:r>
              <w:rPr>
                <w:rFonts w:ascii="Arial" w:cs="Arial" w:eastAsia="Arial" w:hAnsi="Arial"/>
                <w:sz w:val="13"/>
                <w:szCs w:val="13"/>
                <w:color w:val="auto"/>
                <w:w w:val="95"/>
              </w:rPr>
              <w:t>84,000</w:t>
            </w:r>
          </w:p>
        </w:tc>
        <w:tc>
          <w:tcPr>
            <w:tcW w:w="1740" w:type="dxa"/>
            <w:vAlign w:val="bottom"/>
            <w:vMerge w:val="restart"/>
          </w:tcPr>
          <w:p>
            <w:pPr>
              <w:jc w:val="center"/>
              <w:spacing w:after="0"/>
              <w:rPr>
                <w:sz w:val="20"/>
                <w:szCs w:val="20"/>
                <w:color w:val="auto"/>
              </w:rPr>
            </w:pPr>
            <w:r>
              <w:rPr>
                <w:rFonts w:ascii="Arial" w:cs="Arial" w:eastAsia="Arial" w:hAnsi="Arial"/>
                <w:sz w:val="13"/>
                <w:szCs w:val="13"/>
                <w:color w:val="auto"/>
                <w:w w:val="96"/>
              </w:rPr>
              <w:t>100%</w:t>
            </w:r>
          </w:p>
        </w:tc>
        <w:tc>
          <w:tcPr>
            <w:tcW w:w="1760" w:type="dxa"/>
            <w:vAlign w:val="bottom"/>
            <w:vMerge w:val="restart"/>
          </w:tcPr>
          <w:p>
            <w:pPr>
              <w:jc w:val="center"/>
              <w:spacing w:after="0"/>
              <w:rPr>
                <w:sz w:val="20"/>
                <w:szCs w:val="20"/>
                <w:color w:val="auto"/>
              </w:rPr>
            </w:pPr>
            <w:r>
              <w:rPr>
                <w:rFonts w:ascii="Arial" w:cs="Arial" w:eastAsia="Arial" w:hAnsi="Arial"/>
                <w:sz w:val="13"/>
                <w:szCs w:val="13"/>
                <w:color w:val="auto"/>
                <w:w w:val="95"/>
              </w:rPr>
              <w:t>84,000</w:t>
            </w:r>
          </w:p>
        </w:tc>
        <w:tc>
          <w:tcPr>
            <w:tcW w:w="2200" w:type="dxa"/>
            <w:vAlign w:val="bottom"/>
            <w:tcBorders>
              <w:right w:val="single" w:sz="8" w:color="auto"/>
            </w:tcBorders>
            <w:vMerge w:val="restart"/>
          </w:tcPr>
          <w:p>
            <w:pPr>
              <w:jc w:val="center"/>
              <w:ind w:left="72"/>
              <w:spacing w:after="0"/>
              <w:rPr>
                <w:sz w:val="20"/>
                <w:szCs w:val="20"/>
                <w:color w:val="auto"/>
              </w:rPr>
            </w:pPr>
            <w:r>
              <w:rPr>
                <w:rFonts w:ascii="Arial" w:cs="Arial" w:eastAsia="Arial" w:hAnsi="Arial"/>
                <w:sz w:val="13"/>
                <w:szCs w:val="13"/>
                <w:color w:val="auto"/>
                <w:w w:val="95"/>
              </w:rPr>
              <w:t>84,000</w:t>
            </w:r>
          </w:p>
        </w:tc>
        <w:tc>
          <w:tcPr>
            <w:tcW w:w="0" w:type="dxa"/>
            <w:vAlign w:val="bottom"/>
          </w:tcPr>
          <w:p>
            <w:pPr>
              <w:spacing w:after="0"/>
              <w:rPr>
                <w:sz w:val="1"/>
                <w:szCs w:val="1"/>
                <w:color w:val="auto"/>
              </w:rPr>
            </w:pPr>
          </w:p>
        </w:tc>
      </w:tr>
      <w:tr>
        <w:trPr>
          <w:trHeight w:val="85"/>
        </w:trPr>
        <w:tc>
          <w:tcPr>
            <w:tcW w:w="2060" w:type="dxa"/>
            <w:vAlign w:val="bottom"/>
            <w:tcBorders>
              <w:left w:val="single" w:sz="8" w:color="auto"/>
            </w:tcBorders>
            <w:vMerge w:val="restart"/>
          </w:tcPr>
          <w:p>
            <w:pPr>
              <w:jc w:val="center"/>
              <w:ind w:left="55"/>
              <w:spacing w:after="0"/>
              <w:rPr>
                <w:sz w:val="20"/>
                <w:szCs w:val="20"/>
                <w:color w:val="auto"/>
              </w:rPr>
            </w:pPr>
            <w:r>
              <w:rPr>
                <w:rFonts w:ascii="Arial" w:cs="Arial" w:eastAsia="Arial" w:hAnsi="Arial"/>
                <w:sz w:val="13"/>
                <w:szCs w:val="13"/>
                <w:color w:val="auto"/>
                <w:w w:val="97"/>
              </w:rPr>
              <w:t>S&amp;P 500</w:t>
            </w:r>
          </w:p>
        </w:tc>
        <w:tc>
          <w:tcPr>
            <w:tcW w:w="1880" w:type="dxa"/>
            <w:vAlign w:val="bottom"/>
            <w:vMerge w:val="continue"/>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60" w:type="dxa"/>
            <w:vAlign w:val="bottom"/>
            <w:tcBorders>
              <w:left w:val="single" w:sz="8" w:color="auto"/>
            </w:tcBorders>
            <w:vMerge w:val="continue"/>
          </w:tcPr>
          <w:p>
            <w:pPr>
              <w:spacing w:after="0"/>
              <w:rPr>
                <w:sz w:val="5"/>
                <w:szCs w:val="5"/>
                <w:color w:val="auto"/>
              </w:rPr>
            </w:pPr>
          </w:p>
        </w:tc>
        <w:tc>
          <w:tcPr>
            <w:tcW w:w="1880" w:type="dxa"/>
            <w:vAlign w:val="bottom"/>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1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BFBFBF"/>
            </w:tcBorders>
            <w:shd w:val="clear" w:color="auto" w:fill="BFBFBF"/>
          </w:tcPr>
          <w:p>
            <w:pPr>
              <w:ind w:left="200"/>
              <w:spacing w:after="0" w:line="131" w:lineRule="exact"/>
              <w:rPr>
                <w:sz w:val="20"/>
                <w:szCs w:val="20"/>
                <w:color w:val="auto"/>
              </w:rPr>
            </w:pPr>
            <w:r>
              <w:rPr>
                <w:rFonts w:ascii="Arial" w:cs="Arial" w:eastAsia="Arial" w:hAnsi="Arial"/>
                <w:sz w:val="13"/>
                <w:szCs w:val="13"/>
                <w:color w:val="auto"/>
              </w:rPr>
              <w:t>At the 25th Percentile of the</w:t>
            </w:r>
          </w:p>
        </w:tc>
        <w:tc>
          <w:tcPr>
            <w:tcW w:w="1880" w:type="dxa"/>
            <w:vAlign w:val="bottom"/>
            <w:vMerge w:val="restart"/>
            <w:shd w:val="clear" w:color="auto" w:fill="BFBFBF"/>
          </w:tcPr>
          <w:p>
            <w:pPr>
              <w:jc w:val="center"/>
              <w:ind w:left="90"/>
              <w:spacing w:after="0"/>
              <w:rPr>
                <w:sz w:val="20"/>
                <w:szCs w:val="20"/>
                <w:color w:val="auto"/>
              </w:rPr>
            </w:pPr>
            <w:r>
              <w:rPr>
                <w:rFonts w:ascii="Arial" w:cs="Arial" w:eastAsia="Arial" w:hAnsi="Arial"/>
                <w:sz w:val="13"/>
                <w:szCs w:val="13"/>
                <w:color w:val="auto"/>
                <w:w w:val="92"/>
              </w:rPr>
              <w:t>25%</w:t>
            </w:r>
          </w:p>
        </w:tc>
        <w:tc>
          <w:tcPr>
            <w:tcW w:w="1400" w:type="dxa"/>
            <w:vAlign w:val="bottom"/>
            <w:tcBorders>
              <w:right w:val="single" w:sz="8" w:color="auto"/>
            </w:tcBorders>
            <w:vMerge w:val="restart"/>
            <w:shd w:val="clear" w:color="auto" w:fill="BFBFBF"/>
          </w:tcPr>
          <w:p>
            <w:pPr>
              <w:jc w:val="center"/>
              <w:ind w:left="72"/>
              <w:spacing w:after="0"/>
              <w:rPr>
                <w:sz w:val="20"/>
                <w:szCs w:val="20"/>
                <w:color w:val="auto"/>
              </w:rPr>
            </w:pPr>
            <w:r>
              <w:rPr>
                <w:rFonts w:ascii="Arial" w:cs="Arial" w:eastAsia="Arial" w:hAnsi="Arial"/>
                <w:sz w:val="13"/>
                <w:szCs w:val="13"/>
                <w:color w:val="auto"/>
                <w:w w:val="95"/>
              </w:rPr>
              <w:t>21,000</w:t>
            </w:r>
          </w:p>
        </w:tc>
        <w:tc>
          <w:tcPr>
            <w:tcW w:w="1740" w:type="dxa"/>
            <w:vAlign w:val="bottom"/>
            <w:vMerge w:val="restart"/>
            <w:shd w:val="clear" w:color="auto" w:fill="BFBFBF"/>
          </w:tcPr>
          <w:p>
            <w:pPr>
              <w:jc w:val="center"/>
              <w:spacing w:after="0"/>
              <w:rPr>
                <w:sz w:val="20"/>
                <w:szCs w:val="20"/>
                <w:color w:val="auto"/>
              </w:rPr>
            </w:pPr>
            <w:r>
              <w:rPr>
                <w:rFonts w:ascii="Arial" w:cs="Arial" w:eastAsia="Arial" w:hAnsi="Arial"/>
                <w:sz w:val="13"/>
                <w:szCs w:val="13"/>
                <w:color w:val="auto"/>
                <w:w w:val="92"/>
              </w:rPr>
              <w:t>25%</w:t>
            </w:r>
          </w:p>
        </w:tc>
        <w:tc>
          <w:tcPr>
            <w:tcW w:w="1760" w:type="dxa"/>
            <w:vAlign w:val="bottom"/>
            <w:vMerge w:val="restart"/>
            <w:shd w:val="clear" w:color="auto" w:fill="BFBFBF"/>
          </w:tcPr>
          <w:p>
            <w:pPr>
              <w:jc w:val="center"/>
              <w:spacing w:after="0"/>
              <w:rPr>
                <w:sz w:val="20"/>
                <w:szCs w:val="20"/>
                <w:color w:val="auto"/>
              </w:rPr>
            </w:pPr>
            <w:r>
              <w:rPr>
                <w:rFonts w:ascii="Arial" w:cs="Arial" w:eastAsia="Arial" w:hAnsi="Arial"/>
                <w:sz w:val="13"/>
                <w:szCs w:val="13"/>
                <w:color w:val="auto"/>
                <w:w w:val="95"/>
              </w:rPr>
              <w:t>21,000</w:t>
            </w:r>
          </w:p>
        </w:tc>
        <w:tc>
          <w:tcPr>
            <w:tcW w:w="2200" w:type="dxa"/>
            <w:vAlign w:val="bottom"/>
            <w:tcBorders>
              <w:right w:val="single" w:sz="8" w:color="auto"/>
            </w:tcBorders>
            <w:vMerge w:val="restart"/>
            <w:shd w:val="clear" w:color="auto" w:fill="BFBFBF"/>
          </w:tcPr>
          <w:p>
            <w:pPr>
              <w:jc w:val="center"/>
              <w:ind w:left="72"/>
              <w:spacing w:after="0"/>
              <w:rPr>
                <w:sz w:val="20"/>
                <w:szCs w:val="20"/>
                <w:color w:val="auto"/>
              </w:rPr>
            </w:pPr>
            <w:r>
              <w:rPr>
                <w:rFonts w:ascii="Arial" w:cs="Arial" w:eastAsia="Arial" w:hAnsi="Arial"/>
                <w:sz w:val="13"/>
                <w:szCs w:val="13"/>
                <w:color w:val="auto"/>
                <w:w w:val="95"/>
              </w:rPr>
              <w:t>21,000</w:t>
            </w:r>
          </w:p>
        </w:tc>
        <w:tc>
          <w:tcPr>
            <w:tcW w:w="0" w:type="dxa"/>
            <w:vAlign w:val="bottom"/>
          </w:tcPr>
          <w:p>
            <w:pPr>
              <w:spacing w:after="0"/>
              <w:rPr>
                <w:sz w:val="1"/>
                <w:szCs w:val="1"/>
                <w:color w:val="auto"/>
              </w:rPr>
            </w:pPr>
          </w:p>
        </w:tc>
      </w:tr>
      <w:tr>
        <w:trPr>
          <w:trHeight w:val="85"/>
        </w:trPr>
        <w:tc>
          <w:tcPr>
            <w:tcW w:w="2060" w:type="dxa"/>
            <w:vAlign w:val="bottom"/>
            <w:tcBorders>
              <w:left w:val="single" w:sz="8" w:color="auto"/>
              <w:right w:val="single" w:sz="8" w:color="BFBFBF"/>
            </w:tcBorders>
            <w:vMerge w:val="restart"/>
            <w:shd w:val="clear" w:color="auto" w:fill="BFBFBF"/>
          </w:tcPr>
          <w:p>
            <w:pPr>
              <w:jc w:val="center"/>
              <w:ind w:left="55"/>
              <w:spacing w:after="0"/>
              <w:rPr>
                <w:sz w:val="20"/>
                <w:szCs w:val="20"/>
                <w:color w:val="auto"/>
              </w:rPr>
            </w:pPr>
            <w:r>
              <w:rPr>
                <w:rFonts w:ascii="Arial" w:cs="Arial" w:eastAsia="Arial" w:hAnsi="Arial"/>
                <w:sz w:val="13"/>
                <w:szCs w:val="13"/>
                <w:color w:val="auto"/>
                <w:w w:val="97"/>
              </w:rPr>
              <w:t>S&amp;P 500</w:t>
            </w:r>
          </w:p>
        </w:tc>
        <w:tc>
          <w:tcPr>
            <w:tcW w:w="1880" w:type="dxa"/>
            <w:vAlign w:val="bottom"/>
            <w:vMerge w:val="continue"/>
            <w:shd w:val="clear" w:color="auto" w:fill="BFBFBF"/>
          </w:tcPr>
          <w:p>
            <w:pPr>
              <w:spacing w:after="0"/>
              <w:rPr>
                <w:sz w:val="7"/>
                <w:szCs w:val="7"/>
                <w:color w:val="auto"/>
              </w:rPr>
            </w:pPr>
          </w:p>
        </w:tc>
        <w:tc>
          <w:tcPr>
            <w:tcW w:w="1400" w:type="dxa"/>
            <w:vAlign w:val="bottom"/>
            <w:tcBorders>
              <w:right w:val="single" w:sz="8" w:color="auto"/>
            </w:tcBorders>
            <w:vMerge w:val="continue"/>
            <w:shd w:val="clear" w:color="auto" w:fill="BFBFBF"/>
          </w:tcPr>
          <w:p>
            <w:pPr>
              <w:spacing w:after="0"/>
              <w:rPr>
                <w:sz w:val="7"/>
                <w:szCs w:val="7"/>
                <w:color w:val="auto"/>
              </w:rPr>
            </w:pPr>
          </w:p>
        </w:tc>
        <w:tc>
          <w:tcPr>
            <w:tcW w:w="1740" w:type="dxa"/>
            <w:vAlign w:val="bottom"/>
            <w:vMerge w:val="continue"/>
            <w:shd w:val="clear" w:color="auto" w:fill="BFBFBF"/>
          </w:tcPr>
          <w:p>
            <w:pPr>
              <w:spacing w:after="0"/>
              <w:rPr>
                <w:sz w:val="7"/>
                <w:szCs w:val="7"/>
                <w:color w:val="auto"/>
              </w:rPr>
            </w:pPr>
          </w:p>
        </w:tc>
        <w:tc>
          <w:tcPr>
            <w:tcW w:w="1760" w:type="dxa"/>
            <w:vAlign w:val="bottom"/>
            <w:vMerge w:val="continue"/>
            <w:shd w:val="clear" w:color="auto" w:fill="BFBFBF"/>
          </w:tcPr>
          <w:p>
            <w:pPr>
              <w:spacing w:after="0"/>
              <w:rPr>
                <w:sz w:val="7"/>
                <w:szCs w:val="7"/>
                <w:color w:val="auto"/>
              </w:rPr>
            </w:pPr>
          </w:p>
        </w:tc>
        <w:tc>
          <w:tcPr>
            <w:tcW w:w="2200" w:type="dxa"/>
            <w:vAlign w:val="bottom"/>
            <w:tcBorders>
              <w:right w:val="single" w:sz="8" w:color="auto"/>
            </w:tcBorders>
            <w:vMerge w:val="continue"/>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BFBFBF"/>
            </w:tcBorders>
            <w:vMerge w:val="continue"/>
            <w:shd w:val="clear" w:color="auto" w:fill="BFBFBF"/>
          </w:tcPr>
          <w:p>
            <w:pPr>
              <w:spacing w:after="0"/>
              <w:rPr>
                <w:sz w:val="6"/>
                <w:szCs w:val="6"/>
                <w:color w:val="auto"/>
              </w:rPr>
            </w:pPr>
          </w:p>
        </w:tc>
        <w:tc>
          <w:tcPr>
            <w:tcW w:w="1880" w:type="dxa"/>
            <w:vAlign w:val="bottom"/>
            <w:shd w:val="clear" w:color="auto" w:fill="BFBFBF"/>
          </w:tcPr>
          <w:p>
            <w:pPr>
              <w:spacing w:after="0"/>
              <w:rPr>
                <w:sz w:val="6"/>
                <w:szCs w:val="6"/>
                <w:color w:val="auto"/>
              </w:rPr>
            </w:pPr>
          </w:p>
        </w:tc>
        <w:tc>
          <w:tcPr>
            <w:tcW w:w="1400" w:type="dxa"/>
            <w:vAlign w:val="bottom"/>
            <w:tcBorders>
              <w:right w:val="single" w:sz="8" w:color="auto"/>
            </w:tcBorders>
            <w:shd w:val="clear" w:color="auto" w:fill="BFBFBF"/>
          </w:tcPr>
          <w:p>
            <w:pPr>
              <w:spacing w:after="0"/>
              <w:rPr>
                <w:sz w:val="6"/>
                <w:szCs w:val="6"/>
                <w:color w:val="auto"/>
              </w:rPr>
            </w:pPr>
          </w:p>
        </w:tc>
        <w:tc>
          <w:tcPr>
            <w:tcW w:w="1740" w:type="dxa"/>
            <w:vAlign w:val="bottom"/>
            <w:shd w:val="clear" w:color="auto" w:fill="BFBFBF"/>
          </w:tcPr>
          <w:p>
            <w:pPr>
              <w:spacing w:after="0"/>
              <w:rPr>
                <w:sz w:val="6"/>
                <w:szCs w:val="6"/>
                <w:color w:val="auto"/>
              </w:rPr>
            </w:pPr>
          </w:p>
        </w:tc>
        <w:tc>
          <w:tcPr>
            <w:tcW w:w="1760" w:type="dxa"/>
            <w:vAlign w:val="bottom"/>
            <w:shd w:val="clear" w:color="auto" w:fill="BFBFBF"/>
          </w:tcPr>
          <w:p>
            <w:pPr>
              <w:spacing w:after="0"/>
              <w:rPr>
                <w:sz w:val="6"/>
                <w:szCs w:val="6"/>
                <w:color w:val="auto"/>
              </w:rPr>
            </w:pPr>
          </w:p>
        </w:tc>
        <w:tc>
          <w:tcPr>
            <w:tcW w:w="2200" w:type="dxa"/>
            <w:vAlign w:val="bottom"/>
            <w:tcBorders>
              <w:right w:val="single" w:sz="8" w:color="auto"/>
            </w:tcBorders>
            <w:shd w:val="clear" w:color="auto" w:fill="BFBFBF"/>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60" w:type="dxa"/>
            <w:vAlign w:val="bottom"/>
            <w:tcBorders>
              <w:left w:val="single" w:sz="8" w:color="auto"/>
            </w:tcBorders>
          </w:tcPr>
          <w:p>
            <w:pPr>
              <w:ind w:left="220"/>
              <w:spacing w:after="0" w:line="129" w:lineRule="exact"/>
              <w:rPr>
                <w:sz w:val="20"/>
                <w:szCs w:val="20"/>
                <w:color w:val="auto"/>
              </w:rPr>
            </w:pPr>
            <w:r>
              <w:rPr>
                <w:rFonts w:ascii="Arial" w:cs="Arial" w:eastAsia="Arial" w:hAnsi="Arial"/>
                <w:sz w:val="13"/>
                <w:szCs w:val="13"/>
                <w:color w:val="auto"/>
              </w:rPr>
              <w:t>Below the 25th Percentile</w:t>
            </w:r>
          </w:p>
        </w:tc>
        <w:tc>
          <w:tcPr>
            <w:tcW w:w="1880" w:type="dxa"/>
            <w:vAlign w:val="bottom"/>
            <w:vMerge w:val="restart"/>
          </w:tcPr>
          <w:p>
            <w:pPr>
              <w:jc w:val="center"/>
              <w:ind w:left="70"/>
              <w:spacing w:after="0"/>
              <w:rPr>
                <w:sz w:val="20"/>
                <w:szCs w:val="20"/>
                <w:color w:val="auto"/>
              </w:rPr>
            </w:pPr>
            <w:r>
              <w:rPr>
                <w:rFonts w:ascii="Arial" w:cs="Arial" w:eastAsia="Arial" w:hAnsi="Arial"/>
                <w:sz w:val="13"/>
                <w:szCs w:val="13"/>
                <w:color w:val="auto"/>
                <w:w w:val="95"/>
              </w:rPr>
              <w:t>0%</w:t>
            </w:r>
          </w:p>
        </w:tc>
        <w:tc>
          <w:tcPr>
            <w:tcW w:w="1400" w:type="dxa"/>
            <w:vAlign w:val="bottom"/>
            <w:tcBorders>
              <w:right w:val="single" w:sz="8" w:color="auto"/>
            </w:tcBorders>
            <w:vMerge w:val="restart"/>
          </w:tcPr>
          <w:p>
            <w:pPr>
              <w:jc w:val="center"/>
              <w:ind w:left="72"/>
              <w:spacing w:after="0"/>
              <w:rPr>
                <w:sz w:val="20"/>
                <w:szCs w:val="20"/>
                <w:color w:val="auto"/>
              </w:rPr>
            </w:pPr>
            <w:r>
              <w:rPr>
                <w:rFonts w:ascii="Arial" w:cs="Arial" w:eastAsia="Arial" w:hAnsi="Arial"/>
                <w:sz w:val="13"/>
                <w:szCs w:val="13"/>
                <w:color w:val="auto"/>
              </w:rPr>
              <w:t>-</w:t>
            </w:r>
          </w:p>
        </w:tc>
        <w:tc>
          <w:tcPr>
            <w:tcW w:w="1740" w:type="dxa"/>
            <w:vAlign w:val="bottom"/>
            <w:vMerge w:val="restart"/>
          </w:tcPr>
          <w:p>
            <w:pPr>
              <w:jc w:val="center"/>
              <w:spacing w:after="0"/>
              <w:rPr>
                <w:sz w:val="20"/>
                <w:szCs w:val="20"/>
                <w:color w:val="auto"/>
              </w:rPr>
            </w:pPr>
            <w:r>
              <w:rPr>
                <w:rFonts w:ascii="Arial" w:cs="Arial" w:eastAsia="Arial" w:hAnsi="Arial"/>
                <w:sz w:val="13"/>
                <w:szCs w:val="13"/>
                <w:color w:val="auto"/>
                <w:w w:val="95"/>
              </w:rPr>
              <w:t>0%</w:t>
            </w:r>
          </w:p>
        </w:tc>
        <w:tc>
          <w:tcPr>
            <w:tcW w:w="17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2200" w:type="dxa"/>
            <w:vAlign w:val="bottom"/>
            <w:tcBorders>
              <w:right w:val="single" w:sz="8" w:color="auto"/>
            </w:tcBorders>
            <w:vMerge w:val="restart"/>
          </w:tcPr>
          <w:p>
            <w:pPr>
              <w:jc w:val="center"/>
              <w:ind w:left="92"/>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85"/>
        </w:trPr>
        <w:tc>
          <w:tcPr>
            <w:tcW w:w="2060" w:type="dxa"/>
            <w:vAlign w:val="bottom"/>
            <w:tcBorders>
              <w:left w:val="single" w:sz="8" w:color="auto"/>
            </w:tcBorders>
            <w:vMerge w:val="restart"/>
          </w:tcPr>
          <w:p>
            <w:pPr>
              <w:jc w:val="center"/>
              <w:ind w:left="55"/>
              <w:spacing w:after="0"/>
              <w:rPr>
                <w:sz w:val="20"/>
                <w:szCs w:val="20"/>
                <w:color w:val="auto"/>
              </w:rPr>
            </w:pPr>
            <w:r>
              <w:rPr>
                <w:rFonts w:ascii="Arial" w:cs="Arial" w:eastAsia="Arial" w:hAnsi="Arial"/>
                <w:sz w:val="13"/>
                <w:szCs w:val="13"/>
                <w:color w:val="auto"/>
                <w:w w:val="98"/>
              </w:rPr>
              <w:t>of the S&amp;P 500</w:t>
            </w:r>
          </w:p>
        </w:tc>
        <w:tc>
          <w:tcPr>
            <w:tcW w:w="1880" w:type="dxa"/>
            <w:vAlign w:val="bottom"/>
            <w:vMerge w:val="continue"/>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60" w:type="dxa"/>
            <w:vAlign w:val="bottom"/>
            <w:tcBorders>
              <w:left w:val="single" w:sz="8" w:color="auto"/>
              <w:bottom w:val="single" w:sz="8" w:color="auto"/>
            </w:tcBorders>
            <w:vMerge w:val="continue"/>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VI. Additional Compensation Practices and Policies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Executive Share Ownership Guidelines</w:t>
      </w:r>
    </w:p>
    <w:p>
      <w:pPr>
        <w:spacing w:after="0" w:line="99"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Based on competitive market data and after consultation with Compensia, the Compensation Committee has set the following executive share ownership guidelines:</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89"/>
        </w:trPr>
        <w:tc>
          <w:tcPr>
            <w:tcW w:w="4020" w:type="dxa"/>
            <w:vAlign w:val="bottom"/>
            <w:shd w:val="clear" w:color="auto" w:fill="7F7F7F"/>
          </w:tcPr>
          <w:p>
            <w:pPr>
              <w:ind w:left="80"/>
              <w:spacing w:after="0"/>
              <w:rPr>
                <w:sz w:val="20"/>
                <w:szCs w:val="20"/>
                <w:color w:val="auto"/>
              </w:rPr>
            </w:pPr>
            <w:r>
              <w:rPr>
                <w:rFonts w:ascii="Arial" w:cs="Arial" w:eastAsia="Arial" w:hAnsi="Arial"/>
                <w:sz w:val="16"/>
                <w:szCs w:val="16"/>
                <w:b w:val="1"/>
                <w:bCs w:val="1"/>
                <w:color w:val="FFFFFF"/>
              </w:rPr>
              <w:t>Position</w:t>
            </w:r>
          </w:p>
        </w:tc>
        <w:tc>
          <w:tcPr>
            <w:tcW w:w="4780" w:type="dxa"/>
            <w:vAlign w:val="bottom"/>
            <w:shd w:val="clear" w:color="auto" w:fill="7F7F7F"/>
          </w:tcPr>
          <w:p>
            <w:pPr>
              <w:ind w:left="2700"/>
              <w:spacing w:after="0"/>
              <w:rPr>
                <w:sz w:val="20"/>
                <w:szCs w:val="20"/>
                <w:color w:val="auto"/>
              </w:rPr>
            </w:pPr>
            <w:r>
              <w:rPr>
                <w:rFonts w:ascii="Arial" w:cs="Arial" w:eastAsia="Arial" w:hAnsi="Arial"/>
                <w:sz w:val="16"/>
                <w:szCs w:val="16"/>
                <w:b w:val="1"/>
                <w:bCs w:val="1"/>
                <w:color w:val="FFFFFF"/>
              </w:rPr>
              <w:t>Required Salary Multiple</w:t>
            </w:r>
          </w:p>
        </w:tc>
      </w:tr>
      <w:tr>
        <w:trPr>
          <w:trHeight w:val="217"/>
        </w:trPr>
        <w:tc>
          <w:tcPr>
            <w:tcW w:w="4020" w:type="dxa"/>
            <w:vAlign w:val="bottom"/>
          </w:tcPr>
          <w:p>
            <w:pPr>
              <w:ind w:left="80"/>
              <w:spacing w:after="0"/>
              <w:rPr>
                <w:sz w:val="20"/>
                <w:szCs w:val="20"/>
                <w:color w:val="auto"/>
              </w:rPr>
            </w:pPr>
            <w:r>
              <w:rPr>
                <w:rFonts w:ascii="Arial" w:cs="Arial" w:eastAsia="Arial" w:hAnsi="Arial"/>
                <w:sz w:val="16"/>
                <w:szCs w:val="16"/>
                <w:color w:val="auto"/>
              </w:rPr>
              <w:t>CEO</w:t>
            </w:r>
          </w:p>
        </w:tc>
        <w:tc>
          <w:tcPr>
            <w:tcW w:w="4780" w:type="dxa"/>
            <w:vAlign w:val="bottom"/>
          </w:tcPr>
          <w:p>
            <w:pPr>
              <w:ind w:left="2960"/>
              <w:spacing w:after="0"/>
              <w:rPr>
                <w:sz w:val="20"/>
                <w:szCs w:val="20"/>
                <w:color w:val="auto"/>
              </w:rPr>
            </w:pPr>
            <w:r>
              <w:rPr>
                <w:rFonts w:ascii="Arial" w:cs="Arial" w:eastAsia="Arial" w:hAnsi="Arial"/>
                <w:sz w:val="18"/>
                <w:szCs w:val="18"/>
                <w:color w:val="auto"/>
              </w:rPr>
              <w:t>3x base salary</w:t>
            </w:r>
          </w:p>
        </w:tc>
      </w:tr>
      <w:tr>
        <w:trPr>
          <w:trHeight w:val="80"/>
        </w:trPr>
        <w:tc>
          <w:tcPr>
            <w:tcW w:w="4020" w:type="dxa"/>
            <w:vAlign w:val="bottom"/>
          </w:tcPr>
          <w:p>
            <w:pPr>
              <w:spacing w:after="0"/>
              <w:rPr>
                <w:sz w:val="6"/>
                <w:szCs w:val="6"/>
                <w:color w:val="auto"/>
              </w:rPr>
            </w:pPr>
          </w:p>
        </w:tc>
        <w:tc>
          <w:tcPr>
            <w:tcW w:w="4780" w:type="dxa"/>
            <w:vAlign w:val="bottom"/>
          </w:tcPr>
          <w:p>
            <w:pPr>
              <w:spacing w:after="0"/>
              <w:rPr>
                <w:sz w:val="6"/>
                <w:szCs w:val="6"/>
                <w:color w:val="auto"/>
              </w:rPr>
            </w:pPr>
          </w:p>
        </w:tc>
      </w:tr>
      <w:tr>
        <w:trPr>
          <w:trHeight w:val="203"/>
        </w:trPr>
        <w:tc>
          <w:tcPr>
            <w:tcW w:w="4020" w:type="dxa"/>
            <w:vAlign w:val="bottom"/>
            <w:shd w:val="clear" w:color="auto" w:fill="BFBFBF"/>
          </w:tcPr>
          <w:p>
            <w:pPr>
              <w:ind w:left="80"/>
              <w:spacing w:after="0"/>
              <w:rPr>
                <w:sz w:val="20"/>
                <w:szCs w:val="20"/>
                <w:color w:val="auto"/>
              </w:rPr>
            </w:pPr>
            <w:r>
              <w:rPr>
                <w:rFonts w:ascii="Arial" w:cs="Arial" w:eastAsia="Arial" w:hAnsi="Arial"/>
                <w:sz w:val="16"/>
                <w:szCs w:val="16"/>
                <w:color w:val="auto"/>
              </w:rPr>
              <w:t>Executive Officer</w:t>
            </w:r>
          </w:p>
        </w:tc>
        <w:tc>
          <w:tcPr>
            <w:tcW w:w="4780" w:type="dxa"/>
            <w:vAlign w:val="bottom"/>
            <w:shd w:val="clear" w:color="auto" w:fill="BFBFBF"/>
          </w:tcPr>
          <w:p>
            <w:pPr>
              <w:ind w:left="2960"/>
              <w:spacing w:after="0" w:line="202" w:lineRule="exact"/>
              <w:rPr>
                <w:sz w:val="20"/>
                <w:szCs w:val="20"/>
                <w:color w:val="auto"/>
              </w:rPr>
            </w:pPr>
            <w:r>
              <w:rPr>
                <w:rFonts w:ascii="Arial" w:cs="Arial" w:eastAsia="Arial" w:hAnsi="Arial"/>
                <w:sz w:val="18"/>
                <w:szCs w:val="18"/>
                <w:color w:val="auto"/>
              </w:rPr>
              <w:t>1x base salary</w:t>
            </w:r>
          </w:p>
        </w:tc>
      </w:tr>
    </w:tbl>
    <w:p>
      <w:pPr>
        <w:spacing w:after="0" w:line="161" w:lineRule="exact"/>
        <w:rPr>
          <w:sz w:val="20"/>
          <w:szCs w:val="20"/>
          <w:color w:val="auto"/>
        </w:rPr>
      </w:pPr>
    </w:p>
    <w:p>
      <w:pPr>
        <w:ind w:left="200" w:right="280" w:firstLine="551"/>
        <w:spacing w:after="0"/>
        <w:rPr>
          <w:sz w:val="20"/>
          <w:szCs w:val="20"/>
          <w:color w:val="auto"/>
        </w:rPr>
      </w:pPr>
      <w:r>
        <w:rPr>
          <w:rFonts w:ascii="Arial" w:cs="Arial" w:eastAsia="Arial" w:hAnsi="Arial"/>
          <w:sz w:val="18"/>
          <w:szCs w:val="18"/>
          <w:color w:val="auto"/>
        </w:rPr>
        <w:t>Our executive officers, including the CEO, are expected to satisfy the applicable guidelines within five years of the date on which they become an executive officer and to hold at least such minimum value in ordinary shares for so long as he or she is an executive officer.</w:t>
      </w:r>
    </w:p>
    <w:p>
      <w:pPr>
        <w:spacing w:after="0" w:line="149"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Ordinary shares held in a trust or other estate-planning vehicle established by an executive officer, which continue to be beneficially owned by such executive officer under SEC rules, count toward the executive officer achieving the applicable guideline level of share ownership. Vested and exercisable option awards held by an executive officer count toward achieving the applicable guideline level of share ownership at a rate of 50%, i.e. two vested option shares will count as one ordinary share. Outstanding service-based RSUs and outstanding performance-based RSUs for which the performance criteria have been met count toward achieving the applicable guideline level of share ownership at a rate of 100%.</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August 29, 2017, all of our executive officers had achieved their guideline level of share ownership, as reflected above.</w:t>
      </w:r>
    </w:p>
    <w:p>
      <w:pPr>
        <w:spacing w:after="0" w:line="158" w:lineRule="exact"/>
        <w:rPr>
          <w:sz w:val="20"/>
          <w:szCs w:val="20"/>
          <w:color w:val="auto"/>
        </w:rPr>
      </w:pPr>
    </w:p>
    <w:p>
      <w:pPr>
        <w:ind w:left="200" w:right="260" w:firstLine="551"/>
        <w:spacing w:after="0"/>
        <w:rPr>
          <w:sz w:val="20"/>
          <w:szCs w:val="20"/>
          <w:color w:val="auto"/>
        </w:rPr>
      </w:pPr>
      <w:r>
        <w:rPr>
          <w:rFonts w:ascii="Arial" w:cs="Arial" w:eastAsia="Arial" w:hAnsi="Arial"/>
          <w:sz w:val="18"/>
          <w:szCs w:val="18"/>
          <w:color w:val="auto"/>
        </w:rPr>
        <w:t>The Compensation Committee may, in its discretion, determine whether exceptions should be made in the case of any executive officer who, due to his or her financial circumstances or other special circumstances, would incur a hardship by complying with these share ownership guidelines.</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Hedging and Pledging Prohibitions</w:t>
      </w:r>
    </w:p>
    <w:p>
      <w:pPr>
        <w:spacing w:after="0" w:line="112" w:lineRule="exact"/>
        <w:rPr>
          <w:sz w:val="20"/>
          <w:szCs w:val="20"/>
          <w:color w:val="auto"/>
        </w:rPr>
      </w:pPr>
    </w:p>
    <w:p>
      <w:pPr>
        <w:jc w:val="both"/>
        <w:ind w:left="200" w:right="620" w:firstLine="551"/>
        <w:spacing w:after="0"/>
        <w:rPr>
          <w:sz w:val="20"/>
          <w:szCs w:val="20"/>
          <w:color w:val="auto"/>
        </w:rPr>
      </w:pPr>
      <w:r>
        <w:rPr>
          <w:rFonts w:ascii="Arial" w:cs="Arial" w:eastAsia="Arial" w:hAnsi="Arial"/>
          <w:sz w:val="18"/>
          <w:szCs w:val="18"/>
          <w:color w:val="auto"/>
        </w:rPr>
        <w:t>A core element of our compensation philosophy is to align the interests of our executives with those of our shareholders by providing appropriate long-term incentives. In furtherance of this philosophy, our insider trading policy prohibits our executives from hedging or pledging our securities, from making short sales, or trading in derivative securities related to our securities.</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2"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Executives employed by our participating subsidiaries, including all of our NEOs, may also participate in our Employee Share Purchase Plan (“</w:t>
      </w:r>
      <w:r>
        <w:rPr>
          <w:rFonts w:ascii="Arial" w:cs="Arial" w:eastAsia="Arial" w:hAnsi="Arial"/>
          <w:sz w:val="18"/>
          <w:szCs w:val="18"/>
          <w:u w:val="single" w:color="auto"/>
          <w:color w:val="auto"/>
        </w:rPr>
        <w:t>ESPP</w:t>
      </w:r>
      <w:r>
        <w:rPr>
          <w:rFonts w:ascii="Arial" w:cs="Arial" w:eastAsia="Arial" w:hAnsi="Arial"/>
          <w:sz w:val="18"/>
          <w:szCs w:val="18"/>
          <w:color w:val="auto"/>
        </w:rPr>
        <w:t>”). Our ESPP provides eligible employees with the opportunity to acquire our ordinary shares through periodic payroll deductions, at a 15% discount, based on a six-month “look-back” period. Our ESPP is structured in the U.S. as a qualified employee stock purchase plan under Section 423 of the Internal Revenue Code. Our ESPP requires participants to hold their purchased ordinary shares for a minimum of six months after any purchase date, unless they cease to be eligible to participate in the ESPP in which case the ordinary shares become freely tradable, subject to applicable securities laws and our insider trading policy.</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99" w:lineRule="exact"/>
        <w:rPr>
          <w:sz w:val="20"/>
          <w:szCs w:val="20"/>
          <w:color w:val="auto"/>
        </w:rPr>
      </w:pPr>
    </w:p>
    <w:p>
      <w:pPr>
        <w:ind w:left="200" w:right="40" w:firstLine="551"/>
        <w:spacing w:after="0" w:line="255" w:lineRule="auto"/>
        <w:rPr>
          <w:sz w:val="20"/>
          <w:szCs w:val="20"/>
          <w:color w:val="auto"/>
        </w:rPr>
      </w:pPr>
      <w:r>
        <w:rPr>
          <w:rFonts w:ascii="Arial" w:cs="Arial" w:eastAsia="Arial" w:hAnsi="Arial"/>
          <w:sz w:val="17"/>
          <w:szCs w:val="17"/>
          <w:color w:val="auto"/>
        </w:rPr>
        <w:t>The Compensation Committee believes that change in control and severance arrangements are important parts of the overall compensation program for our NEOs. Change in control provisions help to secure the continued employment and dedication of our NEOs, to reduce any concern that they might have regarding their own continued employment prior to or following a change in control of our Company, and to promote a continuity of management during a corporate transaction. Severance arrangements provide a stable work environment and are used primarily to attract, retain and motivate individuals with the requisite experience and ability to drive our success.</w:t>
      </w:r>
    </w:p>
    <w:p>
      <w:pPr>
        <w:spacing w:after="0" w:line="137"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Each of our NEOs is eligible for severance and change in control payments and benefits under his or her respective severance benefits agreement with us. The Compensation Committee provides such payments and benefits to the NEOs based on its review of severance practices at the companies in our compensation peer group and as the result of arms’ length negotiations at the time our NEOs enter into employment with us, when they are requested to take on additional responsibilities, or from time to time if deemed necessary or desirable to achieve parity with other NEOs or otherwise.</w:t>
      </w:r>
    </w:p>
    <w:p>
      <w:pPr>
        <w:spacing w:after="0" w:line="149" w:lineRule="exact"/>
        <w:rPr>
          <w:sz w:val="20"/>
          <w:szCs w:val="20"/>
          <w:color w:val="auto"/>
        </w:rPr>
      </w:pPr>
    </w:p>
    <w:p>
      <w:pPr>
        <w:ind w:left="200" w:right="200" w:firstLine="551"/>
        <w:spacing w:after="0" w:line="238" w:lineRule="auto"/>
        <w:rPr>
          <w:sz w:val="20"/>
          <w:szCs w:val="20"/>
          <w:color w:val="auto"/>
        </w:rPr>
      </w:pPr>
      <w:r>
        <w:rPr>
          <w:rFonts w:ascii="Arial" w:cs="Arial" w:eastAsia="Arial" w:hAnsi="Arial"/>
          <w:sz w:val="18"/>
          <w:szCs w:val="18"/>
          <w:color w:val="auto"/>
        </w:rPr>
        <w:t>The NEOs are entitled to severance and other benefits upon termination of employment without “cause” or for “good reason” (as each of those terms is defined in the agreement) or in the event of death or disability (a “</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The severance benefits agreements generally provide for continued base salary (12 months in the case of Mr. Tan and 9 months in the case of the other NEOs), bonus payment (100% in the case of Mr. Tan and 50% in the case of the other NEOs) and, other than in the case of Mr. Tan, health benefits continuation coverage (for 6 months) upon a qualifying termination.</w:t>
      </w:r>
    </w:p>
    <w:p>
      <w:pPr>
        <w:spacing w:after="0" w:line="149"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In the event of a qualifying termination within 12 months following a change in control of our Company (or in the case of Mr. Tan, three months before or 12 months following such a change in control) (a “</w:t>
      </w:r>
      <w:r>
        <w:rPr>
          <w:rFonts w:ascii="Arial" w:cs="Arial" w:eastAsia="Arial" w:hAnsi="Arial"/>
          <w:sz w:val="18"/>
          <w:szCs w:val="18"/>
          <w:u w:val="single" w:color="auto"/>
          <w:color w:val="auto"/>
        </w:rPr>
        <w:t>CIC qualifying termination</w:t>
      </w:r>
      <w:r>
        <w:rPr>
          <w:rFonts w:ascii="Arial" w:cs="Arial" w:eastAsia="Arial" w:hAnsi="Arial"/>
          <w:sz w:val="18"/>
          <w:szCs w:val="18"/>
          <w:color w:val="auto"/>
        </w:rPr>
        <w:t>”), the severance benefits agreements generally provide for continued base salary (24 months in the case of Mr. Tan and 12 months in the case of the other NEOs), bonus (200% in the case of Mr. Tan and 100% in the case of the other NEOs) and, other than in the case of Mr. Tan, health benefits continuation coverage (for 12 months).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In the event of a CIC qualifying termination, the agreements also provide for acceleration of all outstanding service-based equity awards and acceleration of outstanding performance-based equity awards based on actual performance. Vesting of the equity awards held by the NEOs will only accelerate following a CIC qualifying termination of employment, which is commonly referred to as a “double trigger” provision. We believe our double trigger change in control arrangements protects shareholder value by allowing us the opportunity to deliver a motivated management team to any potential acquirer. If we did not offer any such change in control arrangements, our NEOs could be less motivated to pursue a potential acquisition even if such a transaction would benefit our shareholders, due to the possibility that they would lose the potential value of their unvested equity compensation upon an acquisition.</w:t>
      </w:r>
    </w:p>
    <w:p>
      <w:pPr>
        <w:spacing w:after="0" w:line="149"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For a summary of the material terms and conditions of these arrangements, as well as an estimate of the post-employment payments and benefits that the NEOs are eligible to receive, see “</w:t>
      </w:r>
      <w:r>
        <w:rPr>
          <w:rFonts w:ascii="Arial" w:cs="Arial" w:eastAsia="Arial" w:hAnsi="Arial"/>
          <w:sz w:val="18"/>
          <w:szCs w:val="18"/>
          <w:i w:val="1"/>
          <w:iCs w:val="1"/>
          <w:color w:val="auto"/>
        </w:rPr>
        <w:t>Severance and Change in Control Agreements with Named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Death and Disability Policy; Employment Arrangements</w:t>
      </w:r>
      <w:r>
        <w:rPr>
          <w:rFonts w:ascii="Arial" w:cs="Arial" w:eastAsia="Arial" w:hAnsi="Arial"/>
          <w:sz w:val="18"/>
          <w:szCs w:val="18"/>
          <w:color w:val="auto"/>
        </w:rPr>
        <w:t>” below.</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1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Compensation Committee provides modest perquisites and other personal benefits to our executives on a case-by-case basis. Typically, the Compensation Committee will provide a perquisite to an executive in limited circumstances, such as where it believes that such benefit is appropriate to assist him or her in the performance of his or her duties, to make him or her more efficient and effective, and for recruitment, motivation or retention purposes. In Fiscal Year 2017, Mr. Tan received reimbursement for travel to his residence in Pennsylvania and a car service for business-related travel in the San Francisco Bay Area, both of which were approved by the Independent Directors. For additional information on the perquisites and other personal benefits provided to Mr. Tan in Fiscal Year 2017, see the “</w:t>
      </w:r>
      <w:r>
        <w:rPr>
          <w:rFonts w:ascii="Arial" w:cs="Arial" w:eastAsia="Arial" w:hAnsi="Arial"/>
          <w:sz w:val="18"/>
          <w:szCs w:val="18"/>
          <w:i w:val="1"/>
          <w:iCs w:val="1"/>
          <w:color w:val="auto"/>
        </w:rPr>
        <w:t>Fiscal Year 2017 Summary Compensation Table</w:t>
      </w:r>
      <w:r>
        <w:rPr>
          <w:rFonts w:ascii="Arial" w:cs="Arial" w:eastAsia="Arial" w:hAnsi="Arial"/>
          <w:sz w:val="18"/>
          <w:szCs w:val="18"/>
          <w:color w:val="auto"/>
        </w:rPr>
        <w:t>” below.</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Accounting and Tax Considerations</w:t>
      </w:r>
    </w:p>
    <w:p>
      <w:pPr>
        <w:spacing w:after="0" w:line="112" w:lineRule="exact"/>
        <w:rPr>
          <w:sz w:val="20"/>
          <w:szCs w:val="20"/>
          <w:color w:val="auto"/>
        </w:rPr>
      </w:pPr>
    </w:p>
    <w:p>
      <w:pPr>
        <w:jc w:val="both"/>
        <w:ind w:left="200" w:right="600" w:firstLine="551"/>
        <w:spacing w:after="0" w:line="246" w:lineRule="auto"/>
        <w:rPr>
          <w:sz w:val="20"/>
          <w:szCs w:val="20"/>
          <w:color w:val="auto"/>
        </w:rPr>
      </w:pPr>
      <w:r>
        <w:rPr>
          <w:rFonts w:ascii="Arial" w:cs="Arial" w:eastAsia="Arial" w:hAnsi="Arial"/>
          <w:sz w:val="18"/>
          <w:szCs w:val="18"/>
          <w:color w:val="auto"/>
        </w:rPr>
        <w:t>While the Compensation Committee and our Board generally consider the accounting and tax implications of their executive compensation decisions, neither element has been a material consideration in the compensation awarded to our NEOs historically.</w:t>
      </w:r>
    </w:p>
    <w:p>
      <w:pPr>
        <w:spacing w:after="0" w:line="143" w:lineRule="exact"/>
        <w:rPr>
          <w:sz w:val="20"/>
          <w:szCs w:val="20"/>
          <w:color w:val="auto"/>
        </w:rPr>
      </w:pPr>
    </w:p>
    <w:p>
      <w:pPr>
        <w:ind w:left="200" w:firstLine="551"/>
        <w:spacing w:after="0" w:line="234" w:lineRule="auto"/>
        <w:rPr>
          <w:sz w:val="20"/>
          <w:szCs w:val="20"/>
          <w:color w:val="auto"/>
        </w:rPr>
      </w:pPr>
      <w:r>
        <w:rPr>
          <w:rFonts w:ascii="Arial" w:cs="Arial" w:eastAsia="Arial" w:hAnsi="Arial"/>
          <w:sz w:val="18"/>
          <w:szCs w:val="18"/>
          <w:color w:val="auto"/>
        </w:rPr>
        <w:t>In addition, the Compensation Committee and our Board have considered the potential future effects of Section 162(m) of the Internal Revenue Code on the compensation paid to our executive officers. Section 162(m) disallowed a tax deduction for any publicly held corporation for individual compensation exceeding $1 million in any taxable year for our CEO and each of the other NEOs (other than our CFO), referred to as “covered employees”. Prior to the enactment of tax reform legislation on December 22, 2017 (the “2017 Tax Reform Act”), “qualified performance-based compensation” was exempt from this $1 million limitation. As part of the 2017 Tax Reform Act, the ability to rely on this “qualified performance-based compensation” exception was eliminated and the limitation on deductibility generally was expanded to include all NEOs. The Compensation Committee has not previously taken the deductibility limit imposed by</w:t>
      </w:r>
    </w:p>
    <w:p>
      <w:pPr>
        <w:spacing w:after="0" w:line="5"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Section 162(m) into consideration in setting compensation and as a result of the 2017 Tax Reform Act, a deduction for any compensation paid to our NEOs in excess of $1 million is disallowed.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COMMITTEE REPORT</w:t>
      </w:r>
    </w:p>
    <w:p>
      <w:pPr>
        <w:spacing w:after="0" w:line="180"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The Compensation Committee has reviewed and discussed with members of management the Compensation Discussion and Analysis section included in this proxy statement, as required by Item 402(b) of Regulation S-K. Based upon such review and related discussions, the Compensation Committee recommended to our Board that the Compensation Discussion and Analysis be included in this proxy statement for the Company’s 2018 Annual General Meeting of Shareholders.</w:t>
      </w:r>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Eddy W. Hartenstein, Chairperson</w:t>
      </w:r>
    </w:p>
    <w:p>
      <w:pPr>
        <w:ind w:left="200"/>
        <w:spacing w:after="0" w:line="234" w:lineRule="auto"/>
        <w:rPr>
          <w:sz w:val="20"/>
          <w:szCs w:val="20"/>
          <w:color w:val="auto"/>
        </w:rPr>
      </w:pPr>
      <w:r>
        <w:rPr>
          <w:rFonts w:ascii="Arial" w:cs="Arial" w:eastAsia="Arial" w:hAnsi="Arial"/>
          <w:sz w:val="18"/>
          <w:szCs w:val="18"/>
          <w:color w:val="auto"/>
        </w:rPr>
        <w:t>James V. Diller</w:t>
      </w:r>
    </w:p>
    <w:p>
      <w:pPr>
        <w:ind w:left="200"/>
        <w:spacing w:after="0" w:line="235" w:lineRule="auto"/>
        <w:rPr>
          <w:sz w:val="20"/>
          <w:szCs w:val="20"/>
          <w:color w:val="auto"/>
        </w:rPr>
      </w:pPr>
      <w:r>
        <w:rPr>
          <w:rFonts w:ascii="Arial" w:cs="Arial" w:eastAsia="Arial" w:hAnsi="Arial"/>
          <w:sz w:val="18"/>
          <w:szCs w:val="18"/>
          <w:color w:val="auto"/>
        </w:rPr>
        <w:t>Lewis C. Eggebrecht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Donald Macleod</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Fiscal Year 2017 Summary Compensation Table</w:t>
      </w:r>
    </w:p>
    <w:p>
      <w:pPr>
        <w:spacing w:after="0" w:line="126"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The following table sets forth information about compensation earned by our NEOs during Fiscal Year 2017, Fiscal Year 2016 and Fiscal Year 2015. Our NEOs consist of our CEO, our CFO, and each of our three other most highly compensated executive officers serving at the end of Fiscal Year 2017.</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392"/>
        </w:trPr>
        <w:tc>
          <w:tcPr>
            <w:tcW w:w="4220" w:type="dxa"/>
            <w:vAlign w:val="bottom"/>
            <w:shd w:val="clear" w:color="auto" w:fill="7F7F7F"/>
          </w:tcPr>
          <w:p>
            <w:pPr>
              <w:spacing w:after="0"/>
              <w:rPr>
                <w:sz w:val="24"/>
                <w:szCs w:val="24"/>
                <w:color w:val="auto"/>
              </w:rPr>
            </w:pPr>
          </w:p>
        </w:tc>
        <w:tc>
          <w:tcPr>
            <w:tcW w:w="600" w:type="dxa"/>
            <w:vAlign w:val="bottom"/>
            <w:shd w:val="clear" w:color="auto" w:fill="7F7F7F"/>
          </w:tcPr>
          <w:p>
            <w:pPr>
              <w:spacing w:after="0"/>
              <w:rPr>
                <w:sz w:val="24"/>
                <w:szCs w:val="24"/>
                <w:color w:val="auto"/>
              </w:rPr>
            </w:pPr>
          </w:p>
        </w:tc>
        <w:tc>
          <w:tcPr>
            <w:tcW w:w="820" w:type="dxa"/>
            <w:vAlign w:val="bottom"/>
            <w:shd w:val="clear" w:color="auto" w:fill="7F7F7F"/>
          </w:tcPr>
          <w:p>
            <w:pPr>
              <w:spacing w:after="0"/>
              <w:rPr>
                <w:sz w:val="24"/>
                <w:szCs w:val="24"/>
                <w:color w:val="auto"/>
              </w:rPr>
            </w:pPr>
          </w:p>
        </w:tc>
        <w:tc>
          <w:tcPr>
            <w:tcW w:w="840" w:type="dxa"/>
            <w:vAlign w:val="bottom"/>
            <w:shd w:val="clear" w:color="auto" w:fill="7F7F7F"/>
          </w:tcPr>
          <w:p>
            <w:pPr>
              <w:spacing w:after="0"/>
              <w:rPr>
                <w:sz w:val="24"/>
                <w:szCs w:val="24"/>
                <w:color w:val="auto"/>
              </w:rPr>
            </w:pPr>
          </w:p>
        </w:tc>
        <w:tc>
          <w:tcPr>
            <w:tcW w:w="1020" w:type="dxa"/>
            <w:vAlign w:val="bottom"/>
            <w:shd w:val="clear" w:color="auto" w:fill="7F7F7F"/>
          </w:tcPr>
          <w:p>
            <w:pPr>
              <w:spacing w:after="0"/>
              <w:rPr>
                <w:sz w:val="24"/>
                <w:szCs w:val="24"/>
                <w:color w:val="auto"/>
              </w:rPr>
            </w:pPr>
          </w:p>
        </w:tc>
        <w:tc>
          <w:tcPr>
            <w:tcW w:w="1280" w:type="dxa"/>
            <w:vAlign w:val="bottom"/>
            <w:shd w:val="clear" w:color="auto" w:fill="7F7F7F"/>
          </w:tcPr>
          <w:p>
            <w:pPr>
              <w:jc w:val="center"/>
              <w:ind w:right="109"/>
              <w:spacing w:after="0"/>
              <w:rPr>
                <w:sz w:val="20"/>
                <w:szCs w:val="20"/>
                <w:color w:val="auto"/>
              </w:rPr>
            </w:pPr>
            <w:r>
              <w:rPr>
                <w:rFonts w:ascii="Arial" w:cs="Arial" w:eastAsia="Arial" w:hAnsi="Arial"/>
                <w:sz w:val="14"/>
                <w:szCs w:val="14"/>
                <w:b w:val="1"/>
                <w:bCs w:val="1"/>
                <w:color w:val="FFFFFF"/>
              </w:rPr>
              <w:t>Non-Equity</w:t>
            </w:r>
          </w:p>
        </w:tc>
        <w:tc>
          <w:tcPr>
            <w:tcW w:w="1280" w:type="dxa"/>
            <w:vAlign w:val="bottom"/>
            <w:shd w:val="clear" w:color="auto" w:fill="7F7F7F"/>
          </w:tcPr>
          <w:p>
            <w:pPr>
              <w:spacing w:after="0"/>
              <w:rPr>
                <w:sz w:val="24"/>
                <w:szCs w:val="24"/>
                <w:color w:val="auto"/>
              </w:rPr>
            </w:pPr>
          </w:p>
        </w:tc>
        <w:tc>
          <w:tcPr>
            <w:tcW w:w="960" w:type="dxa"/>
            <w:vAlign w:val="bottom"/>
            <w:shd w:val="clear" w:color="auto" w:fill="7F7F7F"/>
          </w:tcPr>
          <w:p>
            <w:pPr>
              <w:spacing w:after="0"/>
              <w:rPr>
                <w:sz w:val="24"/>
                <w:szCs w:val="24"/>
                <w:color w:val="auto"/>
              </w:rPr>
            </w:pPr>
          </w:p>
        </w:tc>
      </w:tr>
      <w:tr>
        <w:trPr>
          <w:trHeight w:val="162"/>
        </w:trPr>
        <w:tc>
          <w:tcPr>
            <w:tcW w:w="4220" w:type="dxa"/>
            <w:vAlign w:val="bottom"/>
            <w:shd w:val="clear" w:color="auto" w:fill="7F7F7F"/>
          </w:tcPr>
          <w:p>
            <w:pPr>
              <w:spacing w:after="0"/>
              <w:rPr>
                <w:sz w:val="14"/>
                <w:szCs w:val="14"/>
                <w:color w:val="auto"/>
              </w:rPr>
            </w:pPr>
          </w:p>
        </w:tc>
        <w:tc>
          <w:tcPr>
            <w:tcW w:w="600" w:type="dxa"/>
            <w:vAlign w:val="bottom"/>
            <w:shd w:val="clear" w:color="auto" w:fill="7F7F7F"/>
          </w:tcPr>
          <w:p>
            <w:pPr>
              <w:spacing w:after="0"/>
              <w:rPr>
                <w:sz w:val="14"/>
                <w:szCs w:val="14"/>
                <w:color w:val="auto"/>
              </w:rPr>
            </w:pPr>
          </w:p>
        </w:tc>
        <w:tc>
          <w:tcPr>
            <w:tcW w:w="820" w:type="dxa"/>
            <w:vAlign w:val="bottom"/>
            <w:shd w:val="clear" w:color="auto" w:fill="7F7F7F"/>
          </w:tcPr>
          <w:p>
            <w:pPr>
              <w:spacing w:after="0"/>
              <w:rPr>
                <w:sz w:val="14"/>
                <w:szCs w:val="14"/>
                <w:color w:val="auto"/>
              </w:rPr>
            </w:pPr>
          </w:p>
        </w:tc>
        <w:tc>
          <w:tcPr>
            <w:tcW w:w="840" w:type="dxa"/>
            <w:vAlign w:val="bottom"/>
            <w:shd w:val="clear" w:color="auto" w:fill="7F7F7F"/>
          </w:tcPr>
          <w:p>
            <w:pPr>
              <w:spacing w:after="0"/>
              <w:rPr>
                <w:sz w:val="14"/>
                <w:szCs w:val="14"/>
                <w:color w:val="auto"/>
              </w:rPr>
            </w:pPr>
          </w:p>
        </w:tc>
        <w:tc>
          <w:tcPr>
            <w:tcW w:w="102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Stock</w:t>
            </w:r>
          </w:p>
        </w:tc>
        <w:tc>
          <w:tcPr>
            <w:tcW w:w="1280" w:type="dxa"/>
            <w:vAlign w:val="bottom"/>
            <w:shd w:val="clear" w:color="auto" w:fill="7F7F7F"/>
          </w:tcPr>
          <w:p>
            <w:pPr>
              <w:jc w:val="center"/>
              <w:ind w:right="109"/>
              <w:spacing w:after="0"/>
              <w:rPr>
                <w:sz w:val="20"/>
                <w:szCs w:val="20"/>
                <w:color w:val="auto"/>
              </w:rPr>
            </w:pPr>
            <w:r>
              <w:rPr>
                <w:rFonts w:ascii="Arial" w:cs="Arial" w:eastAsia="Arial" w:hAnsi="Arial"/>
                <w:sz w:val="14"/>
                <w:szCs w:val="14"/>
                <w:b w:val="1"/>
                <w:bCs w:val="1"/>
                <w:color w:val="FFFFFF"/>
              </w:rPr>
              <w:t>Incentive Plan</w:t>
            </w:r>
          </w:p>
        </w:tc>
        <w:tc>
          <w:tcPr>
            <w:tcW w:w="1280" w:type="dxa"/>
            <w:vAlign w:val="bottom"/>
            <w:shd w:val="clear" w:color="auto" w:fill="7F7F7F"/>
          </w:tcPr>
          <w:p>
            <w:pPr>
              <w:jc w:val="right"/>
              <w:ind w:right="370"/>
              <w:spacing w:after="0"/>
              <w:rPr>
                <w:sz w:val="20"/>
                <w:szCs w:val="20"/>
                <w:color w:val="auto"/>
              </w:rPr>
            </w:pPr>
            <w:r>
              <w:rPr>
                <w:rFonts w:ascii="Arial" w:cs="Arial" w:eastAsia="Arial" w:hAnsi="Arial"/>
                <w:sz w:val="14"/>
                <w:szCs w:val="14"/>
                <w:b w:val="1"/>
                <w:bCs w:val="1"/>
                <w:color w:val="FFFFFF"/>
              </w:rPr>
              <w:t>All Other</w:t>
            </w:r>
          </w:p>
        </w:tc>
        <w:tc>
          <w:tcPr>
            <w:tcW w:w="960" w:type="dxa"/>
            <w:vAlign w:val="bottom"/>
            <w:shd w:val="clear" w:color="auto" w:fill="7F7F7F"/>
          </w:tcPr>
          <w:p>
            <w:pPr>
              <w:spacing w:after="0"/>
              <w:rPr>
                <w:sz w:val="14"/>
                <w:szCs w:val="14"/>
                <w:color w:val="auto"/>
              </w:rPr>
            </w:pPr>
          </w:p>
        </w:tc>
      </w:tr>
      <w:tr>
        <w:trPr>
          <w:trHeight w:val="162"/>
        </w:trPr>
        <w:tc>
          <w:tcPr>
            <w:tcW w:w="4220" w:type="dxa"/>
            <w:vAlign w:val="bottom"/>
            <w:shd w:val="clear" w:color="auto" w:fill="7F7F7F"/>
          </w:tcPr>
          <w:p>
            <w:pPr>
              <w:ind w:left="20"/>
              <w:spacing w:after="0"/>
              <w:rPr>
                <w:sz w:val="20"/>
                <w:szCs w:val="20"/>
                <w:color w:val="auto"/>
              </w:rPr>
            </w:pPr>
            <w:r>
              <w:rPr>
                <w:rFonts w:ascii="Arial" w:cs="Arial" w:eastAsia="Arial" w:hAnsi="Arial"/>
                <w:sz w:val="14"/>
                <w:szCs w:val="14"/>
                <w:b w:val="1"/>
                <w:bCs w:val="1"/>
                <w:color w:val="FFFFFF"/>
              </w:rPr>
              <w:t>Name and Principal</w:t>
            </w:r>
          </w:p>
        </w:tc>
        <w:tc>
          <w:tcPr>
            <w:tcW w:w="600" w:type="dxa"/>
            <w:vAlign w:val="bottom"/>
            <w:shd w:val="clear" w:color="auto" w:fill="7F7F7F"/>
          </w:tcPr>
          <w:p>
            <w:pPr>
              <w:jc w:val="right"/>
              <w:ind w:right="28"/>
              <w:spacing w:after="0"/>
              <w:rPr>
                <w:sz w:val="20"/>
                <w:szCs w:val="20"/>
                <w:color w:val="auto"/>
              </w:rPr>
            </w:pPr>
            <w:r>
              <w:rPr>
                <w:rFonts w:ascii="Arial" w:cs="Arial" w:eastAsia="Arial" w:hAnsi="Arial"/>
                <w:sz w:val="14"/>
                <w:szCs w:val="14"/>
                <w:b w:val="1"/>
                <w:bCs w:val="1"/>
                <w:color w:val="FFFFFF"/>
              </w:rPr>
              <w:t>Fiscal</w:t>
            </w:r>
          </w:p>
        </w:tc>
        <w:tc>
          <w:tcPr>
            <w:tcW w:w="820" w:type="dxa"/>
            <w:vAlign w:val="bottom"/>
            <w:shd w:val="clear" w:color="auto" w:fill="7F7F7F"/>
          </w:tcPr>
          <w:p>
            <w:pPr>
              <w:jc w:val="right"/>
              <w:ind w:right="148"/>
              <w:spacing w:after="0"/>
              <w:rPr>
                <w:sz w:val="20"/>
                <w:szCs w:val="20"/>
                <w:color w:val="auto"/>
              </w:rPr>
            </w:pPr>
            <w:r>
              <w:rPr>
                <w:rFonts w:ascii="Arial" w:cs="Arial" w:eastAsia="Arial" w:hAnsi="Arial"/>
                <w:sz w:val="14"/>
                <w:szCs w:val="14"/>
                <w:b w:val="1"/>
                <w:bCs w:val="1"/>
                <w:color w:val="FFFFFF"/>
              </w:rPr>
              <w:t>Salary</w:t>
            </w:r>
          </w:p>
        </w:tc>
        <w:tc>
          <w:tcPr>
            <w:tcW w:w="840" w:type="dxa"/>
            <w:vAlign w:val="bottom"/>
            <w:shd w:val="clear" w:color="auto" w:fill="7F7F7F"/>
          </w:tcPr>
          <w:p>
            <w:pPr>
              <w:jc w:val="right"/>
              <w:ind w:right="229"/>
              <w:spacing w:after="0"/>
              <w:rPr>
                <w:sz w:val="20"/>
                <w:szCs w:val="20"/>
                <w:color w:val="auto"/>
              </w:rPr>
            </w:pPr>
            <w:r>
              <w:rPr>
                <w:rFonts w:ascii="Arial" w:cs="Arial" w:eastAsia="Arial" w:hAnsi="Arial"/>
                <w:sz w:val="14"/>
                <w:szCs w:val="14"/>
                <w:b w:val="1"/>
                <w:bCs w:val="1"/>
                <w:color w:val="FFFFFF"/>
              </w:rPr>
              <w:t>Bonus</w:t>
            </w:r>
          </w:p>
        </w:tc>
        <w:tc>
          <w:tcPr>
            <w:tcW w:w="102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Awards</w:t>
            </w:r>
          </w:p>
        </w:tc>
        <w:tc>
          <w:tcPr>
            <w:tcW w:w="1280" w:type="dxa"/>
            <w:vAlign w:val="bottom"/>
            <w:shd w:val="clear" w:color="auto" w:fill="7F7F7F"/>
          </w:tcPr>
          <w:p>
            <w:pPr>
              <w:jc w:val="center"/>
              <w:ind w:right="89"/>
              <w:spacing w:after="0"/>
              <w:rPr>
                <w:sz w:val="20"/>
                <w:szCs w:val="20"/>
                <w:color w:val="auto"/>
              </w:rPr>
            </w:pPr>
            <w:r>
              <w:rPr>
                <w:rFonts w:ascii="Arial" w:cs="Arial" w:eastAsia="Arial" w:hAnsi="Arial"/>
                <w:sz w:val="14"/>
                <w:szCs w:val="14"/>
                <w:b w:val="1"/>
                <w:bCs w:val="1"/>
                <w:color w:val="FFFFFF"/>
              </w:rPr>
              <w:t>Compensation</w:t>
            </w:r>
          </w:p>
        </w:tc>
        <w:tc>
          <w:tcPr>
            <w:tcW w:w="1280" w:type="dxa"/>
            <w:vAlign w:val="bottom"/>
            <w:shd w:val="clear" w:color="auto" w:fill="7F7F7F"/>
          </w:tcPr>
          <w:p>
            <w:pPr>
              <w:jc w:val="right"/>
              <w:ind w:right="150"/>
              <w:spacing w:after="0"/>
              <w:rPr>
                <w:sz w:val="20"/>
                <w:szCs w:val="20"/>
                <w:color w:val="auto"/>
              </w:rPr>
            </w:pPr>
            <w:r>
              <w:rPr>
                <w:rFonts w:ascii="Arial" w:cs="Arial" w:eastAsia="Arial" w:hAnsi="Arial"/>
                <w:sz w:val="14"/>
                <w:szCs w:val="14"/>
                <w:b w:val="1"/>
                <w:bCs w:val="1"/>
                <w:color w:val="FFFFFF"/>
              </w:rPr>
              <w:t>Compensation</w:t>
            </w:r>
          </w:p>
        </w:tc>
        <w:tc>
          <w:tcPr>
            <w:tcW w:w="960" w:type="dxa"/>
            <w:vAlign w:val="bottom"/>
            <w:shd w:val="clear" w:color="auto" w:fill="7F7F7F"/>
          </w:tcPr>
          <w:p>
            <w:pPr>
              <w:jc w:val="right"/>
              <w:ind w:right="268"/>
              <w:spacing w:after="0"/>
              <w:rPr>
                <w:sz w:val="20"/>
                <w:szCs w:val="20"/>
                <w:color w:val="auto"/>
              </w:rPr>
            </w:pPr>
            <w:r>
              <w:rPr>
                <w:rFonts w:ascii="Arial" w:cs="Arial" w:eastAsia="Arial" w:hAnsi="Arial"/>
                <w:sz w:val="14"/>
                <w:szCs w:val="14"/>
                <w:b w:val="1"/>
                <w:bCs w:val="1"/>
                <w:color w:val="FFFFFF"/>
              </w:rPr>
              <w:t>Total</w:t>
            </w:r>
          </w:p>
        </w:tc>
      </w:tr>
      <w:tr>
        <w:trPr>
          <w:trHeight w:val="189"/>
        </w:trPr>
        <w:tc>
          <w:tcPr>
            <w:tcW w:w="4220" w:type="dxa"/>
            <w:vAlign w:val="bottom"/>
            <w:shd w:val="clear" w:color="auto" w:fill="7F7F7F"/>
          </w:tcPr>
          <w:p>
            <w:pPr>
              <w:ind w:left="20"/>
              <w:spacing w:after="0"/>
              <w:rPr>
                <w:sz w:val="20"/>
                <w:szCs w:val="20"/>
                <w:color w:val="auto"/>
              </w:rPr>
            </w:pPr>
            <w:r>
              <w:rPr>
                <w:rFonts w:ascii="Arial" w:cs="Arial" w:eastAsia="Arial" w:hAnsi="Arial"/>
                <w:sz w:val="14"/>
                <w:szCs w:val="14"/>
                <w:b w:val="1"/>
                <w:bCs w:val="1"/>
                <w:color w:val="FFFFFF"/>
              </w:rPr>
              <w:t>Positions</w:t>
            </w:r>
          </w:p>
        </w:tc>
        <w:tc>
          <w:tcPr>
            <w:tcW w:w="600" w:type="dxa"/>
            <w:vAlign w:val="bottom"/>
            <w:shd w:val="clear" w:color="auto" w:fill="7F7F7F"/>
          </w:tcPr>
          <w:p>
            <w:pPr>
              <w:jc w:val="right"/>
              <w:ind w:right="88"/>
              <w:spacing w:after="0"/>
              <w:rPr>
                <w:sz w:val="20"/>
                <w:szCs w:val="20"/>
                <w:color w:val="auto"/>
              </w:rPr>
            </w:pPr>
            <w:r>
              <w:rPr>
                <w:rFonts w:ascii="Arial" w:cs="Arial" w:eastAsia="Arial" w:hAnsi="Arial"/>
                <w:sz w:val="14"/>
                <w:szCs w:val="14"/>
                <w:b w:val="1"/>
                <w:bCs w:val="1"/>
                <w:color w:val="FFFFFF"/>
              </w:rPr>
              <w:t>Year</w:t>
            </w:r>
          </w:p>
        </w:tc>
        <w:tc>
          <w:tcPr>
            <w:tcW w:w="820" w:type="dxa"/>
            <w:vAlign w:val="bottom"/>
            <w:shd w:val="clear" w:color="auto" w:fill="7F7F7F"/>
          </w:tcPr>
          <w:p>
            <w:pPr>
              <w:jc w:val="right"/>
              <w:ind w:right="268"/>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7F7F7F"/>
          </w:tcPr>
          <w:p>
            <w:pPr>
              <w:jc w:val="right"/>
              <w:ind w:right="369"/>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7F7F7F"/>
          </w:tcPr>
          <w:p>
            <w:pPr>
              <w:jc w:val="center"/>
              <w:spacing w:after="0" w:line="189"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(1)</w:t>
            </w:r>
          </w:p>
        </w:tc>
        <w:tc>
          <w:tcPr>
            <w:tcW w:w="1280" w:type="dxa"/>
            <w:vAlign w:val="bottom"/>
            <w:shd w:val="clear" w:color="auto" w:fill="7F7F7F"/>
          </w:tcPr>
          <w:p>
            <w:pPr>
              <w:jc w:val="center"/>
              <w:ind w:right="89"/>
              <w:spacing w:after="0" w:line="189" w:lineRule="exact"/>
              <w:rPr>
                <w:sz w:val="20"/>
                <w:szCs w:val="20"/>
                <w:color w:val="auto"/>
              </w:rPr>
            </w:pPr>
            <w:r>
              <w:rPr>
                <w:rFonts w:ascii="Arial" w:cs="Arial" w:eastAsia="Arial" w:hAnsi="Arial"/>
                <w:sz w:val="13"/>
                <w:szCs w:val="13"/>
                <w:b w:val="1"/>
                <w:bCs w:val="1"/>
                <w:color w:val="FFFFFF"/>
                <w:w w:val="96"/>
              </w:rPr>
              <w:t>($)</w:t>
            </w:r>
            <w:r>
              <w:rPr>
                <w:rFonts w:ascii="Arial" w:cs="Arial" w:eastAsia="Arial" w:hAnsi="Arial"/>
                <w:sz w:val="21"/>
                <w:szCs w:val="21"/>
                <w:b w:val="1"/>
                <w:bCs w:val="1"/>
                <w:color w:val="FFFFFF"/>
                <w:w w:val="96"/>
                <w:vertAlign w:val="superscript"/>
              </w:rPr>
              <w:t>(2)</w:t>
            </w:r>
          </w:p>
        </w:tc>
        <w:tc>
          <w:tcPr>
            <w:tcW w:w="1280" w:type="dxa"/>
            <w:vAlign w:val="bottom"/>
            <w:shd w:val="clear" w:color="auto" w:fill="7F7F7F"/>
          </w:tcPr>
          <w:p>
            <w:pPr>
              <w:jc w:val="right"/>
              <w:ind w:right="570"/>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7F7F7F"/>
          </w:tcPr>
          <w:p>
            <w:pPr>
              <w:jc w:val="right"/>
              <w:ind w:right="348"/>
              <w:spacing w:after="0"/>
              <w:rPr>
                <w:sz w:val="20"/>
                <w:szCs w:val="20"/>
                <w:color w:val="auto"/>
              </w:rPr>
            </w:pPr>
            <w:r>
              <w:rPr>
                <w:rFonts w:ascii="Arial" w:cs="Arial" w:eastAsia="Arial" w:hAnsi="Arial"/>
                <w:sz w:val="14"/>
                <w:szCs w:val="14"/>
                <w:b w:val="1"/>
                <w:bCs w:val="1"/>
                <w:color w:val="FFFFFF"/>
              </w:rPr>
              <w:t>($)</w:t>
            </w:r>
          </w:p>
        </w:tc>
      </w:tr>
      <w:tr>
        <w:trPr>
          <w:trHeight w:val="240"/>
        </w:trPr>
        <w:tc>
          <w:tcPr>
            <w:tcW w:w="4220" w:type="dxa"/>
            <w:vAlign w:val="bottom"/>
          </w:tcPr>
          <w:p>
            <w:pPr>
              <w:ind w:left="20"/>
              <w:spacing w:after="0"/>
              <w:rPr>
                <w:sz w:val="20"/>
                <w:szCs w:val="20"/>
                <w:color w:val="auto"/>
              </w:rPr>
            </w:pPr>
            <w:r>
              <w:rPr>
                <w:rFonts w:ascii="Arial" w:cs="Arial" w:eastAsia="Arial" w:hAnsi="Arial"/>
                <w:sz w:val="14"/>
                <w:szCs w:val="14"/>
                <w:color w:val="auto"/>
              </w:rPr>
              <w:t>Hock E. Tan</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1,100,000</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020" w:type="dxa"/>
            <w:vAlign w:val="bottom"/>
          </w:tcPr>
          <w:p>
            <w:pPr>
              <w:jc w:val="right"/>
              <w:spacing w:after="0"/>
              <w:rPr>
                <w:sz w:val="20"/>
                <w:szCs w:val="20"/>
                <w:color w:val="auto"/>
              </w:rPr>
            </w:pPr>
            <w:r>
              <w:rPr>
                <w:rFonts w:ascii="Arial" w:cs="Arial" w:eastAsia="Arial" w:hAnsi="Arial"/>
                <w:sz w:val="14"/>
                <w:szCs w:val="14"/>
                <w:color w:val="auto"/>
              </w:rPr>
              <w:t>98,322,843</w:t>
            </w:r>
          </w:p>
        </w:tc>
        <w:tc>
          <w:tcPr>
            <w:tcW w:w="1280" w:type="dxa"/>
            <w:vAlign w:val="bottom"/>
          </w:tcPr>
          <w:p>
            <w:pPr>
              <w:jc w:val="right"/>
              <w:ind w:right="149"/>
              <w:spacing w:after="0"/>
              <w:rPr>
                <w:sz w:val="20"/>
                <w:szCs w:val="20"/>
                <w:color w:val="auto"/>
              </w:rPr>
            </w:pPr>
            <w:r>
              <w:rPr>
                <w:rFonts w:ascii="Arial" w:cs="Arial" w:eastAsia="Arial" w:hAnsi="Arial"/>
                <w:sz w:val="14"/>
                <w:szCs w:val="14"/>
                <w:color w:val="auto"/>
              </w:rPr>
              <w:t>3,712,500</w:t>
            </w:r>
          </w:p>
        </w:tc>
        <w:tc>
          <w:tcPr>
            <w:tcW w:w="1280" w:type="dxa"/>
            <w:vAlign w:val="bottom"/>
          </w:tcPr>
          <w:p>
            <w:pPr>
              <w:jc w:val="right"/>
              <w:spacing w:after="0" w:line="241" w:lineRule="exact"/>
              <w:rPr>
                <w:sz w:val="20"/>
                <w:szCs w:val="20"/>
                <w:color w:val="auto"/>
              </w:rPr>
            </w:pPr>
            <w:r>
              <w:rPr>
                <w:rFonts w:ascii="Arial" w:cs="Arial" w:eastAsia="Arial" w:hAnsi="Arial"/>
                <w:sz w:val="14"/>
                <w:szCs w:val="14"/>
                <w:color w:val="auto"/>
              </w:rPr>
              <w:t>75,820</w:t>
            </w:r>
            <w:r>
              <w:rPr>
                <w:rFonts w:ascii="Arial" w:cs="Arial" w:eastAsia="Arial" w:hAnsi="Arial"/>
                <w:sz w:val="24"/>
                <w:szCs w:val="24"/>
                <w:color w:val="auto"/>
                <w:vertAlign w:val="superscript"/>
              </w:rPr>
              <w:t>(3)</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103,211,163</w:t>
            </w:r>
          </w:p>
        </w:tc>
      </w:tr>
      <w:tr>
        <w:trPr>
          <w:trHeight w:val="170"/>
        </w:trPr>
        <w:tc>
          <w:tcPr>
            <w:tcW w:w="4220" w:type="dxa"/>
            <w:vAlign w:val="bottom"/>
          </w:tcPr>
          <w:p>
            <w:pPr>
              <w:ind w:left="20"/>
              <w:spacing w:after="0"/>
              <w:rPr>
                <w:sz w:val="20"/>
                <w:szCs w:val="20"/>
                <w:color w:val="auto"/>
              </w:rPr>
            </w:pPr>
            <w:r>
              <w:rPr>
                <w:rFonts w:ascii="Arial" w:cs="Arial" w:eastAsia="Arial" w:hAnsi="Arial"/>
                <w:sz w:val="14"/>
                <w:szCs w:val="14"/>
                <w:color w:val="auto"/>
              </w:rPr>
              <w:t>President and Chief</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2016</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1,011,662</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020" w:type="dxa"/>
            <w:vAlign w:val="bottom"/>
          </w:tcPr>
          <w:p>
            <w:pPr>
              <w:jc w:val="right"/>
              <w:spacing w:after="0" w:line="170" w:lineRule="exact"/>
              <w:rPr>
                <w:sz w:val="20"/>
                <w:szCs w:val="20"/>
                <w:color w:val="auto"/>
              </w:rPr>
            </w:pPr>
            <w:r>
              <w:rPr>
                <w:rFonts w:ascii="Arial" w:cs="Arial" w:eastAsia="Arial" w:hAnsi="Arial"/>
                <w:sz w:val="12"/>
                <w:szCs w:val="12"/>
                <w:color w:val="auto"/>
              </w:rPr>
              <w:t>21,656,268</w:t>
            </w:r>
            <w:r>
              <w:rPr>
                <w:rFonts w:ascii="Arial" w:cs="Arial" w:eastAsia="Arial" w:hAnsi="Arial"/>
                <w:sz w:val="19"/>
                <w:szCs w:val="19"/>
                <w:color w:val="auto"/>
                <w:vertAlign w:val="superscript"/>
              </w:rPr>
              <w:t>(4)</w:t>
            </w:r>
          </w:p>
        </w:tc>
        <w:tc>
          <w:tcPr>
            <w:tcW w:w="1280" w:type="dxa"/>
            <w:vAlign w:val="bottom"/>
          </w:tcPr>
          <w:p>
            <w:pPr>
              <w:jc w:val="right"/>
              <w:ind w:right="9"/>
              <w:spacing w:after="0" w:line="170" w:lineRule="exact"/>
              <w:rPr>
                <w:sz w:val="20"/>
                <w:szCs w:val="20"/>
                <w:color w:val="auto"/>
              </w:rPr>
            </w:pPr>
            <w:r>
              <w:rPr>
                <w:rFonts w:ascii="Arial" w:cs="Arial" w:eastAsia="Arial" w:hAnsi="Arial"/>
                <w:sz w:val="12"/>
                <w:szCs w:val="12"/>
                <w:color w:val="auto"/>
              </w:rPr>
              <w:t>1,980,516</w:t>
            </w:r>
            <w:r>
              <w:rPr>
                <w:rFonts w:ascii="Arial" w:cs="Arial" w:eastAsia="Arial" w:hAnsi="Arial"/>
                <w:sz w:val="19"/>
                <w:szCs w:val="19"/>
                <w:color w:val="auto"/>
                <w:vertAlign w:val="superscript"/>
              </w:rPr>
              <w:t>(5)</w:t>
            </w:r>
          </w:p>
        </w:tc>
        <w:tc>
          <w:tcPr>
            <w:tcW w:w="1280" w:type="dxa"/>
            <w:vAlign w:val="bottom"/>
          </w:tcPr>
          <w:p>
            <w:pPr>
              <w:jc w:val="right"/>
              <w:ind w:right="150"/>
              <w:spacing w:after="0"/>
              <w:rPr>
                <w:sz w:val="20"/>
                <w:szCs w:val="20"/>
                <w:color w:val="auto"/>
              </w:rPr>
            </w:pPr>
            <w:r>
              <w:rPr>
                <w:rFonts w:ascii="Arial" w:cs="Arial" w:eastAsia="Arial" w:hAnsi="Arial"/>
                <w:sz w:val="14"/>
                <w:szCs w:val="14"/>
                <w:color w:val="auto"/>
              </w:rPr>
              <w:t>43,601</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24,692,047</w:t>
            </w:r>
          </w:p>
        </w:tc>
      </w:tr>
      <w:tr>
        <w:trPr>
          <w:trHeight w:val="186"/>
        </w:trPr>
        <w:tc>
          <w:tcPr>
            <w:tcW w:w="4220" w:type="dxa"/>
            <w:vAlign w:val="bottom"/>
          </w:tcPr>
          <w:p>
            <w:pPr>
              <w:ind w:left="20"/>
              <w:spacing w:after="0"/>
              <w:rPr>
                <w:sz w:val="20"/>
                <w:szCs w:val="20"/>
                <w:color w:val="auto"/>
              </w:rPr>
            </w:pPr>
            <w:r>
              <w:rPr>
                <w:rFonts w:ascii="Arial" w:cs="Arial" w:eastAsia="Arial" w:hAnsi="Arial"/>
                <w:sz w:val="14"/>
                <w:szCs w:val="14"/>
                <w:color w:val="auto"/>
              </w:rPr>
              <w:t>Executive Officer</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2015</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910,461</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149"/>
              <w:spacing w:after="0"/>
              <w:rPr>
                <w:sz w:val="20"/>
                <w:szCs w:val="20"/>
                <w:color w:val="auto"/>
              </w:rPr>
            </w:pPr>
            <w:r>
              <w:rPr>
                <w:rFonts w:ascii="Arial" w:cs="Arial" w:eastAsia="Arial" w:hAnsi="Arial"/>
                <w:sz w:val="14"/>
                <w:szCs w:val="14"/>
                <w:color w:val="auto"/>
              </w:rPr>
              <w:t>3,061,384</w:t>
            </w:r>
          </w:p>
        </w:tc>
        <w:tc>
          <w:tcPr>
            <w:tcW w:w="1280" w:type="dxa"/>
            <w:vAlign w:val="bottom"/>
          </w:tcPr>
          <w:p>
            <w:pPr>
              <w:jc w:val="right"/>
              <w:ind w:right="150"/>
              <w:spacing w:after="0"/>
              <w:rPr>
                <w:sz w:val="20"/>
                <w:szCs w:val="20"/>
                <w:color w:val="auto"/>
              </w:rPr>
            </w:pPr>
            <w:r>
              <w:rPr>
                <w:rFonts w:ascii="Arial" w:cs="Arial" w:eastAsia="Arial" w:hAnsi="Arial"/>
                <w:sz w:val="14"/>
                <w:szCs w:val="14"/>
                <w:color w:val="auto"/>
              </w:rPr>
              <w:t>53,923</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4,025,768</w:t>
            </w:r>
          </w:p>
        </w:tc>
      </w:tr>
      <w:tr>
        <w:trPr>
          <w:trHeight w:val="147"/>
        </w:trPr>
        <w:tc>
          <w:tcPr>
            <w:tcW w:w="4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2"/>
        </w:trPr>
        <w:tc>
          <w:tcPr>
            <w:tcW w:w="4220" w:type="dxa"/>
            <w:vAlign w:val="bottom"/>
            <w:shd w:val="clear" w:color="auto" w:fill="BFBFBF"/>
          </w:tcPr>
          <w:p>
            <w:pPr>
              <w:ind w:left="20"/>
              <w:spacing w:after="0"/>
              <w:rPr>
                <w:sz w:val="20"/>
                <w:szCs w:val="20"/>
                <w:color w:val="auto"/>
              </w:rPr>
            </w:pPr>
            <w:r>
              <w:rPr>
                <w:rFonts w:ascii="Arial" w:cs="Arial" w:eastAsia="Arial" w:hAnsi="Arial"/>
                <w:sz w:val="14"/>
                <w:szCs w:val="14"/>
                <w:color w:val="auto"/>
              </w:rPr>
              <w:t>Thomas H. Krause Jr.</w:t>
            </w:r>
          </w:p>
        </w:tc>
        <w:tc>
          <w:tcPr>
            <w:tcW w:w="6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2017</w:t>
            </w:r>
          </w:p>
        </w:tc>
        <w:tc>
          <w:tcPr>
            <w:tcW w:w="82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400,000</w:t>
            </w:r>
          </w:p>
        </w:tc>
        <w:tc>
          <w:tcPr>
            <w:tcW w:w="840" w:type="dxa"/>
            <w:vAlign w:val="bottom"/>
            <w:shd w:val="clear" w:color="auto" w:fill="BFBFBF"/>
          </w:tcPr>
          <w:p>
            <w:pPr>
              <w:jc w:val="right"/>
              <w:ind w:right="9"/>
              <w:spacing w:after="0" w:line="162" w:lineRule="exact"/>
              <w:rPr>
                <w:sz w:val="20"/>
                <w:szCs w:val="20"/>
                <w:color w:val="auto"/>
              </w:rPr>
            </w:pPr>
            <w:r>
              <w:rPr>
                <w:rFonts w:ascii="Arial" w:cs="Arial" w:eastAsia="Arial" w:hAnsi="Arial"/>
                <w:sz w:val="11"/>
                <w:szCs w:val="11"/>
                <w:color w:val="auto"/>
              </w:rPr>
              <w:t>100,000</w:t>
            </w:r>
            <w:r>
              <w:rPr>
                <w:rFonts w:ascii="Arial" w:cs="Arial" w:eastAsia="Arial" w:hAnsi="Arial"/>
                <w:sz w:val="18"/>
                <w:szCs w:val="18"/>
                <w:color w:val="auto"/>
                <w:vertAlign w:val="superscript"/>
              </w:rPr>
              <w:t>(6)</w:t>
            </w:r>
          </w:p>
        </w:tc>
        <w:tc>
          <w:tcPr>
            <w:tcW w:w="102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10,101,125</w:t>
            </w:r>
          </w:p>
        </w:tc>
        <w:tc>
          <w:tcPr>
            <w:tcW w:w="1280" w:type="dxa"/>
            <w:vAlign w:val="bottom"/>
            <w:shd w:val="clear" w:color="auto" w:fill="BFBFBF"/>
          </w:tcPr>
          <w:p>
            <w:pPr>
              <w:jc w:val="right"/>
              <w:ind w:right="149"/>
              <w:spacing w:after="0"/>
              <w:rPr>
                <w:sz w:val="20"/>
                <w:szCs w:val="20"/>
                <w:color w:val="auto"/>
              </w:rPr>
            </w:pPr>
            <w:r>
              <w:rPr>
                <w:rFonts w:ascii="Arial" w:cs="Arial" w:eastAsia="Arial" w:hAnsi="Arial"/>
                <w:sz w:val="14"/>
                <w:szCs w:val="14"/>
                <w:color w:val="auto"/>
              </w:rPr>
              <w:t>520,888</w:t>
            </w:r>
          </w:p>
        </w:tc>
        <w:tc>
          <w:tcPr>
            <w:tcW w:w="1280" w:type="dxa"/>
            <w:vAlign w:val="bottom"/>
            <w:shd w:val="clear" w:color="auto" w:fill="BFBFBF"/>
          </w:tcPr>
          <w:p>
            <w:pPr>
              <w:jc w:val="right"/>
              <w:spacing w:after="0" w:line="162" w:lineRule="exact"/>
              <w:rPr>
                <w:sz w:val="20"/>
                <w:szCs w:val="20"/>
                <w:color w:val="auto"/>
              </w:rPr>
            </w:pPr>
            <w:r>
              <w:rPr>
                <w:rFonts w:ascii="Arial" w:cs="Arial" w:eastAsia="Arial" w:hAnsi="Arial"/>
                <w:sz w:val="11"/>
                <w:szCs w:val="11"/>
                <w:color w:val="auto"/>
              </w:rPr>
              <w:t>16,200</w:t>
            </w:r>
            <w:r>
              <w:rPr>
                <w:rFonts w:ascii="Arial" w:cs="Arial" w:eastAsia="Arial" w:hAnsi="Arial"/>
                <w:sz w:val="18"/>
                <w:szCs w:val="18"/>
                <w:color w:val="auto"/>
                <w:vertAlign w:val="superscript"/>
              </w:rPr>
              <w:t>(7)</w:t>
            </w:r>
          </w:p>
        </w:tc>
        <w:tc>
          <w:tcPr>
            <w:tcW w:w="960" w:type="dxa"/>
            <w:vAlign w:val="bottom"/>
            <w:shd w:val="clear" w:color="auto" w:fill="BFBFBF"/>
          </w:tcPr>
          <w:p>
            <w:pPr>
              <w:jc w:val="right"/>
              <w:ind w:right="8"/>
              <w:spacing w:after="0"/>
              <w:rPr>
                <w:sz w:val="20"/>
                <w:szCs w:val="20"/>
                <w:color w:val="auto"/>
              </w:rPr>
            </w:pPr>
            <w:r>
              <w:rPr>
                <w:rFonts w:ascii="Arial" w:cs="Arial" w:eastAsia="Arial" w:hAnsi="Arial"/>
                <w:sz w:val="14"/>
                <w:szCs w:val="14"/>
                <w:color w:val="auto"/>
              </w:rPr>
              <w:t>11,138,213</w:t>
            </w:r>
          </w:p>
        </w:tc>
      </w:tr>
      <w:tr>
        <w:trPr>
          <w:trHeight w:val="162"/>
        </w:trPr>
        <w:tc>
          <w:tcPr>
            <w:tcW w:w="4220" w:type="dxa"/>
            <w:vAlign w:val="bottom"/>
            <w:shd w:val="clear" w:color="auto" w:fill="BFBFBF"/>
          </w:tcPr>
          <w:p>
            <w:pPr>
              <w:ind w:left="20"/>
              <w:spacing w:after="0"/>
              <w:rPr>
                <w:sz w:val="20"/>
                <w:szCs w:val="20"/>
                <w:color w:val="auto"/>
              </w:rPr>
            </w:pPr>
            <w:r>
              <w:rPr>
                <w:rFonts w:ascii="Arial" w:cs="Arial" w:eastAsia="Arial" w:hAnsi="Arial"/>
                <w:sz w:val="14"/>
                <w:szCs w:val="14"/>
                <w:color w:val="auto"/>
              </w:rPr>
              <w:t>Chief Financial Officer</w:t>
            </w:r>
          </w:p>
        </w:tc>
        <w:tc>
          <w:tcPr>
            <w:tcW w:w="6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2016</w:t>
            </w:r>
          </w:p>
        </w:tc>
        <w:tc>
          <w:tcPr>
            <w:tcW w:w="82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349,687</w:t>
            </w:r>
          </w:p>
        </w:tc>
        <w:tc>
          <w:tcPr>
            <w:tcW w:w="840" w:type="dxa"/>
            <w:vAlign w:val="bottom"/>
            <w:shd w:val="clear" w:color="auto" w:fill="BFBFBF"/>
          </w:tcPr>
          <w:p>
            <w:pPr>
              <w:jc w:val="right"/>
              <w:ind w:right="149"/>
              <w:spacing w:after="0"/>
              <w:rPr>
                <w:sz w:val="20"/>
                <w:szCs w:val="20"/>
                <w:color w:val="auto"/>
              </w:rPr>
            </w:pPr>
            <w:r>
              <w:rPr>
                <w:rFonts w:ascii="Arial" w:cs="Arial" w:eastAsia="Arial" w:hAnsi="Arial"/>
                <w:sz w:val="14"/>
                <w:szCs w:val="14"/>
                <w:color w:val="auto"/>
              </w:rPr>
              <w:t>200,000</w:t>
            </w:r>
          </w:p>
        </w:tc>
        <w:tc>
          <w:tcPr>
            <w:tcW w:w="1020" w:type="dxa"/>
            <w:vAlign w:val="bottom"/>
            <w:shd w:val="clear" w:color="auto" w:fill="BFBFBF"/>
          </w:tcPr>
          <w:p>
            <w:pPr>
              <w:jc w:val="right"/>
              <w:spacing w:after="0"/>
              <w:rPr>
                <w:sz w:val="20"/>
                <w:szCs w:val="20"/>
                <w:color w:val="auto"/>
              </w:rPr>
            </w:pPr>
            <w:r>
              <w:rPr>
                <w:rFonts w:ascii="Arial" w:cs="Arial" w:eastAsia="Arial" w:hAnsi="Arial"/>
                <w:sz w:val="14"/>
                <w:szCs w:val="14"/>
                <w:color w:val="auto"/>
              </w:rPr>
              <w:t>2,574,300</w:t>
            </w:r>
          </w:p>
        </w:tc>
        <w:tc>
          <w:tcPr>
            <w:tcW w:w="1280" w:type="dxa"/>
            <w:vAlign w:val="bottom"/>
            <w:shd w:val="clear" w:color="auto" w:fill="BFBFBF"/>
          </w:tcPr>
          <w:p>
            <w:pPr>
              <w:jc w:val="right"/>
              <w:ind w:right="149"/>
              <w:spacing w:after="0"/>
              <w:rPr>
                <w:sz w:val="20"/>
                <w:szCs w:val="20"/>
                <w:color w:val="auto"/>
              </w:rPr>
            </w:pPr>
            <w:r>
              <w:rPr>
                <w:rFonts w:ascii="Arial" w:cs="Arial" w:eastAsia="Arial" w:hAnsi="Arial"/>
                <w:sz w:val="14"/>
                <w:szCs w:val="14"/>
                <w:color w:val="auto"/>
              </w:rPr>
              <w:t>312,924</w:t>
            </w:r>
          </w:p>
        </w:tc>
        <w:tc>
          <w:tcPr>
            <w:tcW w:w="1280" w:type="dxa"/>
            <w:vAlign w:val="bottom"/>
            <w:shd w:val="clear" w:color="auto" w:fill="BFBFBF"/>
          </w:tcPr>
          <w:p>
            <w:pPr>
              <w:jc w:val="right"/>
              <w:ind w:right="150"/>
              <w:spacing w:after="0"/>
              <w:rPr>
                <w:sz w:val="20"/>
                <w:szCs w:val="20"/>
                <w:color w:val="auto"/>
              </w:rPr>
            </w:pPr>
            <w:r>
              <w:rPr>
                <w:rFonts w:ascii="Arial" w:cs="Arial" w:eastAsia="Arial" w:hAnsi="Arial"/>
                <w:sz w:val="14"/>
                <w:szCs w:val="14"/>
                <w:color w:val="auto"/>
              </w:rPr>
              <w:t>15,900</w:t>
            </w:r>
          </w:p>
        </w:tc>
        <w:tc>
          <w:tcPr>
            <w:tcW w:w="960" w:type="dxa"/>
            <w:vAlign w:val="bottom"/>
            <w:shd w:val="clear" w:color="auto" w:fill="BFBFBF"/>
          </w:tcPr>
          <w:p>
            <w:pPr>
              <w:jc w:val="right"/>
              <w:ind w:right="8"/>
              <w:spacing w:after="0"/>
              <w:rPr>
                <w:sz w:val="20"/>
                <w:szCs w:val="20"/>
                <w:color w:val="auto"/>
              </w:rPr>
            </w:pPr>
            <w:r>
              <w:rPr>
                <w:rFonts w:ascii="Arial" w:cs="Arial" w:eastAsia="Arial" w:hAnsi="Arial"/>
                <w:sz w:val="14"/>
                <w:szCs w:val="14"/>
                <w:color w:val="auto"/>
              </w:rPr>
              <w:t>3,452,811</w:t>
            </w:r>
          </w:p>
        </w:tc>
      </w:tr>
      <w:tr>
        <w:trPr>
          <w:trHeight w:val="275"/>
        </w:trPr>
        <w:tc>
          <w:tcPr>
            <w:tcW w:w="4220" w:type="dxa"/>
            <w:vAlign w:val="bottom"/>
          </w:tcPr>
          <w:p>
            <w:pPr>
              <w:ind w:left="20"/>
              <w:spacing w:after="0"/>
              <w:rPr>
                <w:sz w:val="20"/>
                <w:szCs w:val="20"/>
                <w:color w:val="auto"/>
              </w:rPr>
            </w:pPr>
            <w:r>
              <w:rPr>
                <w:rFonts w:ascii="Arial" w:cs="Arial" w:eastAsia="Arial" w:hAnsi="Arial"/>
                <w:sz w:val="14"/>
                <w:szCs w:val="14"/>
                <w:color w:val="auto"/>
              </w:rPr>
              <w:t>Charlie B. Kawwas, Ph.D.</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488,529</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020" w:type="dxa"/>
            <w:vAlign w:val="bottom"/>
          </w:tcPr>
          <w:p>
            <w:pPr>
              <w:jc w:val="right"/>
              <w:spacing w:after="0"/>
              <w:rPr>
                <w:sz w:val="20"/>
                <w:szCs w:val="20"/>
                <w:color w:val="auto"/>
              </w:rPr>
            </w:pPr>
            <w:r>
              <w:rPr>
                <w:rFonts w:ascii="Arial" w:cs="Arial" w:eastAsia="Arial" w:hAnsi="Arial"/>
                <w:sz w:val="14"/>
                <w:szCs w:val="14"/>
                <w:color w:val="auto"/>
              </w:rPr>
              <w:t>7,322,750</w:t>
            </w:r>
          </w:p>
        </w:tc>
        <w:tc>
          <w:tcPr>
            <w:tcW w:w="1280" w:type="dxa"/>
            <w:vAlign w:val="bottom"/>
          </w:tcPr>
          <w:p>
            <w:pPr>
              <w:jc w:val="right"/>
              <w:ind w:right="149"/>
              <w:spacing w:after="0"/>
              <w:rPr>
                <w:sz w:val="20"/>
                <w:szCs w:val="20"/>
                <w:color w:val="auto"/>
              </w:rPr>
            </w:pPr>
            <w:r>
              <w:rPr>
                <w:rFonts w:ascii="Arial" w:cs="Arial" w:eastAsia="Arial" w:hAnsi="Arial"/>
                <w:sz w:val="14"/>
                <w:szCs w:val="14"/>
                <w:color w:val="auto"/>
              </w:rPr>
              <w:t>672,688</w:t>
            </w:r>
          </w:p>
        </w:tc>
        <w:tc>
          <w:tcPr>
            <w:tcW w:w="1280" w:type="dxa"/>
            <w:vAlign w:val="bottom"/>
          </w:tcPr>
          <w:p>
            <w:pPr>
              <w:jc w:val="right"/>
              <w:spacing w:after="0" w:line="275" w:lineRule="exact"/>
              <w:rPr>
                <w:sz w:val="20"/>
                <w:szCs w:val="20"/>
                <w:color w:val="auto"/>
              </w:rPr>
            </w:pPr>
            <w:r>
              <w:rPr>
                <w:rFonts w:ascii="Arial" w:cs="Arial" w:eastAsia="Arial" w:hAnsi="Arial"/>
                <w:sz w:val="14"/>
                <w:szCs w:val="14"/>
                <w:color w:val="auto"/>
              </w:rPr>
              <w:t>16,200</w:t>
            </w:r>
            <w:r>
              <w:rPr>
                <w:rFonts w:ascii="Arial" w:cs="Arial" w:eastAsia="Arial" w:hAnsi="Arial"/>
                <w:sz w:val="24"/>
                <w:szCs w:val="24"/>
                <w:color w:val="auto"/>
                <w:vertAlign w:val="superscript"/>
              </w:rPr>
              <w:t>(7)</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8,500,167</w:t>
            </w:r>
          </w:p>
        </w:tc>
      </w:tr>
      <w:tr>
        <w:trPr>
          <w:trHeight w:val="162"/>
        </w:trPr>
        <w:tc>
          <w:tcPr>
            <w:tcW w:w="4220" w:type="dxa"/>
            <w:vAlign w:val="bottom"/>
          </w:tcPr>
          <w:p>
            <w:pPr>
              <w:ind w:left="20"/>
              <w:spacing w:after="0"/>
              <w:rPr>
                <w:sz w:val="20"/>
                <w:szCs w:val="20"/>
                <w:color w:val="auto"/>
              </w:rPr>
            </w:pPr>
            <w:r>
              <w:rPr>
                <w:rFonts w:ascii="Arial" w:cs="Arial" w:eastAsia="Arial" w:hAnsi="Arial"/>
                <w:sz w:val="14"/>
                <w:szCs w:val="14"/>
                <w:color w:val="auto"/>
              </w:rPr>
              <w:t>Senior Vice President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2016</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479,007</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020" w:type="dxa"/>
            <w:vAlign w:val="bottom"/>
          </w:tcPr>
          <w:p>
            <w:pPr>
              <w:jc w:val="right"/>
              <w:spacing w:after="0"/>
              <w:rPr>
                <w:sz w:val="20"/>
                <w:szCs w:val="20"/>
                <w:color w:val="auto"/>
              </w:rPr>
            </w:pPr>
            <w:r>
              <w:rPr>
                <w:rFonts w:ascii="Arial" w:cs="Arial" w:eastAsia="Arial" w:hAnsi="Arial"/>
                <w:sz w:val="14"/>
                <w:szCs w:val="14"/>
                <w:color w:val="auto"/>
              </w:rPr>
              <w:t>4,273,410</w:t>
            </w:r>
          </w:p>
        </w:tc>
        <w:tc>
          <w:tcPr>
            <w:tcW w:w="1280" w:type="dxa"/>
            <w:vAlign w:val="bottom"/>
          </w:tcPr>
          <w:p>
            <w:pPr>
              <w:jc w:val="right"/>
              <w:ind w:right="149"/>
              <w:spacing w:after="0"/>
              <w:rPr>
                <w:sz w:val="20"/>
                <w:szCs w:val="20"/>
                <w:color w:val="auto"/>
              </w:rPr>
            </w:pPr>
            <w:r>
              <w:rPr>
                <w:rFonts w:ascii="Arial" w:cs="Arial" w:eastAsia="Arial" w:hAnsi="Arial"/>
                <w:sz w:val="14"/>
                <w:szCs w:val="14"/>
                <w:color w:val="auto"/>
              </w:rPr>
              <w:t>549,885</w:t>
            </w:r>
          </w:p>
        </w:tc>
        <w:tc>
          <w:tcPr>
            <w:tcW w:w="1280" w:type="dxa"/>
            <w:vAlign w:val="bottom"/>
          </w:tcPr>
          <w:p>
            <w:pPr>
              <w:jc w:val="right"/>
              <w:ind w:right="150"/>
              <w:spacing w:after="0"/>
              <w:rPr>
                <w:sz w:val="20"/>
                <w:szCs w:val="20"/>
                <w:color w:val="auto"/>
              </w:rPr>
            </w:pPr>
            <w:r>
              <w:rPr>
                <w:rFonts w:ascii="Arial" w:cs="Arial" w:eastAsia="Arial" w:hAnsi="Arial"/>
                <w:sz w:val="14"/>
                <w:szCs w:val="14"/>
                <w:color w:val="auto"/>
              </w:rPr>
              <w:t>20,278</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5,322,580</w:t>
            </w:r>
          </w:p>
        </w:tc>
      </w:tr>
      <w:tr>
        <w:trPr>
          <w:trHeight w:val="172"/>
        </w:trPr>
        <w:tc>
          <w:tcPr>
            <w:tcW w:w="4220" w:type="dxa"/>
            <w:vAlign w:val="bottom"/>
          </w:tcPr>
          <w:p>
            <w:pPr>
              <w:ind w:left="20"/>
              <w:spacing w:after="0"/>
              <w:rPr>
                <w:sz w:val="20"/>
                <w:szCs w:val="20"/>
                <w:color w:val="auto"/>
              </w:rPr>
            </w:pPr>
            <w:r>
              <w:rPr>
                <w:rFonts w:ascii="Arial" w:cs="Arial" w:eastAsia="Arial" w:hAnsi="Arial"/>
                <w:sz w:val="14"/>
                <w:szCs w:val="14"/>
                <w:color w:val="auto"/>
              </w:rPr>
              <w:t>and Chief Sales Officer</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2015</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424,284</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300,000</w:t>
            </w:r>
          </w:p>
        </w:tc>
        <w:tc>
          <w:tcPr>
            <w:tcW w:w="1020" w:type="dxa"/>
            <w:vAlign w:val="bottom"/>
          </w:tcPr>
          <w:p>
            <w:pPr>
              <w:jc w:val="right"/>
              <w:spacing w:after="0"/>
              <w:rPr>
                <w:sz w:val="20"/>
                <w:szCs w:val="20"/>
                <w:color w:val="auto"/>
              </w:rPr>
            </w:pPr>
            <w:r>
              <w:rPr>
                <w:rFonts w:ascii="Arial" w:cs="Arial" w:eastAsia="Arial" w:hAnsi="Arial"/>
                <w:sz w:val="14"/>
                <w:szCs w:val="14"/>
                <w:color w:val="auto"/>
              </w:rPr>
              <w:t>3,256,875</w:t>
            </w:r>
          </w:p>
        </w:tc>
        <w:tc>
          <w:tcPr>
            <w:tcW w:w="1280" w:type="dxa"/>
            <w:vAlign w:val="bottom"/>
          </w:tcPr>
          <w:p>
            <w:pPr>
              <w:jc w:val="right"/>
              <w:ind w:right="149"/>
              <w:spacing w:after="0"/>
              <w:rPr>
                <w:sz w:val="20"/>
                <w:szCs w:val="20"/>
                <w:color w:val="auto"/>
              </w:rPr>
            </w:pPr>
            <w:r>
              <w:rPr>
                <w:rFonts w:ascii="Arial" w:cs="Arial" w:eastAsia="Arial" w:hAnsi="Arial"/>
                <w:sz w:val="14"/>
                <w:szCs w:val="14"/>
                <w:color w:val="auto"/>
              </w:rPr>
              <w:t>670,326</w:t>
            </w:r>
          </w:p>
        </w:tc>
        <w:tc>
          <w:tcPr>
            <w:tcW w:w="1280" w:type="dxa"/>
            <w:vAlign w:val="bottom"/>
          </w:tcPr>
          <w:p>
            <w:pPr>
              <w:jc w:val="right"/>
              <w:ind w:right="150"/>
              <w:spacing w:after="0"/>
              <w:rPr>
                <w:sz w:val="20"/>
                <w:szCs w:val="20"/>
                <w:color w:val="auto"/>
              </w:rPr>
            </w:pPr>
            <w:r>
              <w:rPr>
                <w:rFonts w:ascii="Arial" w:cs="Arial" w:eastAsia="Arial" w:hAnsi="Arial"/>
                <w:sz w:val="14"/>
                <w:szCs w:val="14"/>
                <w:color w:val="auto"/>
              </w:rPr>
              <w:t>224,596</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4,876,081</w:t>
            </w:r>
          </w:p>
        </w:tc>
      </w:tr>
      <w:tr>
        <w:trPr>
          <w:trHeight w:val="161"/>
        </w:trPr>
        <w:tc>
          <w:tcPr>
            <w:tcW w:w="4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4220" w:type="dxa"/>
            <w:vAlign w:val="bottom"/>
            <w:shd w:val="clear" w:color="auto" w:fill="BFBFBF"/>
          </w:tcPr>
          <w:p>
            <w:pPr>
              <w:ind w:left="20"/>
              <w:spacing w:after="0" w:line="162" w:lineRule="exact"/>
              <w:rPr>
                <w:sz w:val="20"/>
                <w:szCs w:val="20"/>
                <w:color w:val="auto"/>
              </w:rPr>
            </w:pPr>
            <w:r>
              <w:rPr>
                <w:rFonts w:ascii="Arial" w:cs="Arial" w:eastAsia="Arial" w:hAnsi="Arial"/>
                <w:sz w:val="11"/>
                <w:szCs w:val="11"/>
                <w:color w:val="auto"/>
              </w:rPr>
              <w:t>Mark D. Brazeal</w:t>
            </w:r>
            <w:r>
              <w:rPr>
                <w:rFonts w:ascii="Arial" w:cs="Arial" w:eastAsia="Arial" w:hAnsi="Arial"/>
                <w:sz w:val="18"/>
                <w:szCs w:val="18"/>
                <w:color w:val="auto"/>
                <w:vertAlign w:val="superscript"/>
              </w:rPr>
              <w:t>(8)</w:t>
            </w:r>
          </w:p>
        </w:tc>
        <w:tc>
          <w:tcPr>
            <w:tcW w:w="6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2017</w:t>
            </w:r>
          </w:p>
        </w:tc>
        <w:tc>
          <w:tcPr>
            <w:tcW w:w="82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268,269</w:t>
            </w:r>
          </w:p>
        </w:tc>
        <w:tc>
          <w:tcPr>
            <w:tcW w:w="840" w:type="dxa"/>
            <w:vAlign w:val="bottom"/>
            <w:shd w:val="clear" w:color="auto" w:fill="BFBFBF"/>
          </w:tcPr>
          <w:p>
            <w:pPr>
              <w:jc w:val="right"/>
              <w:ind w:right="149"/>
              <w:spacing w:after="0"/>
              <w:rPr>
                <w:sz w:val="20"/>
                <w:szCs w:val="20"/>
                <w:color w:val="auto"/>
              </w:rPr>
            </w:pPr>
            <w:r>
              <w:rPr>
                <w:rFonts w:ascii="Arial" w:cs="Arial" w:eastAsia="Arial" w:hAnsi="Arial"/>
                <w:sz w:val="14"/>
                <w:szCs w:val="14"/>
                <w:color w:val="auto"/>
              </w:rPr>
              <w:t>0</w:t>
            </w:r>
          </w:p>
        </w:tc>
        <w:tc>
          <w:tcPr>
            <w:tcW w:w="1020" w:type="dxa"/>
            <w:vAlign w:val="bottom"/>
            <w:shd w:val="clear" w:color="auto" w:fill="BFBFBF"/>
          </w:tcPr>
          <w:p>
            <w:pPr>
              <w:jc w:val="right"/>
              <w:spacing w:after="0"/>
              <w:rPr>
                <w:sz w:val="20"/>
                <w:szCs w:val="20"/>
                <w:color w:val="auto"/>
              </w:rPr>
            </w:pPr>
            <w:r>
              <w:rPr>
                <w:rFonts w:ascii="Arial" w:cs="Arial" w:eastAsia="Arial" w:hAnsi="Arial"/>
                <w:sz w:val="14"/>
                <w:szCs w:val="14"/>
                <w:color w:val="auto"/>
              </w:rPr>
              <w:t>5,906,188</w:t>
            </w:r>
          </w:p>
        </w:tc>
        <w:tc>
          <w:tcPr>
            <w:tcW w:w="1280" w:type="dxa"/>
            <w:vAlign w:val="bottom"/>
            <w:shd w:val="clear" w:color="auto" w:fill="BFBFBF"/>
          </w:tcPr>
          <w:p>
            <w:pPr>
              <w:jc w:val="right"/>
              <w:ind w:right="149"/>
              <w:spacing w:after="0"/>
              <w:rPr>
                <w:sz w:val="20"/>
                <w:szCs w:val="20"/>
                <w:color w:val="auto"/>
              </w:rPr>
            </w:pPr>
            <w:r>
              <w:rPr>
                <w:rFonts w:ascii="Arial" w:cs="Arial" w:eastAsia="Arial" w:hAnsi="Arial"/>
                <w:sz w:val="14"/>
                <w:szCs w:val="14"/>
                <w:color w:val="auto"/>
              </w:rPr>
              <w:t>243,935</w:t>
            </w:r>
          </w:p>
        </w:tc>
        <w:tc>
          <w:tcPr>
            <w:tcW w:w="1280" w:type="dxa"/>
            <w:vAlign w:val="bottom"/>
            <w:shd w:val="clear" w:color="auto" w:fill="BFBFBF"/>
          </w:tcPr>
          <w:p>
            <w:pPr>
              <w:jc w:val="right"/>
              <w:spacing w:after="0" w:line="162" w:lineRule="exact"/>
              <w:rPr>
                <w:sz w:val="20"/>
                <w:szCs w:val="20"/>
                <w:color w:val="auto"/>
              </w:rPr>
            </w:pPr>
            <w:r>
              <w:rPr>
                <w:rFonts w:ascii="Arial" w:cs="Arial" w:eastAsia="Arial" w:hAnsi="Arial"/>
                <w:sz w:val="11"/>
                <w:szCs w:val="11"/>
                <w:color w:val="auto"/>
              </w:rPr>
              <w:t>12,462</w:t>
            </w:r>
            <w:r>
              <w:rPr>
                <w:rFonts w:ascii="Arial" w:cs="Arial" w:eastAsia="Arial" w:hAnsi="Arial"/>
                <w:sz w:val="18"/>
                <w:szCs w:val="18"/>
                <w:color w:val="auto"/>
                <w:vertAlign w:val="superscript"/>
              </w:rPr>
              <w:t>(7)</w:t>
            </w:r>
          </w:p>
        </w:tc>
        <w:tc>
          <w:tcPr>
            <w:tcW w:w="960" w:type="dxa"/>
            <w:vAlign w:val="bottom"/>
            <w:shd w:val="clear" w:color="auto" w:fill="BFBFBF"/>
          </w:tcPr>
          <w:p>
            <w:pPr>
              <w:jc w:val="right"/>
              <w:ind w:right="8"/>
              <w:spacing w:after="0"/>
              <w:rPr>
                <w:sz w:val="20"/>
                <w:szCs w:val="20"/>
                <w:color w:val="auto"/>
              </w:rPr>
            </w:pPr>
            <w:r>
              <w:rPr>
                <w:rFonts w:ascii="Arial" w:cs="Arial" w:eastAsia="Arial" w:hAnsi="Arial"/>
                <w:sz w:val="14"/>
                <w:szCs w:val="14"/>
                <w:color w:val="auto"/>
              </w:rPr>
              <w:t>6,430,854</w:t>
            </w:r>
          </w:p>
        </w:tc>
      </w:tr>
      <w:tr>
        <w:trPr>
          <w:trHeight w:val="162"/>
        </w:trPr>
        <w:tc>
          <w:tcPr>
            <w:tcW w:w="4220" w:type="dxa"/>
            <w:vAlign w:val="bottom"/>
            <w:shd w:val="clear" w:color="auto" w:fill="BFBFBF"/>
          </w:tcPr>
          <w:p>
            <w:pPr>
              <w:ind w:left="20"/>
              <w:spacing w:after="0"/>
              <w:rPr>
                <w:sz w:val="20"/>
                <w:szCs w:val="20"/>
                <w:color w:val="auto"/>
              </w:rPr>
            </w:pPr>
            <w:r>
              <w:rPr>
                <w:rFonts w:ascii="Arial" w:cs="Arial" w:eastAsia="Arial" w:hAnsi="Arial"/>
                <w:sz w:val="14"/>
                <w:szCs w:val="14"/>
                <w:color w:val="auto"/>
              </w:rPr>
              <w:t>Chief Legal Officer</w:t>
            </w:r>
          </w:p>
        </w:tc>
        <w:tc>
          <w:tcPr>
            <w:tcW w:w="600" w:type="dxa"/>
            <w:vAlign w:val="bottom"/>
            <w:shd w:val="clear" w:color="auto" w:fill="BFBFBF"/>
          </w:tcPr>
          <w:p>
            <w:pPr>
              <w:spacing w:after="0"/>
              <w:rPr>
                <w:sz w:val="14"/>
                <w:szCs w:val="14"/>
                <w:color w:val="auto"/>
              </w:rPr>
            </w:pPr>
          </w:p>
        </w:tc>
        <w:tc>
          <w:tcPr>
            <w:tcW w:w="820" w:type="dxa"/>
            <w:vAlign w:val="bottom"/>
            <w:shd w:val="clear" w:color="auto" w:fill="BFBFBF"/>
          </w:tcPr>
          <w:p>
            <w:pPr>
              <w:spacing w:after="0"/>
              <w:rPr>
                <w:sz w:val="14"/>
                <w:szCs w:val="14"/>
                <w:color w:val="auto"/>
              </w:rPr>
            </w:pPr>
          </w:p>
        </w:tc>
        <w:tc>
          <w:tcPr>
            <w:tcW w:w="840" w:type="dxa"/>
            <w:vAlign w:val="bottom"/>
            <w:shd w:val="clear" w:color="auto" w:fill="BFBFBF"/>
          </w:tcPr>
          <w:p>
            <w:pPr>
              <w:spacing w:after="0"/>
              <w:rPr>
                <w:sz w:val="14"/>
                <w:szCs w:val="14"/>
                <w:color w:val="auto"/>
              </w:rPr>
            </w:pPr>
          </w:p>
        </w:tc>
        <w:tc>
          <w:tcPr>
            <w:tcW w:w="1020" w:type="dxa"/>
            <w:vAlign w:val="bottom"/>
            <w:shd w:val="clear" w:color="auto" w:fill="BFBFBF"/>
          </w:tcPr>
          <w:p>
            <w:pPr>
              <w:spacing w:after="0"/>
              <w:rPr>
                <w:sz w:val="14"/>
                <w:szCs w:val="14"/>
                <w:color w:val="auto"/>
              </w:rPr>
            </w:pPr>
          </w:p>
        </w:tc>
        <w:tc>
          <w:tcPr>
            <w:tcW w:w="1280" w:type="dxa"/>
            <w:vAlign w:val="bottom"/>
            <w:shd w:val="clear" w:color="auto" w:fill="BFBFBF"/>
          </w:tcPr>
          <w:p>
            <w:pPr>
              <w:spacing w:after="0"/>
              <w:rPr>
                <w:sz w:val="14"/>
                <w:szCs w:val="14"/>
                <w:color w:val="auto"/>
              </w:rPr>
            </w:pPr>
          </w:p>
        </w:tc>
        <w:tc>
          <w:tcPr>
            <w:tcW w:w="1280" w:type="dxa"/>
            <w:vAlign w:val="bottom"/>
            <w:shd w:val="clear" w:color="auto" w:fill="BFBFBF"/>
          </w:tcPr>
          <w:p>
            <w:pPr>
              <w:spacing w:after="0"/>
              <w:rPr>
                <w:sz w:val="14"/>
                <w:szCs w:val="14"/>
                <w:color w:val="auto"/>
              </w:rPr>
            </w:pPr>
          </w:p>
        </w:tc>
        <w:tc>
          <w:tcPr>
            <w:tcW w:w="960" w:type="dxa"/>
            <w:vAlign w:val="bottom"/>
            <w:shd w:val="clear" w:color="auto" w:fill="BFBFBF"/>
          </w:tcPr>
          <w:p>
            <w:pPr>
              <w:spacing w:after="0"/>
              <w:rPr>
                <w:sz w:val="14"/>
                <w:szCs w:val="14"/>
                <w:color w:val="auto"/>
              </w:rPr>
            </w:pPr>
          </w:p>
        </w:tc>
      </w:tr>
      <w:tr>
        <w:trPr>
          <w:trHeight w:val="342"/>
        </w:trPr>
        <w:tc>
          <w:tcPr>
            <w:tcW w:w="4220" w:type="dxa"/>
            <w:vAlign w:val="bottom"/>
          </w:tcPr>
          <w:p>
            <w:pPr>
              <w:ind w:left="20"/>
              <w:spacing w:after="0"/>
              <w:rPr>
                <w:sz w:val="20"/>
                <w:szCs w:val="20"/>
                <w:color w:val="auto"/>
              </w:rPr>
            </w:pPr>
            <w:r>
              <w:rPr>
                <w:rFonts w:ascii="Arial" w:cs="Arial" w:eastAsia="Arial" w:hAnsi="Arial"/>
                <w:sz w:val="14"/>
                <w:szCs w:val="14"/>
                <w:color w:val="auto"/>
              </w:rPr>
              <w:t>Bryan T. Ingram</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592,250</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020" w:type="dxa"/>
            <w:vAlign w:val="bottom"/>
          </w:tcPr>
          <w:p>
            <w:pPr>
              <w:jc w:val="right"/>
              <w:spacing w:after="0"/>
              <w:rPr>
                <w:sz w:val="20"/>
                <w:szCs w:val="20"/>
                <w:color w:val="auto"/>
              </w:rPr>
            </w:pPr>
            <w:r>
              <w:rPr>
                <w:rFonts w:ascii="Arial" w:cs="Arial" w:eastAsia="Arial" w:hAnsi="Arial"/>
                <w:sz w:val="14"/>
                <w:szCs w:val="14"/>
                <w:color w:val="auto"/>
              </w:rPr>
              <w:t>7,322,750</w:t>
            </w:r>
          </w:p>
        </w:tc>
        <w:tc>
          <w:tcPr>
            <w:tcW w:w="1280" w:type="dxa"/>
            <w:vAlign w:val="bottom"/>
          </w:tcPr>
          <w:p>
            <w:pPr>
              <w:jc w:val="right"/>
              <w:ind w:right="149"/>
              <w:spacing w:after="0"/>
              <w:rPr>
                <w:sz w:val="20"/>
                <w:szCs w:val="20"/>
                <w:color w:val="auto"/>
              </w:rPr>
            </w:pPr>
            <w:r>
              <w:rPr>
                <w:rFonts w:ascii="Arial" w:cs="Arial" w:eastAsia="Arial" w:hAnsi="Arial"/>
                <w:sz w:val="14"/>
                <w:szCs w:val="14"/>
                <w:color w:val="auto"/>
              </w:rPr>
              <w:t>1,145,780</w:t>
            </w:r>
          </w:p>
        </w:tc>
        <w:tc>
          <w:tcPr>
            <w:tcW w:w="1280" w:type="dxa"/>
            <w:vAlign w:val="bottom"/>
          </w:tcPr>
          <w:p>
            <w:pPr>
              <w:jc w:val="right"/>
              <w:spacing w:after="0"/>
              <w:rPr>
                <w:sz w:val="20"/>
                <w:szCs w:val="20"/>
                <w:color w:val="auto"/>
              </w:rPr>
            </w:pPr>
            <w:r>
              <w:rPr>
                <w:rFonts w:ascii="Arial" w:cs="Arial" w:eastAsia="Arial" w:hAnsi="Arial"/>
                <w:sz w:val="14"/>
                <w:szCs w:val="14"/>
                <w:color w:val="auto"/>
              </w:rPr>
              <w:t>16,200</w:t>
            </w:r>
            <w:r>
              <w:rPr>
                <w:rFonts w:ascii="Arial" w:cs="Arial" w:eastAsia="Arial" w:hAnsi="Arial"/>
                <w:sz w:val="24"/>
                <w:szCs w:val="24"/>
                <w:color w:val="auto"/>
                <w:vertAlign w:val="superscript"/>
              </w:rPr>
              <w:t>(7)</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9,076,980</w:t>
            </w:r>
          </w:p>
        </w:tc>
      </w:tr>
      <w:tr>
        <w:trPr>
          <w:trHeight w:val="162"/>
        </w:trPr>
        <w:tc>
          <w:tcPr>
            <w:tcW w:w="4220" w:type="dxa"/>
            <w:vAlign w:val="bottom"/>
          </w:tcPr>
          <w:p>
            <w:pPr>
              <w:ind w:left="20"/>
              <w:spacing w:after="0"/>
              <w:rPr>
                <w:sz w:val="20"/>
                <w:szCs w:val="20"/>
                <w:color w:val="auto"/>
              </w:rPr>
            </w:pPr>
            <w:r>
              <w:rPr>
                <w:rFonts w:ascii="Arial" w:cs="Arial" w:eastAsia="Arial" w:hAnsi="Arial"/>
                <w:sz w:val="14"/>
                <w:szCs w:val="14"/>
                <w:color w:val="auto"/>
              </w:rPr>
              <w:t>Senior Vice President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2016</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580,706</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020" w:type="dxa"/>
            <w:vAlign w:val="bottom"/>
          </w:tcPr>
          <w:p>
            <w:pPr>
              <w:jc w:val="right"/>
              <w:spacing w:after="0"/>
              <w:rPr>
                <w:sz w:val="20"/>
                <w:szCs w:val="20"/>
                <w:color w:val="auto"/>
              </w:rPr>
            </w:pPr>
            <w:r>
              <w:rPr>
                <w:rFonts w:ascii="Arial" w:cs="Arial" w:eastAsia="Arial" w:hAnsi="Arial"/>
                <w:sz w:val="14"/>
                <w:szCs w:val="14"/>
                <w:color w:val="auto"/>
              </w:rPr>
              <w:t>3,123,580</w:t>
            </w:r>
          </w:p>
        </w:tc>
        <w:tc>
          <w:tcPr>
            <w:tcW w:w="1280" w:type="dxa"/>
            <w:vAlign w:val="bottom"/>
          </w:tcPr>
          <w:p>
            <w:pPr>
              <w:jc w:val="right"/>
              <w:ind w:right="149"/>
              <w:spacing w:after="0"/>
              <w:rPr>
                <w:sz w:val="20"/>
                <w:szCs w:val="20"/>
                <w:color w:val="auto"/>
              </w:rPr>
            </w:pPr>
            <w:r>
              <w:rPr>
                <w:rFonts w:ascii="Arial" w:cs="Arial" w:eastAsia="Arial" w:hAnsi="Arial"/>
                <w:sz w:val="14"/>
                <w:szCs w:val="14"/>
                <w:color w:val="auto"/>
              </w:rPr>
              <w:t>380,423</w:t>
            </w:r>
          </w:p>
        </w:tc>
        <w:tc>
          <w:tcPr>
            <w:tcW w:w="1280" w:type="dxa"/>
            <w:vAlign w:val="bottom"/>
          </w:tcPr>
          <w:p>
            <w:pPr>
              <w:jc w:val="right"/>
              <w:ind w:right="150"/>
              <w:spacing w:after="0"/>
              <w:rPr>
                <w:sz w:val="20"/>
                <w:szCs w:val="20"/>
                <w:color w:val="auto"/>
              </w:rPr>
            </w:pPr>
            <w:r>
              <w:rPr>
                <w:rFonts w:ascii="Arial" w:cs="Arial" w:eastAsia="Arial" w:hAnsi="Arial"/>
                <w:sz w:val="14"/>
                <w:szCs w:val="14"/>
                <w:color w:val="auto"/>
              </w:rPr>
              <w:t>15,900</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4,100,609</w:t>
            </w:r>
          </w:p>
        </w:tc>
      </w:tr>
      <w:tr>
        <w:trPr>
          <w:trHeight w:val="162"/>
        </w:trPr>
        <w:tc>
          <w:tcPr>
            <w:tcW w:w="4220" w:type="dxa"/>
            <w:vAlign w:val="bottom"/>
          </w:tcPr>
          <w:p>
            <w:pPr>
              <w:ind w:left="20"/>
              <w:spacing w:after="0"/>
              <w:rPr>
                <w:sz w:val="20"/>
                <w:szCs w:val="20"/>
                <w:color w:val="auto"/>
              </w:rPr>
            </w:pPr>
            <w:r>
              <w:rPr>
                <w:rFonts w:ascii="Arial" w:cs="Arial" w:eastAsia="Arial" w:hAnsi="Arial"/>
                <w:sz w:val="14"/>
                <w:szCs w:val="14"/>
                <w:color w:val="auto"/>
              </w:rPr>
              <w:t>and General Manager, Wireless</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2015</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542,308</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020" w:type="dxa"/>
            <w:vAlign w:val="bottom"/>
          </w:tcPr>
          <w:p>
            <w:pPr>
              <w:jc w:val="right"/>
              <w:spacing w:after="0"/>
              <w:rPr>
                <w:sz w:val="20"/>
                <w:szCs w:val="20"/>
                <w:color w:val="auto"/>
              </w:rPr>
            </w:pPr>
            <w:r>
              <w:rPr>
                <w:rFonts w:ascii="Arial" w:cs="Arial" w:eastAsia="Arial" w:hAnsi="Arial"/>
                <w:sz w:val="14"/>
                <w:szCs w:val="14"/>
                <w:color w:val="auto"/>
              </w:rPr>
              <w:t>6,014,925</w:t>
            </w:r>
          </w:p>
        </w:tc>
        <w:tc>
          <w:tcPr>
            <w:tcW w:w="1280" w:type="dxa"/>
            <w:vAlign w:val="bottom"/>
          </w:tcPr>
          <w:p>
            <w:pPr>
              <w:jc w:val="right"/>
              <w:ind w:right="149"/>
              <w:spacing w:after="0"/>
              <w:rPr>
                <w:sz w:val="20"/>
                <w:szCs w:val="20"/>
                <w:color w:val="auto"/>
              </w:rPr>
            </w:pPr>
            <w:r>
              <w:rPr>
                <w:rFonts w:ascii="Arial" w:cs="Arial" w:eastAsia="Arial" w:hAnsi="Arial"/>
                <w:sz w:val="14"/>
                <w:szCs w:val="14"/>
                <w:color w:val="auto"/>
              </w:rPr>
              <w:t>810,577</w:t>
            </w:r>
          </w:p>
        </w:tc>
        <w:tc>
          <w:tcPr>
            <w:tcW w:w="1280" w:type="dxa"/>
            <w:vAlign w:val="bottom"/>
          </w:tcPr>
          <w:p>
            <w:pPr>
              <w:jc w:val="right"/>
              <w:ind w:right="150"/>
              <w:spacing w:after="0"/>
              <w:rPr>
                <w:sz w:val="20"/>
                <w:szCs w:val="20"/>
                <w:color w:val="auto"/>
              </w:rPr>
            </w:pPr>
            <w:r>
              <w:rPr>
                <w:rFonts w:ascii="Arial" w:cs="Arial" w:eastAsia="Arial" w:hAnsi="Arial"/>
                <w:sz w:val="14"/>
                <w:szCs w:val="14"/>
                <w:color w:val="auto"/>
              </w:rPr>
              <w:t>15,900</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7,383,710</w:t>
            </w:r>
          </w:p>
        </w:tc>
      </w:tr>
      <w:tr>
        <w:trPr>
          <w:trHeight w:val="172"/>
        </w:trPr>
        <w:tc>
          <w:tcPr>
            <w:tcW w:w="4220" w:type="dxa"/>
            <w:vAlign w:val="bottom"/>
          </w:tcPr>
          <w:p>
            <w:pPr>
              <w:ind w:left="20"/>
              <w:spacing w:after="0"/>
              <w:rPr>
                <w:sz w:val="20"/>
                <w:szCs w:val="20"/>
                <w:color w:val="auto"/>
              </w:rPr>
            </w:pPr>
            <w:r>
              <w:rPr>
                <w:rFonts w:ascii="Arial" w:cs="Arial" w:eastAsia="Arial" w:hAnsi="Arial"/>
                <w:sz w:val="14"/>
                <w:szCs w:val="14"/>
                <w:color w:val="auto"/>
              </w:rPr>
              <w:t>Semiconductor Division</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16033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72" w:lineRule="exact"/>
        <w:rPr>
          <w:sz w:val="20"/>
          <w:szCs w:val="20"/>
          <w:color w:val="auto"/>
        </w:rPr>
      </w:pPr>
    </w:p>
    <w:p>
      <w:pPr>
        <w:ind w:left="520" w:right="100" w:hanging="316"/>
        <w:spacing w:after="0" w:line="246"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the grant date fair value of service-based RSUs and PSU awards, determined in accordance with ASC 718. As the PSU awards do not have performance conditions as defined under ASC 718, the maximum grant date fair values for such awards do not differ from the fair values presented in this table. The amounts in this column do not reflect compensation actually received by the NEOs or the actual value that may be recognized by the NEO. For a discussion of valuation assumptions used in the calculations, see Note 2 to the Consolidated Financial Statements included in Part II, Item 8 of our 2017 Form 10-K filed with the SEC on December 21, 2017.</w:t>
      </w:r>
    </w:p>
    <w:p>
      <w:pPr>
        <w:spacing w:after="0" w:line="203" w:lineRule="exact"/>
        <w:rPr>
          <w:rFonts w:ascii="Arial" w:cs="Arial" w:eastAsia="Arial" w:hAnsi="Arial"/>
          <w:sz w:val="14"/>
          <w:szCs w:val="14"/>
          <w:color w:val="auto"/>
        </w:rPr>
      </w:pPr>
    </w:p>
    <w:p>
      <w:pPr>
        <w:ind w:left="520" w:right="120" w:hanging="316"/>
        <w:spacing w:after="0" w:line="279"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amounts paid under the APB Plan for each fiscal year. Please see the plan description in “</w:t>
      </w:r>
      <w:r>
        <w:rPr>
          <w:rFonts w:ascii="Arial" w:cs="Arial" w:eastAsia="Arial" w:hAnsi="Arial"/>
          <w:sz w:val="14"/>
          <w:szCs w:val="14"/>
          <w:i w:val="1"/>
          <w:iCs w:val="1"/>
          <w:color w:val="auto"/>
        </w:rPr>
        <w:t>Compensation Discussion and Analysis—Elements of Executive</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Compensation—Annual Cash Incentive Bonus Plan</w:t>
      </w:r>
      <w:r>
        <w:rPr>
          <w:rFonts w:ascii="Arial" w:cs="Arial" w:eastAsia="Arial" w:hAnsi="Arial"/>
          <w:sz w:val="14"/>
          <w:szCs w:val="14"/>
          <w:color w:val="auto"/>
        </w:rPr>
        <w:t>” above.</w:t>
      </w:r>
    </w:p>
    <w:p>
      <w:pPr>
        <w:spacing w:after="0" w:line="31" w:lineRule="exact"/>
        <w:rPr>
          <w:rFonts w:ascii="Arial" w:cs="Arial" w:eastAsia="Arial" w:hAnsi="Arial"/>
          <w:sz w:val="14"/>
          <w:szCs w:val="14"/>
          <w:color w:val="auto"/>
        </w:rPr>
      </w:pPr>
    </w:p>
    <w:p>
      <w:pPr>
        <w:ind w:left="520" w:right="140" w:hanging="316"/>
        <w:spacing w:after="0" w:line="258"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$23,234 in expense reimbursements for travel to Mr. Tan’s residence in Pennsylvania, $16,200 401(k) employer matching contribution and $36,386 for car service.</w:t>
      </w:r>
    </w:p>
    <w:p>
      <w:pPr>
        <w:spacing w:after="0" w:line="45" w:lineRule="exact"/>
        <w:rPr>
          <w:rFonts w:ascii="Arial" w:cs="Arial" w:eastAsia="Arial" w:hAnsi="Arial"/>
          <w:sz w:val="14"/>
          <w:szCs w:val="14"/>
          <w:color w:val="auto"/>
        </w:rPr>
      </w:pPr>
    </w:p>
    <w:p>
      <w:pPr>
        <w:ind w:left="520" w:right="420" w:hanging="316"/>
        <w:spacing w:after="0" w:line="258"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the portion of Mr. Tan’s Fiscal Year 2016 APB Plan payout ($990,258 in value) delivered in the form of a service-based RSU award, as determined by the Independent Directors.</w:t>
      </w:r>
    </w:p>
    <w:p>
      <w:pPr>
        <w:spacing w:after="0" w:line="45" w:lineRule="exact"/>
        <w:rPr>
          <w:rFonts w:ascii="Arial" w:cs="Arial" w:eastAsia="Arial" w:hAnsi="Arial"/>
          <w:sz w:val="14"/>
          <w:szCs w:val="14"/>
          <w:color w:val="auto"/>
        </w:rPr>
      </w:pPr>
    </w:p>
    <w:p>
      <w:pPr>
        <w:ind w:left="520" w:right="40" w:hanging="316"/>
        <w:spacing w:after="0" w:line="250"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the portion of Mr. Tan’s Fiscal Year 2016 APB Plan payout paid in cash. Mr. Tan’s total Fiscal Year 2016 APB Plan payout amount was $2,970,774. However, the Independent Directors determined that $1,980,516 of that amount, which represents his payout based on a performance multiplier of 100%, would be paid in cash and the remaining $990,258 delivered to Mr. Tan in the form of a service-based RSU award.</w:t>
      </w:r>
    </w:p>
    <w:p>
      <w:pPr>
        <w:spacing w:after="0" w:line="50" w:lineRule="exact"/>
        <w:rPr>
          <w:rFonts w:ascii="Arial" w:cs="Arial" w:eastAsia="Arial" w:hAnsi="Arial"/>
          <w:sz w:val="14"/>
          <w:szCs w:val="14"/>
          <w:color w:val="auto"/>
        </w:rPr>
      </w:pPr>
    </w:p>
    <w:p>
      <w:pPr>
        <w:ind w:left="520" w:right="420" w:hanging="316"/>
        <w:spacing w:after="0" w:line="258"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a discretionary cash bonus paid to Mr. Krause due to his contributions outside the regular scope of his responsibility, in particular his significant efforts toward the completion of the acquisition of Brocade.</w:t>
      </w:r>
    </w:p>
    <w:p>
      <w:pPr>
        <w:spacing w:after="0" w:line="45" w:lineRule="exact"/>
        <w:rPr>
          <w:rFonts w:ascii="Arial" w:cs="Arial" w:eastAsia="Arial" w:hAnsi="Arial"/>
          <w:sz w:val="14"/>
          <w:szCs w:val="14"/>
          <w:color w:val="auto"/>
        </w:rPr>
      </w:pPr>
    </w:p>
    <w:p>
      <w:pPr>
        <w:ind w:left="520" w:hanging="316"/>
        <w:spacing w:after="0"/>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401(k) employer matching contributions.</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Brazeal was appointed Chief Legal Officer on March 27, 2017.</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Fiscal Year 2017 Grants of Plan-Based Awards Table</w:t>
      </w:r>
    </w:p>
    <w:p>
      <w:pPr>
        <w:spacing w:after="0" w:line="99" w:lineRule="exact"/>
        <w:rPr>
          <w:sz w:val="20"/>
          <w:szCs w:val="20"/>
          <w:color w:val="auto"/>
        </w:rPr>
      </w:pPr>
    </w:p>
    <w:p>
      <w:pPr>
        <w:ind w:left="200" w:right="200" w:firstLine="551"/>
        <w:spacing w:after="0" w:line="246" w:lineRule="auto"/>
        <w:rPr>
          <w:sz w:val="20"/>
          <w:szCs w:val="20"/>
          <w:color w:val="auto"/>
        </w:rPr>
      </w:pPr>
      <w:r>
        <w:rPr>
          <w:rFonts w:ascii="Arial" w:cs="Arial" w:eastAsia="Arial" w:hAnsi="Arial"/>
          <w:sz w:val="18"/>
          <w:szCs w:val="18"/>
          <w:color w:val="auto"/>
        </w:rPr>
        <w:t>The following table sets forth information regarding grants of plan-based awards during Fiscal Year 2017 to each of our NEOs. All awards were granted under the 2009 Plan unless otherwise noted.</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940" w:type="dxa"/>
            <w:vAlign w:val="bottom"/>
            <w:shd w:val="clear" w:color="auto" w:fill="7F7F7F"/>
          </w:tcPr>
          <w:p>
            <w:pPr>
              <w:spacing w:after="0"/>
              <w:rPr>
                <w:sz w:val="18"/>
                <w:szCs w:val="18"/>
                <w:color w:val="auto"/>
              </w:rPr>
            </w:pPr>
          </w:p>
        </w:tc>
        <w:tc>
          <w:tcPr>
            <w:tcW w:w="80" w:type="dxa"/>
            <w:vAlign w:val="bottom"/>
            <w:shd w:val="clear" w:color="auto" w:fill="7F7F7F"/>
          </w:tcPr>
          <w:p>
            <w:pPr>
              <w:spacing w:after="0"/>
              <w:rPr>
                <w:sz w:val="18"/>
                <w:szCs w:val="18"/>
                <w:color w:val="auto"/>
              </w:rPr>
            </w:pPr>
          </w:p>
        </w:tc>
        <w:tc>
          <w:tcPr>
            <w:tcW w:w="720" w:type="dxa"/>
            <w:vAlign w:val="bottom"/>
            <w:shd w:val="clear" w:color="auto" w:fill="7F7F7F"/>
          </w:tcPr>
          <w:p>
            <w:pPr>
              <w:spacing w:after="0"/>
              <w:rPr>
                <w:sz w:val="18"/>
                <w:szCs w:val="18"/>
                <w:color w:val="auto"/>
              </w:rPr>
            </w:pPr>
          </w:p>
        </w:tc>
        <w:tc>
          <w:tcPr>
            <w:tcW w:w="900" w:type="dxa"/>
            <w:vAlign w:val="bottom"/>
            <w:shd w:val="clear" w:color="auto" w:fill="7F7F7F"/>
          </w:tcPr>
          <w:p>
            <w:pPr>
              <w:spacing w:after="0"/>
              <w:rPr>
                <w:sz w:val="18"/>
                <w:szCs w:val="18"/>
                <w:color w:val="auto"/>
              </w:rPr>
            </w:pPr>
          </w:p>
        </w:tc>
        <w:tc>
          <w:tcPr>
            <w:tcW w:w="780" w:type="dxa"/>
            <w:vAlign w:val="bottom"/>
            <w:shd w:val="clear" w:color="auto" w:fill="7F7F7F"/>
          </w:tcPr>
          <w:p>
            <w:pPr>
              <w:spacing w:after="0"/>
              <w:rPr>
                <w:sz w:val="18"/>
                <w:szCs w:val="18"/>
                <w:color w:val="auto"/>
              </w:rPr>
            </w:pPr>
          </w:p>
        </w:tc>
        <w:tc>
          <w:tcPr>
            <w:tcW w:w="740" w:type="dxa"/>
            <w:vAlign w:val="bottom"/>
            <w:shd w:val="clear" w:color="auto" w:fill="7F7F7F"/>
          </w:tcPr>
          <w:p>
            <w:pPr>
              <w:spacing w:after="0"/>
              <w:rPr>
                <w:sz w:val="18"/>
                <w:szCs w:val="18"/>
                <w:color w:val="auto"/>
              </w:rPr>
            </w:pPr>
          </w:p>
        </w:tc>
        <w:tc>
          <w:tcPr>
            <w:tcW w:w="760" w:type="dxa"/>
            <w:vAlign w:val="bottom"/>
            <w:shd w:val="clear" w:color="auto" w:fill="7F7F7F"/>
          </w:tcPr>
          <w:p>
            <w:pPr>
              <w:spacing w:after="0"/>
              <w:rPr>
                <w:sz w:val="18"/>
                <w:szCs w:val="18"/>
                <w:color w:val="auto"/>
              </w:rPr>
            </w:pPr>
          </w:p>
        </w:tc>
        <w:tc>
          <w:tcPr>
            <w:tcW w:w="780" w:type="dxa"/>
            <w:vAlign w:val="bottom"/>
            <w:shd w:val="clear" w:color="auto" w:fill="7F7F7F"/>
          </w:tcPr>
          <w:p>
            <w:pPr>
              <w:spacing w:after="0"/>
              <w:rPr>
                <w:sz w:val="18"/>
                <w:szCs w:val="18"/>
                <w:color w:val="auto"/>
              </w:rPr>
            </w:pPr>
          </w:p>
        </w:tc>
        <w:tc>
          <w:tcPr>
            <w:tcW w:w="800" w:type="dxa"/>
            <w:vAlign w:val="bottom"/>
            <w:shd w:val="clear" w:color="auto" w:fill="7F7F7F"/>
          </w:tcPr>
          <w:p>
            <w:pPr>
              <w:spacing w:after="0"/>
              <w:rPr>
                <w:sz w:val="18"/>
                <w:szCs w:val="18"/>
                <w:color w:val="auto"/>
              </w:rPr>
            </w:pPr>
          </w:p>
        </w:tc>
        <w:tc>
          <w:tcPr>
            <w:tcW w:w="740" w:type="dxa"/>
            <w:vAlign w:val="bottom"/>
            <w:shd w:val="clear" w:color="auto" w:fill="7F7F7F"/>
          </w:tcPr>
          <w:p>
            <w:pPr>
              <w:spacing w:after="0"/>
              <w:rPr>
                <w:sz w:val="18"/>
                <w:szCs w:val="18"/>
                <w:color w:val="auto"/>
              </w:rPr>
            </w:pPr>
          </w:p>
        </w:tc>
        <w:tc>
          <w:tcPr>
            <w:tcW w:w="60" w:type="dxa"/>
            <w:vAlign w:val="bottom"/>
            <w:shd w:val="clear" w:color="auto" w:fill="7F7F7F"/>
          </w:tcPr>
          <w:p>
            <w:pPr>
              <w:spacing w:after="0"/>
              <w:rPr>
                <w:sz w:val="18"/>
                <w:szCs w:val="18"/>
                <w:color w:val="auto"/>
              </w:rPr>
            </w:pPr>
          </w:p>
        </w:tc>
        <w:tc>
          <w:tcPr>
            <w:tcW w:w="880" w:type="dxa"/>
            <w:vAlign w:val="bottom"/>
            <w:shd w:val="clear" w:color="auto" w:fill="7F7F7F"/>
          </w:tcPr>
          <w:p>
            <w:pPr>
              <w:jc w:val="center"/>
              <w:ind w:right="132"/>
              <w:spacing w:after="0"/>
              <w:rPr>
                <w:sz w:val="20"/>
                <w:szCs w:val="20"/>
                <w:color w:val="auto"/>
              </w:rPr>
            </w:pPr>
            <w:r>
              <w:rPr>
                <w:rFonts w:ascii="Arial" w:cs="Arial" w:eastAsia="Arial" w:hAnsi="Arial"/>
                <w:sz w:val="14"/>
                <w:szCs w:val="14"/>
                <w:b w:val="1"/>
                <w:bCs w:val="1"/>
                <w:color w:val="FFFFFF"/>
                <w:w w:val="94"/>
              </w:rPr>
              <w:t>All Other</w:t>
            </w:r>
          </w:p>
        </w:tc>
        <w:tc>
          <w:tcPr>
            <w:tcW w:w="84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w w:val="96"/>
              </w:rPr>
              <w:t>Grant</w:t>
            </w:r>
          </w:p>
        </w:tc>
        <w:tc>
          <w:tcPr>
            <w:tcW w:w="0" w:type="dxa"/>
            <w:vAlign w:val="bottom"/>
          </w:tcPr>
          <w:p>
            <w:pPr>
              <w:spacing w:after="0"/>
              <w:rPr>
                <w:sz w:val="1"/>
                <w:szCs w:val="1"/>
                <w:color w:val="auto"/>
              </w:rPr>
            </w:pPr>
          </w:p>
        </w:tc>
      </w:tr>
      <w:tr>
        <w:trPr>
          <w:trHeight w:val="149"/>
        </w:trPr>
        <w:tc>
          <w:tcPr>
            <w:tcW w:w="2940" w:type="dxa"/>
            <w:vAlign w:val="bottom"/>
            <w:shd w:val="clear" w:color="auto" w:fill="7F7F7F"/>
          </w:tcPr>
          <w:p>
            <w:pPr>
              <w:spacing w:after="0"/>
              <w:rPr>
                <w:sz w:val="12"/>
                <w:szCs w:val="12"/>
                <w:color w:val="auto"/>
              </w:rPr>
            </w:pPr>
          </w:p>
        </w:tc>
        <w:tc>
          <w:tcPr>
            <w:tcW w:w="80" w:type="dxa"/>
            <w:vAlign w:val="bottom"/>
            <w:shd w:val="clear" w:color="auto" w:fill="7F7F7F"/>
          </w:tcPr>
          <w:p>
            <w:pPr>
              <w:spacing w:after="0"/>
              <w:rPr>
                <w:sz w:val="12"/>
                <w:szCs w:val="12"/>
                <w:color w:val="auto"/>
              </w:rPr>
            </w:pPr>
          </w:p>
        </w:tc>
        <w:tc>
          <w:tcPr>
            <w:tcW w:w="720" w:type="dxa"/>
            <w:vAlign w:val="bottom"/>
            <w:shd w:val="clear" w:color="auto" w:fill="7F7F7F"/>
          </w:tcPr>
          <w:p>
            <w:pPr>
              <w:spacing w:after="0"/>
              <w:rPr>
                <w:sz w:val="12"/>
                <w:szCs w:val="12"/>
                <w:color w:val="auto"/>
              </w:rPr>
            </w:pPr>
          </w:p>
        </w:tc>
        <w:tc>
          <w:tcPr>
            <w:tcW w:w="900" w:type="dxa"/>
            <w:vAlign w:val="bottom"/>
            <w:shd w:val="clear" w:color="auto" w:fill="7F7F7F"/>
          </w:tcPr>
          <w:p>
            <w:pPr>
              <w:spacing w:after="0"/>
              <w:rPr>
                <w:sz w:val="12"/>
                <w:szCs w:val="12"/>
                <w:color w:val="auto"/>
              </w:rPr>
            </w:pPr>
          </w:p>
        </w:tc>
        <w:tc>
          <w:tcPr>
            <w:tcW w:w="2280" w:type="dxa"/>
            <w:vAlign w:val="bottom"/>
            <w:gridSpan w:val="3"/>
            <w:vMerge w:val="restart"/>
            <w:shd w:val="clear" w:color="auto" w:fill="7F7F7F"/>
          </w:tcPr>
          <w:p>
            <w:pPr>
              <w:jc w:val="center"/>
              <w:spacing w:after="0"/>
              <w:rPr>
                <w:sz w:val="20"/>
                <w:szCs w:val="20"/>
                <w:color w:val="auto"/>
              </w:rPr>
            </w:pPr>
            <w:r>
              <w:rPr>
                <w:rFonts w:ascii="Arial" w:cs="Arial" w:eastAsia="Arial" w:hAnsi="Arial"/>
                <w:sz w:val="14"/>
                <w:szCs w:val="14"/>
                <w:b w:val="1"/>
                <w:bCs w:val="1"/>
                <w:color w:val="FFFFFF"/>
                <w:w w:val="96"/>
              </w:rPr>
              <w:t>Estimated Future Payouts</w:t>
            </w:r>
          </w:p>
        </w:tc>
        <w:tc>
          <w:tcPr>
            <w:tcW w:w="2320" w:type="dxa"/>
            <w:vAlign w:val="bottom"/>
            <w:gridSpan w:val="3"/>
            <w:vMerge w:val="restart"/>
            <w:shd w:val="clear" w:color="auto" w:fill="7F7F7F"/>
          </w:tcPr>
          <w:p>
            <w:pPr>
              <w:jc w:val="center"/>
              <w:spacing w:after="0"/>
              <w:rPr>
                <w:sz w:val="20"/>
                <w:szCs w:val="20"/>
                <w:color w:val="auto"/>
              </w:rPr>
            </w:pPr>
            <w:r>
              <w:rPr>
                <w:rFonts w:ascii="Arial" w:cs="Arial" w:eastAsia="Arial" w:hAnsi="Arial"/>
                <w:sz w:val="14"/>
                <w:szCs w:val="14"/>
                <w:b w:val="1"/>
                <w:bCs w:val="1"/>
                <w:color w:val="FFFFFF"/>
                <w:w w:val="97"/>
              </w:rPr>
              <w:t>Estimated Future Payouts</w:t>
            </w:r>
          </w:p>
        </w:tc>
        <w:tc>
          <w:tcPr>
            <w:tcW w:w="60" w:type="dxa"/>
            <w:vAlign w:val="bottom"/>
            <w:shd w:val="clear" w:color="auto" w:fill="7F7F7F"/>
          </w:tcPr>
          <w:p>
            <w:pPr>
              <w:spacing w:after="0"/>
              <w:rPr>
                <w:sz w:val="12"/>
                <w:szCs w:val="12"/>
                <w:color w:val="auto"/>
              </w:rPr>
            </w:pPr>
          </w:p>
        </w:tc>
        <w:tc>
          <w:tcPr>
            <w:tcW w:w="880" w:type="dxa"/>
            <w:vAlign w:val="bottom"/>
            <w:shd w:val="clear" w:color="auto" w:fill="7F7F7F"/>
          </w:tcPr>
          <w:p>
            <w:pPr>
              <w:jc w:val="center"/>
              <w:ind w:right="132"/>
              <w:spacing w:after="0" w:line="149" w:lineRule="exact"/>
              <w:rPr>
                <w:sz w:val="20"/>
                <w:szCs w:val="20"/>
                <w:color w:val="auto"/>
              </w:rPr>
            </w:pPr>
            <w:r>
              <w:rPr>
                <w:rFonts w:ascii="Arial" w:cs="Arial" w:eastAsia="Arial" w:hAnsi="Arial"/>
                <w:sz w:val="14"/>
                <w:szCs w:val="14"/>
                <w:b w:val="1"/>
                <w:bCs w:val="1"/>
                <w:color w:val="FFFFFF"/>
                <w:w w:val="94"/>
              </w:rPr>
              <w:t>Stock</w:t>
            </w:r>
          </w:p>
        </w:tc>
        <w:tc>
          <w:tcPr>
            <w:tcW w:w="840" w:type="dxa"/>
            <w:vAlign w:val="bottom"/>
            <w:shd w:val="clear" w:color="auto" w:fill="7F7F7F"/>
          </w:tcPr>
          <w:p>
            <w:pPr>
              <w:jc w:val="center"/>
              <w:spacing w:after="0" w:line="149" w:lineRule="exact"/>
              <w:rPr>
                <w:sz w:val="20"/>
                <w:szCs w:val="20"/>
                <w:color w:val="auto"/>
              </w:rPr>
            </w:pPr>
            <w:r>
              <w:rPr>
                <w:rFonts w:ascii="Arial" w:cs="Arial" w:eastAsia="Arial" w:hAnsi="Arial"/>
                <w:sz w:val="14"/>
                <w:szCs w:val="14"/>
                <w:b w:val="1"/>
                <w:bCs w:val="1"/>
                <w:color w:val="FFFFFF"/>
                <w:w w:val="96"/>
              </w:rPr>
              <w:t>Date Fair</w:t>
            </w:r>
          </w:p>
        </w:tc>
        <w:tc>
          <w:tcPr>
            <w:tcW w:w="0" w:type="dxa"/>
            <w:vAlign w:val="bottom"/>
          </w:tcPr>
          <w:p>
            <w:pPr>
              <w:spacing w:after="0"/>
              <w:rPr>
                <w:sz w:val="1"/>
                <w:szCs w:val="1"/>
                <w:color w:val="auto"/>
              </w:rPr>
            </w:pPr>
          </w:p>
        </w:tc>
      </w:tr>
      <w:tr>
        <w:trPr>
          <w:trHeight w:val="64"/>
        </w:trPr>
        <w:tc>
          <w:tcPr>
            <w:tcW w:w="2940" w:type="dxa"/>
            <w:vAlign w:val="bottom"/>
            <w:shd w:val="clear" w:color="auto" w:fill="7F7F7F"/>
          </w:tcPr>
          <w:p>
            <w:pPr>
              <w:spacing w:after="0"/>
              <w:rPr>
                <w:sz w:val="5"/>
                <w:szCs w:val="5"/>
                <w:color w:val="auto"/>
              </w:rPr>
            </w:pPr>
          </w:p>
        </w:tc>
        <w:tc>
          <w:tcPr>
            <w:tcW w:w="80" w:type="dxa"/>
            <w:vAlign w:val="bottom"/>
            <w:shd w:val="clear" w:color="auto" w:fill="7F7F7F"/>
          </w:tcPr>
          <w:p>
            <w:pPr>
              <w:spacing w:after="0"/>
              <w:rPr>
                <w:sz w:val="5"/>
                <w:szCs w:val="5"/>
                <w:color w:val="auto"/>
              </w:rPr>
            </w:pPr>
          </w:p>
        </w:tc>
        <w:tc>
          <w:tcPr>
            <w:tcW w:w="720" w:type="dxa"/>
            <w:vAlign w:val="bottom"/>
            <w:shd w:val="clear" w:color="auto" w:fill="7F7F7F"/>
          </w:tcPr>
          <w:p>
            <w:pPr>
              <w:spacing w:after="0"/>
              <w:rPr>
                <w:sz w:val="5"/>
                <w:szCs w:val="5"/>
                <w:color w:val="auto"/>
              </w:rPr>
            </w:pPr>
          </w:p>
        </w:tc>
        <w:tc>
          <w:tcPr>
            <w:tcW w:w="900" w:type="dxa"/>
            <w:vAlign w:val="bottom"/>
            <w:shd w:val="clear" w:color="auto" w:fill="7F7F7F"/>
          </w:tcPr>
          <w:p>
            <w:pPr>
              <w:spacing w:after="0"/>
              <w:rPr>
                <w:sz w:val="5"/>
                <w:szCs w:val="5"/>
                <w:color w:val="auto"/>
              </w:rPr>
            </w:pPr>
          </w:p>
        </w:tc>
        <w:tc>
          <w:tcPr>
            <w:tcW w:w="2280" w:type="dxa"/>
            <w:vAlign w:val="bottom"/>
            <w:gridSpan w:val="3"/>
            <w:vMerge w:val="continue"/>
            <w:shd w:val="clear" w:color="auto" w:fill="7F7F7F"/>
          </w:tcPr>
          <w:p>
            <w:pPr>
              <w:spacing w:after="0"/>
              <w:rPr>
                <w:sz w:val="5"/>
                <w:szCs w:val="5"/>
                <w:color w:val="auto"/>
              </w:rPr>
            </w:pPr>
          </w:p>
        </w:tc>
        <w:tc>
          <w:tcPr>
            <w:tcW w:w="2320" w:type="dxa"/>
            <w:vAlign w:val="bottom"/>
            <w:gridSpan w:val="3"/>
            <w:vMerge w:val="continue"/>
            <w:shd w:val="clear" w:color="auto" w:fill="7F7F7F"/>
          </w:tcPr>
          <w:p>
            <w:pPr>
              <w:spacing w:after="0"/>
              <w:rPr>
                <w:sz w:val="5"/>
                <w:szCs w:val="5"/>
                <w:color w:val="auto"/>
              </w:rPr>
            </w:pPr>
          </w:p>
        </w:tc>
        <w:tc>
          <w:tcPr>
            <w:tcW w:w="60" w:type="dxa"/>
            <w:vAlign w:val="bottom"/>
            <w:shd w:val="clear" w:color="auto" w:fill="7F7F7F"/>
          </w:tcPr>
          <w:p>
            <w:pPr>
              <w:spacing w:after="0"/>
              <w:rPr>
                <w:sz w:val="5"/>
                <w:szCs w:val="5"/>
                <w:color w:val="auto"/>
              </w:rPr>
            </w:pPr>
          </w:p>
        </w:tc>
        <w:tc>
          <w:tcPr>
            <w:tcW w:w="880" w:type="dxa"/>
            <w:vAlign w:val="bottom"/>
            <w:vMerge w:val="restart"/>
            <w:shd w:val="clear" w:color="auto" w:fill="7F7F7F"/>
          </w:tcPr>
          <w:p>
            <w:pPr>
              <w:jc w:val="center"/>
              <w:ind w:right="132"/>
              <w:spacing w:after="0" w:line="149" w:lineRule="exact"/>
              <w:rPr>
                <w:sz w:val="20"/>
                <w:szCs w:val="20"/>
                <w:color w:val="auto"/>
              </w:rPr>
            </w:pPr>
            <w:r>
              <w:rPr>
                <w:rFonts w:ascii="Arial" w:cs="Arial" w:eastAsia="Arial" w:hAnsi="Arial"/>
                <w:sz w:val="14"/>
                <w:szCs w:val="14"/>
                <w:b w:val="1"/>
                <w:bCs w:val="1"/>
                <w:color w:val="FFFFFF"/>
                <w:w w:val="94"/>
              </w:rPr>
              <w:t>Awards:</w:t>
            </w:r>
          </w:p>
        </w:tc>
        <w:tc>
          <w:tcPr>
            <w:tcW w:w="840" w:type="dxa"/>
            <w:vAlign w:val="bottom"/>
            <w:vMerge w:val="restart"/>
            <w:shd w:val="clear" w:color="auto" w:fill="7F7F7F"/>
          </w:tcPr>
          <w:p>
            <w:pPr>
              <w:jc w:val="center"/>
              <w:spacing w:after="0" w:line="149" w:lineRule="exact"/>
              <w:rPr>
                <w:sz w:val="20"/>
                <w:szCs w:val="20"/>
                <w:color w:val="auto"/>
              </w:rPr>
            </w:pPr>
            <w:r>
              <w:rPr>
                <w:rFonts w:ascii="Arial" w:cs="Arial" w:eastAsia="Arial" w:hAnsi="Arial"/>
                <w:sz w:val="14"/>
                <w:szCs w:val="14"/>
                <w:b w:val="1"/>
                <w:bCs w:val="1"/>
                <w:color w:val="FFFFFF"/>
                <w:w w:val="95"/>
              </w:rPr>
              <w:t>Value of</w:t>
            </w:r>
          </w:p>
        </w:tc>
        <w:tc>
          <w:tcPr>
            <w:tcW w:w="0" w:type="dxa"/>
            <w:vAlign w:val="bottom"/>
          </w:tcPr>
          <w:p>
            <w:pPr>
              <w:spacing w:after="0"/>
              <w:rPr>
                <w:sz w:val="1"/>
                <w:szCs w:val="1"/>
                <w:color w:val="auto"/>
              </w:rPr>
            </w:pPr>
          </w:p>
        </w:tc>
      </w:tr>
      <w:tr>
        <w:trPr>
          <w:trHeight w:val="84"/>
        </w:trPr>
        <w:tc>
          <w:tcPr>
            <w:tcW w:w="2940" w:type="dxa"/>
            <w:vAlign w:val="bottom"/>
            <w:shd w:val="clear" w:color="auto" w:fill="7F7F7F"/>
          </w:tcPr>
          <w:p>
            <w:pPr>
              <w:spacing w:after="0"/>
              <w:rPr>
                <w:sz w:val="7"/>
                <w:szCs w:val="7"/>
                <w:color w:val="auto"/>
              </w:rPr>
            </w:pPr>
          </w:p>
        </w:tc>
        <w:tc>
          <w:tcPr>
            <w:tcW w:w="80" w:type="dxa"/>
            <w:vAlign w:val="bottom"/>
            <w:shd w:val="clear" w:color="auto" w:fill="7F7F7F"/>
          </w:tcPr>
          <w:p>
            <w:pPr>
              <w:spacing w:after="0"/>
              <w:rPr>
                <w:sz w:val="7"/>
                <w:szCs w:val="7"/>
                <w:color w:val="auto"/>
              </w:rPr>
            </w:pPr>
          </w:p>
        </w:tc>
        <w:tc>
          <w:tcPr>
            <w:tcW w:w="720" w:type="dxa"/>
            <w:vAlign w:val="bottom"/>
            <w:shd w:val="clear" w:color="auto" w:fill="7F7F7F"/>
          </w:tcPr>
          <w:p>
            <w:pPr>
              <w:spacing w:after="0"/>
              <w:rPr>
                <w:sz w:val="7"/>
                <w:szCs w:val="7"/>
                <w:color w:val="auto"/>
              </w:rPr>
            </w:pPr>
          </w:p>
        </w:tc>
        <w:tc>
          <w:tcPr>
            <w:tcW w:w="900" w:type="dxa"/>
            <w:vAlign w:val="bottom"/>
            <w:shd w:val="clear" w:color="auto" w:fill="7F7F7F"/>
          </w:tcPr>
          <w:p>
            <w:pPr>
              <w:spacing w:after="0"/>
              <w:rPr>
                <w:sz w:val="7"/>
                <w:szCs w:val="7"/>
                <w:color w:val="auto"/>
              </w:rPr>
            </w:pPr>
          </w:p>
        </w:tc>
        <w:tc>
          <w:tcPr>
            <w:tcW w:w="2280" w:type="dxa"/>
            <w:vAlign w:val="bottom"/>
            <w:gridSpan w:val="3"/>
            <w:vMerge w:val="restart"/>
            <w:shd w:val="clear" w:color="auto" w:fill="7F7F7F"/>
          </w:tcPr>
          <w:p>
            <w:pPr>
              <w:jc w:val="center"/>
              <w:spacing w:after="0" w:line="149" w:lineRule="exact"/>
              <w:rPr>
                <w:sz w:val="20"/>
                <w:szCs w:val="20"/>
                <w:color w:val="auto"/>
              </w:rPr>
            </w:pPr>
            <w:r>
              <w:rPr>
                <w:rFonts w:ascii="Arial" w:cs="Arial" w:eastAsia="Arial" w:hAnsi="Arial"/>
                <w:sz w:val="14"/>
                <w:szCs w:val="14"/>
                <w:b w:val="1"/>
                <w:bCs w:val="1"/>
                <w:color w:val="FFFFFF"/>
                <w:w w:val="96"/>
              </w:rPr>
              <w:t>Under Non-Equity Incentive</w:t>
            </w:r>
          </w:p>
        </w:tc>
        <w:tc>
          <w:tcPr>
            <w:tcW w:w="2320" w:type="dxa"/>
            <w:vAlign w:val="bottom"/>
            <w:gridSpan w:val="3"/>
            <w:vMerge w:val="restart"/>
            <w:shd w:val="clear" w:color="auto" w:fill="7F7F7F"/>
          </w:tcPr>
          <w:p>
            <w:pPr>
              <w:jc w:val="center"/>
              <w:spacing w:after="0" w:line="149" w:lineRule="exact"/>
              <w:rPr>
                <w:sz w:val="20"/>
                <w:szCs w:val="20"/>
                <w:color w:val="auto"/>
              </w:rPr>
            </w:pPr>
            <w:r>
              <w:rPr>
                <w:rFonts w:ascii="Arial" w:cs="Arial" w:eastAsia="Arial" w:hAnsi="Arial"/>
                <w:sz w:val="14"/>
                <w:szCs w:val="14"/>
                <w:b w:val="1"/>
                <w:bCs w:val="1"/>
                <w:color w:val="FFFFFF"/>
                <w:w w:val="97"/>
              </w:rPr>
              <w:t>Under Equity Incentive Plan</w:t>
            </w:r>
          </w:p>
        </w:tc>
        <w:tc>
          <w:tcPr>
            <w:tcW w:w="60" w:type="dxa"/>
            <w:vAlign w:val="bottom"/>
            <w:shd w:val="clear" w:color="auto" w:fill="7F7F7F"/>
          </w:tcPr>
          <w:p>
            <w:pPr>
              <w:spacing w:after="0"/>
              <w:rPr>
                <w:sz w:val="7"/>
                <w:szCs w:val="7"/>
                <w:color w:val="auto"/>
              </w:rPr>
            </w:pPr>
          </w:p>
        </w:tc>
        <w:tc>
          <w:tcPr>
            <w:tcW w:w="880" w:type="dxa"/>
            <w:vAlign w:val="bottom"/>
            <w:vMerge w:val="continue"/>
            <w:shd w:val="clear" w:color="auto" w:fill="7F7F7F"/>
          </w:tcPr>
          <w:p>
            <w:pPr>
              <w:spacing w:after="0"/>
              <w:rPr>
                <w:sz w:val="7"/>
                <w:szCs w:val="7"/>
                <w:color w:val="auto"/>
              </w:rPr>
            </w:pPr>
          </w:p>
        </w:tc>
        <w:tc>
          <w:tcPr>
            <w:tcW w:w="840" w:type="dxa"/>
            <w:vAlign w:val="bottom"/>
            <w:vMerge w:val="continue"/>
            <w:shd w:val="clear" w:color="auto" w:fill="7F7F7F"/>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940" w:type="dxa"/>
            <w:vAlign w:val="bottom"/>
            <w:shd w:val="clear" w:color="auto" w:fill="7F7F7F"/>
          </w:tcPr>
          <w:p>
            <w:pPr>
              <w:spacing w:after="0"/>
              <w:rPr>
                <w:sz w:val="5"/>
                <w:szCs w:val="5"/>
                <w:color w:val="auto"/>
              </w:rPr>
            </w:pPr>
          </w:p>
        </w:tc>
        <w:tc>
          <w:tcPr>
            <w:tcW w:w="80" w:type="dxa"/>
            <w:vAlign w:val="bottom"/>
            <w:shd w:val="clear" w:color="auto" w:fill="7F7F7F"/>
          </w:tcPr>
          <w:p>
            <w:pPr>
              <w:spacing w:after="0"/>
              <w:rPr>
                <w:sz w:val="5"/>
                <w:szCs w:val="5"/>
                <w:color w:val="auto"/>
              </w:rPr>
            </w:pPr>
          </w:p>
        </w:tc>
        <w:tc>
          <w:tcPr>
            <w:tcW w:w="720" w:type="dxa"/>
            <w:vAlign w:val="bottom"/>
            <w:shd w:val="clear" w:color="auto" w:fill="7F7F7F"/>
          </w:tcPr>
          <w:p>
            <w:pPr>
              <w:spacing w:after="0"/>
              <w:rPr>
                <w:sz w:val="5"/>
                <w:szCs w:val="5"/>
                <w:color w:val="auto"/>
              </w:rPr>
            </w:pPr>
          </w:p>
        </w:tc>
        <w:tc>
          <w:tcPr>
            <w:tcW w:w="900" w:type="dxa"/>
            <w:vAlign w:val="bottom"/>
            <w:shd w:val="clear" w:color="auto" w:fill="7F7F7F"/>
          </w:tcPr>
          <w:p>
            <w:pPr>
              <w:spacing w:after="0"/>
              <w:rPr>
                <w:sz w:val="5"/>
                <w:szCs w:val="5"/>
                <w:color w:val="auto"/>
              </w:rPr>
            </w:pPr>
          </w:p>
        </w:tc>
        <w:tc>
          <w:tcPr>
            <w:tcW w:w="2280" w:type="dxa"/>
            <w:vAlign w:val="bottom"/>
            <w:gridSpan w:val="3"/>
            <w:vMerge w:val="continue"/>
            <w:shd w:val="clear" w:color="auto" w:fill="7F7F7F"/>
          </w:tcPr>
          <w:p>
            <w:pPr>
              <w:spacing w:after="0"/>
              <w:rPr>
                <w:sz w:val="5"/>
                <w:szCs w:val="5"/>
                <w:color w:val="auto"/>
              </w:rPr>
            </w:pPr>
          </w:p>
        </w:tc>
        <w:tc>
          <w:tcPr>
            <w:tcW w:w="2320" w:type="dxa"/>
            <w:vAlign w:val="bottom"/>
            <w:gridSpan w:val="3"/>
            <w:vMerge w:val="continue"/>
            <w:shd w:val="clear" w:color="auto" w:fill="7F7F7F"/>
          </w:tcPr>
          <w:p>
            <w:pPr>
              <w:spacing w:after="0"/>
              <w:rPr>
                <w:sz w:val="5"/>
                <w:szCs w:val="5"/>
                <w:color w:val="auto"/>
              </w:rPr>
            </w:pPr>
          </w:p>
        </w:tc>
        <w:tc>
          <w:tcPr>
            <w:tcW w:w="60" w:type="dxa"/>
            <w:vAlign w:val="bottom"/>
            <w:shd w:val="clear" w:color="auto" w:fill="7F7F7F"/>
          </w:tcPr>
          <w:p>
            <w:pPr>
              <w:spacing w:after="0"/>
              <w:rPr>
                <w:sz w:val="5"/>
                <w:szCs w:val="5"/>
                <w:color w:val="auto"/>
              </w:rPr>
            </w:pPr>
          </w:p>
        </w:tc>
        <w:tc>
          <w:tcPr>
            <w:tcW w:w="880" w:type="dxa"/>
            <w:vAlign w:val="bottom"/>
            <w:vMerge w:val="restart"/>
            <w:shd w:val="clear" w:color="auto" w:fill="7F7F7F"/>
          </w:tcPr>
          <w:p>
            <w:pPr>
              <w:jc w:val="center"/>
              <w:ind w:right="132"/>
              <w:spacing w:after="0" w:line="149" w:lineRule="exact"/>
              <w:rPr>
                <w:sz w:val="20"/>
                <w:szCs w:val="20"/>
                <w:color w:val="auto"/>
              </w:rPr>
            </w:pPr>
            <w:r>
              <w:rPr>
                <w:rFonts w:ascii="Arial" w:cs="Arial" w:eastAsia="Arial" w:hAnsi="Arial"/>
                <w:sz w:val="14"/>
                <w:szCs w:val="14"/>
                <w:b w:val="1"/>
                <w:bCs w:val="1"/>
                <w:color w:val="FFFFFF"/>
                <w:w w:val="97"/>
              </w:rPr>
              <w:t>Number of</w:t>
            </w:r>
          </w:p>
        </w:tc>
        <w:tc>
          <w:tcPr>
            <w:tcW w:w="840" w:type="dxa"/>
            <w:vAlign w:val="bottom"/>
            <w:vMerge w:val="restart"/>
            <w:shd w:val="clear" w:color="auto" w:fill="7F7F7F"/>
          </w:tcPr>
          <w:p>
            <w:pPr>
              <w:jc w:val="center"/>
              <w:spacing w:after="0" w:line="149" w:lineRule="exact"/>
              <w:rPr>
                <w:sz w:val="20"/>
                <w:szCs w:val="20"/>
                <w:color w:val="auto"/>
              </w:rPr>
            </w:pPr>
            <w:r>
              <w:rPr>
                <w:rFonts w:ascii="Arial" w:cs="Arial" w:eastAsia="Arial" w:hAnsi="Arial"/>
                <w:sz w:val="14"/>
                <w:szCs w:val="14"/>
                <w:b w:val="1"/>
                <w:bCs w:val="1"/>
                <w:color w:val="FFFFFF"/>
                <w:w w:val="99"/>
              </w:rPr>
              <w:t>Stock</w:t>
            </w:r>
          </w:p>
        </w:tc>
        <w:tc>
          <w:tcPr>
            <w:tcW w:w="0" w:type="dxa"/>
            <w:vAlign w:val="bottom"/>
          </w:tcPr>
          <w:p>
            <w:pPr>
              <w:spacing w:after="0"/>
              <w:rPr>
                <w:sz w:val="1"/>
                <w:szCs w:val="1"/>
                <w:color w:val="auto"/>
              </w:rPr>
            </w:pPr>
          </w:p>
        </w:tc>
      </w:tr>
      <w:tr>
        <w:trPr>
          <w:trHeight w:val="84"/>
        </w:trPr>
        <w:tc>
          <w:tcPr>
            <w:tcW w:w="2940" w:type="dxa"/>
            <w:vAlign w:val="bottom"/>
            <w:shd w:val="clear" w:color="auto" w:fill="7F7F7F"/>
          </w:tcPr>
          <w:p>
            <w:pPr>
              <w:spacing w:after="0"/>
              <w:rPr>
                <w:sz w:val="7"/>
                <w:szCs w:val="7"/>
                <w:color w:val="auto"/>
              </w:rPr>
            </w:pPr>
          </w:p>
        </w:tc>
        <w:tc>
          <w:tcPr>
            <w:tcW w:w="80" w:type="dxa"/>
            <w:vAlign w:val="bottom"/>
            <w:shd w:val="clear" w:color="auto" w:fill="7F7F7F"/>
          </w:tcPr>
          <w:p>
            <w:pPr>
              <w:spacing w:after="0"/>
              <w:rPr>
                <w:sz w:val="7"/>
                <w:szCs w:val="7"/>
                <w:color w:val="auto"/>
              </w:rPr>
            </w:pPr>
          </w:p>
        </w:tc>
        <w:tc>
          <w:tcPr>
            <w:tcW w:w="720" w:type="dxa"/>
            <w:vAlign w:val="bottom"/>
            <w:shd w:val="clear" w:color="auto" w:fill="7F7F7F"/>
          </w:tcPr>
          <w:p>
            <w:pPr>
              <w:spacing w:after="0"/>
              <w:rPr>
                <w:sz w:val="7"/>
                <w:szCs w:val="7"/>
                <w:color w:val="auto"/>
              </w:rPr>
            </w:pPr>
          </w:p>
        </w:tc>
        <w:tc>
          <w:tcPr>
            <w:tcW w:w="900" w:type="dxa"/>
            <w:vAlign w:val="bottom"/>
            <w:shd w:val="clear" w:color="auto" w:fill="7F7F7F"/>
          </w:tcPr>
          <w:p>
            <w:pPr>
              <w:spacing w:after="0"/>
              <w:rPr>
                <w:sz w:val="7"/>
                <w:szCs w:val="7"/>
                <w:color w:val="auto"/>
              </w:rPr>
            </w:pPr>
          </w:p>
        </w:tc>
        <w:tc>
          <w:tcPr>
            <w:tcW w:w="2280" w:type="dxa"/>
            <w:vAlign w:val="bottom"/>
            <w:gridSpan w:val="3"/>
            <w:vMerge w:val="restart"/>
            <w:shd w:val="clear" w:color="auto" w:fill="7F7F7F"/>
          </w:tcPr>
          <w:p>
            <w:pPr>
              <w:jc w:val="center"/>
              <w:spacing w:after="0"/>
              <w:rPr>
                <w:sz w:val="20"/>
                <w:szCs w:val="20"/>
                <w:color w:val="auto"/>
              </w:rPr>
            </w:pPr>
            <w:r>
              <w:rPr>
                <w:rFonts w:ascii="Arial" w:cs="Arial" w:eastAsia="Arial" w:hAnsi="Arial"/>
                <w:sz w:val="14"/>
                <w:szCs w:val="14"/>
                <w:b w:val="1"/>
                <w:bCs w:val="1"/>
                <w:color w:val="FFFFFF"/>
                <w:w w:val="96"/>
              </w:rPr>
              <w:t>Plan Awards</w:t>
            </w:r>
            <w:r>
              <w:rPr>
                <w:rFonts w:ascii="Arial" w:cs="Arial" w:eastAsia="Arial" w:hAnsi="Arial"/>
                <w:sz w:val="11"/>
                <w:szCs w:val="11"/>
                <w:b w:val="1"/>
                <w:bCs w:val="1"/>
                <w:color w:val="FFFFFF"/>
                <w:w w:val="96"/>
              </w:rPr>
              <w:t>(2)</w:t>
            </w:r>
          </w:p>
        </w:tc>
        <w:tc>
          <w:tcPr>
            <w:tcW w:w="780" w:type="dxa"/>
            <w:vAlign w:val="bottom"/>
            <w:shd w:val="clear" w:color="auto" w:fill="7F7F7F"/>
          </w:tcPr>
          <w:p>
            <w:pPr>
              <w:spacing w:after="0"/>
              <w:rPr>
                <w:sz w:val="7"/>
                <w:szCs w:val="7"/>
                <w:color w:val="auto"/>
              </w:rPr>
            </w:pPr>
          </w:p>
        </w:tc>
        <w:tc>
          <w:tcPr>
            <w:tcW w:w="800" w:type="dxa"/>
            <w:vAlign w:val="bottom"/>
            <w:vMerge w:val="restart"/>
            <w:shd w:val="clear" w:color="auto" w:fill="7F7F7F"/>
          </w:tcPr>
          <w:p>
            <w:pPr>
              <w:jc w:val="center"/>
              <w:spacing w:after="0"/>
              <w:rPr>
                <w:sz w:val="20"/>
                <w:szCs w:val="20"/>
                <w:color w:val="auto"/>
              </w:rPr>
            </w:pPr>
            <w:r>
              <w:rPr>
                <w:rFonts w:ascii="Arial" w:cs="Arial" w:eastAsia="Arial" w:hAnsi="Arial"/>
                <w:sz w:val="14"/>
                <w:szCs w:val="14"/>
                <w:b w:val="1"/>
                <w:bCs w:val="1"/>
                <w:color w:val="FFFFFF"/>
                <w:w w:val="94"/>
              </w:rPr>
              <w:t>Awards</w:t>
            </w:r>
          </w:p>
        </w:tc>
        <w:tc>
          <w:tcPr>
            <w:tcW w:w="740" w:type="dxa"/>
            <w:vAlign w:val="bottom"/>
            <w:shd w:val="clear" w:color="auto" w:fill="7F7F7F"/>
          </w:tcPr>
          <w:p>
            <w:pPr>
              <w:spacing w:after="0"/>
              <w:rPr>
                <w:sz w:val="7"/>
                <w:szCs w:val="7"/>
                <w:color w:val="auto"/>
              </w:rPr>
            </w:pPr>
          </w:p>
        </w:tc>
        <w:tc>
          <w:tcPr>
            <w:tcW w:w="60" w:type="dxa"/>
            <w:vAlign w:val="bottom"/>
            <w:shd w:val="clear" w:color="auto" w:fill="7F7F7F"/>
          </w:tcPr>
          <w:p>
            <w:pPr>
              <w:spacing w:after="0"/>
              <w:rPr>
                <w:sz w:val="7"/>
                <w:szCs w:val="7"/>
                <w:color w:val="auto"/>
              </w:rPr>
            </w:pPr>
          </w:p>
        </w:tc>
        <w:tc>
          <w:tcPr>
            <w:tcW w:w="880" w:type="dxa"/>
            <w:vAlign w:val="bottom"/>
            <w:vMerge w:val="continue"/>
            <w:shd w:val="clear" w:color="auto" w:fill="7F7F7F"/>
          </w:tcPr>
          <w:p>
            <w:pPr>
              <w:spacing w:after="0"/>
              <w:rPr>
                <w:sz w:val="7"/>
                <w:szCs w:val="7"/>
                <w:color w:val="auto"/>
              </w:rPr>
            </w:pPr>
          </w:p>
        </w:tc>
        <w:tc>
          <w:tcPr>
            <w:tcW w:w="840" w:type="dxa"/>
            <w:vAlign w:val="bottom"/>
            <w:vMerge w:val="continue"/>
            <w:shd w:val="clear" w:color="auto" w:fill="7F7F7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940" w:type="dxa"/>
            <w:vAlign w:val="bottom"/>
            <w:shd w:val="clear" w:color="auto" w:fill="7F7F7F"/>
          </w:tcPr>
          <w:p>
            <w:pPr>
              <w:spacing w:after="0"/>
              <w:rPr>
                <w:sz w:val="7"/>
                <w:szCs w:val="7"/>
                <w:color w:val="auto"/>
              </w:rPr>
            </w:pPr>
          </w:p>
        </w:tc>
        <w:tc>
          <w:tcPr>
            <w:tcW w:w="80" w:type="dxa"/>
            <w:vAlign w:val="bottom"/>
            <w:shd w:val="clear" w:color="auto" w:fill="7F7F7F"/>
          </w:tcPr>
          <w:p>
            <w:pPr>
              <w:spacing w:after="0"/>
              <w:rPr>
                <w:sz w:val="7"/>
                <w:szCs w:val="7"/>
                <w:color w:val="auto"/>
              </w:rPr>
            </w:pPr>
          </w:p>
        </w:tc>
        <w:tc>
          <w:tcPr>
            <w:tcW w:w="720" w:type="dxa"/>
            <w:vAlign w:val="bottom"/>
            <w:shd w:val="clear" w:color="auto" w:fill="7F7F7F"/>
          </w:tcPr>
          <w:p>
            <w:pPr>
              <w:spacing w:after="0"/>
              <w:rPr>
                <w:sz w:val="7"/>
                <w:szCs w:val="7"/>
                <w:color w:val="auto"/>
              </w:rPr>
            </w:pPr>
          </w:p>
        </w:tc>
        <w:tc>
          <w:tcPr>
            <w:tcW w:w="900" w:type="dxa"/>
            <w:vAlign w:val="bottom"/>
            <w:shd w:val="clear" w:color="auto" w:fill="7F7F7F"/>
          </w:tcPr>
          <w:p>
            <w:pPr>
              <w:spacing w:after="0"/>
              <w:rPr>
                <w:sz w:val="7"/>
                <w:szCs w:val="7"/>
                <w:color w:val="auto"/>
              </w:rPr>
            </w:pPr>
          </w:p>
        </w:tc>
        <w:tc>
          <w:tcPr>
            <w:tcW w:w="2280" w:type="dxa"/>
            <w:vAlign w:val="bottom"/>
            <w:gridSpan w:val="3"/>
            <w:vMerge w:val="continue"/>
            <w:shd w:val="clear" w:color="auto" w:fill="7F7F7F"/>
          </w:tcPr>
          <w:p>
            <w:pPr>
              <w:spacing w:after="0"/>
              <w:rPr>
                <w:sz w:val="7"/>
                <w:szCs w:val="7"/>
                <w:color w:val="auto"/>
              </w:rPr>
            </w:pPr>
          </w:p>
        </w:tc>
        <w:tc>
          <w:tcPr>
            <w:tcW w:w="780" w:type="dxa"/>
            <w:vAlign w:val="bottom"/>
            <w:shd w:val="clear" w:color="auto" w:fill="7F7F7F"/>
          </w:tcPr>
          <w:p>
            <w:pPr>
              <w:spacing w:after="0"/>
              <w:rPr>
                <w:sz w:val="7"/>
                <w:szCs w:val="7"/>
                <w:color w:val="auto"/>
              </w:rPr>
            </w:pPr>
          </w:p>
        </w:tc>
        <w:tc>
          <w:tcPr>
            <w:tcW w:w="800" w:type="dxa"/>
            <w:vAlign w:val="bottom"/>
            <w:vMerge w:val="continue"/>
            <w:shd w:val="clear" w:color="auto" w:fill="7F7F7F"/>
          </w:tcPr>
          <w:p>
            <w:pPr>
              <w:spacing w:after="0"/>
              <w:rPr>
                <w:sz w:val="7"/>
                <w:szCs w:val="7"/>
                <w:color w:val="auto"/>
              </w:rPr>
            </w:pPr>
          </w:p>
        </w:tc>
        <w:tc>
          <w:tcPr>
            <w:tcW w:w="740" w:type="dxa"/>
            <w:vAlign w:val="bottom"/>
            <w:shd w:val="clear" w:color="auto" w:fill="7F7F7F"/>
          </w:tcPr>
          <w:p>
            <w:pPr>
              <w:spacing w:after="0"/>
              <w:rPr>
                <w:sz w:val="7"/>
                <w:szCs w:val="7"/>
                <w:color w:val="auto"/>
              </w:rPr>
            </w:pPr>
          </w:p>
        </w:tc>
        <w:tc>
          <w:tcPr>
            <w:tcW w:w="60" w:type="dxa"/>
            <w:vAlign w:val="bottom"/>
            <w:shd w:val="clear" w:color="auto" w:fill="7F7F7F"/>
          </w:tcPr>
          <w:p>
            <w:pPr>
              <w:spacing w:after="0"/>
              <w:rPr>
                <w:sz w:val="7"/>
                <w:szCs w:val="7"/>
                <w:color w:val="auto"/>
              </w:rPr>
            </w:pPr>
          </w:p>
        </w:tc>
        <w:tc>
          <w:tcPr>
            <w:tcW w:w="880" w:type="dxa"/>
            <w:vAlign w:val="bottom"/>
            <w:vMerge w:val="restart"/>
            <w:shd w:val="clear" w:color="auto" w:fill="7F7F7F"/>
          </w:tcPr>
          <w:p>
            <w:pPr>
              <w:jc w:val="center"/>
              <w:ind w:right="132"/>
              <w:spacing w:after="0" w:line="149" w:lineRule="exact"/>
              <w:rPr>
                <w:sz w:val="20"/>
                <w:szCs w:val="20"/>
                <w:color w:val="auto"/>
              </w:rPr>
            </w:pPr>
            <w:r>
              <w:rPr>
                <w:rFonts w:ascii="Arial" w:cs="Arial" w:eastAsia="Arial" w:hAnsi="Arial"/>
                <w:sz w:val="14"/>
                <w:szCs w:val="14"/>
                <w:b w:val="1"/>
                <w:bCs w:val="1"/>
                <w:color w:val="FFFFFF"/>
                <w:w w:val="93"/>
              </w:rPr>
              <w:t>Shares of</w:t>
            </w:r>
          </w:p>
        </w:tc>
        <w:tc>
          <w:tcPr>
            <w:tcW w:w="840" w:type="dxa"/>
            <w:vAlign w:val="bottom"/>
            <w:vMerge w:val="restart"/>
            <w:shd w:val="clear" w:color="auto" w:fill="7F7F7F"/>
          </w:tcPr>
          <w:p>
            <w:pPr>
              <w:jc w:val="center"/>
              <w:spacing w:after="0" w:line="149" w:lineRule="exact"/>
              <w:rPr>
                <w:sz w:val="20"/>
                <w:szCs w:val="20"/>
                <w:color w:val="auto"/>
              </w:rPr>
            </w:pPr>
            <w:r>
              <w:rPr>
                <w:rFonts w:ascii="Arial" w:cs="Arial" w:eastAsia="Arial" w:hAnsi="Arial"/>
                <w:sz w:val="14"/>
                <w:szCs w:val="14"/>
                <w:b w:val="1"/>
                <w:bCs w:val="1"/>
                <w:color w:val="FFFFFF"/>
                <w:w w:val="96"/>
              </w:rPr>
              <w:t>and</w:t>
            </w:r>
          </w:p>
        </w:tc>
        <w:tc>
          <w:tcPr>
            <w:tcW w:w="0" w:type="dxa"/>
            <w:vAlign w:val="bottom"/>
          </w:tcPr>
          <w:p>
            <w:pPr>
              <w:spacing w:after="0"/>
              <w:rPr>
                <w:sz w:val="1"/>
                <w:szCs w:val="1"/>
                <w:color w:val="auto"/>
              </w:rPr>
            </w:pPr>
          </w:p>
        </w:tc>
      </w:tr>
      <w:tr>
        <w:trPr>
          <w:trHeight w:val="68"/>
        </w:trPr>
        <w:tc>
          <w:tcPr>
            <w:tcW w:w="2940" w:type="dxa"/>
            <w:vAlign w:val="bottom"/>
            <w:shd w:val="clear" w:color="auto" w:fill="7F7F7F"/>
          </w:tcPr>
          <w:p>
            <w:pPr>
              <w:spacing w:after="0"/>
              <w:rPr>
                <w:sz w:val="5"/>
                <w:szCs w:val="5"/>
                <w:color w:val="auto"/>
              </w:rPr>
            </w:pPr>
          </w:p>
        </w:tc>
        <w:tc>
          <w:tcPr>
            <w:tcW w:w="80" w:type="dxa"/>
            <w:vAlign w:val="bottom"/>
            <w:shd w:val="clear" w:color="auto" w:fill="7F7F7F"/>
          </w:tcPr>
          <w:p>
            <w:pPr>
              <w:spacing w:after="0"/>
              <w:rPr>
                <w:sz w:val="5"/>
                <w:szCs w:val="5"/>
                <w:color w:val="auto"/>
              </w:rPr>
            </w:pPr>
          </w:p>
        </w:tc>
        <w:tc>
          <w:tcPr>
            <w:tcW w:w="720" w:type="dxa"/>
            <w:vAlign w:val="bottom"/>
            <w:shd w:val="clear" w:color="auto" w:fill="7F7F7F"/>
          </w:tcPr>
          <w:p>
            <w:pPr>
              <w:spacing w:after="0"/>
              <w:rPr>
                <w:sz w:val="5"/>
                <w:szCs w:val="5"/>
                <w:color w:val="auto"/>
              </w:rPr>
            </w:pPr>
          </w:p>
        </w:tc>
        <w:tc>
          <w:tcPr>
            <w:tcW w:w="900" w:type="dxa"/>
            <w:vAlign w:val="bottom"/>
            <w:shd w:val="clear" w:color="auto" w:fill="7F7F7F"/>
          </w:tcPr>
          <w:p>
            <w:pPr>
              <w:spacing w:after="0"/>
              <w:rPr>
                <w:sz w:val="5"/>
                <w:szCs w:val="5"/>
                <w:color w:val="auto"/>
              </w:rPr>
            </w:pPr>
          </w:p>
        </w:tc>
        <w:tc>
          <w:tcPr>
            <w:tcW w:w="780" w:type="dxa"/>
            <w:vAlign w:val="bottom"/>
            <w:shd w:val="clear" w:color="auto" w:fill="7F7F7F"/>
          </w:tcPr>
          <w:p>
            <w:pPr>
              <w:spacing w:after="0"/>
              <w:rPr>
                <w:sz w:val="5"/>
                <w:szCs w:val="5"/>
                <w:color w:val="auto"/>
              </w:rPr>
            </w:pPr>
          </w:p>
        </w:tc>
        <w:tc>
          <w:tcPr>
            <w:tcW w:w="740" w:type="dxa"/>
            <w:vAlign w:val="bottom"/>
            <w:shd w:val="clear" w:color="auto" w:fill="7F7F7F"/>
          </w:tcPr>
          <w:p>
            <w:pPr>
              <w:spacing w:after="0"/>
              <w:rPr>
                <w:sz w:val="5"/>
                <w:szCs w:val="5"/>
                <w:color w:val="auto"/>
              </w:rPr>
            </w:pPr>
          </w:p>
        </w:tc>
        <w:tc>
          <w:tcPr>
            <w:tcW w:w="760" w:type="dxa"/>
            <w:vAlign w:val="bottom"/>
            <w:shd w:val="clear" w:color="auto" w:fill="7F7F7F"/>
          </w:tcPr>
          <w:p>
            <w:pPr>
              <w:spacing w:after="0"/>
              <w:rPr>
                <w:sz w:val="5"/>
                <w:szCs w:val="5"/>
                <w:color w:val="auto"/>
              </w:rPr>
            </w:pPr>
          </w:p>
        </w:tc>
        <w:tc>
          <w:tcPr>
            <w:tcW w:w="780" w:type="dxa"/>
            <w:vAlign w:val="bottom"/>
            <w:shd w:val="clear" w:color="auto" w:fill="7F7F7F"/>
          </w:tcPr>
          <w:p>
            <w:pPr>
              <w:spacing w:after="0"/>
              <w:rPr>
                <w:sz w:val="5"/>
                <w:szCs w:val="5"/>
                <w:color w:val="auto"/>
              </w:rPr>
            </w:pPr>
          </w:p>
        </w:tc>
        <w:tc>
          <w:tcPr>
            <w:tcW w:w="800" w:type="dxa"/>
            <w:vAlign w:val="bottom"/>
            <w:shd w:val="clear" w:color="auto" w:fill="7F7F7F"/>
          </w:tcPr>
          <w:p>
            <w:pPr>
              <w:spacing w:after="0"/>
              <w:rPr>
                <w:sz w:val="5"/>
                <w:szCs w:val="5"/>
                <w:color w:val="auto"/>
              </w:rPr>
            </w:pPr>
          </w:p>
        </w:tc>
        <w:tc>
          <w:tcPr>
            <w:tcW w:w="740" w:type="dxa"/>
            <w:vAlign w:val="bottom"/>
            <w:shd w:val="clear" w:color="auto" w:fill="7F7F7F"/>
          </w:tcPr>
          <w:p>
            <w:pPr>
              <w:spacing w:after="0"/>
              <w:rPr>
                <w:sz w:val="5"/>
                <w:szCs w:val="5"/>
                <w:color w:val="auto"/>
              </w:rPr>
            </w:pPr>
          </w:p>
        </w:tc>
        <w:tc>
          <w:tcPr>
            <w:tcW w:w="60" w:type="dxa"/>
            <w:vAlign w:val="bottom"/>
            <w:shd w:val="clear" w:color="auto" w:fill="7F7F7F"/>
          </w:tcPr>
          <w:p>
            <w:pPr>
              <w:spacing w:after="0"/>
              <w:rPr>
                <w:sz w:val="5"/>
                <w:szCs w:val="5"/>
                <w:color w:val="auto"/>
              </w:rPr>
            </w:pPr>
          </w:p>
        </w:tc>
        <w:tc>
          <w:tcPr>
            <w:tcW w:w="880" w:type="dxa"/>
            <w:vAlign w:val="bottom"/>
            <w:vMerge w:val="continue"/>
            <w:shd w:val="clear" w:color="auto" w:fill="7F7F7F"/>
          </w:tcPr>
          <w:p>
            <w:pPr>
              <w:spacing w:after="0"/>
              <w:rPr>
                <w:sz w:val="5"/>
                <w:szCs w:val="5"/>
                <w:color w:val="auto"/>
              </w:rPr>
            </w:pPr>
          </w:p>
        </w:tc>
        <w:tc>
          <w:tcPr>
            <w:tcW w:w="840" w:type="dxa"/>
            <w:vAlign w:val="bottom"/>
            <w:vMerge w:val="continue"/>
            <w:shd w:val="clear" w:color="auto" w:fill="7F7F7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7F7F7F"/>
          </w:tcPr>
          <w:p>
            <w:pPr>
              <w:spacing w:after="0"/>
              <w:rPr>
                <w:sz w:val="12"/>
                <w:szCs w:val="12"/>
                <w:color w:val="auto"/>
              </w:rPr>
            </w:pPr>
          </w:p>
        </w:tc>
        <w:tc>
          <w:tcPr>
            <w:tcW w:w="80" w:type="dxa"/>
            <w:vAlign w:val="bottom"/>
            <w:shd w:val="clear" w:color="auto" w:fill="7F7F7F"/>
          </w:tcPr>
          <w:p>
            <w:pPr>
              <w:spacing w:after="0"/>
              <w:rPr>
                <w:sz w:val="12"/>
                <w:szCs w:val="12"/>
                <w:color w:val="auto"/>
              </w:rPr>
            </w:pPr>
          </w:p>
        </w:tc>
        <w:tc>
          <w:tcPr>
            <w:tcW w:w="720" w:type="dxa"/>
            <w:vAlign w:val="bottom"/>
            <w:shd w:val="clear" w:color="auto" w:fill="7F7F7F"/>
          </w:tcPr>
          <w:p>
            <w:pPr>
              <w:spacing w:after="0"/>
              <w:rPr>
                <w:sz w:val="12"/>
                <w:szCs w:val="12"/>
                <w:color w:val="auto"/>
              </w:rPr>
            </w:pPr>
          </w:p>
        </w:tc>
        <w:tc>
          <w:tcPr>
            <w:tcW w:w="900" w:type="dxa"/>
            <w:vAlign w:val="bottom"/>
            <w:shd w:val="clear" w:color="auto" w:fill="7F7F7F"/>
          </w:tcPr>
          <w:p>
            <w:pPr>
              <w:spacing w:after="0"/>
              <w:rPr>
                <w:sz w:val="12"/>
                <w:szCs w:val="12"/>
                <w:color w:val="auto"/>
              </w:rPr>
            </w:pPr>
          </w:p>
        </w:tc>
        <w:tc>
          <w:tcPr>
            <w:tcW w:w="780" w:type="dxa"/>
            <w:vAlign w:val="bottom"/>
            <w:shd w:val="clear" w:color="auto" w:fill="7F7F7F"/>
          </w:tcPr>
          <w:p>
            <w:pPr>
              <w:spacing w:after="0"/>
              <w:rPr>
                <w:sz w:val="12"/>
                <w:szCs w:val="12"/>
                <w:color w:val="auto"/>
              </w:rPr>
            </w:pPr>
          </w:p>
        </w:tc>
        <w:tc>
          <w:tcPr>
            <w:tcW w:w="740" w:type="dxa"/>
            <w:vAlign w:val="bottom"/>
            <w:shd w:val="clear" w:color="auto" w:fill="7F7F7F"/>
          </w:tcPr>
          <w:p>
            <w:pPr>
              <w:spacing w:after="0"/>
              <w:rPr>
                <w:sz w:val="12"/>
                <w:szCs w:val="12"/>
                <w:color w:val="auto"/>
              </w:rPr>
            </w:pPr>
          </w:p>
        </w:tc>
        <w:tc>
          <w:tcPr>
            <w:tcW w:w="760" w:type="dxa"/>
            <w:vAlign w:val="bottom"/>
            <w:shd w:val="clear" w:color="auto" w:fill="7F7F7F"/>
          </w:tcPr>
          <w:p>
            <w:pPr>
              <w:spacing w:after="0"/>
              <w:rPr>
                <w:sz w:val="12"/>
                <w:szCs w:val="12"/>
                <w:color w:val="auto"/>
              </w:rPr>
            </w:pPr>
          </w:p>
        </w:tc>
        <w:tc>
          <w:tcPr>
            <w:tcW w:w="780" w:type="dxa"/>
            <w:vAlign w:val="bottom"/>
            <w:shd w:val="clear" w:color="auto" w:fill="7F7F7F"/>
          </w:tcPr>
          <w:p>
            <w:pPr>
              <w:spacing w:after="0"/>
              <w:rPr>
                <w:sz w:val="12"/>
                <w:szCs w:val="12"/>
                <w:color w:val="auto"/>
              </w:rPr>
            </w:pPr>
          </w:p>
        </w:tc>
        <w:tc>
          <w:tcPr>
            <w:tcW w:w="800" w:type="dxa"/>
            <w:vAlign w:val="bottom"/>
            <w:shd w:val="clear" w:color="auto" w:fill="7F7F7F"/>
          </w:tcPr>
          <w:p>
            <w:pPr>
              <w:spacing w:after="0"/>
              <w:rPr>
                <w:sz w:val="12"/>
                <w:szCs w:val="12"/>
                <w:color w:val="auto"/>
              </w:rPr>
            </w:pPr>
          </w:p>
        </w:tc>
        <w:tc>
          <w:tcPr>
            <w:tcW w:w="740" w:type="dxa"/>
            <w:vAlign w:val="bottom"/>
            <w:shd w:val="clear" w:color="auto" w:fill="7F7F7F"/>
          </w:tcPr>
          <w:p>
            <w:pPr>
              <w:spacing w:after="0"/>
              <w:rPr>
                <w:sz w:val="12"/>
                <w:szCs w:val="12"/>
                <w:color w:val="auto"/>
              </w:rPr>
            </w:pPr>
          </w:p>
        </w:tc>
        <w:tc>
          <w:tcPr>
            <w:tcW w:w="60" w:type="dxa"/>
            <w:vAlign w:val="bottom"/>
            <w:shd w:val="clear" w:color="auto" w:fill="7F7F7F"/>
          </w:tcPr>
          <w:p>
            <w:pPr>
              <w:spacing w:after="0"/>
              <w:rPr>
                <w:sz w:val="12"/>
                <w:szCs w:val="12"/>
                <w:color w:val="auto"/>
              </w:rPr>
            </w:pPr>
          </w:p>
        </w:tc>
        <w:tc>
          <w:tcPr>
            <w:tcW w:w="880" w:type="dxa"/>
            <w:vAlign w:val="bottom"/>
            <w:shd w:val="clear" w:color="auto" w:fill="7F7F7F"/>
          </w:tcPr>
          <w:p>
            <w:pPr>
              <w:jc w:val="center"/>
              <w:ind w:right="112"/>
              <w:spacing w:after="0" w:line="149" w:lineRule="exact"/>
              <w:rPr>
                <w:sz w:val="20"/>
                <w:szCs w:val="20"/>
                <w:color w:val="auto"/>
              </w:rPr>
            </w:pPr>
            <w:r>
              <w:rPr>
                <w:rFonts w:ascii="Arial" w:cs="Arial" w:eastAsia="Arial" w:hAnsi="Arial"/>
                <w:sz w:val="14"/>
                <w:szCs w:val="14"/>
                <w:b w:val="1"/>
                <w:bCs w:val="1"/>
                <w:color w:val="FFFFFF"/>
                <w:w w:val="96"/>
              </w:rPr>
              <w:t>Stock or</w:t>
            </w:r>
          </w:p>
        </w:tc>
        <w:tc>
          <w:tcPr>
            <w:tcW w:w="840" w:type="dxa"/>
            <w:vAlign w:val="bottom"/>
            <w:shd w:val="clear" w:color="auto" w:fill="7F7F7F"/>
          </w:tcPr>
          <w:p>
            <w:pPr>
              <w:jc w:val="center"/>
              <w:spacing w:after="0" w:line="149" w:lineRule="exact"/>
              <w:rPr>
                <w:sz w:val="20"/>
                <w:szCs w:val="20"/>
                <w:color w:val="auto"/>
              </w:rPr>
            </w:pPr>
            <w:r>
              <w:rPr>
                <w:rFonts w:ascii="Arial" w:cs="Arial" w:eastAsia="Arial" w:hAnsi="Arial"/>
                <w:sz w:val="14"/>
                <w:szCs w:val="14"/>
                <w:b w:val="1"/>
                <w:bCs w:val="1"/>
                <w:color w:val="FFFFFF"/>
                <w:w w:val="93"/>
              </w:rPr>
              <w:t>Option</w:t>
            </w:r>
          </w:p>
        </w:tc>
        <w:tc>
          <w:tcPr>
            <w:tcW w:w="0" w:type="dxa"/>
            <w:vAlign w:val="bottom"/>
          </w:tcPr>
          <w:p>
            <w:pPr>
              <w:spacing w:after="0"/>
              <w:rPr>
                <w:sz w:val="1"/>
                <w:szCs w:val="1"/>
                <w:color w:val="auto"/>
              </w:rPr>
            </w:pPr>
          </w:p>
        </w:tc>
      </w:tr>
      <w:tr>
        <w:trPr>
          <w:trHeight w:val="149"/>
        </w:trPr>
        <w:tc>
          <w:tcPr>
            <w:tcW w:w="2940" w:type="dxa"/>
            <w:vAlign w:val="bottom"/>
            <w:shd w:val="clear" w:color="auto" w:fill="7F7F7F"/>
          </w:tcPr>
          <w:p>
            <w:pPr>
              <w:spacing w:after="0"/>
              <w:rPr>
                <w:sz w:val="12"/>
                <w:szCs w:val="12"/>
                <w:color w:val="auto"/>
              </w:rPr>
            </w:pPr>
          </w:p>
        </w:tc>
        <w:tc>
          <w:tcPr>
            <w:tcW w:w="80" w:type="dxa"/>
            <w:vAlign w:val="bottom"/>
            <w:shd w:val="clear" w:color="auto" w:fill="7F7F7F"/>
          </w:tcPr>
          <w:p>
            <w:pPr>
              <w:spacing w:after="0"/>
              <w:rPr>
                <w:sz w:val="12"/>
                <w:szCs w:val="12"/>
                <w:color w:val="auto"/>
              </w:rPr>
            </w:pPr>
          </w:p>
        </w:tc>
        <w:tc>
          <w:tcPr>
            <w:tcW w:w="720" w:type="dxa"/>
            <w:vAlign w:val="bottom"/>
            <w:shd w:val="clear" w:color="auto" w:fill="7F7F7F"/>
          </w:tcPr>
          <w:p>
            <w:pPr>
              <w:jc w:val="right"/>
              <w:ind w:right="12"/>
              <w:spacing w:after="0" w:line="149" w:lineRule="exact"/>
              <w:rPr>
                <w:sz w:val="20"/>
                <w:szCs w:val="20"/>
                <w:color w:val="auto"/>
              </w:rPr>
            </w:pPr>
            <w:r>
              <w:rPr>
                <w:rFonts w:ascii="Arial" w:cs="Arial" w:eastAsia="Arial" w:hAnsi="Arial"/>
                <w:sz w:val="14"/>
                <w:szCs w:val="14"/>
                <w:b w:val="1"/>
                <w:bCs w:val="1"/>
                <w:color w:val="FFFFFF"/>
              </w:rPr>
              <w:t>Approval</w:t>
            </w:r>
          </w:p>
        </w:tc>
        <w:tc>
          <w:tcPr>
            <w:tcW w:w="900" w:type="dxa"/>
            <w:vAlign w:val="bottom"/>
            <w:shd w:val="clear" w:color="auto" w:fill="7F7F7F"/>
          </w:tcPr>
          <w:p>
            <w:pPr>
              <w:jc w:val="right"/>
              <w:ind w:right="172"/>
              <w:spacing w:after="0" w:line="149" w:lineRule="exact"/>
              <w:rPr>
                <w:sz w:val="20"/>
                <w:szCs w:val="20"/>
                <w:color w:val="auto"/>
              </w:rPr>
            </w:pPr>
            <w:r>
              <w:rPr>
                <w:rFonts w:ascii="Arial" w:cs="Arial" w:eastAsia="Arial" w:hAnsi="Arial"/>
                <w:sz w:val="14"/>
                <w:szCs w:val="14"/>
                <w:b w:val="1"/>
                <w:bCs w:val="1"/>
                <w:color w:val="FFFFFF"/>
              </w:rPr>
              <w:t>Grant</w:t>
            </w:r>
          </w:p>
        </w:tc>
        <w:tc>
          <w:tcPr>
            <w:tcW w:w="780" w:type="dxa"/>
            <w:vAlign w:val="bottom"/>
            <w:shd w:val="clear" w:color="auto" w:fill="7F7F7F"/>
          </w:tcPr>
          <w:p>
            <w:pPr>
              <w:jc w:val="right"/>
              <w:ind w:right="12"/>
              <w:spacing w:after="0" w:line="149" w:lineRule="exact"/>
              <w:rPr>
                <w:sz w:val="20"/>
                <w:szCs w:val="20"/>
                <w:color w:val="auto"/>
              </w:rPr>
            </w:pPr>
            <w:r>
              <w:rPr>
                <w:rFonts w:ascii="Arial" w:cs="Arial" w:eastAsia="Arial" w:hAnsi="Arial"/>
                <w:sz w:val="14"/>
                <w:szCs w:val="14"/>
                <w:b w:val="1"/>
                <w:bCs w:val="1"/>
                <w:color w:val="FFFFFF"/>
              </w:rPr>
              <w:t>Threshold</w:t>
            </w:r>
          </w:p>
        </w:tc>
        <w:tc>
          <w:tcPr>
            <w:tcW w:w="740" w:type="dxa"/>
            <w:vAlign w:val="bottom"/>
            <w:shd w:val="clear" w:color="auto" w:fill="7F7F7F"/>
          </w:tcPr>
          <w:p>
            <w:pPr>
              <w:jc w:val="center"/>
              <w:spacing w:after="0" w:line="149" w:lineRule="exact"/>
              <w:rPr>
                <w:sz w:val="20"/>
                <w:szCs w:val="20"/>
                <w:color w:val="auto"/>
              </w:rPr>
            </w:pPr>
            <w:r>
              <w:rPr>
                <w:rFonts w:ascii="Arial" w:cs="Arial" w:eastAsia="Arial" w:hAnsi="Arial"/>
                <w:sz w:val="14"/>
                <w:szCs w:val="14"/>
                <w:b w:val="1"/>
                <w:bCs w:val="1"/>
                <w:color w:val="FFFFFF"/>
                <w:w w:val="93"/>
              </w:rPr>
              <w:t>Target</w:t>
            </w:r>
          </w:p>
        </w:tc>
        <w:tc>
          <w:tcPr>
            <w:tcW w:w="760" w:type="dxa"/>
            <w:vAlign w:val="bottom"/>
            <w:shd w:val="clear" w:color="auto" w:fill="7F7F7F"/>
          </w:tcPr>
          <w:p>
            <w:pPr>
              <w:jc w:val="right"/>
              <w:ind w:right="12"/>
              <w:spacing w:after="0" w:line="149" w:lineRule="exact"/>
              <w:rPr>
                <w:sz w:val="20"/>
                <w:szCs w:val="20"/>
                <w:color w:val="auto"/>
              </w:rPr>
            </w:pPr>
            <w:r>
              <w:rPr>
                <w:rFonts w:ascii="Arial" w:cs="Arial" w:eastAsia="Arial" w:hAnsi="Arial"/>
                <w:sz w:val="14"/>
                <w:szCs w:val="14"/>
                <w:b w:val="1"/>
                <w:bCs w:val="1"/>
                <w:color w:val="FFFFFF"/>
              </w:rPr>
              <w:t>Maximum</w:t>
            </w:r>
          </w:p>
        </w:tc>
        <w:tc>
          <w:tcPr>
            <w:tcW w:w="780" w:type="dxa"/>
            <w:vAlign w:val="bottom"/>
            <w:shd w:val="clear" w:color="auto" w:fill="7F7F7F"/>
          </w:tcPr>
          <w:p>
            <w:pPr>
              <w:jc w:val="right"/>
              <w:ind w:right="12"/>
              <w:spacing w:after="0" w:line="149" w:lineRule="exact"/>
              <w:rPr>
                <w:sz w:val="20"/>
                <w:szCs w:val="20"/>
                <w:color w:val="auto"/>
              </w:rPr>
            </w:pPr>
            <w:r>
              <w:rPr>
                <w:rFonts w:ascii="Arial" w:cs="Arial" w:eastAsia="Arial" w:hAnsi="Arial"/>
                <w:sz w:val="14"/>
                <w:szCs w:val="14"/>
                <w:b w:val="1"/>
                <w:bCs w:val="1"/>
                <w:color w:val="FFFFFF"/>
              </w:rPr>
              <w:t>Threshold</w:t>
            </w:r>
          </w:p>
        </w:tc>
        <w:tc>
          <w:tcPr>
            <w:tcW w:w="800" w:type="dxa"/>
            <w:vAlign w:val="bottom"/>
            <w:shd w:val="clear" w:color="auto" w:fill="7F7F7F"/>
          </w:tcPr>
          <w:p>
            <w:pPr>
              <w:jc w:val="right"/>
              <w:ind w:right="232"/>
              <w:spacing w:after="0" w:line="149" w:lineRule="exact"/>
              <w:rPr>
                <w:sz w:val="20"/>
                <w:szCs w:val="20"/>
                <w:color w:val="auto"/>
              </w:rPr>
            </w:pPr>
            <w:r>
              <w:rPr>
                <w:rFonts w:ascii="Arial" w:cs="Arial" w:eastAsia="Arial" w:hAnsi="Arial"/>
                <w:sz w:val="14"/>
                <w:szCs w:val="14"/>
                <w:b w:val="1"/>
                <w:bCs w:val="1"/>
                <w:color w:val="FFFFFF"/>
              </w:rPr>
              <w:t>Target</w:t>
            </w:r>
          </w:p>
        </w:tc>
        <w:tc>
          <w:tcPr>
            <w:tcW w:w="740" w:type="dxa"/>
            <w:vAlign w:val="bottom"/>
            <w:shd w:val="clear" w:color="auto" w:fill="7F7F7F"/>
          </w:tcPr>
          <w:p>
            <w:pPr>
              <w:jc w:val="right"/>
              <w:spacing w:after="0" w:line="149" w:lineRule="exact"/>
              <w:rPr>
                <w:sz w:val="20"/>
                <w:szCs w:val="20"/>
                <w:color w:val="auto"/>
              </w:rPr>
            </w:pPr>
            <w:r>
              <w:rPr>
                <w:rFonts w:ascii="Arial" w:cs="Arial" w:eastAsia="Arial" w:hAnsi="Arial"/>
                <w:sz w:val="14"/>
                <w:szCs w:val="14"/>
                <w:b w:val="1"/>
                <w:bCs w:val="1"/>
                <w:color w:val="FFFFFF"/>
              </w:rPr>
              <w:t>Maximum</w:t>
            </w:r>
          </w:p>
        </w:tc>
        <w:tc>
          <w:tcPr>
            <w:tcW w:w="60" w:type="dxa"/>
            <w:vAlign w:val="bottom"/>
            <w:shd w:val="clear" w:color="auto" w:fill="7F7F7F"/>
          </w:tcPr>
          <w:p>
            <w:pPr>
              <w:spacing w:after="0"/>
              <w:rPr>
                <w:sz w:val="12"/>
                <w:szCs w:val="12"/>
                <w:color w:val="auto"/>
              </w:rPr>
            </w:pPr>
          </w:p>
        </w:tc>
        <w:tc>
          <w:tcPr>
            <w:tcW w:w="880" w:type="dxa"/>
            <w:vAlign w:val="bottom"/>
            <w:shd w:val="clear" w:color="auto" w:fill="7F7F7F"/>
          </w:tcPr>
          <w:p>
            <w:pPr>
              <w:jc w:val="center"/>
              <w:ind w:right="132"/>
              <w:spacing w:after="0" w:line="149" w:lineRule="exact"/>
              <w:rPr>
                <w:sz w:val="20"/>
                <w:szCs w:val="20"/>
                <w:color w:val="auto"/>
              </w:rPr>
            </w:pPr>
            <w:r>
              <w:rPr>
                <w:rFonts w:ascii="Arial" w:cs="Arial" w:eastAsia="Arial" w:hAnsi="Arial"/>
                <w:sz w:val="14"/>
                <w:szCs w:val="14"/>
                <w:b w:val="1"/>
                <w:bCs w:val="1"/>
                <w:color w:val="FFFFFF"/>
                <w:w w:val="91"/>
              </w:rPr>
              <w:t>Units</w:t>
            </w:r>
          </w:p>
        </w:tc>
        <w:tc>
          <w:tcPr>
            <w:tcW w:w="840" w:type="dxa"/>
            <w:vAlign w:val="bottom"/>
            <w:shd w:val="clear" w:color="auto" w:fill="7F7F7F"/>
          </w:tcPr>
          <w:p>
            <w:pPr>
              <w:jc w:val="right"/>
              <w:ind w:right="152"/>
              <w:spacing w:after="0" w:line="149"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76"/>
        </w:trPr>
        <w:tc>
          <w:tcPr>
            <w:tcW w:w="2940" w:type="dxa"/>
            <w:vAlign w:val="bottom"/>
            <w:shd w:val="clear" w:color="auto" w:fill="7F7F7F"/>
          </w:tcPr>
          <w:p>
            <w:pPr>
              <w:ind w:left="20"/>
              <w:spacing w:after="0"/>
              <w:rPr>
                <w:sz w:val="20"/>
                <w:szCs w:val="20"/>
                <w:color w:val="auto"/>
              </w:rPr>
            </w:pPr>
            <w:r>
              <w:rPr>
                <w:rFonts w:ascii="Arial" w:cs="Arial" w:eastAsia="Arial" w:hAnsi="Arial"/>
                <w:sz w:val="14"/>
                <w:szCs w:val="14"/>
                <w:b w:val="1"/>
                <w:bCs w:val="1"/>
                <w:color w:val="FFFFFF"/>
              </w:rPr>
              <w:t>Name</w:t>
            </w:r>
          </w:p>
        </w:tc>
        <w:tc>
          <w:tcPr>
            <w:tcW w:w="80" w:type="dxa"/>
            <w:vAlign w:val="bottom"/>
            <w:shd w:val="clear" w:color="auto" w:fill="7F7F7F"/>
          </w:tcPr>
          <w:p>
            <w:pPr>
              <w:spacing w:after="0"/>
              <w:rPr>
                <w:sz w:val="15"/>
                <w:szCs w:val="15"/>
                <w:color w:val="auto"/>
              </w:rPr>
            </w:pPr>
          </w:p>
        </w:tc>
        <w:tc>
          <w:tcPr>
            <w:tcW w:w="720" w:type="dxa"/>
            <w:vAlign w:val="bottom"/>
            <w:shd w:val="clear" w:color="auto" w:fill="7F7F7F"/>
          </w:tcPr>
          <w:p>
            <w:pPr>
              <w:jc w:val="right"/>
              <w:ind w:right="72"/>
              <w:spacing w:after="0"/>
              <w:rPr>
                <w:sz w:val="20"/>
                <w:szCs w:val="20"/>
                <w:color w:val="auto"/>
              </w:rPr>
            </w:pPr>
            <w:r>
              <w:rPr>
                <w:rFonts w:ascii="Arial" w:cs="Arial" w:eastAsia="Arial" w:hAnsi="Arial"/>
                <w:sz w:val="14"/>
                <w:szCs w:val="14"/>
                <w:b w:val="1"/>
                <w:bCs w:val="1"/>
                <w:color w:val="FFFFFF"/>
              </w:rPr>
              <w:t>Date</w:t>
            </w:r>
            <w:r>
              <w:rPr>
                <w:rFonts w:ascii="Arial" w:cs="Arial" w:eastAsia="Arial" w:hAnsi="Arial"/>
                <w:sz w:val="11"/>
                <w:szCs w:val="11"/>
                <w:b w:val="1"/>
                <w:bCs w:val="1"/>
                <w:color w:val="FFFFFF"/>
              </w:rPr>
              <w:t>(1)</w:t>
            </w:r>
          </w:p>
        </w:tc>
        <w:tc>
          <w:tcPr>
            <w:tcW w:w="900" w:type="dxa"/>
            <w:vAlign w:val="bottom"/>
            <w:shd w:val="clear" w:color="auto" w:fill="7F7F7F"/>
          </w:tcPr>
          <w:p>
            <w:pPr>
              <w:jc w:val="right"/>
              <w:ind w:right="152"/>
              <w:spacing w:after="0"/>
              <w:rPr>
                <w:sz w:val="20"/>
                <w:szCs w:val="20"/>
                <w:color w:val="auto"/>
              </w:rPr>
            </w:pPr>
            <w:r>
              <w:rPr>
                <w:rFonts w:ascii="Arial" w:cs="Arial" w:eastAsia="Arial" w:hAnsi="Arial"/>
                <w:sz w:val="14"/>
                <w:szCs w:val="14"/>
                <w:b w:val="1"/>
                <w:bCs w:val="1"/>
                <w:color w:val="FFFFFF"/>
              </w:rPr>
              <w:t>Date</w:t>
            </w:r>
            <w:r>
              <w:rPr>
                <w:rFonts w:ascii="Arial" w:cs="Arial" w:eastAsia="Arial" w:hAnsi="Arial"/>
                <w:sz w:val="11"/>
                <w:szCs w:val="11"/>
                <w:b w:val="1"/>
                <w:bCs w:val="1"/>
                <w:color w:val="FFFFFF"/>
              </w:rPr>
              <w:t>(1)</w:t>
            </w:r>
          </w:p>
        </w:tc>
        <w:tc>
          <w:tcPr>
            <w:tcW w:w="780" w:type="dxa"/>
            <w:vAlign w:val="bottom"/>
            <w:shd w:val="clear" w:color="auto" w:fill="7F7F7F"/>
          </w:tcPr>
          <w:p>
            <w:pPr>
              <w:jc w:val="right"/>
              <w:ind w:right="252"/>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w w:val="93"/>
              </w:rPr>
              <w:t>($)</w:t>
            </w:r>
          </w:p>
        </w:tc>
        <w:tc>
          <w:tcPr>
            <w:tcW w:w="760" w:type="dxa"/>
            <w:vAlign w:val="bottom"/>
            <w:shd w:val="clear" w:color="auto" w:fill="7F7F7F"/>
          </w:tcPr>
          <w:p>
            <w:pPr>
              <w:jc w:val="right"/>
              <w:ind w:right="232"/>
              <w:spacing w:after="0"/>
              <w:rPr>
                <w:sz w:val="20"/>
                <w:szCs w:val="20"/>
                <w:color w:val="auto"/>
              </w:rPr>
            </w:pPr>
            <w:r>
              <w:rPr>
                <w:rFonts w:ascii="Arial" w:cs="Arial" w:eastAsia="Arial" w:hAnsi="Arial"/>
                <w:sz w:val="14"/>
                <w:szCs w:val="14"/>
                <w:b w:val="1"/>
                <w:bCs w:val="1"/>
                <w:color w:val="FFFFFF"/>
              </w:rPr>
              <w:t>($)</w:t>
            </w:r>
          </w:p>
        </w:tc>
        <w:tc>
          <w:tcPr>
            <w:tcW w:w="780" w:type="dxa"/>
            <w:vAlign w:val="bottom"/>
            <w:shd w:val="clear" w:color="auto" w:fill="7F7F7F"/>
          </w:tcPr>
          <w:p>
            <w:pPr>
              <w:jc w:val="right"/>
              <w:ind w:right="252"/>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7F7F7F"/>
          </w:tcPr>
          <w:p>
            <w:pPr>
              <w:jc w:val="right"/>
              <w:ind w:right="352"/>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7F7F7F"/>
          </w:tcPr>
          <w:p>
            <w:pPr>
              <w:jc w:val="right"/>
              <w:ind w:right="212"/>
              <w:spacing w:after="0"/>
              <w:rPr>
                <w:sz w:val="20"/>
                <w:szCs w:val="20"/>
                <w:color w:val="auto"/>
              </w:rPr>
            </w:pPr>
            <w:r>
              <w:rPr>
                <w:rFonts w:ascii="Arial" w:cs="Arial" w:eastAsia="Arial" w:hAnsi="Arial"/>
                <w:sz w:val="14"/>
                <w:szCs w:val="14"/>
                <w:b w:val="1"/>
                <w:bCs w:val="1"/>
                <w:color w:val="FFFFFF"/>
              </w:rPr>
              <w:t>(#)</w:t>
            </w:r>
          </w:p>
        </w:tc>
        <w:tc>
          <w:tcPr>
            <w:tcW w:w="60" w:type="dxa"/>
            <w:vAlign w:val="bottom"/>
            <w:shd w:val="clear" w:color="auto" w:fill="7F7F7F"/>
          </w:tcPr>
          <w:p>
            <w:pPr>
              <w:spacing w:after="0"/>
              <w:rPr>
                <w:sz w:val="15"/>
                <w:szCs w:val="15"/>
                <w:color w:val="auto"/>
              </w:rPr>
            </w:pPr>
          </w:p>
        </w:tc>
        <w:tc>
          <w:tcPr>
            <w:tcW w:w="880" w:type="dxa"/>
            <w:vAlign w:val="bottom"/>
            <w:shd w:val="clear" w:color="auto" w:fill="7F7F7F"/>
          </w:tcPr>
          <w:p>
            <w:pPr>
              <w:jc w:val="center"/>
              <w:ind w:right="132"/>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1"/>
                <w:szCs w:val="11"/>
                <w:b w:val="1"/>
                <w:bCs w:val="1"/>
                <w:color w:val="FFFFFF"/>
              </w:rPr>
              <w:t>(3)</w:t>
            </w:r>
          </w:p>
        </w:tc>
        <w:tc>
          <w:tcPr>
            <w:tcW w:w="84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w w:val="98"/>
              </w:rPr>
              <w:t>($)</w:t>
            </w:r>
            <w:r>
              <w:rPr>
                <w:rFonts w:ascii="Arial" w:cs="Arial" w:eastAsia="Arial" w:hAnsi="Arial"/>
                <w:sz w:val="11"/>
                <w:szCs w:val="11"/>
                <w:b w:val="1"/>
                <w:bCs w:val="1"/>
                <w:color w:val="FFFFFF"/>
                <w:w w:val="98"/>
              </w:rPr>
              <w:t>(4)</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Hock E. Tan</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12/7/2016</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12/15/2016</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206,250</w:t>
            </w:r>
          </w:p>
        </w:tc>
        <w:tc>
          <w:tcPr>
            <w:tcW w:w="740" w:type="dxa"/>
            <w:vAlign w:val="bottom"/>
          </w:tcPr>
          <w:p>
            <w:pPr>
              <w:jc w:val="right"/>
              <w:spacing w:after="0"/>
              <w:rPr>
                <w:sz w:val="20"/>
                <w:szCs w:val="20"/>
                <w:color w:val="auto"/>
              </w:rPr>
            </w:pPr>
            <w:r>
              <w:rPr>
                <w:rFonts w:ascii="Arial" w:cs="Arial" w:eastAsia="Arial" w:hAnsi="Arial"/>
                <w:sz w:val="14"/>
                <w:szCs w:val="14"/>
                <w:color w:val="auto"/>
              </w:rPr>
              <w:t>1,650,000</w:t>
            </w:r>
          </w:p>
        </w:tc>
        <w:tc>
          <w:tcPr>
            <w:tcW w:w="760" w:type="dxa"/>
            <w:vAlign w:val="bottom"/>
          </w:tcPr>
          <w:p>
            <w:pPr>
              <w:jc w:val="right"/>
              <w:spacing w:after="0"/>
              <w:rPr>
                <w:sz w:val="20"/>
                <w:szCs w:val="20"/>
                <w:color w:val="auto"/>
              </w:rPr>
            </w:pPr>
            <w:r>
              <w:rPr>
                <w:rFonts w:ascii="Arial" w:cs="Arial" w:eastAsia="Arial" w:hAnsi="Arial"/>
                <w:sz w:val="14"/>
                <w:szCs w:val="14"/>
                <w:color w:val="auto"/>
              </w:rPr>
              <w:t>3,712,500</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6,010</w:t>
            </w:r>
            <w:r>
              <w:rPr>
                <w:rFonts w:ascii="Arial" w:cs="Arial" w:eastAsia="Arial" w:hAnsi="Arial"/>
                <w:sz w:val="11"/>
                <w:szCs w:val="11"/>
                <w:color w:val="auto"/>
              </w:rPr>
              <w:t>(5)</w:t>
            </w:r>
          </w:p>
        </w:tc>
        <w:tc>
          <w:tcPr>
            <w:tcW w:w="840" w:type="dxa"/>
            <w:vAlign w:val="bottom"/>
            <w:vMerge w:val="restart"/>
          </w:tcPr>
          <w:p>
            <w:pPr>
              <w:jc w:val="right"/>
              <w:ind w:right="12"/>
              <w:spacing w:after="0"/>
              <w:rPr>
                <w:sz w:val="20"/>
                <w:szCs w:val="20"/>
                <w:color w:val="auto"/>
              </w:rPr>
            </w:pPr>
            <w:r>
              <w:rPr>
                <w:rFonts w:ascii="Arial" w:cs="Arial" w:eastAsia="Arial" w:hAnsi="Arial"/>
                <w:sz w:val="14"/>
                <w:szCs w:val="14"/>
                <w:color w:val="auto"/>
              </w:rPr>
              <w:t>1,021,700</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6/15/2017</w:t>
            </w:r>
          </w:p>
        </w:tc>
        <w:tc>
          <w:tcPr>
            <w:tcW w:w="900" w:type="dxa"/>
            <w:vAlign w:val="bottom"/>
          </w:tcPr>
          <w:p>
            <w:pPr>
              <w:jc w:val="right"/>
              <w:spacing w:after="0"/>
              <w:rPr>
                <w:sz w:val="20"/>
                <w:szCs w:val="20"/>
                <w:color w:val="auto"/>
              </w:rPr>
            </w:pPr>
            <w:r>
              <w:rPr>
                <w:rFonts w:ascii="Arial" w:cs="Arial" w:eastAsia="Arial" w:hAnsi="Arial"/>
                <w:sz w:val="14"/>
                <w:szCs w:val="14"/>
                <w:color w:val="auto"/>
              </w:rPr>
              <w:t>6/15/2017</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21,000</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168,000</w:t>
            </w:r>
            <w:r>
              <w:rPr>
                <w:rFonts w:ascii="Arial" w:cs="Arial" w:eastAsia="Arial" w:hAnsi="Arial"/>
                <w:sz w:val="11"/>
                <w:szCs w:val="11"/>
                <w:color w:val="auto"/>
              </w:rPr>
              <w:t>(6)</w:t>
            </w:r>
          </w:p>
        </w:tc>
        <w:tc>
          <w:tcPr>
            <w:tcW w:w="740" w:type="dxa"/>
            <w:vAlign w:val="bottom"/>
          </w:tcPr>
          <w:p>
            <w:pPr>
              <w:jc w:val="right"/>
              <w:spacing w:after="0"/>
              <w:rPr>
                <w:sz w:val="20"/>
                <w:szCs w:val="20"/>
                <w:color w:val="auto"/>
              </w:rPr>
            </w:pPr>
            <w:r>
              <w:rPr>
                <w:rFonts w:ascii="Arial" w:cs="Arial" w:eastAsia="Arial" w:hAnsi="Arial"/>
                <w:sz w:val="14"/>
                <w:szCs w:val="14"/>
                <w:color w:val="auto"/>
              </w:rPr>
              <w:t>756,000</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98,322,843</w:t>
            </w: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BFBFBF"/>
          </w:tcPr>
          <w:p>
            <w:pPr>
              <w:ind w:left="20"/>
              <w:spacing w:after="0"/>
              <w:rPr>
                <w:sz w:val="20"/>
                <w:szCs w:val="20"/>
                <w:color w:val="auto"/>
              </w:rPr>
            </w:pPr>
            <w:r>
              <w:rPr>
                <w:rFonts w:ascii="Arial" w:cs="Arial" w:eastAsia="Arial" w:hAnsi="Arial"/>
                <w:sz w:val="14"/>
                <w:szCs w:val="14"/>
                <w:color w:val="auto"/>
              </w:rPr>
              <w:t>Thomas H. Krause Jr.</w:t>
            </w:r>
          </w:p>
        </w:tc>
        <w:tc>
          <w:tcPr>
            <w:tcW w:w="80" w:type="dxa"/>
            <w:vAlign w:val="bottom"/>
            <w:shd w:val="clear" w:color="auto" w:fill="BFBFBF"/>
          </w:tcPr>
          <w:p>
            <w:pPr>
              <w:spacing w:after="0"/>
              <w:rPr>
                <w:sz w:val="15"/>
                <w:szCs w:val="15"/>
                <w:color w:val="auto"/>
              </w:rPr>
            </w:pPr>
          </w:p>
        </w:tc>
        <w:tc>
          <w:tcPr>
            <w:tcW w:w="720" w:type="dxa"/>
            <w:vAlign w:val="bottom"/>
            <w:vMerge w:val="restart"/>
            <w:shd w:val="clear" w:color="auto" w:fill="BFBFBF"/>
          </w:tcPr>
          <w:p>
            <w:pPr>
              <w:jc w:val="right"/>
              <w:spacing w:after="0"/>
              <w:rPr>
                <w:sz w:val="20"/>
                <w:szCs w:val="20"/>
                <w:color w:val="auto"/>
              </w:rPr>
            </w:pPr>
            <w:r>
              <w:rPr>
                <w:rFonts w:ascii="Arial" w:cs="Arial" w:eastAsia="Arial" w:hAnsi="Arial"/>
                <w:sz w:val="14"/>
                <w:szCs w:val="14"/>
                <w:color w:val="auto"/>
                <w:w w:val="99"/>
              </w:rPr>
              <w:t>10/14/2016</w:t>
            </w:r>
          </w:p>
        </w:tc>
        <w:tc>
          <w:tcPr>
            <w:tcW w:w="900" w:type="dxa"/>
            <w:vAlign w:val="bottom"/>
            <w:vMerge w:val="restart"/>
            <w:shd w:val="clear" w:color="auto" w:fill="BFBFBF"/>
          </w:tcPr>
          <w:p>
            <w:pPr>
              <w:jc w:val="right"/>
              <w:spacing w:after="0"/>
              <w:rPr>
                <w:sz w:val="20"/>
                <w:szCs w:val="20"/>
                <w:color w:val="auto"/>
              </w:rPr>
            </w:pPr>
            <w:r>
              <w:rPr>
                <w:rFonts w:ascii="Arial" w:cs="Arial" w:eastAsia="Arial" w:hAnsi="Arial"/>
                <w:sz w:val="14"/>
                <w:szCs w:val="14"/>
                <w:color w:val="auto"/>
              </w:rPr>
              <w:t>11/15/2016</w:t>
            </w:r>
          </w:p>
        </w:tc>
        <w:tc>
          <w:tcPr>
            <w:tcW w:w="780" w:type="dxa"/>
            <w:vAlign w:val="bottom"/>
            <w:shd w:val="clear" w:color="auto" w:fill="BFBFBF"/>
          </w:tcPr>
          <w:p>
            <w:pPr>
              <w:jc w:val="right"/>
              <w:ind w:right="12"/>
              <w:spacing w:after="0"/>
              <w:rPr>
                <w:sz w:val="20"/>
                <w:szCs w:val="20"/>
                <w:color w:val="auto"/>
              </w:rPr>
            </w:pPr>
            <w:r>
              <w:rPr>
                <w:rFonts w:ascii="Arial" w:cs="Arial" w:eastAsia="Arial" w:hAnsi="Arial"/>
                <w:sz w:val="14"/>
                <w:szCs w:val="14"/>
                <w:color w:val="auto"/>
              </w:rPr>
              <w:t>18,750</w:t>
            </w: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300,000</w:t>
            </w:r>
          </w:p>
        </w:tc>
        <w:tc>
          <w:tcPr>
            <w:tcW w:w="760" w:type="dxa"/>
            <w:vAlign w:val="bottom"/>
            <w:shd w:val="clear" w:color="auto" w:fill="BFBFBF"/>
          </w:tcPr>
          <w:p>
            <w:pPr>
              <w:jc w:val="right"/>
              <w:spacing w:after="0"/>
              <w:rPr>
                <w:sz w:val="20"/>
                <w:szCs w:val="20"/>
                <w:color w:val="auto"/>
              </w:rPr>
            </w:pPr>
            <w:r>
              <w:rPr>
                <w:rFonts w:ascii="Arial" w:cs="Arial" w:eastAsia="Arial" w:hAnsi="Arial"/>
                <w:sz w:val="14"/>
                <w:szCs w:val="14"/>
                <w:color w:val="auto"/>
              </w:rPr>
              <w:t>675,000</w:t>
            </w:r>
          </w:p>
        </w:tc>
        <w:tc>
          <w:tcPr>
            <w:tcW w:w="780" w:type="dxa"/>
            <w:vAlign w:val="bottom"/>
            <w:shd w:val="clear" w:color="auto" w:fill="BFBFBF"/>
          </w:tcPr>
          <w:p>
            <w:pPr>
              <w:spacing w:after="0"/>
              <w:rPr>
                <w:sz w:val="15"/>
                <w:szCs w:val="15"/>
                <w:color w:val="auto"/>
              </w:rPr>
            </w:pPr>
          </w:p>
        </w:tc>
        <w:tc>
          <w:tcPr>
            <w:tcW w:w="800" w:type="dxa"/>
            <w:vAlign w:val="bottom"/>
            <w:vMerge w:val="restart"/>
            <w:shd w:val="clear" w:color="auto" w:fill="BFBFBF"/>
          </w:tcPr>
          <w:p>
            <w:pPr>
              <w:jc w:val="right"/>
              <w:ind w:right="12"/>
              <w:spacing w:after="0"/>
              <w:rPr>
                <w:sz w:val="20"/>
                <w:szCs w:val="20"/>
                <w:color w:val="auto"/>
              </w:rPr>
            </w:pPr>
            <w:r>
              <w:rPr>
                <w:rFonts w:ascii="Arial" w:cs="Arial" w:eastAsia="Arial" w:hAnsi="Arial"/>
                <w:sz w:val="14"/>
                <w:szCs w:val="14"/>
                <w:color w:val="auto"/>
              </w:rPr>
              <w:t>10,000</w:t>
            </w:r>
            <w:r>
              <w:rPr>
                <w:rFonts w:ascii="Arial" w:cs="Arial" w:eastAsia="Arial" w:hAnsi="Arial"/>
                <w:sz w:val="11"/>
                <w:szCs w:val="11"/>
                <w:color w:val="auto"/>
              </w:rPr>
              <w:t>(7)</w:t>
            </w:r>
          </w:p>
        </w:tc>
        <w:tc>
          <w:tcPr>
            <w:tcW w:w="740" w:type="dxa"/>
            <w:vAlign w:val="bottom"/>
            <w:shd w:val="clear" w:color="auto" w:fill="BFBFBF"/>
          </w:tcPr>
          <w:p>
            <w:pPr>
              <w:spacing w:after="0"/>
              <w:rPr>
                <w:sz w:val="15"/>
                <w:szCs w:val="15"/>
                <w:color w:val="auto"/>
              </w:rPr>
            </w:pPr>
          </w:p>
        </w:tc>
        <w:tc>
          <w:tcPr>
            <w:tcW w:w="60" w:type="dxa"/>
            <w:vAlign w:val="bottom"/>
            <w:shd w:val="clear" w:color="auto" w:fill="BFBFBF"/>
          </w:tcPr>
          <w:p>
            <w:pPr>
              <w:spacing w:after="0"/>
              <w:rPr>
                <w:sz w:val="15"/>
                <w:szCs w:val="15"/>
                <w:color w:val="auto"/>
              </w:rPr>
            </w:pPr>
          </w:p>
        </w:tc>
        <w:tc>
          <w:tcPr>
            <w:tcW w:w="880" w:type="dxa"/>
            <w:vAlign w:val="bottom"/>
            <w:shd w:val="clear" w:color="auto" w:fill="BFBFBF"/>
          </w:tcPr>
          <w:p>
            <w:pPr>
              <w:spacing w:after="0"/>
              <w:rPr>
                <w:sz w:val="15"/>
                <w:szCs w:val="15"/>
                <w:color w:val="auto"/>
              </w:rPr>
            </w:pPr>
          </w:p>
        </w:tc>
        <w:tc>
          <w:tcPr>
            <w:tcW w:w="840" w:type="dxa"/>
            <w:vAlign w:val="bottom"/>
            <w:vMerge w:val="restart"/>
            <w:shd w:val="clear" w:color="auto" w:fill="BFBFBF"/>
          </w:tcPr>
          <w:p>
            <w:pPr>
              <w:jc w:val="right"/>
              <w:ind w:right="12"/>
              <w:spacing w:after="0"/>
              <w:rPr>
                <w:sz w:val="20"/>
                <w:szCs w:val="20"/>
                <w:color w:val="auto"/>
              </w:rPr>
            </w:pPr>
            <w:r>
              <w:rPr>
                <w:rFonts w:ascii="Arial" w:cs="Arial" w:eastAsia="Arial" w:hAnsi="Arial"/>
                <w:sz w:val="14"/>
                <w:szCs w:val="14"/>
                <w:color w:val="auto"/>
              </w:rPr>
              <w:t>1,214,275</w:t>
            </w:r>
          </w:p>
        </w:tc>
        <w:tc>
          <w:tcPr>
            <w:tcW w:w="0" w:type="dxa"/>
            <w:vAlign w:val="bottom"/>
          </w:tcPr>
          <w:p>
            <w:pPr>
              <w:spacing w:after="0"/>
              <w:rPr>
                <w:sz w:val="1"/>
                <w:szCs w:val="1"/>
                <w:color w:val="auto"/>
              </w:rPr>
            </w:pPr>
          </w:p>
        </w:tc>
      </w:tr>
      <w:tr>
        <w:trPr>
          <w:trHeight w:val="148"/>
        </w:trPr>
        <w:tc>
          <w:tcPr>
            <w:tcW w:w="2940" w:type="dxa"/>
            <w:vAlign w:val="bottom"/>
            <w:shd w:val="clear" w:color="auto" w:fill="BFBFBF"/>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720" w:type="dxa"/>
            <w:vAlign w:val="bottom"/>
            <w:vMerge w:val="continue"/>
            <w:shd w:val="clear" w:color="auto" w:fill="BFBFBF"/>
          </w:tcPr>
          <w:p>
            <w:pPr>
              <w:spacing w:after="0"/>
              <w:rPr>
                <w:sz w:val="12"/>
                <w:szCs w:val="12"/>
                <w:color w:val="auto"/>
              </w:rPr>
            </w:pPr>
          </w:p>
        </w:tc>
        <w:tc>
          <w:tcPr>
            <w:tcW w:w="900" w:type="dxa"/>
            <w:vAlign w:val="bottom"/>
            <w:vMerge w:val="continue"/>
            <w:shd w:val="clear" w:color="auto" w:fill="BFBFBF"/>
          </w:tcPr>
          <w:p>
            <w:pPr>
              <w:spacing w:after="0"/>
              <w:rPr>
                <w:sz w:val="12"/>
                <w:szCs w:val="12"/>
                <w:color w:val="auto"/>
              </w:rPr>
            </w:pPr>
          </w:p>
        </w:tc>
        <w:tc>
          <w:tcPr>
            <w:tcW w:w="780" w:type="dxa"/>
            <w:vAlign w:val="bottom"/>
            <w:shd w:val="clear" w:color="auto" w:fill="BFBFBF"/>
          </w:tcPr>
          <w:p>
            <w:pPr>
              <w:spacing w:after="0"/>
              <w:rPr>
                <w:sz w:val="12"/>
                <w:szCs w:val="12"/>
                <w:color w:val="auto"/>
              </w:rPr>
            </w:pPr>
          </w:p>
        </w:tc>
        <w:tc>
          <w:tcPr>
            <w:tcW w:w="740" w:type="dxa"/>
            <w:vAlign w:val="bottom"/>
            <w:shd w:val="clear" w:color="auto" w:fill="BFBFBF"/>
          </w:tcPr>
          <w:p>
            <w:pPr>
              <w:spacing w:after="0"/>
              <w:rPr>
                <w:sz w:val="12"/>
                <w:szCs w:val="12"/>
                <w:color w:val="auto"/>
              </w:rPr>
            </w:pPr>
          </w:p>
        </w:tc>
        <w:tc>
          <w:tcPr>
            <w:tcW w:w="760" w:type="dxa"/>
            <w:vAlign w:val="bottom"/>
            <w:shd w:val="clear" w:color="auto" w:fill="BFBFBF"/>
          </w:tcPr>
          <w:p>
            <w:pPr>
              <w:spacing w:after="0"/>
              <w:rPr>
                <w:sz w:val="12"/>
                <w:szCs w:val="12"/>
                <w:color w:val="auto"/>
              </w:rPr>
            </w:pPr>
          </w:p>
        </w:tc>
        <w:tc>
          <w:tcPr>
            <w:tcW w:w="780" w:type="dxa"/>
            <w:vAlign w:val="bottom"/>
            <w:shd w:val="clear" w:color="auto" w:fill="BFBFBF"/>
          </w:tcPr>
          <w:p>
            <w:pPr>
              <w:spacing w:after="0"/>
              <w:rPr>
                <w:sz w:val="12"/>
                <w:szCs w:val="12"/>
                <w:color w:val="auto"/>
              </w:rPr>
            </w:pPr>
          </w:p>
        </w:tc>
        <w:tc>
          <w:tcPr>
            <w:tcW w:w="800" w:type="dxa"/>
            <w:vAlign w:val="bottom"/>
            <w:vMerge w:val="continue"/>
            <w:shd w:val="clear" w:color="auto" w:fill="BFBFBF"/>
          </w:tcPr>
          <w:p>
            <w:pPr>
              <w:spacing w:after="0"/>
              <w:rPr>
                <w:sz w:val="12"/>
                <w:szCs w:val="12"/>
                <w:color w:val="auto"/>
              </w:rPr>
            </w:pPr>
          </w:p>
        </w:tc>
        <w:tc>
          <w:tcPr>
            <w:tcW w:w="740" w:type="dxa"/>
            <w:vAlign w:val="bottom"/>
            <w:shd w:val="clear" w:color="auto" w:fill="BFBFBF"/>
          </w:tcPr>
          <w:p>
            <w:pPr>
              <w:spacing w:after="0"/>
              <w:rPr>
                <w:sz w:val="12"/>
                <w:szCs w:val="12"/>
                <w:color w:val="auto"/>
              </w:rPr>
            </w:pPr>
          </w:p>
        </w:tc>
        <w:tc>
          <w:tcPr>
            <w:tcW w:w="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840" w:type="dxa"/>
            <w:vAlign w:val="bottom"/>
            <w:vMerge w:val="continue"/>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BFBFBF"/>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72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color w:val="auto"/>
                <w:w w:val="99"/>
              </w:rPr>
              <w:t>10/14/2016</w:t>
            </w:r>
          </w:p>
        </w:tc>
        <w:tc>
          <w:tcPr>
            <w:tcW w:w="90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color w:val="auto"/>
              </w:rPr>
              <w:t>11/15/2016</w:t>
            </w:r>
          </w:p>
        </w:tc>
        <w:tc>
          <w:tcPr>
            <w:tcW w:w="780" w:type="dxa"/>
            <w:vAlign w:val="bottom"/>
            <w:shd w:val="clear" w:color="auto" w:fill="BFBFBF"/>
          </w:tcPr>
          <w:p>
            <w:pPr>
              <w:spacing w:after="0"/>
              <w:rPr>
                <w:sz w:val="12"/>
                <w:szCs w:val="12"/>
                <w:color w:val="auto"/>
              </w:rPr>
            </w:pPr>
          </w:p>
        </w:tc>
        <w:tc>
          <w:tcPr>
            <w:tcW w:w="740" w:type="dxa"/>
            <w:vAlign w:val="bottom"/>
            <w:shd w:val="clear" w:color="auto" w:fill="BFBFBF"/>
          </w:tcPr>
          <w:p>
            <w:pPr>
              <w:spacing w:after="0"/>
              <w:rPr>
                <w:sz w:val="12"/>
                <w:szCs w:val="12"/>
                <w:color w:val="auto"/>
              </w:rPr>
            </w:pPr>
          </w:p>
        </w:tc>
        <w:tc>
          <w:tcPr>
            <w:tcW w:w="760" w:type="dxa"/>
            <w:vAlign w:val="bottom"/>
            <w:shd w:val="clear" w:color="auto" w:fill="BFBFBF"/>
          </w:tcPr>
          <w:p>
            <w:pPr>
              <w:spacing w:after="0"/>
              <w:rPr>
                <w:sz w:val="12"/>
                <w:szCs w:val="12"/>
                <w:color w:val="auto"/>
              </w:rPr>
            </w:pPr>
          </w:p>
        </w:tc>
        <w:tc>
          <w:tcPr>
            <w:tcW w:w="780" w:type="dxa"/>
            <w:vAlign w:val="bottom"/>
            <w:shd w:val="clear" w:color="auto" w:fill="BFBFBF"/>
          </w:tcPr>
          <w:p>
            <w:pPr>
              <w:spacing w:after="0"/>
              <w:rPr>
                <w:sz w:val="12"/>
                <w:szCs w:val="12"/>
                <w:color w:val="auto"/>
              </w:rPr>
            </w:pPr>
          </w:p>
        </w:tc>
        <w:tc>
          <w:tcPr>
            <w:tcW w:w="800" w:type="dxa"/>
            <w:vAlign w:val="bottom"/>
            <w:shd w:val="clear" w:color="auto" w:fill="BFBFBF"/>
          </w:tcPr>
          <w:p>
            <w:pPr>
              <w:spacing w:after="0"/>
              <w:rPr>
                <w:sz w:val="12"/>
                <w:szCs w:val="12"/>
                <w:color w:val="auto"/>
              </w:rPr>
            </w:pPr>
          </w:p>
        </w:tc>
        <w:tc>
          <w:tcPr>
            <w:tcW w:w="740" w:type="dxa"/>
            <w:vAlign w:val="bottom"/>
            <w:shd w:val="clear" w:color="auto" w:fill="BFBFBF"/>
          </w:tcPr>
          <w:p>
            <w:pPr>
              <w:spacing w:after="0"/>
              <w:rPr>
                <w:sz w:val="12"/>
                <w:szCs w:val="12"/>
                <w:color w:val="auto"/>
              </w:rPr>
            </w:pPr>
          </w:p>
        </w:tc>
        <w:tc>
          <w:tcPr>
            <w:tcW w:w="940" w:type="dxa"/>
            <w:vAlign w:val="bottom"/>
            <w:gridSpan w:val="2"/>
            <w:shd w:val="clear" w:color="auto" w:fill="BFBFBF"/>
          </w:tcPr>
          <w:p>
            <w:pPr>
              <w:jc w:val="right"/>
              <w:ind w:right="132"/>
              <w:spacing w:after="0" w:line="149" w:lineRule="exact"/>
              <w:rPr>
                <w:sz w:val="20"/>
                <w:szCs w:val="20"/>
                <w:color w:val="auto"/>
              </w:rPr>
            </w:pPr>
            <w:r>
              <w:rPr>
                <w:rFonts w:ascii="Arial" w:cs="Arial" w:eastAsia="Arial" w:hAnsi="Arial"/>
                <w:sz w:val="14"/>
                <w:szCs w:val="14"/>
                <w:color w:val="auto"/>
              </w:rPr>
              <w:t>10,000</w:t>
            </w:r>
          </w:p>
        </w:tc>
        <w:tc>
          <w:tcPr>
            <w:tcW w:w="840" w:type="dxa"/>
            <w:vAlign w:val="bottom"/>
            <w:shd w:val="clear" w:color="auto" w:fill="BFBFBF"/>
          </w:tcPr>
          <w:p>
            <w:pPr>
              <w:jc w:val="right"/>
              <w:ind w:right="12"/>
              <w:spacing w:after="0" w:line="149" w:lineRule="exact"/>
              <w:rPr>
                <w:sz w:val="20"/>
                <w:szCs w:val="20"/>
                <w:color w:val="auto"/>
              </w:rPr>
            </w:pPr>
            <w:r>
              <w:rPr>
                <w:rFonts w:ascii="Arial" w:cs="Arial" w:eastAsia="Arial" w:hAnsi="Arial"/>
                <w:sz w:val="14"/>
                <w:szCs w:val="14"/>
                <w:color w:val="auto"/>
              </w:rPr>
              <w:t>1,564,100</w:t>
            </w:r>
          </w:p>
        </w:tc>
        <w:tc>
          <w:tcPr>
            <w:tcW w:w="0" w:type="dxa"/>
            <w:vAlign w:val="bottom"/>
          </w:tcPr>
          <w:p>
            <w:pPr>
              <w:spacing w:after="0"/>
              <w:rPr>
                <w:sz w:val="1"/>
                <w:szCs w:val="1"/>
                <w:color w:val="auto"/>
              </w:rPr>
            </w:pPr>
          </w:p>
        </w:tc>
      </w:tr>
      <w:tr>
        <w:trPr>
          <w:trHeight w:val="149"/>
        </w:trPr>
        <w:tc>
          <w:tcPr>
            <w:tcW w:w="2940" w:type="dxa"/>
            <w:vAlign w:val="bottom"/>
            <w:shd w:val="clear" w:color="auto" w:fill="BFBFBF"/>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72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color w:val="auto"/>
              </w:rPr>
              <w:t>12/6/2016</w:t>
            </w:r>
          </w:p>
        </w:tc>
        <w:tc>
          <w:tcPr>
            <w:tcW w:w="90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color w:val="auto"/>
              </w:rPr>
              <w:t>12/15/2016</w:t>
            </w:r>
          </w:p>
        </w:tc>
        <w:tc>
          <w:tcPr>
            <w:tcW w:w="780" w:type="dxa"/>
            <w:vAlign w:val="bottom"/>
            <w:shd w:val="clear" w:color="auto" w:fill="BFBFBF"/>
          </w:tcPr>
          <w:p>
            <w:pPr>
              <w:spacing w:after="0"/>
              <w:rPr>
                <w:sz w:val="12"/>
                <w:szCs w:val="12"/>
                <w:color w:val="auto"/>
              </w:rPr>
            </w:pPr>
          </w:p>
        </w:tc>
        <w:tc>
          <w:tcPr>
            <w:tcW w:w="740" w:type="dxa"/>
            <w:vAlign w:val="bottom"/>
            <w:shd w:val="clear" w:color="auto" w:fill="BFBFBF"/>
          </w:tcPr>
          <w:p>
            <w:pPr>
              <w:spacing w:after="0"/>
              <w:rPr>
                <w:sz w:val="12"/>
                <w:szCs w:val="12"/>
                <w:color w:val="auto"/>
              </w:rPr>
            </w:pPr>
          </w:p>
        </w:tc>
        <w:tc>
          <w:tcPr>
            <w:tcW w:w="760" w:type="dxa"/>
            <w:vAlign w:val="bottom"/>
            <w:shd w:val="clear" w:color="auto" w:fill="BFBFBF"/>
          </w:tcPr>
          <w:p>
            <w:pPr>
              <w:spacing w:after="0"/>
              <w:rPr>
                <w:sz w:val="12"/>
                <w:szCs w:val="12"/>
                <w:color w:val="auto"/>
              </w:rPr>
            </w:pPr>
          </w:p>
        </w:tc>
        <w:tc>
          <w:tcPr>
            <w:tcW w:w="780" w:type="dxa"/>
            <w:vAlign w:val="bottom"/>
            <w:shd w:val="clear" w:color="auto" w:fill="BFBFBF"/>
          </w:tcPr>
          <w:p>
            <w:pPr>
              <w:spacing w:after="0"/>
              <w:rPr>
                <w:sz w:val="12"/>
                <w:szCs w:val="12"/>
                <w:color w:val="auto"/>
              </w:rPr>
            </w:pPr>
          </w:p>
        </w:tc>
        <w:tc>
          <w:tcPr>
            <w:tcW w:w="800" w:type="dxa"/>
            <w:vAlign w:val="bottom"/>
            <w:shd w:val="clear" w:color="auto" w:fill="BFBFBF"/>
          </w:tcPr>
          <w:p>
            <w:pPr>
              <w:spacing w:after="0"/>
              <w:rPr>
                <w:sz w:val="12"/>
                <w:szCs w:val="12"/>
                <w:color w:val="auto"/>
              </w:rPr>
            </w:pPr>
          </w:p>
        </w:tc>
        <w:tc>
          <w:tcPr>
            <w:tcW w:w="740" w:type="dxa"/>
            <w:vAlign w:val="bottom"/>
            <w:shd w:val="clear" w:color="auto" w:fill="BFBFBF"/>
          </w:tcPr>
          <w:p>
            <w:pPr>
              <w:spacing w:after="0"/>
              <w:rPr>
                <w:sz w:val="12"/>
                <w:szCs w:val="12"/>
                <w:color w:val="auto"/>
              </w:rPr>
            </w:pPr>
          </w:p>
        </w:tc>
        <w:tc>
          <w:tcPr>
            <w:tcW w:w="940" w:type="dxa"/>
            <w:vAlign w:val="bottom"/>
            <w:gridSpan w:val="2"/>
            <w:shd w:val="clear" w:color="auto" w:fill="BFBFBF"/>
          </w:tcPr>
          <w:p>
            <w:pPr>
              <w:jc w:val="right"/>
              <w:ind w:right="132"/>
              <w:spacing w:after="0" w:line="149" w:lineRule="exact"/>
              <w:rPr>
                <w:sz w:val="20"/>
                <w:szCs w:val="20"/>
                <w:color w:val="auto"/>
              </w:rPr>
            </w:pPr>
            <w:r>
              <w:rPr>
                <w:rFonts w:ascii="Arial" w:cs="Arial" w:eastAsia="Arial" w:hAnsi="Arial"/>
                <w:sz w:val="14"/>
                <w:szCs w:val="14"/>
                <w:color w:val="auto"/>
              </w:rPr>
              <w:t>5,000</w:t>
            </w:r>
          </w:p>
        </w:tc>
        <w:tc>
          <w:tcPr>
            <w:tcW w:w="840" w:type="dxa"/>
            <w:vAlign w:val="bottom"/>
            <w:shd w:val="clear" w:color="auto" w:fill="BFBFBF"/>
          </w:tcPr>
          <w:p>
            <w:pPr>
              <w:jc w:val="right"/>
              <w:ind w:right="12"/>
              <w:spacing w:after="0" w:line="149" w:lineRule="exact"/>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49"/>
        </w:trPr>
        <w:tc>
          <w:tcPr>
            <w:tcW w:w="2940" w:type="dxa"/>
            <w:vAlign w:val="bottom"/>
            <w:shd w:val="clear" w:color="auto" w:fill="BFBFBF"/>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72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color w:val="auto"/>
              </w:rPr>
              <w:t>3/3/2017</w:t>
            </w:r>
          </w:p>
        </w:tc>
        <w:tc>
          <w:tcPr>
            <w:tcW w:w="90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color w:val="auto"/>
              </w:rPr>
              <w:t>3/15/2017</w:t>
            </w:r>
          </w:p>
        </w:tc>
        <w:tc>
          <w:tcPr>
            <w:tcW w:w="780" w:type="dxa"/>
            <w:vAlign w:val="bottom"/>
            <w:shd w:val="clear" w:color="auto" w:fill="BFBFBF"/>
          </w:tcPr>
          <w:p>
            <w:pPr>
              <w:spacing w:after="0"/>
              <w:rPr>
                <w:sz w:val="12"/>
                <w:szCs w:val="12"/>
                <w:color w:val="auto"/>
              </w:rPr>
            </w:pPr>
          </w:p>
        </w:tc>
        <w:tc>
          <w:tcPr>
            <w:tcW w:w="740" w:type="dxa"/>
            <w:vAlign w:val="bottom"/>
            <w:shd w:val="clear" w:color="auto" w:fill="BFBFBF"/>
          </w:tcPr>
          <w:p>
            <w:pPr>
              <w:spacing w:after="0"/>
              <w:rPr>
                <w:sz w:val="12"/>
                <w:szCs w:val="12"/>
                <w:color w:val="auto"/>
              </w:rPr>
            </w:pPr>
          </w:p>
        </w:tc>
        <w:tc>
          <w:tcPr>
            <w:tcW w:w="760" w:type="dxa"/>
            <w:vAlign w:val="bottom"/>
            <w:shd w:val="clear" w:color="auto" w:fill="BFBFBF"/>
          </w:tcPr>
          <w:p>
            <w:pPr>
              <w:spacing w:after="0"/>
              <w:rPr>
                <w:sz w:val="12"/>
                <w:szCs w:val="12"/>
                <w:color w:val="auto"/>
              </w:rPr>
            </w:pPr>
          </w:p>
        </w:tc>
        <w:tc>
          <w:tcPr>
            <w:tcW w:w="780" w:type="dxa"/>
            <w:vAlign w:val="bottom"/>
            <w:shd w:val="clear" w:color="auto" w:fill="BFBFBF"/>
          </w:tcPr>
          <w:p>
            <w:pPr>
              <w:jc w:val="right"/>
              <w:ind w:right="12"/>
              <w:spacing w:after="0" w:line="149" w:lineRule="exact"/>
              <w:rPr>
                <w:sz w:val="20"/>
                <w:szCs w:val="20"/>
                <w:color w:val="auto"/>
              </w:rPr>
            </w:pPr>
            <w:r>
              <w:rPr>
                <w:rFonts w:ascii="Arial" w:cs="Arial" w:eastAsia="Arial" w:hAnsi="Arial"/>
                <w:sz w:val="14"/>
                <w:szCs w:val="14"/>
                <w:color w:val="auto"/>
              </w:rPr>
              <w:t>1,562</w:t>
            </w:r>
          </w:p>
        </w:tc>
        <w:tc>
          <w:tcPr>
            <w:tcW w:w="800" w:type="dxa"/>
            <w:vAlign w:val="bottom"/>
            <w:shd w:val="clear" w:color="auto" w:fill="BFBFBF"/>
          </w:tcPr>
          <w:p>
            <w:pPr>
              <w:jc w:val="right"/>
              <w:ind w:right="12"/>
              <w:spacing w:after="0" w:line="149" w:lineRule="exact"/>
              <w:rPr>
                <w:sz w:val="20"/>
                <w:szCs w:val="20"/>
                <w:color w:val="auto"/>
              </w:rPr>
            </w:pPr>
            <w:r>
              <w:rPr>
                <w:rFonts w:ascii="Arial" w:cs="Arial" w:eastAsia="Arial" w:hAnsi="Arial"/>
                <w:sz w:val="14"/>
                <w:szCs w:val="14"/>
                <w:color w:val="auto"/>
              </w:rPr>
              <w:t>12,500</w:t>
            </w:r>
            <w:r>
              <w:rPr>
                <w:rFonts w:ascii="Arial" w:cs="Arial" w:eastAsia="Arial" w:hAnsi="Arial"/>
                <w:sz w:val="11"/>
                <w:szCs w:val="11"/>
                <w:color w:val="auto"/>
              </w:rPr>
              <w:t>(8)</w:t>
            </w:r>
          </w:p>
        </w:tc>
        <w:tc>
          <w:tcPr>
            <w:tcW w:w="74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color w:val="auto"/>
              </w:rPr>
              <w:t>25,000</w:t>
            </w:r>
          </w:p>
        </w:tc>
        <w:tc>
          <w:tcPr>
            <w:tcW w:w="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840" w:type="dxa"/>
            <w:vAlign w:val="bottom"/>
            <w:shd w:val="clear" w:color="auto" w:fill="BFBFBF"/>
          </w:tcPr>
          <w:p>
            <w:pPr>
              <w:jc w:val="right"/>
              <w:ind w:right="12"/>
              <w:spacing w:after="0" w:line="149" w:lineRule="exact"/>
              <w:rPr>
                <w:sz w:val="20"/>
                <w:szCs w:val="20"/>
                <w:color w:val="auto"/>
              </w:rPr>
            </w:pPr>
            <w:r>
              <w:rPr>
                <w:rFonts w:ascii="Arial" w:cs="Arial" w:eastAsia="Arial" w:hAnsi="Arial"/>
                <w:sz w:val="14"/>
                <w:szCs w:val="14"/>
                <w:color w:val="auto"/>
              </w:rPr>
              <w:t>3,773,750</w:t>
            </w:r>
          </w:p>
        </w:tc>
        <w:tc>
          <w:tcPr>
            <w:tcW w:w="0" w:type="dxa"/>
            <w:vAlign w:val="bottom"/>
          </w:tcPr>
          <w:p>
            <w:pPr>
              <w:spacing w:after="0"/>
              <w:rPr>
                <w:sz w:val="1"/>
                <w:szCs w:val="1"/>
                <w:color w:val="auto"/>
              </w:rPr>
            </w:pPr>
          </w:p>
        </w:tc>
      </w:tr>
      <w:tr>
        <w:trPr>
          <w:trHeight w:val="176"/>
        </w:trPr>
        <w:tc>
          <w:tcPr>
            <w:tcW w:w="2940" w:type="dxa"/>
            <w:vAlign w:val="bottom"/>
            <w:shd w:val="clear" w:color="auto" w:fill="BFBFBF"/>
          </w:tcPr>
          <w:p>
            <w:pPr>
              <w:spacing w:after="0"/>
              <w:rPr>
                <w:sz w:val="15"/>
                <w:szCs w:val="15"/>
                <w:color w:val="auto"/>
              </w:rPr>
            </w:pPr>
          </w:p>
        </w:tc>
        <w:tc>
          <w:tcPr>
            <w:tcW w:w="80" w:type="dxa"/>
            <w:vAlign w:val="bottom"/>
            <w:shd w:val="clear" w:color="auto" w:fill="BFBFBF"/>
          </w:tcPr>
          <w:p>
            <w:pPr>
              <w:spacing w:after="0"/>
              <w:rPr>
                <w:sz w:val="15"/>
                <w:szCs w:val="15"/>
                <w:color w:val="auto"/>
              </w:rPr>
            </w:pPr>
          </w:p>
        </w:tc>
        <w:tc>
          <w:tcPr>
            <w:tcW w:w="72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3/3/2017</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3/15/2017</w:t>
            </w:r>
          </w:p>
        </w:tc>
        <w:tc>
          <w:tcPr>
            <w:tcW w:w="780" w:type="dxa"/>
            <w:vAlign w:val="bottom"/>
            <w:shd w:val="clear" w:color="auto" w:fill="BFBFBF"/>
          </w:tcPr>
          <w:p>
            <w:pPr>
              <w:spacing w:after="0"/>
              <w:rPr>
                <w:sz w:val="15"/>
                <w:szCs w:val="15"/>
                <w:color w:val="auto"/>
              </w:rPr>
            </w:pPr>
          </w:p>
        </w:tc>
        <w:tc>
          <w:tcPr>
            <w:tcW w:w="740" w:type="dxa"/>
            <w:vAlign w:val="bottom"/>
            <w:shd w:val="clear" w:color="auto" w:fill="BFBFBF"/>
          </w:tcPr>
          <w:p>
            <w:pPr>
              <w:spacing w:after="0"/>
              <w:rPr>
                <w:sz w:val="15"/>
                <w:szCs w:val="15"/>
                <w:color w:val="auto"/>
              </w:rPr>
            </w:pPr>
          </w:p>
        </w:tc>
        <w:tc>
          <w:tcPr>
            <w:tcW w:w="760" w:type="dxa"/>
            <w:vAlign w:val="bottom"/>
            <w:shd w:val="clear" w:color="auto" w:fill="BFBFBF"/>
          </w:tcPr>
          <w:p>
            <w:pPr>
              <w:spacing w:after="0"/>
              <w:rPr>
                <w:sz w:val="15"/>
                <w:szCs w:val="15"/>
                <w:color w:val="auto"/>
              </w:rPr>
            </w:pPr>
          </w:p>
        </w:tc>
        <w:tc>
          <w:tcPr>
            <w:tcW w:w="780" w:type="dxa"/>
            <w:vAlign w:val="bottom"/>
            <w:shd w:val="clear" w:color="auto" w:fill="BFBFBF"/>
          </w:tcPr>
          <w:p>
            <w:pPr>
              <w:spacing w:after="0"/>
              <w:rPr>
                <w:sz w:val="15"/>
                <w:szCs w:val="15"/>
                <w:color w:val="auto"/>
              </w:rPr>
            </w:pPr>
          </w:p>
        </w:tc>
        <w:tc>
          <w:tcPr>
            <w:tcW w:w="800" w:type="dxa"/>
            <w:vAlign w:val="bottom"/>
            <w:shd w:val="clear" w:color="auto" w:fill="BFBFBF"/>
          </w:tcPr>
          <w:p>
            <w:pPr>
              <w:spacing w:after="0"/>
              <w:rPr>
                <w:sz w:val="15"/>
                <w:szCs w:val="15"/>
                <w:color w:val="auto"/>
              </w:rPr>
            </w:pPr>
          </w:p>
        </w:tc>
        <w:tc>
          <w:tcPr>
            <w:tcW w:w="740" w:type="dxa"/>
            <w:vAlign w:val="bottom"/>
            <w:shd w:val="clear" w:color="auto" w:fill="BFBFBF"/>
          </w:tcPr>
          <w:p>
            <w:pPr>
              <w:spacing w:after="0"/>
              <w:rPr>
                <w:sz w:val="15"/>
                <w:szCs w:val="15"/>
                <w:color w:val="auto"/>
              </w:rPr>
            </w:pPr>
          </w:p>
        </w:tc>
        <w:tc>
          <w:tcPr>
            <w:tcW w:w="940" w:type="dxa"/>
            <w:vAlign w:val="bottom"/>
            <w:gridSpan w:val="2"/>
            <w:shd w:val="clear" w:color="auto" w:fill="BFBFBF"/>
          </w:tcPr>
          <w:p>
            <w:pPr>
              <w:jc w:val="right"/>
              <w:ind w:right="132"/>
              <w:spacing w:after="0"/>
              <w:rPr>
                <w:sz w:val="20"/>
                <w:szCs w:val="20"/>
                <w:color w:val="auto"/>
              </w:rPr>
            </w:pPr>
            <w:r>
              <w:rPr>
                <w:rFonts w:ascii="Arial" w:cs="Arial" w:eastAsia="Arial" w:hAnsi="Arial"/>
                <w:sz w:val="14"/>
                <w:szCs w:val="14"/>
                <w:color w:val="auto"/>
              </w:rPr>
              <w:t>12,500</w:t>
            </w:r>
          </w:p>
        </w:tc>
        <w:tc>
          <w:tcPr>
            <w:tcW w:w="840" w:type="dxa"/>
            <w:vAlign w:val="bottom"/>
            <w:shd w:val="clear" w:color="auto" w:fill="BFBFBF"/>
          </w:tcPr>
          <w:p>
            <w:pPr>
              <w:jc w:val="right"/>
              <w:ind w:right="12"/>
              <w:spacing w:after="0"/>
              <w:rPr>
                <w:sz w:val="20"/>
                <w:szCs w:val="20"/>
                <w:color w:val="auto"/>
              </w:rPr>
            </w:pPr>
            <w:r>
              <w:rPr>
                <w:rFonts w:ascii="Arial" w:cs="Arial" w:eastAsia="Arial" w:hAnsi="Arial"/>
                <w:sz w:val="14"/>
                <w:szCs w:val="14"/>
                <w:color w:val="auto"/>
              </w:rPr>
              <w:t>2,699,000</w:t>
            </w: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rPr>
                <w:sz w:val="20"/>
                <w:szCs w:val="20"/>
                <w:color w:val="auto"/>
              </w:rPr>
            </w:pPr>
            <w:r>
              <w:rPr>
                <w:rFonts w:ascii="Arial" w:cs="Arial" w:eastAsia="Arial" w:hAnsi="Arial"/>
                <w:sz w:val="14"/>
                <w:szCs w:val="14"/>
                <w:color w:val="auto"/>
              </w:rPr>
              <w:t>Charlie B. Kawwas, Ph.D.</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12/6/2016</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12/15/2016</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9,160</w:t>
            </w:r>
          </w:p>
        </w:tc>
        <w:tc>
          <w:tcPr>
            <w:tcW w:w="740" w:type="dxa"/>
            <w:vAlign w:val="bottom"/>
          </w:tcPr>
          <w:p>
            <w:pPr>
              <w:jc w:val="right"/>
              <w:spacing w:after="0"/>
              <w:rPr>
                <w:sz w:val="20"/>
                <w:szCs w:val="20"/>
                <w:color w:val="auto"/>
              </w:rPr>
            </w:pPr>
            <w:r>
              <w:rPr>
                <w:rFonts w:ascii="Arial" w:cs="Arial" w:eastAsia="Arial" w:hAnsi="Arial"/>
                <w:sz w:val="14"/>
                <w:szCs w:val="14"/>
                <w:color w:val="auto"/>
              </w:rPr>
              <w:t>366,397</w:t>
            </w:r>
          </w:p>
        </w:tc>
        <w:tc>
          <w:tcPr>
            <w:tcW w:w="760" w:type="dxa"/>
            <w:vAlign w:val="bottom"/>
          </w:tcPr>
          <w:p>
            <w:pPr>
              <w:jc w:val="right"/>
              <w:spacing w:after="0"/>
              <w:rPr>
                <w:sz w:val="20"/>
                <w:szCs w:val="20"/>
                <w:color w:val="auto"/>
              </w:rPr>
            </w:pPr>
            <w:r>
              <w:rPr>
                <w:rFonts w:ascii="Arial" w:cs="Arial" w:eastAsia="Arial" w:hAnsi="Arial"/>
                <w:sz w:val="14"/>
                <w:szCs w:val="14"/>
                <w:color w:val="auto"/>
              </w:rPr>
              <w:t>824,393</w:t>
            </w: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2"/>
            <w:vMerge w:val="restart"/>
          </w:tcPr>
          <w:p>
            <w:pPr>
              <w:jc w:val="right"/>
              <w:ind w:right="132"/>
              <w:spacing w:after="0"/>
              <w:rPr>
                <w:sz w:val="20"/>
                <w:szCs w:val="20"/>
                <w:color w:val="auto"/>
              </w:rPr>
            </w:pPr>
            <w:r>
              <w:rPr>
                <w:rFonts w:ascii="Arial" w:cs="Arial" w:eastAsia="Arial" w:hAnsi="Arial"/>
                <w:sz w:val="14"/>
                <w:szCs w:val="14"/>
                <w:color w:val="auto"/>
              </w:rPr>
              <w:t>5,000</w:t>
            </w:r>
          </w:p>
        </w:tc>
        <w:tc>
          <w:tcPr>
            <w:tcW w:w="840" w:type="dxa"/>
            <w:vAlign w:val="bottom"/>
            <w:vMerge w:val="restart"/>
          </w:tcPr>
          <w:p>
            <w:pPr>
              <w:jc w:val="right"/>
              <w:ind w:right="12"/>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3/3/2017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3/15/2017</w:t>
            </w: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1,562</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12,500</w:t>
            </w:r>
            <w:r>
              <w:rPr>
                <w:rFonts w:ascii="Arial" w:cs="Arial" w:eastAsia="Arial" w:hAnsi="Arial"/>
                <w:sz w:val="11"/>
                <w:szCs w:val="11"/>
                <w:color w:val="auto"/>
              </w:rPr>
              <w:t>(8)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3,773,750</w:t>
            </w: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3/3/2017</w:t>
            </w:r>
          </w:p>
        </w:tc>
        <w:tc>
          <w:tcPr>
            <w:tcW w:w="900" w:type="dxa"/>
            <w:vAlign w:val="bottom"/>
          </w:tcPr>
          <w:p>
            <w:pPr>
              <w:jc w:val="right"/>
              <w:spacing w:after="0"/>
              <w:rPr>
                <w:sz w:val="20"/>
                <w:szCs w:val="20"/>
                <w:color w:val="auto"/>
              </w:rPr>
            </w:pPr>
            <w:r>
              <w:rPr>
                <w:rFonts w:ascii="Arial" w:cs="Arial" w:eastAsia="Arial" w:hAnsi="Arial"/>
                <w:sz w:val="14"/>
                <w:szCs w:val="14"/>
                <w:color w:val="auto"/>
              </w:rPr>
              <w:t>3/15/2017</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4"/>
                <w:szCs w:val="14"/>
                <w:color w:val="auto"/>
              </w:rPr>
              <w:t>12,500</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2,699,000</w:t>
            </w:r>
          </w:p>
        </w:tc>
        <w:tc>
          <w:tcPr>
            <w:tcW w:w="0" w:type="dxa"/>
            <w:vAlign w:val="bottom"/>
          </w:tcPr>
          <w:p>
            <w:pPr>
              <w:spacing w:after="0"/>
              <w:rPr>
                <w:sz w:val="1"/>
                <w:szCs w:val="1"/>
                <w:color w:val="auto"/>
              </w:rPr>
            </w:pPr>
          </w:p>
        </w:tc>
      </w:tr>
      <w:tr>
        <w:trPr>
          <w:trHeight w:val="183"/>
        </w:trPr>
        <w:tc>
          <w:tcPr>
            <w:tcW w:w="2940" w:type="dxa"/>
            <w:vAlign w:val="bottom"/>
            <w:shd w:val="clear" w:color="auto" w:fill="BFBFBF"/>
          </w:tcPr>
          <w:p>
            <w:pPr>
              <w:ind w:left="20"/>
              <w:spacing w:after="0"/>
              <w:rPr>
                <w:sz w:val="20"/>
                <w:szCs w:val="20"/>
                <w:color w:val="auto"/>
              </w:rPr>
            </w:pPr>
            <w:r>
              <w:rPr>
                <w:rFonts w:ascii="Arial" w:cs="Arial" w:eastAsia="Arial" w:hAnsi="Arial"/>
                <w:sz w:val="14"/>
                <w:szCs w:val="14"/>
                <w:color w:val="auto"/>
              </w:rPr>
              <w:t>Mark D. Brazeal</w:t>
            </w:r>
          </w:p>
        </w:tc>
        <w:tc>
          <w:tcPr>
            <w:tcW w:w="80" w:type="dxa"/>
            <w:vAlign w:val="bottom"/>
            <w:shd w:val="clear" w:color="auto" w:fill="BFBFBF"/>
          </w:tcPr>
          <w:p>
            <w:pPr>
              <w:spacing w:after="0"/>
              <w:rPr>
                <w:sz w:val="15"/>
                <w:szCs w:val="15"/>
                <w:color w:val="auto"/>
              </w:rPr>
            </w:pPr>
          </w:p>
        </w:tc>
        <w:tc>
          <w:tcPr>
            <w:tcW w:w="720" w:type="dxa"/>
            <w:vAlign w:val="bottom"/>
            <w:shd w:val="clear" w:color="auto" w:fill="BFBFBF"/>
          </w:tcPr>
          <w:p>
            <w:pPr>
              <w:spacing w:after="0"/>
              <w:rPr>
                <w:sz w:val="15"/>
                <w:szCs w:val="15"/>
                <w:color w:val="auto"/>
              </w:rPr>
            </w:pPr>
          </w:p>
        </w:tc>
        <w:tc>
          <w:tcPr>
            <w:tcW w:w="900" w:type="dxa"/>
            <w:vAlign w:val="bottom"/>
            <w:vMerge w:val="restart"/>
            <w:shd w:val="clear" w:color="auto" w:fill="BFBFBF"/>
          </w:tcPr>
          <w:p>
            <w:pPr>
              <w:jc w:val="right"/>
              <w:spacing w:after="0"/>
              <w:rPr>
                <w:sz w:val="20"/>
                <w:szCs w:val="20"/>
                <w:color w:val="auto"/>
              </w:rPr>
            </w:pPr>
            <w:r>
              <w:rPr>
                <w:rFonts w:ascii="Arial" w:cs="Arial" w:eastAsia="Arial" w:hAnsi="Arial"/>
                <w:sz w:val="14"/>
                <w:szCs w:val="14"/>
                <w:color w:val="auto"/>
              </w:rPr>
              <w:t>4/15/2017</w:t>
            </w:r>
          </w:p>
        </w:tc>
        <w:tc>
          <w:tcPr>
            <w:tcW w:w="780" w:type="dxa"/>
            <w:vAlign w:val="bottom"/>
            <w:shd w:val="clear" w:color="auto" w:fill="BFBFBF"/>
          </w:tcPr>
          <w:p>
            <w:pPr>
              <w:jc w:val="right"/>
              <w:ind w:right="12"/>
              <w:spacing w:after="0"/>
              <w:rPr>
                <w:sz w:val="20"/>
                <w:szCs w:val="20"/>
                <w:color w:val="auto"/>
              </w:rPr>
            </w:pPr>
            <w:r>
              <w:rPr>
                <w:rFonts w:ascii="Arial" w:cs="Arial" w:eastAsia="Arial" w:hAnsi="Arial"/>
                <w:sz w:val="14"/>
                <w:szCs w:val="14"/>
                <w:color w:val="auto"/>
              </w:rPr>
              <w:t>5,647</w:t>
            </w: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150,577</w:t>
            </w:r>
          </w:p>
        </w:tc>
        <w:tc>
          <w:tcPr>
            <w:tcW w:w="76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338,798</w:t>
            </w:r>
          </w:p>
        </w:tc>
        <w:tc>
          <w:tcPr>
            <w:tcW w:w="780" w:type="dxa"/>
            <w:vAlign w:val="bottom"/>
            <w:vMerge w:val="restart"/>
            <w:shd w:val="clear" w:color="auto" w:fill="BFBFBF"/>
          </w:tcPr>
          <w:p>
            <w:pPr>
              <w:jc w:val="right"/>
              <w:ind w:right="12"/>
              <w:spacing w:after="0"/>
              <w:rPr>
                <w:sz w:val="20"/>
                <w:szCs w:val="20"/>
                <w:color w:val="auto"/>
              </w:rPr>
            </w:pPr>
            <w:r>
              <w:rPr>
                <w:rFonts w:ascii="Arial" w:cs="Arial" w:eastAsia="Arial" w:hAnsi="Arial"/>
                <w:sz w:val="14"/>
                <w:szCs w:val="14"/>
                <w:color w:val="auto"/>
              </w:rPr>
              <w:t>1,562</w:t>
            </w:r>
          </w:p>
        </w:tc>
        <w:tc>
          <w:tcPr>
            <w:tcW w:w="800" w:type="dxa"/>
            <w:vAlign w:val="bottom"/>
            <w:vMerge w:val="restart"/>
            <w:shd w:val="clear" w:color="auto" w:fill="BFBFBF"/>
          </w:tcPr>
          <w:p>
            <w:pPr>
              <w:jc w:val="right"/>
              <w:ind w:right="12"/>
              <w:spacing w:after="0"/>
              <w:rPr>
                <w:sz w:val="20"/>
                <w:szCs w:val="20"/>
                <w:color w:val="auto"/>
              </w:rPr>
            </w:pPr>
            <w:r>
              <w:rPr>
                <w:rFonts w:ascii="Arial" w:cs="Arial" w:eastAsia="Arial" w:hAnsi="Arial"/>
                <w:sz w:val="14"/>
                <w:szCs w:val="14"/>
                <w:color w:val="auto"/>
              </w:rPr>
              <w:t>12,500</w:t>
            </w:r>
            <w:r>
              <w:rPr>
                <w:rFonts w:ascii="Arial" w:cs="Arial" w:eastAsia="Arial" w:hAnsi="Arial"/>
                <w:sz w:val="11"/>
                <w:szCs w:val="11"/>
                <w:color w:val="auto"/>
              </w:rPr>
              <w:t>(8)</w:t>
            </w:r>
          </w:p>
        </w:tc>
        <w:tc>
          <w:tcPr>
            <w:tcW w:w="740" w:type="dxa"/>
            <w:vAlign w:val="bottom"/>
            <w:vMerge w:val="restart"/>
            <w:shd w:val="clear" w:color="auto" w:fill="BFBFBF"/>
          </w:tcPr>
          <w:p>
            <w:pPr>
              <w:jc w:val="right"/>
              <w:spacing w:after="0"/>
              <w:rPr>
                <w:sz w:val="20"/>
                <w:szCs w:val="20"/>
                <w:color w:val="auto"/>
              </w:rPr>
            </w:pPr>
            <w:r>
              <w:rPr>
                <w:rFonts w:ascii="Arial" w:cs="Arial" w:eastAsia="Arial" w:hAnsi="Arial"/>
                <w:sz w:val="14"/>
                <w:szCs w:val="14"/>
                <w:color w:val="auto"/>
              </w:rPr>
              <w:t>25,000</w:t>
            </w:r>
          </w:p>
        </w:tc>
        <w:tc>
          <w:tcPr>
            <w:tcW w:w="60" w:type="dxa"/>
            <w:vAlign w:val="bottom"/>
            <w:shd w:val="clear" w:color="auto" w:fill="BFBFBF"/>
          </w:tcPr>
          <w:p>
            <w:pPr>
              <w:spacing w:after="0"/>
              <w:rPr>
                <w:sz w:val="15"/>
                <w:szCs w:val="15"/>
                <w:color w:val="auto"/>
              </w:rPr>
            </w:pPr>
          </w:p>
        </w:tc>
        <w:tc>
          <w:tcPr>
            <w:tcW w:w="880" w:type="dxa"/>
            <w:vAlign w:val="bottom"/>
            <w:shd w:val="clear" w:color="auto" w:fill="BFBFBF"/>
          </w:tcPr>
          <w:p>
            <w:pPr>
              <w:spacing w:after="0"/>
              <w:rPr>
                <w:sz w:val="15"/>
                <w:szCs w:val="15"/>
                <w:color w:val="auto"/>
              </w:rPr>
            </w:pPr>
          </w:p>
        </w:tc>
        <w:tc>
          <w:tcPr>
            <w:tcW w:w="840" w:type="dxa"/>
            <w:vAlign w:val="bottom"/>
            <w:vMerge w:val="restart"/>
            <w:shd w:val="clear" w:color="auto" w:fill="BFBFBF"/>
          </w:tcPr>
          <w:p>
            <w:pPr>
              <w:jc w:val="right"/>
              <w:ind w:right="12"/>
              <w:spacing w:after="0"/>
              <w:rPr>
                <w:sz w:val="20"/>
                <w:szCs w:val="20"/>
                <w:color w:val="auto"/>
              </w:rPr>
            </w:pPr>
            <w:r>
              <w:rPr>
                <w:rFonts w:ascii="Arial" w:cs="Arial" w:eastAsia="Arial" w:hAnsi="Arial"/>
                <w:sz w:val="14"/>
                <w:szCs w:val="14"/>
                <w:color w:val="auto"/>
              </w:rPr>
              <w:t>3,389,813</w:t>
            </w:r>
          </w:p>
        </w:tc>
        <w:tc>
          <w:tcPr>
            <w:tcW w:w="0" w:type="dxa"/>
            <w:vAlign w:val="bottom"/>
          </w:tcPr>
          <w:p>
            <w:pPr>
              <w:spacing w:after="0"/>
              <w:rPr>
                <w:sz w:val="1"/>
                <w:szCs w:val="1"/>
                <w:color w:val="auto"/>
              </w:rPr>
            </w:pPr>
          </w:p>
        </w:tc>
      </w:tr>
      <w:tr>
        <w:trPr>
          <w:trHeight w:val="148"/>
        </w:trPr>
        <w:tc>
          <w:tcPr>
            <w:tcW w:w="2940" w:type="dxa"/>
            <w:vAlign w:val="bottom"/>
            <w:shd w:val="clear" w:color="auto" w:fill="BFBFBF"/>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720" w:type="dxa"/>
            <w:vAlign w:val="bottom"/>
            <w:shd w:val="clear" w:color="auto" w:fill="BFBFBF"/>
          </w:tcPr>
          <w:p>
            <w:pPr>
              <w:jc w:val="right"/>
              <w:spacing w:after="0" w:line="148" w:lineRule="exact"/>
              <w:rPr>
                <w:sz w:val="20"/>
                <w:szCs w:val="20"/>
                <w:color w:val="auto"/>
              </w:rPr>
            </w:pPr>
            <w:r>
              <w:rPr>
                <w:rFonts w:ascii="Arial" w:cs="Arial" w:eastAsia="Arial" w:hAnsi="Arial"/>
                <w:sz w:val="14"/>
                <w:szCs w:val="14"/>
                <w:color w:val="auto"/>
              </w:rPr>
              <w:t>3/17/2017</w:t>
            </w:r>
          </w:p>
        </w:tc>
        <w:tc>
          <w:tcPr>
            <w:tcW w:w="900" w:type="dxa"/>
            <w:vAlign w:val="bottom"/>
            <w:vMerge w:val="continue"/>
            <w:shd w:val="clear" w:color="auto" w:fill="BFBFBF"/>
          </w:tcPr>
          <w:p>
            <w:pPr>
              <w:spacing w:after="0"/>
              <w:rPr>
                <w:sz w:val="12"/>
                <w:szCs w:val="12"/>
                <w:color w:val="auto"/>
              </w:rPr>
            </w:pPr>
          </w:p>
        </w:tc>
        <w:tc>
          <w:tcPr>
            <w:tcW w:w="780" w:type="dxa"/>
            <w:vAlign w:val="bottom"/>
            <w:shd w:val="clear" w:color="auto" w:fill="BFBFBF"/>
          </w:tcPr>
          <w:p>
            <w:pPr>
              <w:spacing w:after="0"/>
              <w:rPr>
                <w:sz w:val="12"/>
                <w:szCs w:val="12"/>
                <w:color w:val="auto"/>
              </w:rPr>
            </w:pPr>
          </w:p>
        </w:tc>
        <w:tc>
          <w:tcPr>
            <w:tcW w:w="740" w:type="dxa"/>
            <w:vAlign w:val="bottom"/>
            <w:shd w:val="clear" w:color="auto" w:fill="BFBFBF"/>
          </w:tcPr>
          <w:p>
            <w:pPr>
              <w:spacing w:after="0"/>
              <w:rPr>
                <w:sz w:val="12"/>
                <w:szCs w:val="12"/>
                <w:color w:val="auto"/>
              </w:rPr>
            </w:pPr>
          </w:p>
        </w:tc>
        <w:tc>
          <w:tcPr>
            <w:tcW w:w="760" w:type="dxa"/>
            <w:vAlign w:val="bottom"/>
            <w:shd w:val="clear" w:color="auto" w:fill="BFBFBF"/>
          </w:tcPr>
          <w:p>
            <w:pPr>
              <w:spacing w:after="0"/>
              <w:rPr>
                <w:sz w:val="12"/>
                <w:szCs w:val="12"/>
                <w:color w:val="auto"/>
              </w:rPr>
            </w:pPr>
          </w:p>
        </w:tc>
        <w:tc>
          <w:tcPr>
            <w:tcW w:w="780" w:type="dxa"/>
            <w:vAlign w:val="bottom"/>
            <w:vMerge w:val="continue"/>
            <w:shd w:val="clear" w:color="auto" w:fill="BFBFBF"/>
          </w:tcPr>
          <w:p>
            <w:pPr>
              <w:spacing w:after="0"/>
              <w:rPr>
                <w:sz w:val="12"/>
                <w:szCs w:val="12"/>
                <w:color w:val="auto"/>
              </w:rPr>
            </w:pPr>
          </w:p>
        </w:tc>
        <w:tc>
          <w:tcPr>
            <w:tcW w:w="800" w:type="dxa"/>
            <w:vAlign w:val="bottom"/>
            <w:vMerge w:val="continue"/>
            <w:shd w:val="clear" w:color="auto" w:fill="BFBFBF"/>
          </w:tcPr>
          <w:p>
            <w:pPr>
              <w:spacing w:after="0"/>
              <w:rPr>
                <w:sz w:val="12"/>
                <w:szCs w:val="12"/>
                <w:color w:val="auto"/>
              </w:rPr>
            </w:pPr>
          </w:p>
        </w:tc>
        <w:tc>
          <w:tcPr>
            <w:tcW w:w="740" w:type="dxa"/>
            <w:vAlign w:val="bottom"/>
            <w:vMerge w:val="continue"/>
            <w:shd w:val="clear" w:color="auto" w:fill="BFBFBF"/>
          </w:tcPr>
          <w:p>
            <w:pPr>
              <w:spacing w:after="0"/>
              <w:rPr>
                <w:sz w:val="12"/>
                <w:szCs w:val="12"/>
                <w:color w:val="auto"/>
              </w:rPr>
            </w:pPr>
          </w:p>
        </w:tc>
        <w:tc>
          <w:tcPr>
            <w:tcW w:w="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840" w:type="dxa"/>
            <w:vAlign w:val="bottom"/>
            <w:vMerge w:val="continue"/>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BFBFBF"/>
          </w:tcPr>
          <w:p>
            <w:pPr>
              <w:spacing w:after="0"/>
              <w:rPr>
                <w:sz w:val="15"/>
                <w:szCs w:val="15"/>
                <w:color w:val="auto"/>
              </w:rPr>
            </w:pPr>
          </w:p>
        </w:tc>
        <w:tc>
          <w:tcPr>
            <w:tcW w:w="80" w:type="dxa"/>
            <w:vAlign w:val="bottom"/>
            <w:shd w:val="clear" w:color="auto" w:fill="BFBFBF"/>
          </w:tcPr>
          <w:p>
            <w:pPr>
              <w:spacing w:after="0"/>
              <w:rPr>
                <w:sz w:val="15"/>
                <w:szCs w:val="15"/>
                <w:color w:val="auto"/>
              </w:rPr>
            </w:pPr>
          </w:p>
        </w:tc>
        <w:tc>
          <w:tcPr>
            <w:tcW w:w="72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3/17/2017</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4/15/2017</w:t>
            </w:r>
          </w:p>
        </w:tc>
        <w:tc>
          <w:tcPr>
            <w:tcW w:w="780" w:type="dxa"/>
            <w:vAlign w:val="bottom"/>
            <w:shd w:val="clear" w:color="auto" w:fill="BFBFBF"/>
          </w:tcPr>
          <w:p>
            <w:pPr>
              <w:spacing w:after="0"/>
              <w:rPr>
                <w:sz w:val="15"/>
                <w:szCs w:val="15"/>
                <w:color w:val="auto"/>
              </w:rPr>
            </w:pPr>
          </w:p>
        </w:tc>
        <w:tc>
          <w:tcPr>
            <w:tcW w:w="740" w:type="dxa"/>
            <w:vAlign w:val="bottom"/>
            <w:shd w:val="clear" w:color="auto" w:fill="BFBFBF"/>
          </w:tcPr>
          <w:p>
            <w:pPr>
              <w:spacing w:after="0"/>
              <w:rPr>
                <w:sz w:val="15"/>
                <w:szCs w:val="15"/>
                <w:color w:val="auto"/>
              </w:rPr>
            </w:pPr>
          </w:p>
        </w:tc>
        <w:tc>
          <w:tcPr>
            <w:tcW w:w="760" w:type="dxa"/>
            <w:vAlign w:val="bottom"/>
            <w:shd w:val="clear" w:color="auto" w:fill="BFBFBF"/>
          </w:tcPr>
          <w:p>
            <w:pPr>
              <w:spacing w:after="0"/>
              <w:rPr>
                <w:sz w:val="15"/>
                <w:szCs w:val="15"/>
                <w:color w:val="auto"/>
              </w:rPr>
            </w:pPr>
          </w:p>
        </w:tc>
        <w:tc>
          <w:tcPr>
            <w:tcW w:w="780" w:type="dxa"/>
            <w:vAlign w:val="bottom"/>
            <w:shd w:val="clear" w:color="auto" w:fill="BFBFBF"/>
          </w:tcPr>
          <w:p>
            <w:pPr>
              <w:spacing w:after="0"/>
              <w:rPr>
                <w:sz w:val="15"/>
                <w:szCs w:val="15"/>
                <w:color w:val="auto"/>
              </w:rPr>
            </w:pPr>
          </w:p>
        </w:tc>
        <w:tc>
          <w:tcPr>
            <w:tcW w:w="800" w:type="dxa"/>
            <w:vAlign w:val="bottom"/>
            <w:shd w:val="clear" w:color="auto" w:fill="BFBFBF"/>
          </w:tcPr>
          <w:p>
            <w:pPr>
              <w:spacing w:after="0"/>
              <w:rPr>
                <w:sz w:val="15"/>
                <w:szCs w:val="15"/>
                <w:color w:val="auto"/>
              </w:rPr>
            </w:pPr>
          </w:p>
        </w:tc>
        <w:tc>
          <w:tcPr>
            <w:tcW w:w="740" w:type="dxa"/>
            <w:vAlign w:val="bottom"/>
            <w:shd w:val="clear" w:color="auto" w:fill="BFBFBF"/>
          </w:tcPr>
          <w:p>
            <w:pPr>
              <w:spacing w:after="0"/>
              <w:rPr>
                <w:sz w:val="15"/>
                <w:szCs w:val="15"/>
                <w:color w:val="auto"/>
              </w:rPr>
            </w:pPr>
          </w:p>
        </w:tc>
        <w:tc>
          <w:tcPr>
            <w:tcW w:w="940" w:type="dxa"/>
            <w:vAlign w:val="bottom"/>
            <w:gridSpan w:val="2"/>
            <w:shd w:val="clear" w:color="auto" w:fill="BFBFBF"/>
          </w:tcPr>
          <w:p>
            <w:pPr>
              <w:jc w:val="right"/>
              <w:ind w:right="132"/>
              <w:spacing w:after="0"/>
              <w:rPr>
                <w:sz w:val="20"/>
                <w:szCs w:val="20"/>
                <w:color w:val="auto"/>
              </w:rPr>
            </w:pPr>
            <w:r>
              <w:rPr>
                <w:rFonts w:ascii="Arial" w:cs="Arial" w:eastAsia="Arial" w:hAnsi="Arial"/>
                <w:sz w:val="14"/>
                <w:szCs w:val="14"/>
                <w:color w:val="auto"/>
              </w:rPr>
              <w:t>12,500</w:t>
            </w:r>
          </w:p>
        </w:tc>
        <w:tc>
          <w:tcPr>
            <w:tcW w:w="840" w:type="dxa"/>
            <w:vAlign w:val="bottom"/>
            <w:shd w:val="clear" w:color="auto" w:fill="BFBFBF"/>
          </w:tcPr>
          <w:p>
            <w:pPr>
              <w:jc w:val="right"/>
              <w:ind w:right="12"/>
              <w:spacing w:after="0"/>
              <w:rPr>
                <w:sz w:val="20"/>
                <w:szCs w:val="20"/>
                <w:color w:val="auto"/>
              </w:rPr>
            </w:pPr>
            <w:r>
              <w:rPr>
                <w:rFonts w:ascii="Arial" w:cs="Arial" w:eastAsia="Arial" w:hAnsi="Arial"/>
                <w:sz w:val="14"/>
                <w:szCs w:val="14"/>
                <w:color w:val="auto"/>
              </w:rPr>
              <w:t>2,516,375</w:t>
            </w: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rPr>
                <w:sz w:val="20"/>
                <w:szCs w:val="20"/>
                <w:color w:val="auto"/>
              </w:rPr>
            </w:pPr>
            <w:r>
              <w:rPr>
                <w:rFonts w:ascii="Arial" w:cs="Arial" w:eastAsia="Arial" w:hAnsi="Arial"/>
                <w:sz w:val="14"/>
                <w:szCs w:val="14"/>
                <w:color w:val="auto"/>
              </w:rPr>
              <w:t>Bryan T. Ingram</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12/06/2016</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12/15/2016</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37,016</w:t>
            </w:r>
          </w:p>
        </w:tc>
        <w:tc>
          <w:tcPr>
            <w:tcW w:w="740" w:type="dxa"/>
            <w:vAlign w:val="bottom"/>
          </w:tcPr>
          <w:p>
            <w:pPr>
              <w:jc w:val="right"/>
              <w:spacing w:after="0"/>
              <w:rPr>
                <w:sz w:val="20"/>
                <w:szCs w:val="20"/>
                <w:color w:val="auto"/>
              </w:rPr>
            </w:pPr>
            <w:r>
              <w:rPr>
                <w:rFonts w:ascii="Arial" w:cs="Arial" w:eastAsia="Arial" w:hAnsi="Arial"/>
                <w:sz w:val="14"/>
                <w:szCs w:val="14"/>
                <w:color w:val="auto"/>
              </w:rPr>
              <w:t>592,250</w:t>
            </w:r>
          </w:p>
        </w:tc>
        <w:tc>
          <w:tcPr>
            <w:tcW w:w="760" w:type="dxa"/>
            <w:vAlign w:val="bottom"/>
          </w:tcPr>
          <w:p>
            <w:pPr>
              <w:jc w:val="right"/>
              <w:spacing w:after="0"/>
              <w:rPr>
                <w:sz w:val="20"/>
                <w:szCs w:val="20"/>
                <w:color w:val="auto"/>
              </w:rPr>
            </w:pPr>
            <w:r>
              <w:rPr>
                <w:rFonts w:ascii="Arial" w:cs="Arial" w:eastAsia="Arial" w:hAnsi="Arial"/>
                <w:sz w:val="14"/>
                <w:szCs w:val="14"/>
                <w:color w:val="auto"/>
              </w:rPr>
              <w:t>1,332,563</w:t>
            </w: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2"/>
            <w:vMerge w:val="restart"/>
          </w:tcPr>
          <w:p>
            <w:pPr>
              <w:jc w:val="right"/>
              <w:ind w:right="132"/>
              <w:spacing w:after="0"/>
              <w:rPr>
                <w:sz w:val="20"/>
                <w:szCs w:val="20"/>
                <w:color w:val="auto"/>
              </w:rPr>
            </w:pPr>
            <w:r>
              <w:rPr>
                <w:rFonts w:ascii="Arial" w:cs="Arial" w:eastAsia="Arial" w:hAnsi="Arial"/>
                <w:sz w:val="14"/>
                <w:szCs w:val="14"/>
                <w:color w:val="auto"/>
              </w:rPr>
              <w:t>5,000</w:t>
            </w:r>
          </w:p>
        </w:tc>
        <w:tc>
          <w:tcPr>
            <w:tcW w:w="840" w:type="dxa"/>
            <w:vAlign w:val="bottom"/>
            <w:vMerge w:val="restart"/>
          </w:tcPr>
          <w:p>
            <w:pPr>
              <w:jc w:val="right"/>
              <w:ind w:right="12"/>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3/3/2017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3/15/2017</w:t>
            </w: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1,562</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12,500</w:t>
            </w:r>
            <w:r>
              <w:rPr>
                <w:rFonts w:ascii="Arial" w:cs="Arial" w:eastAsia="Arial" w:hAnsi="Arial"/>
                <w:sz w:val="11"/>
                <w:szCs w:val="11"/>
                <w:color w:val="auto"/>
              </w:rPr>
              <w:t>(8)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3,773,750</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3/3/2017</w:t>
            </w:r>
          </w:p>
        </w:tc>
        <w:tc>
          <w:tcPr>
            <w:tcW w:w="900" w:type="dxa"/>
            <w:vAlign w:val="bottom"/>
          </w:tcPr>
          <w:p>
            <w:pPr>
              <w:jc w:val="right"/>
              <w:spacing w:after="0"/>
              <w:rPr>
                <w:sz w:val="20"/>
                <w:szCs w:val="20"/>
                <w:color w:val="auto"/>
              </w:rPr>
            </w:pPr>
            <w:r>
              <w:rPr>
                <w:rFonts w:ascii="Arial" w:cs="Arial" w:eastAsia="Arial" w:hAnsi="Arial"/>
                <w:sz w:val="14"/>
                <w:szCs w:val="14"/>
                <w:color w:val="auto"/>
              </w:rPr>
              <w:t>3/15/2017</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4"/>
                <w:szCs w:val="14"/>
                <w:color w:val="auto"/>
              </w:rPr>
              <w:t>12,500</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2,699,000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-2494915</wp:posOffset>
            </wp:positionV>
            <wp:extent cx="28644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77470</wp:posOffset>
            </wp:positionV>
            <wp:extent cx="13290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47" w:lineRule="exact"/>
        <w:rPr>
          <w:sz w:val="20"/>
          <w:szCs w:val="20"/>
          <w:color w:val="auto"/>
        </w:rPr>
      </w:pPr>
    </w:p>
    <w:p>
      <w:pPr>
        <w:ind w:left="520" w:right="120" w:hanging="316"/>
        <w:spacing w:after="0" w:line="24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approval date represents the date on which the award was approved by the Compensation Committee or the Independent Directors, as applicable. The grant date is the date on which the award became effective.</w:t>
      </w:r>
    </w:p>
    <w:p>
      <w:pPr>
        <w:ind w:left="520" w:right="60" w:hanging="316"/>
        <w:spacing w:after="0" w:line="24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estimated potential payouts under the APB Plan for Fiscal Year 2017. Target bonus amount for Fiscal Year 2017 were as follows: Mr. Tan 150%, Mr. Krause 75%, Dr. Kawwas 75%, Mr. Brazeal 60% and Mr. Ingram 100%, as a percentage of base salary. The threshold amount for Mr. Tan was 12.5% of his target bonus amount, calculated based on the achievement of a single corporate goal at 50% of the target for such goal and with the individual performance multiplier set at target 50%. The threshold amount for each of Messrs. Krause and Ingram was 6.25% of his target bonus amount, calculated based on the achievement of a single corporate or divisional goal at 25% of the target for such goal and with the individual performance multiplier set at target 50%. The threshold amount for Dr. Kawwas was 2.5% of his target bonus amount, calculated based on the achievement of a single corporate or divisional goal at 10% of the target for such goal and with the individual performance multiplier set at target 50%. The threshold amount for Mr. Brazeal was 3.75% of his target bonus amount, calculated based on the achievement of a single corporate or divisional goal at 15% of the target for such goal and with the individual performance multiplier set at target 50%. The maximum bonus payable was 225% of the target bonus amount for Mr. Tan, which assumes maximum (150%) performance for each corporate goal and with the individual performance multiplier set at 150%. The maximum bonus payable was 225% of the target bonus amount for Messrs. Krause, Brazeal and Ingram, and Dr. Kawwas, which assumes maximum (150%) performance for (i) each corporate goal and (ii) each divisional or functional goal and with the maximum individual performance multiplier set at 150%.</w:t>
      </w:r>
    </w:p>
    <w:p>
      <w:pPr>
        <w:spacing w:after="0" w:line="4" w:lineRule="exact"/>
        <w:rPr>
          <w:rFonts w:ascii="Arial" w:cs="Arial" w:eastAsia="Arial" w:hAnsi="Arial"/>
          <w:sz w:val="14"/>
          <w:szCs w:val="14"/>
          <w:color w:val="auto"/>
        </w:rPr>
      </w:pPr>
    </w:p>
    <w:p>
      <w:pPr>
        <w:ind w:left="520" w:right="120" w:hanging="316"/>
        <w:spacing w:after="0" w:line="24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service-based RSU awards, which vest at a rate of 25% per year on each anniversary of the grant date, subject to the NEO continued employment with us through the relevant vesting date.</w:t>
      </w:r>
    </w:p>
    <w:p>
      <w:pPr>
        <w:ind w:left="520" w:right="280" w:hanging="316"/>
        <w:spacing w:after="0" w:line="24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the grant date fair value of the equity awards, as determined in accordance with ASC 718. For a discussion of the valuation assumptions used in the calculations, see Note 2 to the Consolidated Financial Statements included in Part II, Item 8 of our Annual Report on Form 10-K filed with the SEC on December 21, 2017.</w:t>
      </w:r>
    </w:p>
    <w:p>
      <w:pPr>
        <w:spacing w:after="0" w:line="1" w:lineRule="exact"/>
        <w:rPr>
          <w:rFonts w:ascii="Arial" w:cs="Arial" w:eastAsia="Arial" w:hAnsi="Arial"/>
          <w:sz w:val="14"/>
          <w:szCs w:val="14"/>
          <w:color w:val="auto"/>
        </w:rPr>
      </w:pPr>
    </w:p>
    <w:p>
      <w:pPr>
        <w:ind w:left="520" w:right="260" w:hanging="316"/>
        <w:spacing w:after="0" w:line="258"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a service-based RSU granted to Mr. Tan in respect of a portion of his Fiscal Year 2016 APB Plan bonus payout amount, which vests at a rate of 25% per year on each anniversary of the grant date, subject to Mr. Tan’s continued employment with us through the relevant vesting date.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See footnote 6 to the “</w:t>
      </w:r>
      <w:r>
        <w:rPr>
          <w:rFonts w:ascii="Arial" w:cs="Arial" w:eastAsia="Arial" w:hAnsi="Arial"/>
          <w:sz w:val="14"/>
          <w:szCs w:val="14"/>
          <w:i w:val="1"/>
          <w:iCs w:val="1"/>
          <w:color w:val="auto"/>
        </w:rPr>
        <w:t>Fiscal Year 2017 Outstanding Equity Awards at Fiscal Year-End Table</w:t>
      </w:r>
      <w:r>
        <w:rPr>
          <w:rFonts w:ascii="Arial" w:cs="Arial" w:eastAsia="Arial" w:hAnsi="Arial"/>
          <w:sz w:val="14"/>
          <w:szCs w:val="14"/>
          <w:color w:val="auto"/>
        </w:rPr>
        <w:t>” for details of the vesting of this PSU award.</w:t>
      </w:r>
    </w:p>
    <w:p>
      <w:pPr>
        <w:spacing w:after="0" w:line="15" w:lineRule="exact"/>
        <w:rPr>
          <w:rFonts w:ascii="Arial" w:cs="Arial" w:eastAsia="Arial" w:hAnsi="Arial"/>
          <w:sz w:val="14"/>
          <w:szCs w:val="14"/>
          <w:color w:val="auto"/>
        </w:rPr>
      </w:pPr>
    </w:p>
    <w:p>
      <w:pPr>
        <w:ind w:left="520" w:right="40" w:hanging="316"/>
        <w:spacing w:after="0" w:line="24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a PSU award, which is scheduled to vest at a rate of 25% per year on each anniversary of the grant date, subject to the satisfaction of a share price contingency (set at the grant date) and the NEO’s continued employment with us through the relevant vesting dates. The share price contingency provided that the ordinary shares subject to the PSU award will vest only if the average closing price per share of our ordinary shares over a 20 consecutive trading day period equals or exceeds 120% of the fair market value of an ordinary share on the grant date. If this share price contingency is met on or prior to the fourth anniversary of the grant date, then all of the ordinary shares have the potential to vest (assuming continued service). As a result, the threshold, target and maximum amounts are the same. The share price contingency for this PSU award has been met.</w:t>
      </w:r>
    </w:p>
    <w:p>
      <w:pPr>
        <w:spacing w:after="0" w:line="2" w:lineRule="exact"/>
        <w:rPr>
          <w:rFonts w:ascii="Arial" w:cs="Arial" w:eastAsia="Arial" w:hAnsi="Arial"/>
          <w:sz w:val="14"/>
          <w:szCs w:val="14"/>
          <w:color w:val="auto"/>
        </w:rPr>
      </w:pPr>
    </w:p>
    <w:p>
      <w:pPr>
        <w:ind w:left="520" w:right="40" w:hanging="316"/>
        <w:spacing w:after="0" w:line="244"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a PSU award that will vest at a rate of 25% per year on the later of (i) each anniversary of the grant date and (ii) the last day of the performance period, subject to the NEO’s continued employment with us through the relevant vesting date and subject to the achievement of specified performance goals over each performance period, as determined by the Compensation Committee within 60 days following the end of each performance period. The performance criteria is based on our Relative TSR over four performance periods beginning on the grant date and ending on each of March 14 of 2018, 2019, 2020 and 2021. The number of ordinary shares that may be earned is capped at one-quarter of the target number of ordinary shares for each of the first three performance periods. In the aggregate, the NEO may earn up to 200% of the total target number of ordinary shares subject to the PSU award, if at the end of the fourth performance period our Relative TSR is at or above the 75th percentile of the S&amp;P 500 and our absolute TSR is not negative. If the minimum performance goals are not met, no ordinary shares will be issued and this award will be cancelled.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Fiscal Year 2017 Outstanding Equity Awards at Fiscal Year-End Table</w:t>
      </w:r>
    </w:p>
    <w:p>
      <w:pPr>
        <w:spacing w:after="0" w:line="99"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The following table sets forth information about share options and RSU awards outstanding on October 29, 2017, the last day of Fiscal Year 2017, held by each of our NEOs.</w:t>
      </w:r>
    </w:p>
    <w:p>
      <w:pPr>
        <w:spacing w:after="0" w:line="70" w:lineRule="exact"/>
        <w:rPr>
          <w:sz w:val="20"/>
          <w:szCs w:val="20"/>
          <w:color w:val="auto"/>
        </w:rPr>
      </w:pPr>
    </w:p>
    <w:tbl>
      <w:tblPr>
        <w:tblLayout w:type="fixed"/>
        <w:tblInd w:w="220" w:type="dxa"/>
        <w:tblCellMar>
          <w:top w:w="0" w:type="dxa"/>
          <w:left w:w="0" w:type="dxa"/>
          <w:bottom w:w="0" w:type="dxa"/>
          <w:right w:w="0" w:type="dxa"/>
        </w:tblCellMar>
      </w:tblPr>
      <w:tr>
        <w:trPr>
          <w:trHeight w:val="276"/>
        </w:trPr>
        <w:tc>
          <w:tcPr>
            <w:tcW w:w="3760" w:type="dxa"/>
            <w:vAlign w:val="bottom"/>
            <w:shd w:val="clear" w:color="auto" w:fill="7F7F7F"/>
          </w:tcPr>
          <w:p>
            <w:pPr>
              <w:spacing w:after="0"/>
              <w:rPr>
                <w:sz w:val="23"/>
                <w:szCs w:val="23"/>
                <w:color w:val="auto"/>
              </w:rPr>
            </w:pPr>
          </w:p>
        </w:tc>
        <w:tc>
          <w:tcPr>
            <w:tcW w:w="840" w:type="dxa"/>
            <w:vAlign w:val="bottom"/>
            <w:shd w:val="clear" w:color="auto" w:fill="7F7F7F"/>
          </w:tcPr>
          <w:p>
            <w:pPr>
              <w:spacing w:after="0"/>
              <w:rPr>
                <w:sz w:val="23"/>
                <w:szCs w:val="23"/>
                <w:color w:val="auto"/>
              </w:rPr>
            </w:pPr>
          </w:p>
        </w:tc>
        <w:tc>
          <w:tcPr>
            <w:tcW w:w="960" w:type="dxa"/>
            <w:vAlign w:val="bottom"/>
            <w:shd w:val="clear" w:color="auto" w:fill="7F7F7F"/>
          </w:tcPr>
          <w:p>
            <w:pPr>
              <w:spacing w:after="0"/>
              <w:rPr>
                <w:sz w:val="23"/>
                <w:szCs w:val="23"/>
                <w:color w:val="auto"/>
              </w:rPr>
            </w:pPr>
          </w:p>
        </w:tc>
        <w:tc>
          <w:tcPr>
            <w:tcW w:w="1660" w:type="dxa"/>
            <w:vAlign w:val="bottom"/>
            <w:gridSpan w:val="2"/>
            <w:shd w:val="clear" w:color="auto" w:fill="7F7F7F"/>
          </w:tcPr>
          <w:p>
            <w:pPr>
              <w:jc w:val="right"/>
              <w:ind w:right="237"/>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24"/>
                <w:szCs w:val="24"/>
                <w:b w:val="1"/>
                <w:bCs w:val="1"/>
                <w:color w:val="FFFFFF"/>
                <w:vertAlign w:val="superscript"/>
              </w:rPr>
              <w:t>(1)</w:t>
            </w:r>
          </w:p>
        </w:tc>
        <w:tc>
          <w:tcPr>
            <w:tcW w:w="720" w:type="dxa"/>
            <w:vAlign w:val="bottom"/>
            <w:shd w:val="clear" w:color="auto" w:fill="7F7F7F"/>
          </w:tcPr>
          <w:p>
            <w:pPr>
              <w:spacing w:after="0"/>
              <w:rPr>
                <w:sz w:val="23"/>
                <w:szCs w:val="23"/>
                <w:color w:val="auto"/>
              </w:rPr>
            </w:pPr>
          </w:p>
        </w:tc>
        <w:tc>
          <w:tcPr>
            <w:tcW w:w="3080" w:type="dxa"/>
            <w:vAlign w:val="bottom"/>
            <w:gridSpan w:val="4"/>
            <w:shd w:val="clear" w:color="auto" w:fill="7F7F7F"/>
          </w:tcPr>
          <w:p>
            <w:pPr>
              <w:jc w:val="right"/>
              <w:ind w:right="417"/>
              <w:spacing w:after="0"/>
              <w:rPr>
                <w:sz w:val="20"/>
                <w:szCs w:val="20"/>
                <w:color w:val="auto"/>
              </w:rPr>
            </w:pPr>
            <w:r>
              <w:rPr>
                <w:rFonts w:ascii="Arial" w:cs="Arial" w:eastAsia="Arial" w:hAnsi="Arial"/>
                <w:sz w:val="14"/>
                <w:szCs w:val="14"/>
                <w:b w:val="1"/>
                <w:bCs w:val="1"/>
                <w:color w:val="FFFFFF"/>
              </w:rPr>
              <w:t>Restricted Share Unit Awards</w:t>
            </w:r>
            <w:r>
              <w:rPr>
                <w:rFonts w:ascii="Arial" w:cs="Arial" w:eastAsia="Arial" w:hAnsi="Arial"/>
                <w:sz w:val="24"/>
                <w:szCs w:val="24"/>
                <w:b w:val="1"/>
                <w:bCs w:val="1"/>
                <w:color w:val="FFFFFF"/>
                <w:vertAlign w:val="superscript"/>
              </w:rPr>
              <w:t>(1)</w:t>
            </w:r>
          </w:p>
        </w:tc>
        <w:tc>
          <w:tcPr>
            <w:tcW w:w="0" w:type="dxa"/>
            <w:vAlign w:val="bottom"/>
          </w:tcPr>
          <w:p>
            <w:pPr>
              <w:spacing w:after="0"/>
              <w:rPr>
                <w:sz w:val="1"/>
                <w:szCs w:val="1"/>
                <w:color w:val="auto"/>
              </w:rPr>
            </w:pPr>
          </w:p>
        </w:tc>
      </w:tr>
      <w:tr>
        <w:trPr>
          <w:trHeight w:val="127"/>
        </w:trPr>
        <w:tc>
          <w:tcPr>
            <w:tcW w:w="376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60" w:type="dxa"/>
            <w:vAlign w:val="bottom"/>
            <w:shd w:val="clear" w:color="auto" w:fill="7F7F7F"/>
          </w:tcPr>
          <w:p>
            <w:pPr>
              <w:spacing w:after="0"/>
              <w:rPr>
                <w:sz w:val="11"/>
                <w:szCs w:val="11"/>
                <w:color w:val="auto"/>
              </w:rPr>
            </w:pPr>
          </w:p>
        </w:tc>
        <w:tc>
          <w:tcPr>
            <w:tcW w:w="1020" w:type="dxa"/>
            <w:vAlign w:val="bottom"/>
            <w:shd w:val="clear" w:color="auto" w:fill="7F7F7F"/>
          </w:tcPr>
          <w:p>
            <w:pPr>
              <w:spacing w:after="0"/>
              <w:rPr>
                <w:sz w:val="11"/>
                <w:szCs w:val="11"/>
                <w:color w:val="auto"/>
              </w:rPr>
            </w:pPr>
          </w:p>
        </w:tc>
        <w:tc>
          <w:tcPr>
            <w:tcW w:w="640" w:type="dxa"/>
            <w:vAlign w:val="bottom"/>
            <w:shd w:val="clear" w:color="auto" w:fill="7F7F7F"/>
          </w:tcPr>
          <w:p>
            <w:pPr>
              <w:spacing w:after="0"/>
              <w:rPr>
                <w:sz w:val="11"/>
                <w:szCs w:val="11"/>
                <w:color w:val="auto"/>
              </w:rPr>
            </w:pPr>
          </w:p>
        </w:tc>
        <w:tc>
          <w:tcPr>
            <w:tcW w:w="720" w:type="dxa"/>
            <w:vAlign w:val="bottom"/>
            <w:shd w:val="clear" w:color="auto" w:fill="7F7F7F"/>
          </w:tcPr>
          <w:p>
            <w:pPr>
              <w:spacing w:after="0"/>
              <w:rPr>
                <w:sz w:val="11"/>
                <w:szCs w:val="11"/>
                <w:color w:val="auto"/>
              </w:rPr>
            </w:pPr>
          </w:p>
        </w:tc>
        <w:tc>
          <w:tcPr>
            <w:tcW w:w="740" w:type="dxa"/>
            <w:vAlign w:val="bottom"/>
            <w:shd w:val="clear" w:color="auto" w:fill="7F7F7F"/>
          </w:tcPr>
          <w:p>
            <w:pPr>
              <w:spacing w:after="0"/>
              <w:rPr>
                <w:sz w:val="11"/>
                <w:szCs w:val="11"/>
                <w:color w:val="auto"/>
              </w:rPr>
            </w:pPr>
          </w:p>
        </w:tc>
        <w:tc>
          <w:tcPr>
            <w:tcW w:w="720" w:type="dxa"/>
            <w:vAlign w:val="bottom"/>
            <w:shd w:val="clear" w:color="auto" w:fill="7F7F7F"/>
          </w:tcPr>
          <w:p>
            <w:pPr>
              <w:spacing w:after="0"/>
              <w:rPr>
                <w:sz w:val="11"/>
                <w:szCs w:val="11"/>
                <w:color w:val="auto"/>
              </w:rPr>
            </w:pPr>
          </w:p>
        </w:tc>
        <w:tc>
          <w:tcPr>
            <w:tcW w:w="780" w:type="dxa"/>
            <w:vAlign w:val="bottom"/>
            <w:shd w:val="clear" w:color="auto" w:fill="7F7F7F"/>
          </w:tcPr>
          <w:p>
            <w:pPr>
              <w:jc w:val="center"/>
              <w:spacing w:after="0" w:line="127" w:lineRule="exact"/>
              <w:rPr>
                <w:sz w:val="20"/>
                <w:szCs w:val="20"/>
                <w:color w:val="auto"/>
              </w:rPr>
            </w:pPr>
            <w:r>
              <w:rPr>
                <w:rFonts w:ascii="Arial" w:cs="Arial" w:eastAsia="Arial" w:hAnsi="Arial"/>
                <w:sz w:val="13"/>
                <w:szCs w:val="13"/>
                <w:b w:val="1"/>
                <w:bCs w:val="1"/>
                <w:color w:val="FFFFFF"/>
              </w:rPr>
              <w:t>Equity</w:t>
            </w:r>
          </w:p>
        </w:tc>
        <w:tc>
          <w:tcPr>
            <w:tcW w:w="840" w:type="dxa"/>
            <w:vAlign w:val="bottom"/>
            <w:shd w:val="clear" w:color="auto" w:fill="7F7F7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60" w:type="dxa"/>
            <w:vAlign w:val="bottom"/>
            <w:shd w:val="clear" w:color="auto" w:fill="7F7F7F"/>
          </w:tcPr>
          <w:p>
            <w:pPr>
              <w:spacing w:after="0"/>
              <w:rPr>
                <w:sz w:val="11"/>
                <w:szCs w:val="11"/>
                <w:color w:val="auto"/>
              </w:rPr>
            </w:pPr>
          </w:p>
        </w:tc>
        <w:tc>
          <w:tcPr>
            <w:tcW w:w="1020" w:type="dxa"/>
            <w:vAlign w:val="bottom"/>
            <w:shd w:val="clear" w:color="auto" w:fill="7F7F7F"/>
          </w:tcPr>
          <w:p>
            <w:pPr>
              <w:spacing w:after="0"/>
              <w:rPr>
                <w:sz w:val="11"/>
                <w:szCs w:val="11"/>
                <w:color w:val="auto"/>
              </w:rPr>
            </w:pPr>
          </w:p>
        </w:tc>
        <w:tc>
          <w:tcPr>
            <w:tcW w:w="640" w:type="dxa"/>
            <w:vAlign w:val="bottom"/>
            <w:shd w:val="clear" w:color="auto" w:fill="7F7F7F"/>
          </w:tcPr>
          <w:p>
            <w:pPr>
              <w:spacing w:after="0"/>
              <w:rPr>
                <w:sz w:val="11"/>
                <w:szCs w:val="11"/>
                <w:color w:val="auto"/>
              </w:rPr>
            </w:pPr>
          </w:p>
        </w:tc>
        <w:tc>
          <w:tcPr>
            <w:tcW w:w="720" w:type="dxa"/>
            <w:vAlign w:val="bottom"/>
            <w:shd w:val="clear" w:color="auto" w:fill="7F7F7F"/>
          </w:tcPr>
          <w:p>
            <w:pPr>
              <w:spacing w:after="0"/>
              <w:rPr>
                <w:sz w:val="11"/>
                <w:szCs w:val="11"/>
                <w:color w:val="auto"/>
              </w:rPr>
            </w:pPr>
          </w:p>
        </w:tc>
        <w:tc>
          <w:tcPr>
            <w:tcW w:w="740" w:type="dxa"/>
            <w:vAlign w:val="bottom"/>
            <w:shd w:val="clear" w:color="auto" w:fill="7F7F7F"/>
          </w:tcPr>
          <w:p>
            <w:pPr>
              <w:spacing w:after="0"/>
              <w:rPr>
                <w:sz w:val="11"/>
                <w:szCs w:val="11"/>
                <w:color w:val="auto"/>
              </w:rPr>
            </w:pPr>
          </w:p>
        </w:tc>
        <w:tc>
          <w:tcPr>
            <w:tcW w:w="720" w:type="dxa"/>
            <w:vAlign w:val="bottom"/>
            <w:shd w:val="clear" w:color="auto" w:fill="7F7F7F"/>
          </w:tcPr>
          <w:p>
            <w:pPr>
              <w:spacing w:after="0"/>
              <w:rPr>
                <w:sz w:val="11"/>
                <w:szCs w:val="11"/>
                <w:color w:val="auto"/>
              </w:rPr>
            </w:pPr>
          </w:p>
        </w:tc>
        <w:tc>
          <w:tcPr>
            <w:tcW w:w="78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9"/>
              </w:rPr>
              <w:t>Incentive</w:t>
            </w:r>
          </w:p>
        </w:tc>
        <w:tc>
          <w:tcPr>
            <w:tcW w:w="840" w:type="dxa"/>
            <w:vAlign w:val="bottom"/>
            <w:shd w:val="clear" w:color="auto" w:fill="7F7F7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60" w:type="dxa"/>
            <w:vAlign w:val="bottom"/>
            <w:shd w:val="clear" w:color="auto" w:fill="7F7F7F"/>
          </w:tcPr>
          <w:p>
            <w:pPr>
              <w:spacing w:after="0"/>
              <w:rPr>
                <w:sz w:val="11"/>
                <w:szCs w:val="11"/>
                <w:color w:val="auto"/>
              </w:rPr>
            </w:pPr>
          </w:p>
        </w:tc>
        <w:tc>
          <w:tcPr>
            <w:tcW w:w="1020" w:type="dxa"/>
            <w:vAlign w:val="bottom"/>
            <w:shd w:val="clear" w:color="auto" w:fill="7F7F7F"/>
          </w:tcPr>
          <w:p>
            <w:pPr>
              <w:spacing w:after="0"/>
              <w:rPr>
                <w:sz w:val="11"/>
                <w:szCs w:val="11"/>
                <w:color w:val="auto"/>
              </w:rPr>
            </w:pPr>
          </w:p>
        </w:tc>
        <w:tc>
          <w:tcPr>
            <w:tcW w:w="640" w:type="dxa"/>
            <w:vAlign w:val="bottom"/>
            <w:shd w:val="clear" w:color="auto" w:fill="7F7F7F"/>
          </w:tcPr>
          <w:p>
            <w:pPr>
              <w:spacing w:after="0"/>
              <w:rPr>
                <w:sz w:val="11"/>
                <w:szCs w:val="11"/>
                <w:color w:val="auto"/>
              </w:rPr>
            </w:pPr>
          </w:p>
        </w:tc>
        <w:tc>
          <w:tcPr>
            <w:tcW w:w="720" w:type="dxa"/>
            <w:vAlign w:val="bottom"/>
            <w:shd w:val="clear" w:color="auto" w:fill="7F7F7F"/>
          </w:tcPr>
          <w:p>
            <w:pPr>
              <w:spacing w:after="0"/>
              <w:rPr>
                <w:sz w:val="11"/>
                <w:szCs w:val="11"/>
                <w:color w:val="auto"/>
              </w:rPr>
            </w:pPr>
          </w:p>
        </w:tc>
        <w:tc>
          <w:tcPr>
            <w:tcW w:w="740" w:type="dxa"/>
            <w:vAlign w:val="bottom"/>
            <w:shd w:val="clear" w:color="auto" w:fill="7F7F7F"/>
          </w:tcPr>
          <w:p>
            <w:pPr>
              <w:spacing w:after="0"/>
              <w:rPr>
                <w:sz w:val="11"/>
                <w:szCs w:val="11"/>
                <w:color w:val="auto"/>
              </w:rPr>
            </w:pPr>
          </w:p>
        </w:tc>
        <w:tc>
          <w:tcPr>
            <w:tcW w:w="7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Market</w:t>
            </w:r>
          </w:p>
        </w:tc>
        <w:tc>
          <w:tcPr>
            <w:tcW w:w="78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rPr>
              <w:t>Plan</w:t>
            </w:r>
          </w:p>
        </w:tc>
        <w:tc>
          <w:tcPr>
            <w:tcW w:w="840" w:type="dxa"/>
            <w:vAlign w:val="bottom"/>
            <w:vMerge w:val="restart"/>
            <w:shd w:val="clear" w:color="auto" w:fill="7F7F7F"/>
          </w:tcPr>
          <w:p>
            <w:pPr>
              <w:jc w:val="center"/>
              <w:ind w:right="17"/>
              <w:spacing w:after="0"/>
              <w:rPr>
                <w:sz w:val="20"/>
                <w:szCs w:val="20"/>
                <w:color w:val="auto"/>
              </w:rPr>
            </w:pPr>
            <w:r>
              <w:rPr>
                <w:rFonts w:ascii="Arial" w:cs="Arial" w:eastAsia="Arial" w:hAnsi="Arial"/>
                <w:sz w:val="13"/>
                <w:szCs w:val="13"/>
                <w:b w:val="1"/>
                <w:bCs w:val="1"/>
                <w:color w:val="FFFFFF"/>
                <w:w w:val="95"/>
              </w:rPr>
              <w:t>Market</w:t>
            </w:r>
          </w:p>
        </w:tc>
        <w:tc>
          <w:tcPr>
            <w:tcW w:w="0" w:type="dxa"/>
            <w:vAlign w:val="bottom"/>
          </w:tcPr>
          <w:p>
            <w:pPr>
              <w:spacing w:after="0"/>
              <w:rPr>
                <w:sz w:val="1"/>
                <w:szCs w:val="1"/>
                <w:color w:val="auto"/>
              </w:rPr>
            </w:pPr>
          </w:p>
        </w:tc>
      </w:tr>
      <w:tr>
        <w:trPr>
          <w:trHeight w:val="130"/>
        </w:trPr>
        <w:tc>
          <w:tcPr>
            <w:tcW w:w="376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60" w:type="dxa"/>
            <w:vAlign w:val="bottom"/>
            <w:shd w:val="clear" w:color="auto" w:fill="7F7F7F"/>
          </w:tcPr>
          <w:p>
            <w:pPr>
              <w:spacing w:after="0"/>
              <w:rPr>
                <w:sz w:val="11"/>
                <w:szCs w:val="11"/>
                <w:color w:val="auto"/>
              </w:rPr>
            </w:pPr>
          </w:p>
        </w:tc>
        <w:tc>
          <w:tcPr>
            <w:tcW w:w="1020" w:type="dxa"/>
            <w:vAlign w:val="bottom"/>
            <w:shd w:val="clear" w:color="auto" w:fill="7F7F7F"/>
          </w:tcPr>
          <w:p>
            <w:pPr>
              <w:spacing w:after="0"/>
              <w:rPr>
                <w:sz w:val="11"/>
                <w:szCs w:val="11"/>
                <w:color w:val="auto"/>
              </w:rPr>
            </w:pPr>
          </w:p>
        </w:tc>
        <w:tc>
          <w:tcPr>
            <w:tcW w:w="640" w:type="dxa"/>
            <w:vAlign w:val="bottom"/>
            <w:shd w:val="clear" w:color="auto" w:fill="7F7F7F"/>
          </w:tcPr>
          <w:p>
            <w:pPr>
              <w:spacing w:after="0"/>
              <w:rPr>
                <w:sz w:val="11"/>
                <w:szCs w:val="11"/>
                <w:color w:val="auto"/>
              </w:rPr>
            </w:pPr>
          </w:p>
        </w:tc>
        <w:tc>
          <w:tcPr>
            <w:tcW w:w="720" w:type="dxa"/>
            <w:vAlign w:val="bottom"/>
            <w:shd w:val="clear" w:color="auto" w:fill="7F7F7F"/>
          </w:tcPr>
          <w:p>
            <w:pPr>
              <w:spacing w:after="0"/>
              <w:rPr>
                <w:sz w:val="11"/>
                <w:szCs w:val="11"/>
                <w:color w:val="auto"/>
              </w:rPr>
            </w:pPr>
          </w:p>
        </w:tc>
        <w:tc>
          <w:tcPr>
            <w:tcW w:w="740" w:type="dxa"/>
            <w:vAlign w:val="bottom"/>
            <w:shd w:val="clear" w:color="auto" w:fill="7F7F7F"/>
          </w:tcPr>
          <w:p>
            <w:pPr>
              <w:spacing w:after="0"/>
              <w:rPr>
                <w:sz w:val="11"/>
                <w:szCs w:val="11"/>
                <w:color w:val="auto"/>
              </w:rPr>
            </w:pPr>
          </w:p>
        </w:tc>
        <w:tc>
          <w:tcPr>
            <w:tcW w:w="720" w:type="dxa"/>
            <w:vAlign w:val="bottom"/>
            <w:shd w:val="clear" w:color="auto" w:fill="7F7F7F"/>
          </w:tcPr>
          <w:p>
            <w:pPr>
              <w:jc w:val="center"/>
              <w:spacing w:after="0" w:line="130" w:lineRule="exact"/>
              <w:rPr>
                <w:sz w:val="20"/>
                <w:szCs w:val="20"/>
                <w:color w:val="auto"/>
              </w:rPr>
            </w:pPr>
            <w:r>
              <w:rPr>
                <w:rFonts w:ascii="Arial" w:cs="Arial" w:eastAsia="Arial" w:hAnsi="Arial"/>
                <w:sz w:val="13"/>
                <w:szCs w:val="13"/>
                <w:b w:val="1"/>
                <w:bCs w:val="1"/>
                <w:color w:val="FFFFFF"/>
                <w:w w:val="94"/>
              </w:rPr>
              <w:t>Value of</w:t>
            </w:r>
          </w:p>
        </w:tc>
        <w:tc>
          <w:tcPr>
            <w:tcW w:w="780" w:type="dxa"/>
            <w:vAlign w:val="bottom"/>
            <w:shd w:val="clear" w:color="auto" w:fill="7F7F7F"/>
          </w:tcPr>
          <w:p>
            <w:pPr>
              <w:jc w:val="center"/>
              <w:spacing w:after="0" w:line="130" w:lineRule="exact"/>
              <w:rPr>
                <w:sz w:val="20"/>
                <w:szCs w:val="20"/>
                <w:color w:val="auto"/>
              </w:rPr>
            </w:pPr>
            <w:r>
              <w:rPr>
                <w:rFonts w:ascii="Arial" w:cs="Arial" w:eastAsia="Arial" w:hAnsi="Arial"/>
                <w:sz w:val="13"/>
                <w:szCs w:val="13"/>
                <w:b w:val="1"/>
                <w:bCs w:val="1"/>
                <w:color w:val="FFFFFF"/>
                <w:w w:val="93"/>
              </w:rPr>
              <w:t>Awards:</w:t>
            </w:r>
          </w:p>
        </w:tc>
        <w:tc>
          <w:tcPr>
            <w:tcW w:w="840" w:type="dxa"/>
            <w:vAlign w:val="bottom"/>
            <w:vMerge w:val="continue"/>
            <w:shd w:val="clear" w:color="auto" w:fill="7F7F7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60" w:type="dxa"/>
            <w:vAlign w:val="bottom"/>
            <w:shd w:val="clear" w:color="auto" w:fill="7F7F7F"/>
          </w:tcPr>
          <w:p>
            <w:pPr>
              <w:spacing w:after="0"/>
              <w:rPr>
                <w:sz w:val="11"/>
                <w:szCs w:val="11"/>
                <w:color w:val="auto"/>
              </w:rPr>
            </w:pPr>
          </w:p>
        </w:tc>
        <w:tc>
          <w:tcPr>
            <w:tcW w:w="1020" w:type="dxa"/>
            <w:vAlign w:val="bottom"/>
            <w:shd w:val="clear" w:color="auto" w:fill="7F7F7F"/>
          </w:tcPr>
          <w:p>
            <w:pPr>
              <w:spacing w:after="0"/>
              <w:rPr>
                <w:sz w:val="11"/>
                <w:szCs w:val="11"/>
                <w:color w:val="auto"/>
              </w:rPr>
            </w:pPr>
          </w:p>
        </w:tc>
        <w:tc>
          <w:tcPr>
            <w:tcW w:w="640" w:type="dxa"/>
            <w:vAlign w:val="bottom"/>
            <w:shd w:val="clear" w:color="auto" w:fill="7F7F7F"/>
          </w:tcPr>
          <w:p>
            <w:pPr>
              <w:spacing w:after="0"/>
              <w:rPr>
                <w:sz w:val="11"/>
                <w:szCs w:val="11"/>
                <w:color w:val="auto"/>
              </w:rPr>
            </w:pPr>
          </w:p>
        </w:tc>
        <w:tc>
          <w:tcPr>
            <w:tcW w:w="720" w:type="dxa"/>
            <w:vAlign w:val="bottom"/>
            <w:shd w:val="clear" w:color="auto" w:fill="7F7F7F"/>
          </w:tcPr>
          <w:p>
            <w:pPr>
              <w:spacing w:after="0"/>
              <w:rPr>
                <w:sz w:val="11"/>
                <w:szCs w:val="11"/>
                <w:color w:val="auto"/>
              </w:rPr>
            </w:pPr>
          </w:p>
        </w:tc>
        <w:tc>
          <w:tcPr>
            <w:tcW w:w="7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7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78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840" w:type="dxa"/>
            <w:vAlign w:val="bottom"/>
            <w:shd w:val="clear" w:color="auto" w:fill="7F7F7F"/>
          </w:tcPr>
          <w:p>
            <w:pPr>
              <w:jc w:val="center"/>
              <w:ind w:right="17"/>
              <w:spacing w:after="0" w:line="135" w:lineRule="exact"/>
              <w:rPr>
                <w:sz w:val="20"/>
                <w:szCs w:val="20"/>
                <w:color w:val="auto"/>
              </w:rPr>
            </w:pPr>
            <w:r>
              <w:rPr>
                <w:rFonts w:ascii="Arial" w:cs="Arial" w:eastAsia="Arial" w:hAnsi="Arial"/>
                <w:sz w:val="13"/>
                <w:szCs w:val="13"/>
                <w:b w:val="1"/>
                <w:bCs w:val="1"/>
                <w:color w:val="FFFFFF"/>
                <w:w w:val="94"/>
              </w:rPr>
              <w:t>Value of</w:t>
            </w:r>
          </w:p>
        </w:tc>
        <w:tc>
          <w:tcPr>
            <w:tcW w:w="0" w:type="dxa"/>
            <w:vAlign w:val="bottom"/>
          </w:tcPr>
          <w:p>
            <w:pPr>
              <w:spacing w:after="0"/>
              <w:rPr>
                <w:sz w:val="1"/>
                <w:szCs w:val="1"/>
                <w:color w:val="auto"/>
              </w:rPr>
            </w:pPr>
          </w:p>
        </w:tc>
      </w:tr>
      <w:tr>
        <w:trPr>
          <w:trHeight w:val="135"/>
        </w:trPr>
        <w:tc>
          <w:tcPr>
            <w:tcW w:w="376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60" w:type="dxa"/>
            <w:vAlign w:val="bottom"/>
            <w:shd w:val="clear" w:color="auto" w:fill="7F7F7F"/>
          </w:tcPr>
          <w:p>
            <w:pPr>
              <w:jc w:val="center"/>
              <w:ind w:left="117"/>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0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640" w:type="dxa"/>
            <w:vAlign w:val="bottom"/>
            <w:shd w:val="clear" w:color="auto" w:fill="7F7F7F"/>
          </w:tcPr>
          <w:p>
            <w:pPr>
              <w:spacing w:after="0"/>
              <w:rPr>
                <w:sz w:val="11"/>
                <w:szCs w:val="11"/>
                <w:color w:val="auto"/>
              </w:rPr>
            </w:pPr>
          </w:p>
        </w:tc>
        <w:tc>
          <w:tcPr>
            <w:tcW w:w="720" w:type="dxa"/>
            <w:vAlign w:val="bottom"/>
            <w:shd w:val="clear" w:color="auto" w:fill="7F7F7F"/>
          </w:tcPr>
          <w:p>
            <w:pPr>
              <w:spacing w:after="0"/>
              <w:rPr>
                <w:sz w:val="11"/>
                <w:szCs w:val="11"/>
                <w:color w:val="auto"/>
              </w:rPr>
            </w:pPr>
          </w:p>
        </w:tc>
        <w:tc>
          <w:tcPr>
            <w:tcW w:w="7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7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9"/>
              </w:rPr>
              <w:t>Units of</w:t>
            </w:r>
          </w:p>
        </w:tc>
        <w:tc>
          <w:tcPr>
            <w:tcW w:w="78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8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0" w:type="dxa"/>
            <w:vAlign w:val="bottom"/>
          </w:tcPr>
          <w:p>
            <w:pPr>
              <w:spacing w:after="0"/>
              <w:rPr>
                <w:sz w:val="1"/>
                <w:szCs w:val="1"/>
                <w:color w:val="auto"/>
              </w:rPr>
            </w:pPr>
          </w:p>
        </w:tc>
      </w:tr>
      <w:tr>
        <w:trPr>
          <w:trHeight w:val="135"/>
        </w:trPr>
        <w:tc>
          <w:tcPr>
            <w:tcW w:w="376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60" w:type="dxa"/>
            <w:vAlign w:val="bottom"/>
            <w:shd w:val="clear" w:color="auto" w:fill="7F7F7F"/>
          </w:tcPr>
          <w:p>
            <w:pPr>
              <w:jc w:val="center"/>
              <w:ind w:left="117"/>
              <w:spacing w:after="0" w:line="135" w:lineRule="exact"/>
              <w:rPr>
                <w:sz w:val="20"/>
                <w:szCs w:val="20"/>
                <w:color w:val="auto"/>
              </w:rPr>
            </w:pPr>
            <w:r>
              <w:rPr>
                <w:rFonts w:ascii="Arial" w:cs="Arial" w:eastAsia="Arial" w:hAnsi="Arial"/>
                <w:sz w:val="13"/>
                <w:szCs w:val="13"/>
                <w:b w:val="1"/>
                <w:bCs w:val="1"/>
                <w:color w:val="FFFFFF"/>
                <w:w w:val="99"/>
              </w:rPr>
              <w:t>Securities</w:t>
            </w:r>
          </w:p>
        </w:tc>
        <w:tc>
          <w:tcPr>
            <w:tcW w:w="10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640" w:type="dxa"/>
            <w:vAlign w:val="bottom"/>
            <w:shd w:val="clear" w:color="auto" w:fill="7F7F7F"/>
          </w:tcPr>
          <w:p>
            <w:pPr>
              <w:spacing w:after="0"/>
              <w:rPr>
                <w:sz w:val="11"/>
                <w:szCs w:val="11"/>
                <w:color w:val="auto"/>
              </w:rPr>
            </w:pPr>
          </w:p>
        </w:tc>
        <w:tc>
          <w:tcPr>
            <w:tcW w:w="720" w:type="dxa"/>
            <w:vAlign w:val="bottom"/>
            <w:shd w:val="clear" w:color="auto" w:fill="7F7F7F"/>
          </w:tcPr>
          <w:p>
            <w:pPr>
              <w:spacing w:after="0"/>
              <w:rPr>
                <w:sz w:val="11"/>
                <w:szCs w:val="11"/>
                <w:color w:val="auto"/>
              </w:rPr>
            </w:pPr>
          </w:p>
        </w:tc>
        <w:tc>
          <w:tcPr>
            <w:tcW w:w="7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4"/>
              </w:rPr>
              <w:t>Units of</w:t>
            </w:r>
          </w:p>
        </w:tc>
        <w:tc>
          <w:tcPr>
            <w:tcW w:w="7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78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8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4"/>
              </w:rPr>
              <w:t>Units of</w:t>
            </w:r>
          </w:p>
        </w:tc>
        <w:tc>
          <w:tcPr>
            <w:tcW w:w="0" w:type="dxa"/>
            <w:vAlign w:val="bottom"/>
          </w:tcPr>
          <w:p>
            <w:pPr>
              <w:spacing w:after="0"/>
              <w:rPr>
                <w:sz w:val="1"/>
                <w:szCs w:val="1"/>
                <w:color w:val="auto"/>
              </w:rPr>
            </w:pPr>
          </w:p>
        </w:tc>
      </w:tr>
      <w:tr>
        <w:trPr>
          <w:trHeight w:val="135"/>
        </w:trPr>
        <w:tc>
          <w:tcPr>
            <w:tcW w:w="376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60" w:type="dxa"/>
            <w:vAlign w:val="bottom"/>
            <w:shd w:val="clear" w:color="auto" w:fill="7F7F7F"/>
          </w:tcPr>
          <w:p>
            <w:pPr>
              <w:jc w:val="center"/>
              <w:ind w:left="117"/>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10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6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rPr>
              <w:t>Option</w:t>
            </w:r>
          </w:p>
        </w:tc>
        <w:tc>
          <w:tcPr>
            <w:tcW w:w="720" w:type="dxa"/>
            <w:vAlign w:val="bottom"/>
            <w:shd w:val="clear" w:color="auto" w:fill="7F7F7F"/>
          </w:tcPr>
          <w:p>
            <w:pPr>
              <w:spacing w:after="0"/>
              <w:rPr>
                <w:sz w:val="11"/>
                <w:szCs w:val="11"/>
                <w:color w:val="auto"/>
              </w:rPr>
            </w:pPr>
          </w:p>
        </w:tc>
        <w:tc>
          <w:tcPr>
            <w:tcW w:w="7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8"/>
              </w:rPr>
              <w:t>Stock that</w:t>
            </w:r>
          </w:p>
        </w:tc>
        <w:tc>
          <w:tcPr>
            <w:tcW w:w="7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rPr>
              <w:t>that</w:t>
            </w:r>
          </w:p>
        </w:tc>
        <w:tc>
          <w:tcPr>
            <w:tcW w:w="78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6"/>
              </w:rPr>
              <w:t>Unearned</w:t>
            </w:r>
          </w:p>
        </w:tc>
        <w:tc>
          <w:tcPr>
            <w:tcW w:w="840" w:type="dxa"/>
            <w:vAlign w:val="bottom"/>
            <w:shd w:val="clear" w:color="auto" w:fill="7F7F7F"/>
          </w:tcPr>
          <w:p>
            <w:pPr>
              <w:jc w:val="center"/>
              <w:ind w:right="17"/>
              <w:spacing w:after="0" w:line="135" w:lineRule="exact"/>
              <w:rPr>
                <w:sz w:val="20"/>
                <w:szCs w:val="20"/>
                <w:color w:val="auto"/>
              </w:rPr>
            </w:pPr>
            <w:r>
              <w:rPr>
                <w:rFonts w:ascii="Arial" w:cs="Arial" w:eastAsia="Arial" w:hAnsi="Arial"/>
                <w:sz w:val="13"/>
                <w:szCs w:val="13"/>
                <w:b w:val="1"/>
                <w:bCs w:val="1"/>
                <w:color w:val="FFFFFF"/>
                <w:w w:val="95"/>
              </w:rPr>
              <w:t>Stock that</w:t>
            </w:r>
          </w:p>
        </w:tc>
        <w:tc>
          <w:tcPr>
            <w:tcW w:w="0" w:type="dxa"/>
            <w:vAlign w:val="bottom"/>
          </w:tcPr>
          <w:p>
            <w:pPr>
              <w:spacing w:after="0"/>
              <w:rPr>
                <w:sz w:val="1"/>
                <w:szCs w:val="1"/>
                <w:color w:val="auto"/>
              </w:rPr>
            </w:pPr>
          </w:p>
        </w:tc>
      </w:tr>
      <w:tr>
        <w:trPr>
          <w:trHeight w:val="135"/>
        </w:trPr>
        <w:tc>
          <w:tcPr>
            <w:tcW w:w="376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60" w:type="dxa"/>
            <w:vAlign w:val="bottom"/>
            <w:shd w:val="clear" w:color="auto" w:fill="7F7F7F"/>
          </w:tcPr>
          <w:p>
            <w:pPr>
              <w:jc w:val="center"/>
              <w:ind w:left="117"/>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10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640" w:type="dxa"/>
            <w:vAlign w:val="bottom"/>
            <w:shd w:val="clear" w:color="auto" w:fill="7F7F7F"/>
          </w:tcPr>
          <w:p>
            <w:pPr>
              <w:jc w:val="right"/>
              <w:spacing w:after="0" w:line="135" w:lineRule="exact"/>
              <w:rPr>
                <w:sz w:val="20"/>
                <w:szCs w:val="20"/>
                <w:color w:val="auto"/>
              </w:rPr>
            </w:pPr>
            <w:r>
              <w:rPr>
                <w:rFonts w:ascii="Arial" w:cs="Arial" w:eastAsia="Arial" w:hAnsi="Arial"/>
                <w:sz w:val="13"/>
                <w:szCs w:val="13"/>
                <w:b w:val="1"/>
                <w:bCs w:val="1"/>
                <w:color w:val="FFFFFF"/>
              </w:rPr>
              <w:t>Exercise</w:t>
            </w:r>
          </w:p>
        </w:tc>
        <w:tc>
          <w:tcPr>
            <w:tcW w:w="7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7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Have Not</w:t>
            </w:r>
          </w:p>
        </w:tc>
        <w:tc>
          <w:tcPr>
            <w:tcW w:w="7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9"/>
              </w:rPr>
              <w:t>Have Not</w:t>
            </w:r>
          </w:p>
        </w:tc>
        <w:tc>
          <w:tcPr>
            <w:tcW w:w="78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9"/>
              </w:rPr>
              <w:t>Units of</w:t>
            </w:r>
          </w:p>
        </w:tc>
        <w:tc>
          <w:tcPr>
            <w:tcW w:w="8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Have Not</w:t>
            </w:r>
          </w:p>
        </w:tc>
        <w:tc>
          <w:tcPr>
            <w:tcW w:w="0" w:type="dxa"/>
            <w:vAlign w:val="bottom"/>
          </w:tcPr>
          <w:p>
            <w:pPr>
              <w:spacing w:after="0"/>
              <w:rPr>
                <w:sz w:val="1"/>
                <w:szCs w:val="1"/>
                <w:color w:val="auto"/>
              </w:rPr>
            </w:pPr>
          </w:p>
        </w:tc>
      </w:tr>
      <w:tr>
        <w:trPr>
          <w:trHeight w:val="135"/>
        </w:trPr>
        <w:tc>
          <w:tcPr>
            <w:tcW w:w="376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60" w:type="dxa"/>
            <w:vAlign w:val="bottom"/>
            <w:shd w:val="clear" w:color="auto" w:fill="7F7F7F"/>
          </w:tcPr>
          <w:p>
            <w:pPr>
              <w:jc w:val="center"/>
              <w:ind w:left="117"/>
              <w:spacing w:after="0" w:line="135" w:lineRule="exact"/>
              <w:rPr>
                <w:sz w:val="20"/>
                <w:szCs w:val="20"/>
                <w:color w:val="auto"/>
              </w:rPr>
            </w:pPr>
            <w:r>
              <w:rPr>
                <w:rFonts w:ascii="Arial" w:cs="Arial" w:eastAsia="Arial" w:hAnsi="Arial"/>
                <w:sz w:val="13"/>
                <w:szCs w:val="13"/>
                <w:b w:val="1"/>
                <w:bCs w:val="1"/>
                <w:color w:val="FFFFFF"/>
                <w:w w:val="96"/>
              </w:rPr>
              <w:t>Options (#)</w:t>
            </w:r>
          </w:p>
        </w:tc>
        <w:tc>
          <w:tcPr>
            <w:tcW w:w="10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6"/>
              </w:rPr>
              <w:t>Options (#)</w:t>
            </w:r>
          </w:p>
        </w:tc>
        <w:tc>
          <w:tcPr>
            <w:tcW w:w="6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4"/>
              </w:rPr>
              <w:t>Price</w:t>
            </w:r>
          </w:p>
        </w:tc>
        <w:tc>
          <w:tcPr>
            <w:tcW w:w="7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7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8"/>
              </w:rPr>
              <w:t>Vested</w:t>
            </w:r>
          </w:p>
        </w:tc>
        <w:tc>
          <w:tcPr>
            <w:tcW w:w="7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78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840" w:type="dxa"/>
            <w:vAlign w:val="bottom"/>
            <w:shd w:val="clear" w:color="auto" w:fill="7F7F7F"/>
          </w:tcPr>
          <w:p>
            <w:pPr>
              <w:jc w:val="center"/>
              <w:ind w:right="37"/>
              <w:spacing w:after="0" w:line="135" w:lineRule="exact"/>
              <w:rPr>
                <w:sz w:val="20"/>
                <w:szCs w:val="20"/>
                <w:color w:val="auto"/>
              </w:rPr>
            </w:pPr>
            <w:r>
              <w:rPr>
                <w:rFonts w:ascii="Arial" w:cs="Arial" w:eastAsia="Arial" w:hAnsi="Arial"/>
                <w:sz w:val="13"/>
                <w:szCs w:val="13"/>
                <w:b w:val="1"/>
                <w:bCs w:val="1"/>
                <w:color w:val="FFFFFF"/>
                <w:w w:val="98"/>
              </w:rPr>
              <w:t>Vested</w:t>
            </w:r>
          </w:p>
        </w:tc>
        <w:tc>
          <w:tcPr>
            <w:tcW w:w="0" w:type="dxa"/>
            <w:vAlign w:val="bottom"/>
          </w:tcPr>
          <w:p>
            <w:pPr>
              <w:spacing w:after="0"/>
              <w:rPr>
                <w:sz w:val="1"/>
                <w:szCs w:val="1"/>
                <w:color w:val="auto"/>
              </w:rPr>
            </w:pPr>
          </w:p>
        </w:tc>
      </w:tr>
      <w:tr>
        <w:trPr>
          <w:trHeight w:val="162"/>
        </w:trPr>
        <w:tc>
          <w:tcPr>
            <w:tcW w:w="3760" w:type="dxa"/>
            <w:vAlign w:val="bottom"/>
            <w:shd w:val="clear" w:color="auto" w:fill="7F7F7F"/>
          </w:tcPr>
          <w:p>
            <w:pPr>
              <w:ind w:left="20"/>
              <w:spacing w:after="0"/>
              <w:rPr>
                <w:sz w:val="20"/>
                <w:szCs w:val="20"/>
                <w:color w:val="auto"/>
              </w:rPr>
            </w:pPr>
            <w:r>
              <w:rPr>
                <w:rFonts w:ascii="Arial" w:cs="Arial" w:eastAsia="Arial" w:hAnsi="Arial"/>
                <w:sz w:val="13"/>
                <w:szCs w:val="13"/>
                <w:b w:val="1"/>
                <w:bCs w:val="1"/>
                <w:color w:val="FFFFFF"/>
              </w:rPr>
              <w:t>Name</w:t>
            </w:r>
          </w:p>
        </w:tc>
        <w:tc>
          <w:tcPr>
            <w:tcW w:w="840" w:type="dxa"/>
            <w:vAlign w:val="bottom"/>
            <w:shd w:val="clear" w:color="auto" w:fill="7F7F7F"/>
          </w:tcPr>
          <w:p>
            <w:pPr>
              <w:jc w:val="right"/>
              <w:ind w:right="9"/>
              <w:spacing w:after="0"/>
              <w:rPr>
                <w:sz w:val="20"/>
                <w:szCs w:val="20"/>
                <w:color w:val="auto"/>
              </w:rPr>
            </w:pPr>
            <w:r>
              <w:rPr>
                <w:rFonts w:ascii="Arial" w:cs="Arial" w:eastAsia="Arial" w:hAnsi="Arial"/>
                <w:sz w:val="13"/>
                <w:szCs w:val="13"/>
                <w:b w:val="1"/>
                <w:bCs w:val="1"/>
                <w:color w:val="FFFFFF"/>
              </w:rPr>
              <w:t>Grant Date</w:t>
            </w:r>
          </w:p>
        </w:tc>
        <w:tc>
          <w:tcPr>
            <w:tcW w:w="960" w:type="dxa"/>
            <w:vAlign w:val="bottom"/>
            <w:shd w:val="clear" w:color="auto" w:fill="7F7F7F"/>
          </w:tcPr>
          <w:p>
            <w:pPr>
              <w:jc w:val="center"/>
              <w:ind w:left="117"/>
              <w:spacing w:after="0"/>
              <w:rPr>
                <w:sz w:val="20"/>
                <w:szCs w:val="20"/>
                <w:color w:val="auto"/>
              </w:rPr>
            </w:pPr>
            <w:r>
              <w:rPr>
                <w:rFonts w:ascii="Arial" w:cs="Arial" w:eastAsia="Arial" w:hAnsi="Arial"/>
                <w:sz w:val="13"/>
                <w:szCs w:val="13"/>
                <w:b w:val="1"/>
                <w:bCs w:val="1"/>
                <w:color w:val="FFFFFF"/>
                <w:w w:val="96"/>
              </w:rPr>
              <w:t>Exercisable</w:t>
            </w:r>
          </w:p>
        </w:tc>
        <w:tc>
          <w:tcPr>
            <w:tcW w:w="1020" w:type="dxa"/>
            <w:vAlign w:val="bottom"/>
            <w:shd w:val="clear" w:color="auto" w:fill="7F7F7F"/>
          </w:tcPr>
          <w:p>
            <w:pPr>
              <w:jc w:val="center"/>
              <w:spacing w:after="0"/>
              <w:rPr>
                <w:sz w:val="20"/>
                <w:szCs w:val="20"/>
                <w:color w:val="auto"/>
              </w:rPr>
            </w:pPr>
            <w:r>
              <w:rPr>
                <w:rFonts w:ascii="Arial" w:cs="Arial" w:eastAsia="Arial" w:hAnsi="Arial"/>
                <w:sz w:val="13"/>
                <w:szCs w:val="13"/>
                <w:b w:val="1"/>
                <w:bCs w:val="1"/>
                <w:color w:val="FFFFFF"/>
                <w:w w:val="97"/>
              </w:rPr>
              <w:t>Unexercisable</w:t>
            </w:r>
          </w:p>
        </w:tc>
        <w:tc>
          <w:tcPr>
            <w:tcW w:w="640" w:type="dxa"/>
            <w:vAlign w:val="bottom"/>
            <w:shd w:val="clear" w:color="auto" w:fill="7F7F7F"/>
          </w:tcPr>
          <w:p>
            <w:pPr>
              <w:jc w:val="center"/>
              <w:spacing w:after="0"/>
              <w:rPr>
                <w:sz w:val="20"/>
                <w:szCs w:val="20"/>
                <w:color w:val="auto"/>
              </w:rPr>
            </w:pPr>
            <w:r>
              <w:rPr>
                <w:rFonts w:ascii="Arial" w:cs="Arial" w:eastAsia="Arial" w:hAnsi="Arial"/>
                <w:sz w:val="13"/>
                <w:szCs w:val="13"/>
                <w:b w:val="1"/>
                <w:bCs w:val="1"/>
                <w:color w:val="FFFFFF"/>
                <w:w w:val="87"/>
              </w:rPr>
              <w:t>($)</w:t>
            </w:r>
          </w:p>
        </w:tc>
        <w:tc>
          <w:tcPr>
            <w:tcW w:w="720" w:type="dxa"/>
            <w:vAlign w:val="bottom"/>
            <w:shd w:val="clear" w:color="auto" w:fill="7F7F7F"/>
          </w:tcPr>
          <w:p>
            <w:pPr>
              <w:jc w:val="center"/>
              <w:spacing w:after="0"/>
              <w:rPr>
                <w:sz w:val="20"/>
                <w:szCs w:val="20"/>
                <w:color w:val="auto"/>
              </w:rPr>
            </w:pPr>
            <w:r>
              <w:rPr>
                <w:rFonts w:ascii="Arial" w:cs="Arial" w:eastAsia="Arial" w:hAnsi="Arial"/>
                <w:sz w:val="13"/>
                <w:szCs w:val="13"/>
                <w:b w:val="1"/>
                <w:bCs w:val="1"/>
                <w:color w:val="FFFFFF"/>
                <w:w w:val="99"/>
              </w:rPr>
              <w:t>Date</w:t>
            </w:r>
          </w:p>
        </w:tc>
        <w:tc>
          <w:tcPr>
            <w:tcW w:w="740" w:type="dxa"/>
            <w:vAlign w:val="bottom"/>
            <w:shd w:val="clear" w:color="auto" w:fill="7F7F7F"/>
          </w:tcPr>
          <w:p>
            <w:pPr>
              <w:jc w:val="center"/>
              <w:spacing w:after="0"/>
              <w:rPr>
                <w:sz w:val="20"/>
                <w:szCs w:val="20"/>
                <w:color w:val="auto"/>
              </w:rPr>
            </w:pPr>
            <w:r>
              <w:rPr>
                <w:rFonts w:ascii="Arial" w:cs="Arial" w:eastAsia="Arial" w:hAnsi="Arial"/>
                <w:sz w:val="13"/>
                <w:szCs w:val="13"/>
                <w:b w:val="1"/>
                <w:bCs w:val="1"/>
                <w:color w:val="FFFFFF"/>
                <w:w w:val="87"/>
              </w:rPr>
              <w:t>(#)</w:t>
            </w:r>
          </w:p>
        </w:tc>
        <w:tc>
          <w:tcPr>
            <w:tcW w:w="720" w:type="dxa"/>
            <w:vAlign w:val="bottom"/>
            <w:shd w:val="clear" w:color="auto" w:fill="7F7F7F"/>
          </w:tcPr>
          <w:p>
            <w:pPr>
              <w:jc w:val="center"/>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2"/>
                <w:szCs w:val="12"/>
                <w:b w:val="1"/>
                <w:bCs w:val="1"/>
                <w:color w:val="FFFFFF"/>
              </w:rPr>
              <w:t>(2)</w:t>
            </w:r>
          </w:p>
        </w:tc>
        <w:tc>
          <w:tcPr>
            <w:tcW w:w="780" w:type="dxa"/>
            <w:vAlign w:val="bottom"/>
            <w:shd w:val="clear" w:color="auto" w:fill="7F7F7F"/>
          </w:tcPr>
          <w:p>
            <w:pPr>
              <w:jc w:val="center"/>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7F7F7F"/>
          </w:tcPr>
          <w:p>
            <w:pPr>
              <w:jc w:val="center"/>
              <w:ind w:right="17"/>
              <w:spacing w:after="0"/>
              <w:rPr>
                <w:sz w:val="20"/>
                <w:szCs w:val="20"/>
                <w:color w:val="auto"/>
              </w:rPr>
            </w:pPr>
            <w:r>
              <w:rPr>
                <w:rFonts w:ascii="Arial" w:cs="Arial" w:eastAsia="Arial" w:hAnsi="Arial"/>
                <w:sz w:val="13"/>
                <w:szCs w:val="13"/>
                <w:b w:val="1"/>
                <w:bCs w:val="1"/>
                <w:color w:val="FFFFFF"/>
                <w:w w:val="99"/>
              </w:rPr>
              <w:t>($)</w:t>
            </w:r>
            <w:r>
              <w:rPr>
                <w:rFonts w:ascii="Arial" w:cs="Arial" w:eastAsia="Arial" w:hAnsi="Arial"/>
                <w:sz w:val="10"/>
                <w:szCs w:val="10"/>
                <w:b w:val="1"/>
                <w:bCs w:val="1"/>
                <w:color w:val="FFFFFF"/>
                <w:w w:val="99"/>
              </w:rPr>
              <w:t>(2)</w:t>
            </w:r>
          </w:p>
        </w:tc>
        <w:tc>
          <w:tcPr>
            <w:tcW w:w="0" w:type="dxa"/>
            <w:vAlign w:val="bottom"/>
          </w:tcPr>
          <w:p>
            <w:pPr>
              <w:spacing w:after="0"/>
              <w:rPr>
                <w:sz w:val="1"/>
                <w:szCs w:val="1"/>
                <w:color w:val="auto"/>
              </w:rPr>
            </w:pPr>
          </w:p>
        </w:tc>
      </w:tr>
      <w:tr>
        <w:trPr>
          <w:trHeight w:val="187"/>
        </w:trPr>
        <w:tc>
          <w:tcPr>
            <w:tcW w:w="3760" w:type="dxa"/>
            <w:vAlign w:val="bottom"/>
          </w:tcPr>
          <w:p>
            <w:pPr>
              <w:ind w:left="20"/>
              <w:spacing w:after="0"/>
              <w:rPr>
                <w:sz w:val="20"/>
                <w:szCs w:val="20"/>
                <w:color w:val="auto"/>
              </w:rPr>
            </w:pPr>
            <w:r>
              <w:rPr>
                <w:rFonts w:ascii="Arial" w:cs="Arial" w:eastAsia="Arial" w:hAnsi="Arial"/>
                <w:sz w:val="13"/>
                <w:szCs w:val="13"/>
                <w:b w:val="1"/>
                <w:bCs w:val="1"/>
                <w:color w:val="auto"/>
              </w:rPr>
              <w:t>Hock E. Tan</w:t>
            </w: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3/8/2011</w:t>
            </w:r>
          </w:p>
        </w:tc>
        <w:tc>
          <w:tcPr>
            <w:tcW w:w="960" w:type="dxa"/>
            <w:vAlign w:val="bottom"/>
          </w:tcPr>
          <w:p>
            <w:pPr>
              <w:jc w:val="right"/>
              <w:spacing w:after="0"/>
              <w:rPr>
                <w:sz w:val="20"/>
                <w:szCs w:val="20"/>
                <w:color w:val="auto"/>
              </w:rPr>
            </w:pPr>
            <w:r>
              <w:rPr>
                <w:rFonts w:ascii="Arial" w:cs="Arial" w:eastAsia="Arial" w:hAnsi="Arial"/>
                <w:sz w:val="13"/>
                <w:szCs w:val="13"/>
                <w:color w:val="auto"/>
              </w:rPr>
              <w:t>30,000</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32.39</w:t>
            </w:r>
          </w:p>
        </w:tc>
        <w:tc>
          <w:tcPr>
            <w:tcW w:w="720" w:type="dxa"/>
            <w:vAlign w:val="bottom"/>
          </w:tcPr>
          <w:p>
            <w:pPr>
              <w:jc w:val="right"/>
              <w:spacing w:after="0"/>
              <w:rPr>
                <w:sz w:val="20"/>
                <w:szCs w:val="20"/>
                <w:color w:val="auto"/>
              </w:rPr>
            </w:pPr>
            <w:r>
              <w:rPr>
                <w:rFonts w:ascii="Arial" w:cs="Arial" w:eastAsia="Arial" w:hAnsi="Arial"/>
                <w:sz w:val="13"/>
                <w:szCs w:val="13"/>
                <w:color w:val="auto"/>
              </w:rPr>
              <w:t>3/7/2018</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3/12/2013</w:t>
            </w:r>
          </w:p>
        </w:tc>
        <w:tc>
          <w:tcPr>
            <w:tcW w:w="960" w:type="dxa"/>
            <w:vAlign w:val="bottom"/>
          </w:tcPr>
          <w:p>
            <w:pPr>
              <w:jc w:val="right"/>
              <w:spacing w:after="0"/>
              <w:rPr>
                <w:sz w:val="20"/>
                <w:szCs w:val="20"/>
                <w:color w:val="auto"/>
              </w:rPr>
            </w:pPr>
            <w:r>
              <w:rPr>
                <w:rFonts w:ascii="Arial" w:cs="Arial" w:eastAsia="Arial" w:hAnsi="Arial"/>
                <w:sz w:val="13"/>
                <w:szCs w:val="13"/>
                <w:color w:val="auto"/>
              </w:rPr>
              <w:t>131,250</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35.45</w:t>
            </w:r>
          </w:p>
        </w:tc>
        <w:tc>
          <w:tcPr>
            <w:tcW w:w="720" w:type="dxa"/>
            <w:vAlign w:val="bottom"/>
          </w:tcPr>
          <w:p>
            <w:pPr>
              <w:jc w:val="right"/>
              <w:spacing w:after="0"/>
              <w:rPr>
                <w:sz w:val="20"/>
                <w:szCs w:val="20"/>
                <w:color w:val="auto"/>
              </w:rPr>
            </w:pPr>
            <w:r>
              <w:rPr>
                <w:rFonts w:ascii="Arial" w:cs="Arial" w:eastAsia="Arial" w:hAnsi="Arial"/>
                <w:sz w:val="13"/>
                <w:szCs w:val="13"/>
                <w:color w:val="auto"/>
              </w:rPr>
              <w:t>3/11/2020</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9/13/2013</w:t>
            </w:r>
          </w:p>
        </w:tc>
        <w:tc>
          <w:tcPr>
            <w:tcW w:w="960" w:type="dxa"/>
            <w:vAlign w:val="bottom"/>
          </w:tcPr>
          <w:p>
            <w:pPr>
              <w:jc w:val="right"/>
              <w:spacing w:after="0"/>
              <w:rPr>
                <w:sz w:val="20"/>
                <w:szCs w:val="20"/>
                <w:color w:val="auto"/>
              </w:rPr>
            </w:pPr>
            <w:r>
              <w:rPr>
                <w:rFonts w:ascii="Arial" w:cs="Arial" w:eastAsia="Arial" w:hAnsi="Arial"/>
                <w:sz w:val="13"/>
                <w:szCs w:val="13"/>
                <w:color w:val="auto"/>
              </w:rPr>
              <w:t>1,547,916</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38.99</w:t>
            </w:r>
          </w:p>
        </w:tc>
        <w:tc>
          <w:tcPr>
            <w:tcW w:w="720" w:type="dxa"/>
            <w:vAlign w:val="bottom"/>
          </w:tcPr>
          <w:p>
            <w:pPr>
              <w:jc w:val="right"/>
              <w:spacing w:after="0"/>
              <w:rPr>
                <w:sz w:val="20"/>
                <w:szCs w:val="20"/>
                <w:color w:val="auto"/>
              </w:rPr>
            </w:pPr>
            <w:r>
              <w:rPr>
                <w:rFonts w:ascii="Arial" w:cs="Arial" w:eastAsia="Arial" w:hAnsi="Arial"/>
                <w:sz w:val="13"/>
                <w:szCs w:val="13"/>
                <w:color w:val="auto"/>
              </w:rPr>
              <w:t>9/12/2020</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1/2/2014</w:t>
            </w:r>
          </w:p>
        </w:tc>
        <w:tc>
          <w:tcPr>
            <w:tcW w:w="960" w:type="dxa"/>
            <w:vAlign w:val="bottom"/>
          </w:tcPr>
          <w:p>
            <w:pPr>
              <w:jc w:val="right"/>
              <w:spacing w:after="0"/>
              <w:rPr>
                <w:sz w:val="20"/>
                <w:szCs w:val="20"/>
                <w:color w:val="auto"/>
              </w:rPr>
            </w:pPr>
            <w:r>
              <w:rPr>
                <w:rFonts w:ascii="Arial" w:cs="Arial" w:eastAsia="Arial" w:hAnsi="Arial"/>
                <w:sz w:val="13"/>
                <w:szCs w:val="13"/>
                <w:color w:val="auto"/>
              </w:rPr>
              <w:t>562,500</w:t>
            </w:r>
          </w:p>
        </w:tc>
        <w:tc>
          <w:tcPr>
            <w:tcW w:w="1020" w:type="dxa"/>
            <w:vAlign w:val="bottom"/>
          </w:tcPr>
          <w:p>
            <w:pPr>
              <w:jc w:val="right"/>
              <w:spacing w:after="0"/>
              <w:rPr>
                <w:sz w:val="20"/>
                <w:szCs w:val="20"/>
                <w:color w:val="auto"/>
              </w:rPr>
            </w:pPr>
            <w:r>
              <w:rPr>
                <w:rFonts w:ascii="Arial" w:cs="Arial" w:eastAsia="Arial" w:hAnsi="Arial"/>
                <w:sz w:val="13"/>
                <w:szCs w:val="13"/>
                <w:color w:val="auto"/>
              </w:rPr>
              <w:t>187,500</w:t>
            </w:r>
            <w:r>
              <w:rPr>
                <w:rFonts w:ascii="Arial" w:cs="Arial" w:eastAsia="Arial" w:hAnsi="Arial"/>
                <w:sz w:val="10"/>
                <w:szCs w:val="10"/>
                <w:color w:val="auto"/>
              </w:rPr>
              <w:t>(3)</w:t>
            </w:r>
          </w:p>
        </w:tc>
        <w:tc>
          <w:tcPr>
            <w:tcW w:w="640" w:type="dxa"/>
            <w:vAlign w:val="bottom"/>
          </w:tcPr>
          <w:p>
            <w:pPr>
              <w:jc w:val="right"/>
              <w:spacing w:after="0"/>
              <w:rPr>
                <w:sz w:val="20"/>
                <w:szCs w:val="20"/>
                <w:color w:val="auto"/>
              </w:rPr>
            </w:pPr>
            <w:r>
              <w:rPr>
                <w:rFonts w:ascii="Arial" w:cs="Arial" w:eastAsia="Arial" w:hAnsi="Arial"/>
                <w:sz w:val="13"/>
                <w:szCs w:val="13"/>
                <w:color w:val="auto"/>
              </w:rPr>
              <w:t>52.65</w:t>
            </w:r>
          </w:p>
        </w:tc>
        <w:tc>
          <w:tcPr>
            <w:tcW w:w="720" w:type="dxa"/>
            <w:vAlign w:val="bottom"/>
          </w:tcPr>
          <w:p>
            <w:pPr>
              <w:jc w:val="right"/>
              <w:spacing w:after="0"/>
              <w:rPr>
                <w:sz w:val="20"/>
                <w:szCs w:val="20"/>
                <w:color w:val="auto"/>
              </w:rPr>
            </w:pPr>
            <w:r>
              <w:rPr>
                <w:rFonts w:ascii="Arial" w:cs="Arial" w:eastAsia="Arial" w:hAnsi="Arial"/>
                <w:sz w:val="13"/>
                <w:szCs w:val="13"/>
                <w:color w:val="auto"/>
              </w:rPr>
              <w:t>1/1/2021</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6/15/2016</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240,000</w:t>
            </w:r>
            <w:r>
              <w:rPr>
                <w:rFonts w:ascii="Arial" w:cs="Arial" w:eastAsia="Arial" w:hAnsi="Arial"/>
                <w:sz w:val="10"/>
                <w:szCs w:val="10"/>
                <w:color w:val="auto"/>
              </w:rPr>
              <w:t>(4)</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60,696,000</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12/15/2016</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6,010</w:t>
            </w:r>
            <w:r>
              <w:rPr>
                <w:rFonts w:ascii="Arial" w:cs="Arial" w:eastAsia="Arial" w:hAnsi="Arial"/>
                <w:sz w:val="10"/>
                <w:szCs w:val="10"/>
                <w:color w:val="auto"/>
              </w:rPr>
              <w:t>(5)</w:t>
            </w:r>
          </w:p>
        </w:tc>
        <w:tc>
          <w:tcPr>
            <w:tcW w:w="720" w:type="dxa"/>
            <w:vAlign w:val="bottom"/>
          </w:tcPr>
          <w:p>
            <w:pPr>
              <w:jc w:val="right"/>
              <w:spacing w:after="0"/>
              <w:rPr>
                <w:sz w:val="20"/>
                <w:szCs w:val="20"/>
                <w:color w:val="auto"/>
              </w:rPr>
            </w:pPr>
            <w:r>
              <w:rPr>
                <w:rFonts w:ascii="Arial" w:cs="Arial" w:eastAsia="Arial" w:hAnsi="Arial"/>
                <w:sz w:val="13"/>
                <w:szCs w:val="13"/>
                <w:color w:val="auto"/>
              </w:rPr>
              <w:t>1,519,929</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76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6/15/2017</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756,000</w:t>
            </w:r>
            <w:r>
              <w:rPr>
                <w:rFonts w:ascii="Arial" w:cs="Arial" w:eastAsia="Arial" w:hAnsi="Arial"/>
                <w:sz w:val="10"/>
                <w:szCs w:val="10"/>
                <w:color w:val="auto"/>
              </w:rPr>
              <w:t>(6)</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191,192,400</w:t>
            </w:r>
          </w:p>
        </w:tc>
        <w:tc>
          <w:tcPr>
            <w:tcW w:w="0" w:type="dxa"/>
            <w:vAlign w:val="bottom"/>
          </w:tcPr>
          <w:p>
            <w:pPr>
              <w:spacing w:after="0"/>
              <w:rPr>
                <w:sz w:val="1"/>
                <w:szCs w:val="1"/>
                <w:color w:val="auto"/>
              </w:rPr>
            </w:pPr>
          </w:p>
        </w:tc>
      </w:tr>
      <w:tr>
        <w:trPr>
          <w:trHeight w:val="187"/>
        </w:trPr>
        <w:tc>
          <w:tcPr>
            <w:tcW w:w="3760" w:type="dxa"/>
            <w:vAlign w:val="bottom"/>
            <w:shd w:val="clear" w:color="auto" w:fill="BFBFBF"/>
          </w:tcPr>
          <w:p>
            <w:pPr>
              <w:ind w:left="20"/>
              <w:spacing w:after="0"/>
              <w:rPr>
                <w:sz w:val="20"/>
                <w:szCs w:val="20"/>
                <w:color w:val="auto"/>
              </w:rPr>
            </w:pPr>
            <w:r>
              <w:rPr>
                <w:rFonts w:ascii="Arial" w:cs="Arial" w:eastAsia="Arial" w:hAnsi="Arial"/>
                <w:sz w:val="13"/>
                <w:szCs w:val="13"/>
                <w:b w:val="1"/>
                <w:bCs w:val="1"/>
                <w:color w:val="auto"/>
              </w:rPr>
              <w:t>Thomas H. Krause Jr.</w:t>
            </w:r>
          </w:p>
        </w:tc>
        <w:tc>
          <w:tcPr>
            <w:tcW w:w="840" w:type="dxa"/>
            <w:vAlign w:val="bottom"/>
            <w:shd w:val="clear" w:color="auto" w:fill="BFBFBF"/>
          </w:tcPr>
          <w:p>
            <w:pPr>
              <w:spacing w:after="0"/>
              <w:rPr>
                <w:sz w:val="16"/>
                <w:szCs w:val="16"/>
                <w:color w:val="auto"/>
              </w:rPr>
            </w:pPr>
          </w:p>
        </w:tc>
        <w:tc>
          <w:tcPr>
            <w:tcW w:w="960" w:type="dxa"/>
            <w:vAlign w:val="bottom"/>
            <w:shd w:val="clear" w:color="auto" w:fill="BFBFBF"/>
          </w:tcPr>
          <w:p>
            <w:pPr>
              <w:spacing w:after="0"/>
              <w:rPr>
                <w:sz w:val="16"/>
                <w:szCs w:val="16"/>
                <w:color w:val="auto"/>
              </w:rPr>
            </w:pPr>
          </w:p>
        </w:tc>
        <w:tc>
          <w:tcPr>
            <w:tcW w:w="1020" w:type="dxa"/>
            <w:vAlign w:val="bottom"/>
            <w:shd w:val="clear" w:color="auto" w:fill="BFBFBF"/>
          </w:tcPr>
          <w:p>
            <w:pPr>
              <w:spacing w:after="0"/>
              <w:rPr>
                <w:sz w:val="16"/>
                <w:szCs w:val="16"/>
                <w:color w:val="auto"/>
              </w:rPr>
            </w:pPr>
          </w:p>
        </w:tc>
        <w:tc>
          <w:tcPr>
            <w:tcW w:w="640" w:type="dxa"/>
            <w:vAlign w:val="bottom"/>
            <w:shd w:val="clear" w:color="auto" w:fill="BFBFBF"/>
          </w:tcPr>
          <w:p>
            <w:pPr>
              <w:spacing w:after="0"/>
              <w:rPr>
                <w:sz w:val="16"/>
                <w:szCs w:val="16"/>
                <w:color w:val="auto"/>
              </w:rPr>
            </w:pPr>
          </w:p>
        </w:tc>
        <w:tc>
          <w:tcPr>
            <w:tcW w:w="720" w:type="dxa"/>
            <w:vAlign w:val="bottom"/>
            <w:shd w:val="clear" w:color="auto" w:fill="BFBFBF"/>
          </w:tcPr>
          <w:p>
            <w:pPr>
              <w:spacing w:after="0"/>
              <w:rPr>
                <w:sz w:val="16"/>
                <w:szCs w:val="16"/>
                <w:color w:val="auto"/>
              </w:rPr>
            </w:pPr>
          </w:p>
        </w:tc>
        <w:tc>
          <w:tcPr>
            <w:tcW w:w="740" w:type="dxa"/>
            <w:vAlign w:val="bottom"/>
            <w:shd w:val="clear" w:color="auto" w:fill="BFBFBF"/>
          </w:tcPr>
          <w:p>
            <w:pPr>
              <w:spacing w:after="0"/>
              <w:rPr>
                <w:sz w:val="16"/>
                <w:szCs w:val="16"/>
                <w:color w:val="auto"/>
              </w:rPr>
            </w:pPr>
          </w:p>
        </w:tc>
        <w:tc>
          <w:tcPr>
            <w:tcW w:w="720" w:type="dxa"/>
            <w:vAlign w:val="bottom"/>
            <w:shd w:val="clear" w:color="auto" w:fill="BFBFBF"/>
          </w:tcPr>
          <w:p>
            <w:pPr>
              <w:spacing w:after="0"/>
              <w:rPr>
                <w:sz w:val="16"/>
                <w:szCs w:val="16"/>
                <w:color w:val="auto"/>
              </w:rPr>
            </w:pPr>
          </w:p>
        </w:tc>
        <w:tc>
          <w:tcPr>
            <w:tcW w:w="780" w:type="dxa"/>
            <w:vAlign w:val="bottom"/>
            <w:shd w:val="clear" w:color="auto" w:fill="BFBFBF"/>
          </w:tcPr>
          <w:p>
            <w:pPr>
              <w:spacing w:after="0"/>
              <w:rPr>
                <w:sz w:val="16"/>
                <w:szCs w:val="16"/>
                <w:color w:val="auto"/>
              </w:rPr>
            </w:pPr>
          </w:p>
        </w:tc>
        <w:tc>
          <w:tcPr>
            <w:tcW w:w="84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760" w:type="dxa"/>
            <w:vAlign w:val="bottom"/>
            <w:shd w:val="clear" w:color="auto" w:fill="BFBFBF"/>
          </w:tcPr>
          <w:p>
            <w:pPr>
              <w:spacing w:after="0"/>
              <w:rPr>
                <w:sz w:val="14"/>
                <w:szCs w:val="14"/>
                <w:color w:val="auto"/>
              </w:rPr>
            </w:pPr>
          </w:p>
        </w:tc>
        <w:tc>
          <w:tcPr>
            <w:tcW w:w="8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3/11/2014</w:t>
            </w:r>
          </w:p>
        </w:tc>
        <w:tc>
          <w:tcPr>
            <w:tcW w:w="96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22,500</w:t>
            </w:r>
            <w:r>
              <w:rPr>
                <w:rFonts w:ascii="Arial" w:cs="Arial" w:eastAsia="Arial" w:hAnsi="Arial"/>
                <w:sz w:val="10"/>
                <w:szCs w:val="10"/>
                <w:color w:val="auto"/>
              </w:rPr>
              <w:t>(7)</w:t>
            </w:r>
          </w:p>
        </w:tc>
        <w:tc>
          <w:tcPr>
            <w:tcW w:w="6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62.02</w:t>
            </w:r>
          </w:p>
        </w:tc>
        <w:tc>
          <w:tcPr>
            <w:tcW w:w="7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3/10/2021</w:t>
            </w: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7,500</w:t>
            </w:r>
            <w:r>
              <w:rPr>
                <w:rFonts w:ascii="Arial" w:cs="Arial" w:eastAsia="Arial" w:hAnsi="Arial"/>
                <w:sz w:val="10"/>
                <w:szCs w:val="10"/>
                <w:color w:val="auto"/>
              </w:rPr>
              <w:t>(5)</w:t>
            </w:r>
          </w:p>
        </w:tc>
        <w:tc>
          <w:tcPr>
            <w:tcW w:w="7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1,896,750</w:t>
            </w:r>
          </w:p>
        </w:tc>
        <w:tc>
          <w:tcPr>
            <w:tcW w:w="7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BFBFB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60" w:type="dxa"/>
            <w:vAlign w:val="bottom"/>
            <w:shd w:val="clear" w:color="auto" w:fill="BFBFBF"/>
          </w:tcPr>
          <w:p>
            <w:pPr>
              <w:spacing w:after="0"/>
              <w:rPr>
                <w:sz w:val="14"/>
                <w:szCs w:val="14"/>
                <w:color w:val="auto"/>
              </w:rPr>
            </w:pPr>
          </w:p>
        </w:tc>
        <w:tc>
          <w:tcPr>
            <w:tcW w:w="8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3/15/2015</w:t>
            </w:r>
          </w:p>
        </w:tc>
        <w:tc>
          <w:tcPr>
            <w:tcW w:w="96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BFBF"/>
          </w:tcPr>
          <w:p>
            <w:pPr>
              <w:spacing w:after="0"/>
              <w:rPr>
                <w:sz w:val="14"/>
                <w:szCs w:val="14"/>
                <w:color w:val="auto"/>
              </w:rPr>
            </w:pPr>
          </w:p>
        </w:tc>
        <w:tc>
          <w:tcPr>
            <w:tcW w:w="72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5,000</w:t>
            </w:r>
            <w:r>
              <w:rPr>
                <w:rFonts w:ascii="Arial" w:cs="Arial" w:eastAsia="Arial" w:hAnsi="Arial"/>
                <w:sz w:val="10"/>
                <w:szCs w:val="10"/>
                <w:color w:val="auto"/>
              </w:rPr>
              <w:t>(5)</w:t>
            </w:r>
          </w:p>
        </w:tc>
        <w:tc>
          <w:tcPr>
            <w:tcW w:w="7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1,264,500</w:t>
            </w:r>
          </w:p>
        </w:tc>
        <w:tc>
          <w:tcPr>
            <w:tcW w:w="7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BFBFB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60" w:type="dxa"/>
            <w:vAlign w:val="bottom"/>
            <w:shd w:val="clear" w:color="auto" w:fill="BFBFBF"/>
          </w:tcPr>
          <w:p>
            <w:pPr>
              <w:spacing w:after="0"/>
              <w:rPr>
                <w:sz w:val="14"/>
                <w:szCs w:val="14"/>
                <w:color w:val="auto"/>
              </w:rPr>
            </w:pPr>
          </w:p>
        </w:tc>
        <w:tc>
          <w:tcPr>
            <w:tcW w:w="8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3/15/2015</w:t>
            </w:r>
          </w:p>
        </w:tc>
        <w:tc>
          <w:tcPr>
            <w:tcW w:w="96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BFBF"/>
          </w:tcPr>
          <w:p>
            <w:pPr>
              <w:spacing w:after="0"/>
              <w:rPr>
                <w:sz w:val="14"/>
                <w:szCs w:val="14"/>
                <w:color w:val="auto"/>
              </w:rPr>
            </w:pPr>
          </w:p>
        </w:tc>
        <w:tc>
          <w:tcPr>
            <w:tcW w:w="72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5,000</w:t>
            </w:r>
            <w:r>
              <w:rPr>
                <w:rFonts w:ascii="Arial" w:cs="Arial" w:eastAsia="Arial" w:hAnsi="Arial"/>
                <w:sz w:val="10"/>
                <w:szCs w:val="10"/>
                <w:color w:val="auto"/>
              </w:rPr>
              <w:t>(8)</w:t>
            </w:r>
          </w:p>
        </w:tc>
        <w:tc>
          <w:tcPr>
            <w:tcW w:w="7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1,264,500</w:t>
            </w:r>
          </w:p>
        </w:tc>
        <w:tc>
          <w:tcPr>
            <w:tcW w:w="7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BFBFB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60" w:type="dxa"/>
            <w:vAlign w:val="bottom"/>
            <w:shd w:val="clear" w:color="auto" w:fill="BFBFBF"/>
          </w:tcPr>
          <w:p>
            <w:pPr>
              <w:spacing w:after="0"/>
              <w:rPr>
                <w:sz w:val="14"/>
                <w:szCs w:val="14"/>
                <w:color w:val="auto"/>
              </w:rPr>
            </w:pPr>
          </w:p>
        </w:tc>
        <w:tc>
          <w:tcPr>
            <w:tcW w:w="8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3/15/2016</w:t>
            </w:r>
          </w:p>
        </w:tc>
        <w:tc>
          <w:tcPr>
            <w:tcW w:w="96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BFBF"/>
          </w:tcPr>
          <w:p>
            <w:pPr>
              <w:spacing w:after="0"/>
              <w:rPr>
                <w:sz w:val="14"/>
                <w:szCs w:val="14"/>
                <w:color w:val="auto"/>
              </w:rPr>
            </w:pPr>
          </w:p>
        </w:tc>
        <w:tc>
          <w:tcPr>
            <w:tcW w:w="72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7,500</w:t>
            </w:r>
            <w:r>
              <w:rPr>
                <w:rFonts w:ascii="Arial" w:cs="Arial" w:eastAsia="Arial" w:hAnsi="Arial"/>
                <w:sz w:val="10"/>
                <w:szCs w:val="10"/>
                <w:color w:val="auto"/>
              </w:rPr>
              <w:t>(5)</w:t>
            </w:r>
          </w:p>
        </w:tc>
        <w:tc>
          <w:tcPr>
            <w:tcW w:w="7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1,896,750</w:t>
            </w:r>
          </w:p>
        </w:tc>
        <w:tc>
          <w:tcPr>
            <w:tcW w:w="7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BFBFB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60" w:type="dxa"/>
            <w:vAlign w:val="bottom"/>
            <w:shd w:val="clear" w:color="auto" w:fill="BFBFBF"/>
          </w:tcPr>
          <w:p>
            <w:pPr>
              <w:spacing w:after="0"/>
              <w:rPr>
                <w:sz w:val="14"/>
                <w:szCs w:val="14"/>
                <w:color w:val="auto"/>
              </w:rPr>
            </w:pPr>
          </w:p>
        </w:tc>
        <w:tc>
          <w:tcPr>
            <w:tcW w:w="8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3/15/2016</w:t>
            </w:r>
          </w:p>
        </w:tc>
        <w:tc>
          <w:tcPr>
            <w:tcW w:w="96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BFBF"/>
          </w:tcPr>
          <w:p>
            <w:pPr>
              <w:spacing w:after="0"/>
              <w:rPr>
                <w:sz w:val="14"/>
                <w:szCs w:val="14"/>
                <w:color w:val="auto"/>
              </w:rPr>
            </w:pPr>
          </w:p>
        </w:tc>
        <w:tc>
          <w:tcPr>
            <w:tcW w:w="72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7,500</w:t>
            </w:r>
            <w:r>
              <w:rPr>
                <w:rFonts w:ascii="Arial" w:cs="Arial" w:eastAsia="Arial" w:hAnsi="Arial"/>
                <w:sz w:val="10"/>
                <w:szCs w:val="10"/>
                <w:color w:val="auto"/>
              </w:rPr>
              <w:t>(8)</w:t>
            </w:r>
          </w:p>
        </w:tc>
        <w:tc>
          <w:tcPr>
            <w:tcW w:w="7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1,896,750</w:t>
            </w:r>
          </w:p>
        </w:tc>
        <w:tc>
          <w:tcPr>
            <w:tcW w:w="7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BFBFB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60" w:type="dxa"/>
            <w:vAlign w:val="bottom"/>
            <w:shd w:val="clear" w:color="auto" w:fill="BFBFBF"/>
          </w:tcPr>
          <w:p>
            <w:pPr>
              <w:spacing w:after="0"/>
              <w:rPr>
                <w:sz w:val="14"/>
                <w:szCs w:val="14"/>
                <w:color w:val="auto"/>
              </w:rPr>
            </w:pPr>
          </w:p>
        </w:tc>
        <w:tc>
          <w:tcPr>
            <w:tcW w:w="8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11/15/2016</w:t>
            </w:r>
          </w:p>
        </w:tc>
        <w:tc>
          <w:tcPr>
            <w:tcW w:w="96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BFBF"/>
          </w:tcPr>
          <w:p>
            <w:pPr>
              <w:spacing w:after="0"/>
              <w:rPr>
                <w:sz w:val="14"/>
                <w:szCs w:val="14"/>
                <w:color w:val="auto"/>
              </w:rPr>
            </w:pPr>
          </w:p>
        </w:tc>
        <w:tc>
          <w:tcPr>
            <w:tcW w:w="72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10,000</w:t>
            </w:r>
            <w:r>
              <w:rPr>
                <w:rFonts w:ascii="Arial" w:cs="Arial" w:eastAsia="Arial" w:hAnsi="Arial"/>
                <w:sz w:val="10"/>
                <w:szCs w:val="10"/>
                <w:color w:val="auto"/>
              </w:rPr>
              <w:t>(5)</w:t>
            </w:r>
          </w:p>
        </w:tc>
        <w:tc>
          <w:tcPr>
            <w:tcW w:w="7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2,529,000</w:t>
            </w:r>
          </w:p>
        </w:tc>
        <w:tc>
          <w:tcPr>
            <w:tcW w:w="7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BFBFB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60" w:type="dxa"/>
            <w:vAlign w:val="bottom"/>
            <w:shd w:val="clear" w:color="auto" w:fill="BFBFBF"/>
          </w:tcPr>
          <w:p>
            <w:pPr>
              <w:spacing w:after="0"/>
              <w:rPr>
                <w:sz w:val="14"/>
                <w:szCs w:val="14"/>
                <w:color w:val="auto"/>
              </w:rPr>
            </w:pPr>
          </w:p>
        </w:tc>
        <w:tc>
          <w:tcPr>
            <w:tcW w:w="8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11/15/2016</w:t>
            </w:r>
          </w:p>
        </w:tc>
        <w:tc>
          <w:tcPr>
            <w:tcW w:w="96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BFBF"/>
          </w:tcPr>
          <w:p>
            <w:pPr>
              <w:spacing w:after="0"/>
              <w:rPr>
                <w:sz w:val="14"/>
                <w:szCs w:val="14"/>
                <w:color w:val="auto"/>
              </w:rPr>
            </w:pPr>
          </w:p>
        </w:tc>
        <w:tc>
          <w:tcPr>
            <w:tcW w:w="72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10,000</w:t>
            </w:r>
            <w:r>
              <w:rPr>
                <w:rFonts w:ascii="Arial" w:cs="Arial" w:eastAsia="Arial" w:hAnsi="Arial"/>
                <w:sz w:val="10"/>
                <w:szCs w:val="10"/>
                <w:color w:val="auto"/>
              </w:rPr>
              <w:t>(8)</w:t>
            </w:r>
          </w:p>
        </w:tc>
        <w:tc>
          <w:tcPr>
            <w:tcW w:w="7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2,529,000</w:t>
            </w:r>
          </w:p>
        </w:tc>
        <w:tc>
          <w:tcPr>
            <w:tcW w:w="7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BFBFB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60" w:type="dxa"/>
            <w:vAlign w:val="bottom"/>
            <w:shd w:val="clear" w:color="auto" w:fill="BFBFBF"/>
          </w:tcPr>
          <w:p>
            <w:pPr>
              <w:spacing w:after="0"/>
              <w:rPr>
                <w:sz w:val="14"/>
                <w:szCs w:val="14"/>
                <w:color w:val="auto"/>
              </w:rPr>
            </w:pPr>
          </w:p>
        </w:tc>
        <w:tc>
          <w:tcPr>
            <w:tcW w:w="8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12/15/2016</w:t>
            </w:r>
          </w:p>
        </w:tc>
        <w:tc>
          <w:tcPr>
            <w:tcW w:w="96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BFBF"/>
          </w:tcPr>
          <w:p>
            <w:pPr>
              <w:spacing w:after="0"/>
              <w:rPr>
                <w:sz w:val="14"/>
                <w:szCs w:val="14"/>
                <w:color w:val="auto"/>
              </w:rPr>
            </w:pPr>
          </w:p>
        </w:tc>
        <w:tc>
          <w:tcPr>
            <w:tcW w:w="72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5,000</w:t>
            </w:r>
            <w:r>
              <w:rPr>
                <w:rFonts w:ascii="Arial" w:cs="Arial" w:eastAsia="Arial" w:hAnsi="Arial"/>
                <w:sz w:val="10"/>
                <w:szCs w:val="10"/>
                <w:color w:val="auto"/>
              </w:rPr>
              <w:t>(5)</w:t>
            </w:r>
          </w:p>
        </w:tc>
        <w:tc>
          <w:tcPr>
            <w:tcW w:w="7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1,264,500</w:t>
            </w:r>
          </w:p>
        </w:tc>
        <w:tc>
          <w:tcPr>
            <w:tcW w:w="7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BFBFB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60" w:type="dxa"/>
            <w:vAlign w:val="bottom"/>
            <w:shd w:val="clear" w:color="auto" w:fill="BFBFBF"/>
          </w:tcPr>
          <w:p>
            <w:pPr>
              <w:spacing w:after="0"/>
              <w:rPr>
                <w:sz w:val="14"/>
                <w:szCs w:val="14"/>
                <w:color w:val="auto"/>
              </w:rPr>
            </w:pPr>
          </w:p>
        </w:tc>
        <w:tc>
          <w:tcPr>
            <w:tcW w:w="8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3/15/2017</w:t>
            </w:r>
          </w:p>
        </w:tc>
        <w:tc>
          <w:tcPr>
            <w:tcW w:w="96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BFBF"/>
          </w:tcPr>
          <w:p>
            <w:pPr>
              <w:spacing w:after="0"/>
              <w:rPr>
                <w:sz w:val="14"/>
                <w:szCs w:val="14"/>
                <w:color w:val="auto"/>
              </w:rPr>
            </w:pPr>
          </w:p>
        </w:tc>
        <w:tc>
          <w:tcPr>
            <w:tcW w:w="72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12,500</w:t>
            </w:r>
            <w:r>
              <w:rPr>
                <w:rFonts w:ascii="Arial" w:cs="Arial" w:eastAsia="Arial" w:hAnsi="Arial"/>
                <w:sz w:val="10"/>
                <w:szCs w:val="10"/>
                <w:color w:val="auto"/>
              </w:rPr>
              <w:t>(5)</w:t>
            </w:r>
          </w:p>
        </w:tc>
        <w:tc>
          <w:tcPr>
            <w:tcW w:w="7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3,161,250</w:t>
            </w:r>
          </w:p>
        </w:tc>
        <w:tc>
          <w:tcPr>
            <w:tcW w:w="7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25,000</w:t>
            </w:r>
            <w:r>
              <w:rPr>
                <w:rFonts w:ascii="Arial" w:cs="Arial" w:eastAsia="Arial" w:hAnsi="Arial"/>
                <w:sz w:val="10"/>
                <w:szCs w:val="10"/>
                <w:color w:val="auto"/>
              </w:rPr>
              <w:t>(9)</w:t>
            </w:r>
          </w:p>
        </w:tc>
        <w:tc>
          <w:tcPr>
            <w:tcW w:w="840" w:type="dxa"/>
            <w:vAlign w:val="bottom"/>
            <w:shd w:val="clear" w:color="auto" w:fill="BFBFBF"/>
          </w:tcPr>
          <w:p>
            <w:pPr>
              <w:jc w:val="right"/>
              <w:ind w:right="17"/>
              <w:spacing w:after="0"/>
              <w:rPr>
                <w:sz w:val="20"/>
                <w:szCs w:val="20"/>
                <w:color w:val="auto"/>
              </w:rPr>
            </w:pPr>
            <w:r>
              <w:rPr>
                <w:rFonts w:ascii="Arial" w:cs="Arial" w:eastAsia="Arial" w:hAnsi="Arial"/>
                <w:sz w:val="13"/>
                <w:szCs w:val="13"/>
                <w:color w:val="auto"/>
              </w:rPr>
              <w:t>6,322,500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-2837815</wp:posOffset>
            </wp:positionV>
            <wp:extent cx="39020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76"/>
        </w:trPr>
        <w:tc>
          <w:tcPr>
            <w:tcW w:w="3780" w:type="dxa"/>
            <w:vAlign w:val="bottom"/>
            <w:shd w:val="clear" w:color="auto" w:fill="7F7F7F"/>
          </w:tcPr>
          <w:p>
            <w:pPr>
              <w:spacing w:after="0"/>
              <w:rPr>
                <w:sz w:val="23"/>
                <w:szCs w:val="23"/>
                <w:color w:val="auto"/>
              </w:rPr>
            </w:pPr>
          </w:p>
        </w:tc>
        <w:tc>
          <w:tcPr>
            <w:tcW w:w="840" w:type="dxa"/>
            <w:vAlign w:val="bottom"/>
            <w:shd w:val="clear" w:color="auto" w:fill="7F7F7F"/>
          </w:tcPr>
          <w:p>
            <w:pPr>
              <w:spacing w:after="0"/>
              <w:rPr>
                <w:sz w:val="23"/>
                <w:szCs w:val="23"/>
                <w:color w:val="auto"/>
              </w:rPr>
            </w:pPr>
          </w:p>
        </w:tc>
        <w:tc>
          <w:tcPr>
            <w:tcW w:w="920" w:type="dxa"/>
            <w:vAlign w:val="bottom"/>
            <w:shd w:val="clear" w:color="auto" w:fill="7F7F7F"/>
          </w:tcPr>
          <w:p>
            <w:pPr>
              <w:spacing w:after="0"/>
              <w:rPr>
                <w:sz w:val="23"/>
                <w:szCs w:val="23"/>
                <w:color w:val="auto"/>
              </w:rPr>
            </w:pPr>
          </w:p>
        </w:tc>
        <w:tc>
          <w:tcPr>
            <w:tcW w:w="1600" w:type="dxa"/>
            <w:vAlign w:val="bottom"/>
            <w:gridSpan w:val="2"/>
            <w:shd w:val="clear" w:color="auto" w:fill="7F7F7F"/>
          </w:tcPr>
          <w:p>
            <w:pPr>
              <w:jc w:val="right"/>
              <w:ind w:right="217"/>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24"/>
                <w:szCs w:val="24"/>
                <w:b w:val="1"/>
                <w:bCs w:val="1"/>
                <w:color w:val="FFFFFF"/>
                <w:vertAlign w:val="superscript"/>
              </w:rPr>
              <w:t>(1)</w:t>
            </w:r>
          </w:p>
        </w:tc>
        <w:tc>
          <w:tcPr>
            <w:tcW w:w="740" w:type="dxa"/>
            <w:vAlign w:val="bottom"/>
            <w:shd w:val="clear" w:color="auto" w:fill="7F7F7F"/>
          </w:tcPr>
          <w:p>
            <w:pPr>
              <w:spacing w:after="0"/>
              <w:rPr>
                <w:sz w:val="23"/>
                <w:szCs w:val="23"/>
                <w:color w:val="auto"/>
              </w:rPr>
            </w:pPr>
          </w:p>
        </w:tc>
        <w:tc>
          <w:tcPr>
            <w:tcW w:w="3140" w:type="dxa"/>
            <w:vAlign w:val="bottom"/>
            <w:gridSpan w:val="4"/>
            <w:shd w:val="clear" w:color="auto" w:fill="7F7F7F"/>
          </w:tcPr>
          <w:p>
            <w:pPr>
              <w:jc w:val="right"/>
              <w:ind w:right="437"/>
              <w:spacing w:after="0"/>
              <w:rPr>
                <w:sz w:val="20"/>
                <w:szCs w:val="20"/>
                <w:color w:val="auto"/>
              </w:rPr>
            </w:pPr>
            <w:r>
              <w:rPr>
                <w:rFonts w:ascii="Arial" w:cs="Arial" w:eastAsia="Arial" w:hAnsi="Arial"/>
                <w:sz w:val="14"/>
                <w:szCs w:val="14"/>
                <w:b w:val="1"/>
                <w:bCs w:val="1"/>
                <w:color w:val="FFFFFF"/>
              </w:rPr>
              <w:t>Restricted Share Unit Awards</w:t>
            </w:r>
            <w:r>
              <w:rPr>
                <w:rFonts w:ascii="Arial" w:cs="Arial" w:eastAsia="Arial" w:hAnsi="Arial"/>
                <w:sz w:val="24"/>
                <w:szCs w:val="24"/>
                <w:b w:val="1"/>
                <w:bCs w:val="1"/>
                <w:color w:val="FFFFFF"/>
                <w:vertAlign w:val="superscript"/>
              </w:rPr>
              <w:t>(1)</w:t>
            </w:r>
          </w:p>
        </w:tc>
        <w:tc>
          <w:tcPr>
            <w:tcW w:w="0" w:type="dxa"/>
            <w:vAlign w:val="bottom"/>
          </w:tcPr>
          <w:p>
            <w:pPr>
              <w:spacing w:after="0"/>
              <w:rPr>
                <w:sz w:val="1"/>
                <w:szCs w:val="1"/>
                <w:color w:val="auto"/>
              </w:rPr>
            </w:pPr>
          </w:p>
        </w:tc>
      </w:tr>
      <w:tr>
        <w:trPr>
          <w:trHeight w:val="127"/>
        </w:trPr>
        <w:tc>
          <w:tcPr>
            <w:tcW w:w="378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20" w:type="dxa"/>
            <w:vAlign w:val="bottom"/>
            <w:shd w:val="clear" w:color="auto" w:fill="7F7F7F"/>
          </w:tcPr>
          <w:p>
            <w:pPr>
              <w:spacing w:after="0"/>
              <w:rPr>
                <w:sz w:val="11"/>
                <w:szCs w:val="11"/>
                <w:color w:val="auto"/>
              </w:rPr>
            </w:pPr>
          </w:p>
        </w:tc>
        <w:tc>
          <w:tcPr>
            <w:tcW w:w="960" w:type="dxa"/>
            <w:vAlign w:val="bottom"/>
            <w:shd w:val="clear" w:color="auto" w:fill="7F7F7F"/>
          </w:tcPr>
          <w:p>
            <w:pPr>
              <w:spacing w:after="0"/>
              <w:rPr>
                <w:sz w:val="11"/>
                <w:szCs w:val="11"/>
                <w:color w:val="auto"/>
              </w:rPr>
            </w:pPr>
          </w:p>
        </w:tc>
        <w:tc>
          <w:tcPr>
            <w:tcW w:w="640" w:type="dxa"/>
            <w:vAlign w:val="bottom"/>
            <w:shd w:val="clear" w:color="auto" w:fill="7F7F7F"/>
          </w:tcPr>
          <w:p>
            <w:pPr>
              <w:spacing w:after="0"/>
              <w:rPr>
                <w:sz w:val="11"/>
                <w:szCs w:val="11"/>
                <w:color w:val="auto"/>
              </w:rPr>
            </w:pPr>
          </w:p>
        </w:tc>
        <w:tc>
          <w:tcPr>
            <w:tcW w:w="740" w:type="dxa"/>
            <w:vAlign w:val="bottom"/>
            <w:shd w:val="clear" w:color="auto" w:fill="7F7F7F"/>
          </w:tcPr>
          <w:p>
            <w:pPr>
              <w:spacing w:after="0"/>
              <w:rPr>
                <w:sz w:val="11"/>
                <w:szCs w:val="11"/>
                <w:color w:val="auto"/>
              </w:rPr>
            </w:pPr>
          </w:p>
        </w:tc>
        <w:tc>
          <w:tcPr>
            <w:tcW w:w="940" w:type="dxa"/>
            <w:vAlign w:val="bottom"/>
            <w:shd w:val="clear" w:color="auto" w:fill="7F7F7F"/>
          </w:tcPr>
          <w:p>
            <w:pPr>
              <w:spacing w:after="0"/>
              <w:rPr>
                <w:sz w:val="11"/>
                <w:szCs w:val="11"/>
                <w:color w:val="auto"/>
              </w:rPr>
            </w:pPr>
          </w:p>
        </w:tc>
        <w:tc>
          <w:tcPr>
            <w:tcW w:w="700" w:type="dxa"/>
            <w:vAlign w:val="bottom"/>
            <w:shd w:val="clear" w:color="auto" w:fill="7F7F7F"/>
          </w:tcPr>
          <w:p>
            <w:pPr>
              <w:spacing w:after="0"/>
              <w:rPr>
                <w:sz w:val="11"/>
                <w:szCs w:val="11"/>
                <w:color w:val="auto"/>
              </w:rPr>
            </w:pPr>
          </w:p>
        </w:tc>
        <w:tc>
          <w:tcPr>
            <w:tcW w:w="760" w:type="dxa"/>
            <w:vAlign w:val="bottom"/>
            <w:shd w:val="clear" w:color="auto" w:fill="7F7F7F"/>
          </w:tcPr>
          <w:p>
            <w:pPr>
              <w:jc w:val="right"/>
              <w:ind w:right="117"/>
              <w:spacing w:after="0" w:line="127" w:lineRule="exact"/>
              <w:rPr>
                <w:sz w:val="20"/>
                <w:szCs w:val="20"/>
                <w:color w:val="auto"/>
              </w:rPr>
            </w:pPr>
            <w:r>
              <w:rPr>
                <w:rFonts w:ascii="Arial" w:cs="Arial" w:eastAsia="Arial" w:hAnsi="Arial"/>
                <w:sz w:val="13"/>
                <w:szCs w:val="13"/>
                <w:b w:val="1"/>
                <w:bCs w:val="1"/>
                <w:color w:val="FFFFFF"/>
              </w:rPr>
              <w:t>Equity</w:t>
            </w:r>
          </w:p>
        </w:tc>
        <w:tc>
          <w:tcPr>
            <w:tcW w:w="740" w:type="dxa"/>
            <w:vAlign w:val="bottom"/>
            <w:shd w:val="clear" w:color="auto" w:fill="7F7F7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20" w:type="dxa"/>
            <w:vAlign w:val="bottom"/>
            <w:shd w:val="clear" w:color="auto" w:fill="7F7F7F"/>
          </w:tcPr>
          <w:p>
            <w:pPr>
              <w:spacing w:after="0"/>
              <w:rPr>
                <w:sz w:val="11"/>
                <w:szCs w:val="11"/>
                <w:color w:val="auto"/>
              </w:rPr>
            </w:pPr>
          </w:p>
        </w:tc>
        <w:tc>
          <w:tcPr>
            <w:tcW w:w="960" w:type="dxa"/>
            <w:vAlign w:val="bottom"/>
            <w:shd w:val="clear" w:color="auto" w:fill="7F7F7F"/>
          </w:tcPr>
          <w:p>
            <w:pPr>
              <w:spacing w:after="0"/>
              <w:rPr>
                <w:sz w:val="11"/>
                <w:szCs w:val="11"/>
                <w:color w:val="auto"/>
              </w:rPr>
            </w:pPr>
          </w:p>
        </w:tc>
        <w:tc>
          <w:tcPr>
            <w:tcW w:w="640" w:type="dxa"/>
            <w:vAlign w:val="bottom"/>
            <w:shd w:val="clear" w:color="auto" w:fill="7F7F7F"/>
          </w:tcPr>
          <w:p>
            <w:pPr>
              <w:spacing w:after="0"/>
              <w:rPr>
                <w:sz w:val="11"/>
                <w:szCs w:val="11"/>
                <w:color w:val="auto"/>
              </w:rPr>
            </w:pPr>
          </w:p>
        </w:tc>
        <w:tc>
          <w:tcPr>
            <w:tcW w:w="740" w:type="dxa"/>
            <w:vAlign w:val="bottom"/>
            <w:shd w:val="clear" w:color="auto" w:fill="7F7F7F"/>
          </w:tcPr>
          <w:p>
            <w:pPr>
              <w:spacing w:after="0"/>
              <w:rPr>
                <w:sz w:val="11"/>
                <w:szCs w:val="11"/>
                <w:color w:val="auto"/>
              </w:rPr>
            </w:pPr>
          </w:p>
        </w:tc>
        <w:tc>
          <w:tcPr>
            <w:tcW w:w="940" w:type="dxa"/>
            <w:vAlign w:val="bottom"/>
            <w:shd w:val="clear" w:color="auto" w:fill="7F7F7F"/>
          </w:tcPr>
          <w:p>
            <w:pPr>
              <w:spacing w:after="0"/>
              <w:rPr>
                <w:sz w:val="11"/>
                <w:szCs w:val="11"/>
                <w:color w:val="auto"/>
              </w:rPr>
            </w:pPr>
          </w:p>
        </w:tc>
        <w:tc>
          <w:tcPr>
            <w:tcW w:w="700" w:type="dxa"/>
            <w:vAlign w:val="bottom"/>
            <w:shd w:val="clear" w:color="auto" w:fill="7F7F7F"/>
          </w:tcPr>
          <w:p>
            <w:pPr>
              <w:spacing w:after="0"/>
              <w:rPr>
                <w:sz w:val="11"/>
                <w:szCs w:val="11"/>
                <w:color w:val="auto"/>
              </w:rPr>
            </w:pPr>
          </w:p>
        </w:tc>
        <w:tc>
          <w:tcPr>
            <w:tcW w:w="76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Incentive</w:t>
            </w:r>
          </w:p>
        </w:tc>
        <w:tc>
          <w:tcPr>
            <w:tcW w:w="740" w:type="dxa"/>
            <w:vAlign w:val="bottom"/>
            <w:shd w:val="clear" w:color="auto" w:fill="7F7F7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20" w:type="dxa"/>
            <w:vAlign w:val="bottom"/>
            <w:shd w:val="clear" w:color="auto" w:fill="7F7F7F"/>
          </w:tcPr>
          <w:p>
            <w:pPr>
              <w:spacing w:after="0"/>
              <w:rPr>
                <w:sz w:val="11"/>
                <w:szCs w:val="11"/>
                <w:color w:val="auto"/>
              </w:rPr>
            </w:pPr>
          </w:p>
        </w:tc>
        <w:tc>
          <w:tcPr>
            <w:tcW w:w="960" w:type="dxa"/>
            <w:vAlign w:val="bottom"/>
            <w:shd w:val="clear" w:color="auto" w:fill="7F7F7F"/>
          </w:tcPr>
          <w:p>
            <w:pPr>
              <w:spacing w:after="0"/>
              <w:rPr>
                <w:sz w:val="11"/>
                <w:szCs w:val="11"/>
                <w:color w:val="auto"/>
              </w:rPr>
            </w:pPr>
          </w:p>
        </w:tc>
        <w:tc>
          <w:tcPr>
            <w:tcW w:w="640" w:type="dxa"/>
            <w:vAlign w:val="bottom"/>
            <w:shd w:val="clear" w:color="auto" w:fill="7F7F7F"/>
          </w:tcPr>
          <w:p>
            <w:pPr>
              <w:spacing w:after="0"/>
              <w:rPr>
                <w:sz w:val="11"/>
                <w:szCs w:val="11"/>
                <w:color w:val="auto"/>
              </w:rPr>
            </w:pPr>
          </w:p>
        </w:tc>
        <w:tc>
          <w:tcPr>
            <w:tcW w:w="740" w:type="dxa"/>
            <w:vAlign w:val="bottom"/>
            <w:shd w:val="clear" w:color="auto" w:fill="7F7F7F"/>
          </w:tcPr>
          <w:p>
            <w:pPr>
              <w:spacing w:after="0"/>
              <w:rPr>
                <w:sz w:val="11"/>
                <w:szCs w:val="11"/>
                <w:color w:val="auto"/>
              </w:rPr>
            </w:pPr>
          </w:p>
        </w:tc>
        <w:tc>
          <w:tcPr>
            <w:tcW w:w="940" w:type="dxa"/>
            <w:vAlign w:val="bottom"/>
            <w:shd w:val="clear" w:color="auto" w:fill="7F7F7F"/>
          </w:tcPr>
          <w:p>
            <w:pPr>
              <w:spacing w:after="0"/>
              <w:rPr>
                <w:sz w:val="11"/>
                <w:szCs w:val="11"/>
                <w:color w:val="auto"/>
              </w:rPr>
            </w:pPr>
          </w:p>
        </w:tc>
        <w:tc>
          <w:tcPr>
            <w:tcW w:w="70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Market</w:t>
            </w:r>
          </w:p>
        </w:tc>
        <w:tc>
          <w:tcPr>
            <w:tcW w:w="76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4"/>
              </w:rPr>
              <w:t>Plan</w:t>
            </w:r>
          </w:p>
        </w:tc>
        <w:tc>
          <w:tcPr>
            <w:tcW w:w="740" w:type="dxa"/>
            <w:vAlign w:val="bottom"/>
            <w:vMerge w:val="restart"/>
            <w:shd w:val="clear" w:color="auto" w:fill="7F7F7F"/>
          </w:tcPr>
          <w:p>
            <w:pPr>
              <w:jc w:val="center"/>
              <w:spacing w:after="0"/>
              <w:rPr>
                <w:sz w:val="20"/>
                <w:szCs w:val="20"/>
                <w:color w:val="auto"/>
              </w:rPr>
            </w:pPr>
            <w:r>
              <w:rPr>
                <w:rFonts w:ascii="Arial" w:cs="Arial" w:eastAsia="Arial" w:hAnsi="Arial"/>
                <w:sz w:val="13"/>
                <w:szCs w:val="13"/>
                <w:b w:val="1"/>
                <w:bCs w:val="1"/>
                <w:color w:val="FFFFFF"/>
                <w:w w:val="95"/>
              </w:rPr>
              <w:t>Market</w:t>
            </w:r>
          </w:p>
        </w:tc>
        <w:tc>
          <w:tcPr>
            <w:tcW w:w="0" w:type="dxa"/>
            <w:vAlign w:val="bottom"/>
          </w:tcPr>
          <w:p>
            <w:pPr>
              <w:spacing w:after="0"/>
              <w:rPr>
                <w:sz w:val="1"/>
                <w:szCs w:val="1"/>
                <w:color w:val="auto"/>
              </w:rPr>
            </w:pPr>
          </w:p>
        </w:tc>
      </w:tr>
      <w:tr>
        <w:trPr>
          <w:trHeight w:val="130"/>
        </w:trPr>
        <w:tc>
          <w:tcPr>
            <w:tcW w:w="378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20" w:type="dxa"/>
            <w:vAlign w:val="bottom"/>
            <w:shd w:val="clear" w:color="auto" w:fill="7F7F7F"/>
          </w:tcPr>
          <w:p>
            <w:pPr>
              <w:spacing w:after="0"/>
              <w:rPr>
                <w:sz w:val="11"/>
                <w:szCs w:val="11"/>
                <w:color w:val="auto"/>
              </w:rPr>
            </w:pPr>
          </w:p>
        </w:tc>
        <w:tc>
          <w:tcPr>
            <w:tcW w:w="960" w:type="dxa"/>
            <w:vAlign w:val="bottom"/>
            <w:shd w:val="clear" w:color="auto" w:fill="7F7F7F"/>
          </w:tcPr>
          <w:p>
            <w:pPr>
              <w:spacing w:after="0"/>
              <w:rPr>
                <w:sz w:val="11"/>
                <w:szCs w:val="11"/>
                <w:color w:val="auto"/>
              </w:rPr>
            </w:pPr>
          </w:p>
        </w:tc>
        <w:tc>
          <w:tcPr>
            <w:tcW w:w="640" w:type="dxa"/>
            <w:vAlign w:val="bottom"/>
            <w:shd w:val="clear" w:color="auto" w:fill="7F7F7F"/>
          </w:tcPr>
          <w:p>
            <w:pPr>
              <w:spacing w:after="0"/>
              <w:rPr>
                <w:sz w:val="11"/>
                <w:szCs w:val="11"/>
                <w:color w:val="auto"/>
              </w:rPr>
            </w:pPr>
          </w:p>
        </w:tc>
        <w:tc>
          <w:tcPr>
            <w:tcW w:w="740" w:type="dxa"/>
            <w:vAlign w:val="bottom"/>
            <w:shd w:val="clear" w:color="auto" w:fill="7F7F7F"/>
          </w:tcPr>
          <w:p>
            <w:pPr>
              <w:spacing w:after="0"/>
              <w:rPr>
                <w:sz w:val="11"/>
                <w:szCs w:val="11"/>
                <w:color w:val="auto"/>
              </w:rPr>
            </w:pPr>
          </w:p>
        </w:tc>
        <w:tc>
          <w:tcPr>
            <w:tcW w:w="940" w:type="dxa"/>
            <w:vAlign w:val="bottom"/>
            <w:shd w:val="clear" w:color="auto" w:fill="7F7F7F"/>
          </w:tcPr>
          <w:p>
            <w:pPr>
              <w:spacing w:after="0"/>
              <w:rPr>
                <w:sz w:val="11"/>
                <w:szCs w:val="11"/>
                <w:color w:val="auto"/>
              </w:rPr>
            </w:pPr>
          </w:p>
        </w:tc>
        <w:tc>
          <w:tcPr>
            <w:tcW w:w="700" w:type="dxa"/>
            <w:vAlign w:val="bottom"/>
            <w:shd w:val="clear" w:color="auto" w:fill="7F7F7F"/>
          </w:tcPr>
          <w:p>
            <w:pPr>
              <w:jc w:val="center"/>
              <w:spacing w:after="0" w:line="130" w:lineRule="exact"/>
              <w:rPr>
                <w:sz w:val="20"/>
                <w:szCs w:val="20"/>
                <w:color w:val="auto"/>
              </w:rPr>
            </w:pPr>
            <w:r>
              <w:rPr>
                <w:rFonts w:ascii="Arial" w:cs="Arial" w:eastAsia="Arial" w:hAnsi="Arial"/>
                <w:sz w:val="13"/>
                <w:szCs w:val="13"/>
                <w:b w:val="1"/>
                <w:bCs w:val="1"/>
                <w:color w:val="FFFFFF"/>
                <w:w w:val="94"/>
              </w:rPr>
              <w:t>Value of</w:t>
            </w:r>
          </w:p>
        </w:tc>
        <w:tc>
          <w:tcPr>
            <w:tcW w:w="760" w:type="dxa"/>
            <w:vAlign w:val="bottom"/>
            <w:shd w:val="clear" w:color="auto" w:fill="7F7F7F"/>
          </w:tcPr>
          <w:p>
            <w:pPr>
              <w:jc w:val="center"/>
              <w:spacing w:after="0" w:line="130" w:lineRule="exact"/>
              <w:rPr>
                <w:sz w:val="20"/>
                <w:szCs w:val="20"/>
                <w:color w:val="auto"/>
              </w:rPr>
            </w:pPr>
            <w:r>
              <w:rPr>
                <w:rFonts w:ascii="Arial" w:cs="Arial" w:eastAsia="Arial" w:hAnsi="Arial"/>
                <w:sz w:val="13"/>
                <w:szCs w:val="13"/>
                <w:b w:val="1"/>
                <w:bCs w:val="1"/>
                <w:color w:val="FFFFFF"/>
                <w:w w:val="97"/>
              </w:rPr>
              <w:t>Awards:</w:t>
            </w:r>
          </w:p>
        </w:tc>
        <w:tc>
          <w:tcPr>
            <w:tcW w:w="740" w:type="dxa"/>
            <w:vAlign w:val="bottom"/>
            <w:vMerge w:val="continue"/>
            <w:shd w:val="clear" w:color="auto" w:fill="7F7F7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20" w:type="dxa"/>
            <w:vAlign w:val="bottom"/>
            <w:shd w:val="clear" w:color="auto" w:fill="7F7F7F"/>
          </w:tcPr>
          <w:p>
            <w:pPr>
              <w:spacing w:after="0"/>
              <w:rPr>
                <w:sz w:val="11"/>
                <w:szCs w:val="11"/>
                <w:color w:val="auto"/>
              </w:rPr>
            </w:pPr>
          </w:p>
        </w:tc>
        <w:tc>
          <w:tcPr>
            <w:tcW w:w="960" w:type="dxa"/>
            <w:vAlign w:val="bottom"/>
            <w:shd w:val="clear" w:color="auto" w:fill="7F7F7F"/>
          </w:tcPr>
          <w:p>
            <w:pPr>
              <w:spacing w:after="0"/>
              <w:rPr>
                <w:sz w:val="11"/>
                <w:szCs w:val="11"/>
                <w:color w:val="auto"/>
              </w:rPr>
            </w:pPr>
          </w:p>
        </w:tc>
        <w:tc>
          <w:tcPr>
            <w:tcW w:w="640" w:type="dxa"/>
            <w:vAlign w:val="bottom"/>
            <w:shd w:val="clear" w:color="auto" w:fill="7F7F7F"/>
          </w:tcPr>
          <w:p>
            <w:pPr>
              <w:spacing w:after="0"/>
              <w:rPr>
                <w:sz w:val="11"/>
                <w:szCs w:val="11"/>
                <w:color w:val="auto"/>
              </w:rPr>
            </w:pPr>
          </w:p>
        </w:tc>
        <w:tc>
          <w:tcPr>
            <w:tcW w:w="740" w:type="dxa"/>
            <w:vAlign w:val="bottom"/>
            <w:shd w:val="clear" w:color="auto" w:fill="7F7F7F"/>
          </w:tcPr>
          <w:p>
            <w:pPr>
              <w:spacing w:after="0"/>
              <w:rPr>
                <w:sz w:val="11"/>
                <w:szCs w:val="11"/>
                <w:color w:val="auto"/>
              </w:rPr>
            </w:pPr>
          </w:p>
        </w:tc>
        <w:tc>
          <w:tcPr>
            <w:tcW w:w="940" w:type="dxa"/>
            <w:vAlign w:val="bottom"/>
            <w:shd w:val="clear" w:color="auto" w:fill="7F7F7F"/>
          </w:tcPr>
          <w:p>
            <w:pPr>
              <w:jc w:val="center"/>
              <w:ind w:right="157"/>
              <w:spacing w:after="0" w:line="135" w:lineRule="exact"/>
              <w:rPr>
                <w:sz w:val="20"/>
                <w:szCs w:val="20"/>
                <w:color w:val="auto"/>
              </w:rPr>
            </w:pPr>
            <w:r>
              <w:rPr>
                <w:rFonts w:ascii="Arial" w:cs="Arial" w:eastAsia="Arial" w:hAnsi="Arial"/>
                <w:sz w:val="13"/>
                <w:szCs w:val="13"/>
                <w:b w:val="1"/>
                <w:bCs w:val="1"/>
                <w:color w:val="FFFFFF"/>
                <w:w w:val="98"/>
              </w:rPr>
              <w:t>Number of</w:t>
            </w:r>
          </w:p>
        </w:tc>
        <w:tc>
          <w:tcPr>
            <w:tcW w:w="70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76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7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0" w:type="dxa"/>
            <w:vAlign w:val="bottom"/>
          </w:tcPr>
          <w:p>
            <w:pPr>
              <w:spacing w:after="0"/>
              <w:rPr>
                <w:sz w:val="1"/>
                <w:szCs w:val="1"/>
                <w:color w:val="auto"/>
              </w:rPr>
            </w:pPr>
          </w:p>
        </w:tc>
      </w:tr>
      <w:tr>
        <w:trPr>
          <w:trHeight w:val="135"/>
        </w:trPr>
        <w:tc>
          <w:tcPr>
            <w:tcW w:w="378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96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640" w:type="dxa"/>
            <w:vAlign w:val="bottom"/>
            <w:shd w:val="clear" w:color="auto" w:fill="7F7F7F"/>
          </w:tcPr>
          <w:p>
            <w:pPr>
              <w:spacing w:after="0"/>
              <w:rPr>
                <w:sz w:val="11"/>
                <w:szCs w:val="11"/>
                <w:color w:val="auto"/>
              </w:rPr>
            </w:pPr>
          </w:p>
        </w:tc>
        <w:tc>
          <w:tcPr>
            <w:tcW w:w="740" w:type="dxa"/>
            <w:vAlign w:val="bottom"/>
            <w:shd w:val="clear" w:color="auto" w:fill="7F7F7F"/>
          </w:tcPr>
          <w:p>
            <w:pPr>
              <w:spacing w:after="0"/>
              <w:rPr>
                <w:sz w:val="11"/>
                <w:szCs w:val="11"/>
                <w:color w:val="auto"/>
              </w:rPr>
            </w:pPr>
          </w:p>
        </w:tc>
        <w:tc>
          <w:tcPr>
            <w:tcW w:w="940" w:type="dxa"/>
            <w:vAlign w:val="bottom"/>
            <w:shd w:val="clear" w:color="auto" w:fill="7F7F7F"/>
          </w:tcPr>
          <w:p>
            <w:pPr>
              <w:jc w:val="center"/>
              <w:ind w:right="137"/>
              <w:spacing w:after="0" w:line="135" w:lineRule="exact"/>
              <w:rPr>
                <w:sz w:val="20"/>
                <w:szCs w:val="20"/>
                <w:color w:val="auto"/>
              </w:rPr>
            </w:pPr>
            <w:r>
              <w:rPr>
                <w:rFonts w:ascii="Arial" w:cs="Arial" w:eastAsia="Arial" w:hAnsi="Arial"/>
                <w:sz w:val="13"/>
                <w:szCs w:val="13"/>
                <w:b w:val="1"/>
                <w:bCs w:val="1"/>
                <w:color w:val="FFFFFF"/>
                <w:w w:val="96"/>
              </w:rPr>
              <w:t>Shares or</w:t>
            </w:r>
          </w:p>
        </w:tc>
        <w:tc>
          <w:tcPr>
            <w:tcW w:w="70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9"/>
              </w:rPr>
              <w:t>Units of</w:t>
            </w:r>
          </w:p>
        </w:tc>
        <w:tc>
          <w:tcPr>
            <w:tcW w:w="760" w:type="dxa"/>
            <w:vAlign w:val="bottom"/>
            <w:shd w:val="clear" w:color="auto" w:fill="7F7F7F"/>
          </w:tcPr>
          <w:p>
            <w:pPr>
              <w:jc w:val="right"/>
              <w:ind w:right="17"/>
              <w:spacing w:after="0" w:line="135" w:lineRule="exact"/>
              <w:rPr>
                <w:sz w:val="20"/>
                <w:szCs w:val="20"/>
                <w:color w:val="auto"/>
              </w:rPr>
            </w:pPr>
            <w:r>
              <w:rPr>
                <w:rFonts w:ascii="Arial" w:cs="Arial" w:eastAsia="Arial" w:hAnsi="Arial"/>
                <w:sz w:val="13"/>
                <w:szCs w:val="13"/>
                <w:b w:val="1"/>
                <w:bCs w:val="1"/>
                <w:color w:val="FFFFFF"/>
              </w:rPr>
              <w:t>Securities</w:t>
            </w:r>
          </w:p>
        </w:tc>
        <w:tc>
          <w:tcPr>
            <w:tcW w:w="7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0" w:type="dxa"/>
            <w:vAlign w:val="bottom"/>
          </w:tcPr>
          <w:p>
            <w:pPr>
              <w:spacing w:after="0"/>
              <w:rPr>
                <w:sz w:val="1"/>
                <w:szCs w:val="1"/>
                <w:color w:val="auto"/>
              </w:rPr>
            </w:pPr>
          </w:p>
        </w:tc>
      </w:tr>
      <w:tr>
        <w:trPr>
          <w:trHeight w:val="135"/>
        </w:trPr>
        <w:tc>
          <w:tcPr>
            <w:tcW w:w="378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96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640" w:type="dxa"/>
            <w:vAlign w:val="bottom"/>
            <w:shd w:val="clear" w:color="auto" w:fill="7F7F7F"/>
          </w:tcPr>
          <w:p>
            <w:pPr>
              <w:spacing w:after="0"/>
              <w:rPr>
                <w:sz w:val="11"/>
                <w:szCs w:val="11"/>
                <w:color w:val="auto"/>
              </w:rPr>
            </w:pPr>
          </w:p>
        </w:tc>
        <w:tc>
          <w:tcPr>
            <w:tcW w:w="740" w:type="dxa"/>
            <w:vAlign w:val="bottom"/>
            <w:shd w:val="clear" w:color="auto" w:fill="7F7F7F"/>
          </w:tcPr>
          <w:p>
            <w:pPr>
              <w:spacing w:after="0"/>
              <w:rPr>
                <w:sz w:val="11"/>
                <w:szCs w:val="11"/>
                <w:color w:val="auto"/>
              </w:rPr>
            </w:pPr>
          </w:p>
        </w:tc>
        <w:tc>
          <w:tcPr>
            <w:tcW w:w="940" w:type="dxa"/>
            <w:vAlign w:val="bottom"/>
            <w:shd w:val="clear" w:color="auto" w:fill="7F7F7F"/>
          </w:tcPr>
          <w:p>
            <w:pPr>
              <w:jc w:val="center"/>
              <w:ind w:right="157"/>
              <w:spacing w:after="0" w:line="135" w:lineRule="exact"/>
              <w:rPr>
                <w:sz w:val="20"/>
                <w:szCs w:val="20"/>
                <w:color w:val="auto"/>
              </w:rPr>
            </w:pPr>
            <w:r>
              <w:rPr>
                <w:rFonts w:ascii="Arial" w:cs="Arial" w:eastAsia="Arial" w:hAnsi="Arial"/>
                <w:sz w:val="13"/>
                <w:szCs w:val="13"/>
                <w:b w:val="1"/>
                <w:bCs w:val="1"/>
                <w:color w:val="FFFFFF"/>
                <w:w w:val="99"/>
              </w:rPr>
              <w:t>Units of</w:t>
            </w:r>
          </w:p>
        </w:tc>
        <w:tc>
          <w:tcPr>
            <w:tcW w:w="70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76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7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4"/>
              </w:rPr>
              <w:t>Units of</w:t>
            </w:r>
          </w:p>
        </w:tc>
        <w:tc>
          <w:tcPr>
            <w:tcW w:w="0" w:type="dxa"/>
            <w:vAlign w:val="bottom"/>
          </w:tcPr>
          <w:p>
            <w:pPr>
              <w:spacing w:after="0"/>
              <w:rPr>
                <w:sz w:val="1"/>
                <w:szCs w:val="1"/>
                <w:color w:val="auto"/>
              </w:rPr>
            </w:pPr>
          </w:p>
        </w:tc>
      </w:tr>
      <w:tr>
        <w:trPr>
          <w:trHeight w:val="135"/>
        </w:trPr>
        <w:tc>
          <w:tcPr>
            <w:tcW w:w="378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96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4"/>
              </w:rPr>
              <w:t>Underlying</w:t>
            </w:r>
          </w:p>
        </w:tc>
        <w:tc>
          <w:tcPr>
            <w:tcW w:w="6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740" w:type="dxa"/>
            <w:vAlign w:val="bottom"/>
            <w:shd w:val="clear" w:color="auto" w:fill="7F7F7F"/>
          </w:tcPr>
          <w:p>
            <w:pPr>
              <w:spacing w:after="0"/>
              <w:rPr>
                <w:sz w:val="11"/>
                <w:szCs w:val="11"/>
                <w:color w:val="auto"/>
              </w:rPr>
            </w:pPr>
          </w:p>
        </w:tc>
        <w:tc>
          <w:tcPr>
            <w:tcW w:w="940" w:type="dxa"/>
            <w:vAlign w:val="bottom"/>
            <w:shd w:val="clear" w:color="auto" w:fill="7F7F7F"/>
          </w:tcPr>
          <w:p>
            <w:pPr>
              <w:jc w:val="center"/>
              <w:ind w:right="157"/>
              <w:spacing w:after="0" w:line="135" w:lineRule="exact"/>
              <w:rPr>
                <w:sz w:val="20"/>
                <w:szCs w:val="20"/>
                <w:color w:val="auto"/>
              </w:rPr>
            </w:pPr>
            <w:r>
              <w:rPr>
                <w:rFonts w:ascii="Arial" w:cs="Arial" w:eastAsia="Arial" w:hAnsi="Arial"/>
                <w:sz w:val="13"/>
                <w:szCs w:val="13"/>
                <w:b w:val="1"/>
                <w:bCs w:val="1"/>
                <w:color w:val="FFFFFF"/>
                <w:w w:val="95"/>
              </w:rPr>
              <w:t>Stock that</w:t>
            </w:r>
          </w:p>
        </w:tc>
        <w:tc>
          <w:tcPr>
            <w:tcW w:w="70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rPr>
              <w:t>that</w:t>
            </w:r>
          </w:p>
        </w:tc>
        <w:tc>
          <w:tcPr>
            <w:tcW w:w="760" w:type="dxa"/>
            <w:vAlign w:val="bottom"/>
            <w:shd w:val="clear" w:color="auto" w:fill="7F7F7F"/>
          </w:tcPr>
          <w:p>
            <w:pPr>
              <w:jc w:val="right"/>
              <w:ind w:right="17"/>
              <w:spacing w:after="0" w:line="135" w:lineRule="exact"/>
              <w:rPr>
                <w:sz w:val="20"/>
                <w:szCs w:val="20"/>
                <w:color w:val="auto"/>
              </w:rPr>
            </w:pPr>
            <w:r>
              <w:rPr>
                <w:rFonts w:ascii="Arial" w:cs="Arial" w:eastAsia="Arial" w:hAnsi="Arial"/>
                <w:sz w:val="13"/>
                <w:szCs w:val="13"/>
                <w:b w:val="1"/>
                <w:bCs w:val="1"/>
                <w:color w:val="FFFFFF"/>
              </w:rPr>
              <w:t>Unearned</w:t>
            </w:r>
          </w:p>
        </w:tc>
        <w:tc>
          <w:tcPr>
            <w:tcW w:w="7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8"/>
              </w:rPr>
              <w:t>Stock that</w:t>
            </w:r>
          </w:p>
        </w:tc>
        <w:tc>
          <w:tcPr>
            <w:tcW w:w="0" w:type="dxa"/>
            <w:vAlign w:val="bottom"/>
          </w:tcPr>
          <w:p>
            <w:pPr>
              <w:spacing w:after="0"/>
              <w:rPr>
                <w:sz w:val="1"/>
                <w:szCs w:val="1"/>
                <w:color w:val="auto"/>
              </w:rPr>
            </w:pPr>
          </w:p>
        </w:tc>
      </w:tr>
      <w:tr>
        <w:trPr>
          <w:trHeight w:val="135"/>
        </w:trPr>
        <w:tc>
          <w:tcPr>
            <w:tcW w:w="378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96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640" w:type="dxa"/>
            <w:vAlign w:val="bottom"/>
            <w:shd w:val="clear" w:color="auto" w:fill="7F7F7F"/>
          </w:tcPr>
          <w:p>
            <w:pPr>
              <w:jc w:val="right"/>
              <w:spacing w:after="0" w:line="135" w:lineRule="exact"/>
              <w:rPr>
                <w:sz w:val="20"/>
                <w:szCs w:val="20"/>
                <w:color w:val="auto"/>
              </w:rPr>
            </w:pPr>
            <w:r>
              <w:rPr>
                <w:rFonts w:ascii="Arial" w:cs="Arial" w:eastAsia="Arial" w:hAnsi="Arial"/>
                <w:sz w:val="13"/>
                <w:szCs w:val="13"/>
                <w:b w:val="1"/>
                <w:bCs w:val="1"/>
                <w:color w:val="FFFFFF"/>
              </w:rPr>
              <w:t>Exercise</w:t>
            </w:r>
          </w:p>
        </w:tc>
        <w:tc>
          <w:tcPr>
            <w:tcW w:w="7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940" w:type="dxa"/>
            <w:vAlign w:val="bottom"/>
            <w:shd w:val="clear" w:color="auto" w:fill="7F7F7F"/>
          </w:tcPr>
          <w:p>
            <w:pPr>
              <w:jc w:val="center"/>
              <w:ind w:right="157"/>
              <w:spacing w:after="0" w:line="135" w:lineRule="exact"/>
              <w:rPr>
                <w:sz w:val="20"/>
                <w:szCs w:val="20"/>
                <w:color w:val="auto"/>
              </w:rPr>
            </w:pPr>
            <w:r>
              <w:rPr>
                <w:rFonts w:ascii="Arial" w:cs="Arial" w:eastAsia="Arial" w:hAnsi="Arial"/>
                <w:sz w:val="13"/>
                <w:szCs w:val="13"/>
                <w:b w:val="1"/>
                <w:bCs w:val="1"/>
                <w:color w:val="FFFFFF"/>
                <w:w w:val="99"/>
              </w:rPr>
              <w:t>Have Not</w:t>
            </w:r>
          </w:p>
        </w:tc>
        <w:tc>
          <w:tcPr>
            <w:tcW w:w="70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9"/>
              </w:rPr>
              <w:t>Have Not</w:t>
            </w:r>
          </w:p>
        </w:tc>
        <w:tc>
          <w:tcPr>
            <w:tcW w:w="76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9"/>
              </w:rPr>
              <w:t>Units of</w:t>
            </w:r>
          </w:p>
        </w:tc>
        <w:tc>
          <w:tcPr>
            <w:tcW w:w="7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Have Not</w:t>
            </w:r>
          </w:p>
        </w:tc>
        <w:tc>
          <w:tcPr>
            <w:tcW w:w="0" w:type="dxa"/>
            <w:vAlign w:val="bottom"/>
          </w:tcPr>
          <w:p>
            <w:pPr>
              <w:spacing w:after="0"/>
              <w:rPr>
                <w:sz w:val="1"/>
                <w:szCs w:val="1"/>
                <w:color w:val="auto"/>
              </w:rPr>
            </w:pPr>
          </w:p>
        </w:tc>
      </w:tr>
      <w:tr>
        <w:trPr>
          <w:trHeight w:val="135"/>
        </w:trPr>
        <w:tc>
          <w:tcPr>
            <w:tcW w:w="3780" w:type="dxa"/>
            <w:vAlign w:val="bottom"/>
            <w:shd w:val="clear" w:color="auto" w:fill="7F7F7F"/>
          </w:tcPr>
          <w:p>
            <w:pPr>
              <w:spacing w:after="0"/>
              <w:rPr>
                <w:sz w:val="11"/>
                <w:szCs w:val="11"/>
                <w:color w:val="auto"/>
              </w:rPr>
            </w:pPr>
          </w:p>
        </w:tc>
        <w:tc>
          <w:tcPr>
            <w:tcW w:w="840" w:type="dxa"/>
            <w:vAlign w:val="bottom"/>
            <w:shd w:val="clear" w:color="auto" w:fill="7F7F7F"/>
          </w:tcPr>
          <w:p>
            <w:pPr>
              <w:spacing w:after="0"/>
              <w:rPr>
                <w:sz w:val="11"/>
                <w:szCs w:val="11"/>
                <w:color w:val="auto"/>
              </w:rPr>
            </w:pPr>
          </w:p>
        </w:tc>
        <w:tc>
          <w:tcPr>
            <w:tcW w:w="92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6"/>
              </w:rPr>
              <w:t>Options (#)</w:t>
            </w:r>
          </w:p>
        </w:tc>
        <w:tc>
          <w:tcPr>
            <w:tcW w:w="96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9"/>
              </w:rPr>
              <w:t>Options (#)</w:t>
            </w:r>
          </w:p>
        </w:tc>
        <w:tc>
          <w:tcPr>
            <w:tcW w:w="6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4"/>
              </w:rPr>
              <w:t>Price</w:t>
            </w:r>
          </w:p>
        </w:tc>
        <w:tc>
          <w:tcPr>
            <w:tcW w:w="74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940" w:type="dxa"/>
            <w:vAlign w:val="bottom"/>
            <w:shd w:val="clear" w:color="auto" w:fill="7F7F7F"/>
          </w:tcPr>
          <w:p>
            <w:pPr>
              <w:jc w:val="center"/>
              <w:ind w:right="197"/>
              <w:spacing w:after="0" w:line="135" w:lineRule="exact"/>
              <w:rPr>
                <w:sz w:val="20"/>
                <w:szCs w:val="20"/>
                <w:color w:val="auto"/>
              </w:rPr>
            </w:pPr>
            <w:r>
              <w:rPr>
                <w:rFonts w:ascii="Arial" w:cs="Arial" w:eastAsia="Arial" w:hAnsi="Arial"/>
                <w:sz w:val="13"/>
                <w:szCs w:val="13"/>
                <w:b w:val="1"/>
                <w:bCs w:val="1"/>
                <w:color w:val="FFFFFF"/>
                <w:w w:val="93"/>
              </w:rPr>
              <w:t>Vested</w:t>
            </w:r>
          </w:p>
        </w:tc>
        <w:tc>
          <w:tcPr>
            <w:tcW w:w="70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760" w:type="dxa"/>
            <w:vAlign w:val="bottom"/>
            <w:shd w:val="clear" w:color="auto" w:fill="7F7F7F"/>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740" w:type="dxa"/>
            <w:vAlign w:val="bottom"/>
            <w:shd w:val="clear" w:color="auto" w:fill="7F7F7F"/>
          </w:tcPr>
          <w:p>
            <w:pPr>
              <w:jc w:val="center"/>
              <w:ind w:right="17"/>
              <w:spacing w:after="0" w:line="135" w:lineRule="exact"/>
              <w:rPr>
                <w:sz w:val="20"/>
                <w:szCs w:val="20"/>
                <w:color w:val="auto"/>
              </w:rPr>
            </w:pPr>
            <w:r>
              <w:rPr>
                <w:rFonts w:ascii="Arial" w:cs="Arial" w:eastAsia="Arial" w:hAnsi="Arial"/>
                <w:sz w:val="13"/>
                <w:szCs w:val="13"/>
                <w:b w:val="1"/>
                <w:bCs w:val="1"/>
                <w:color w:val="FFFFFF"/>
                <w:w w:val="98"/>
              </w:rPr>
              <w:t>Vested</w:t>
            </w:r>
          </w:p>
        </w:tc>
        <w:tc>
          <w:tcPr>
            <w:tcW w:w="0" w:type="dxa"/>
            <w:vAlign w:val="bottom"/>
          </w:tcPr>
          <w:p>
            <w:pPr>
              <w:spacing w:after="0"/>
              <w:rPr>
                <w:sz w:val="1"/>
                <w:szCs w:val="1"/>
                <w:color w:val="auto"/>
              </w:rPr>
            </w:pPr>
          </w:p>
        </w:tc>
      </w:tr>
      <w:tr>
        <w:trPr>
          <w:trHeight w:val="162"/>
        </w:trPr>
        <w:tc>
          <w:tcPr>
            <w:tcW w:w="3780" w:type="dxa"/>
            <w:vAlign w:val="bottom"/>
            <w:shd w:val="clear" w:color="auto" w:fill="7F7F7F"/>
          </w:tcPr>
          <w:p>
            <w:pPr>
              <w:ind w:left="20"/>
              <w:spacing w:after="0"/>
              <w:rPr>
                <w:sz w:val="20"/>
                <w:szCs w:val="20"/>
                <w:color w:val="auto"/>
              </w:rPr>
            </w:pPr>
            <w:r>
              <w:rPr>
                <w:rFonts w:ascii="Arial" w:cs="Arial" w:eastAsia="Arial" w:hAnsi="Arial"/>
                <w:sz w:val="13"/>
                <w:szCs w:val="13"/>
                <w:b w:val="1"/>
                <w:bCs w:val="1"/>
                <w:color w:val="FFFFFF"/>
              </w:rPr>
              <w:t>Name</w:t>
            </w:r>
          </w:p>
        </w:tc>
        <w:tc>
          <w:tcPr>
            <w:tcW w:w="840" w:type="dxa"/>
            <w:vAlign w:val="bottom"/>
            <w:shd w:val="clear" w:color="auto" w:fill="7F7F7F"/>
          </w:tcPr>
          <w:p>
            <w:pPr>
              <w:jc w:val="right"/>
              <w:ind w:right="57"/>
              <w:spacing w:after="0"/>
              <w:rPr>
                <w:sz w:val="20"/>
                <w:szCs w:val="20"/>
                <w:color w:val="auto"/>
              </w:rPr>
            </w:pPr>
            <w:r>
              <w:rPr>
                <w:rFonts w:ascii="Arial" w:cs="Arial" w:eastAsia="Arial" w:hAnsi="Arial"/>
                <w:sz w:val="13"/>
                <w:szCs w:val="13"/>
                <w:b w:val="1"/>
                <w:bCs w:val="1"/>
                <w:color w:val="FFFFFF"/>
              </w:rPr>
              <w:t>Grant Date</w:t>
            </w:r>
          </w:p>
        </w:tc>
        <w:tc>
          <w:tcPr>
            <w:tcW w:w="920" w:type="dxa"/>
            <w:vAlign w:val="bottom"/>
            <w:shd w:val="clear" w:color="auto" w:fill="7F7F7F"/>
          </w:tcPr>
          <w:p>
            <w:pPr>
              <w:jc w:val="right"/>
              <w:ind w:right="17"/>
              <w:spacing w:after="0"/>
              <w:rPr>
                <w:sz w:val="20"/>
                <w:szCs w:val="20"/>
                <w:color w:val="auto"/>
              </w:rPr>
            </w:pPr>
            <w:r>
              <w:rPr>
                <w:rFonts w:ascii="Arial" w:cs="Arial" w:eastAsia="Arial" w:hAnsi="Arial"/>
                <w:sz w:val="13"/>
                <w:szCs w:val="13"/>
                <w:b w:val="1"/>
                <w:bCs w:val="1"/>
                <w:color w:val="FFFFFF"/>
              </w:rPr>
              <w:t>Exercisable</w:t>
            </w:r>
          </w:p>
        </w:tc>
        <w:tc>
          <w:tcPr>
            <w:tcW w:w="960" w:type="dxa"/>
            <w:vAlign w:val="bottom"/>
            <w:shd w:val="clear" w:color="auto" w:fill="7F7F7F"/>
          </w:tcPr>
          <w:p>
            <w:pPr>
              <w:jc w:val="center"/>
              <w:spacing w:after="0"/>
              <w:rPr>
                <w:sz w:val="20"/>
                <w:szCs w:val="20"/>
                <w:color w:val="auto"/>
              </w:rPr>
            </w:pPr>
            <w:r>
              <w:rPr>
                <w:rFonts w:ascii="Arial" w:cs="Arial" w:eastAsia="Arial" w:hAnsi="Arial"/>
                <w:sz w:val="13"/>
                <w:szCs w:val="13"/>
                <w:b w:val="1"/>
                <w:bCs w:val="1"/>
                <w:color w:val="FFFFFF"/>
                <w:w w:val="95"/>
              </w:rPr>
              <w:t>Unexercisable</w:t>
            </w:r>
          </w:p>
        </w:tc>
        <w:tc>
          <w:tcPr>
            <w:tcW w:w="640" w:type="dxa"/>
            <w:vAlign w:val="bottom"/>
            <w:shd w:val="clear" w:color="auto" w:fill="7F7F7F"/>
          </w:tcPr>
          <w:p>
            <w:pPr>
              <w:jc w:val="center"/>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7F7F7F"/>
          </w:tcPr>
          <w:p>
            <w:pPr>
              <w:jc w:val="center"/>
              <w:spacing w:after="0"/>
              <w:rPr>
                <w:sz w:val="20"/>
                <w:szCs w:val="20"/>
                <w:color w:val="auto"/>
              </w:rPr>
            </w:pPr>
            <w:r>
              <w:rPr>
                <w:rFonts w:ascii="Arial" w:cs="Arial" w:eastAsia="Arial" w:hAnsi="Arial"/>
                <w:sz w:val="13"/>
                <w:szCs w:val="13"/>
                <w:b w:val="1"/>
                <w:bCs w:val="1"/>
                <w:color w:val="FFFFFF"/>
                <w:w w:val="99"/>
              </w:rPr>
              <w:t>Date</w:t>
            </w:r>
          </w:p>
        </w:tc>
        <w:tc>
          <w:tcPr>
            <w:tcW w:w="940" w:type="dxa"/>
            <w:vAlign w:val="bottom"/>
            <w:shd w:val="clear" w:color="auto" w:fill="7F7F7F"/>
          </w:tcPr>
          <w:p>
            <w:pPr>
              <w:jc w:val="center"/>
              <w:ind w:right="157"/>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7F7F7F"/>
          </w:tcPr>
          <w:p>
            <w:pPr>
              <w:jc w:val="center"/>
              <w:spacing w:after="0"/>
              <w:rPr>
                <w:sz w:val="20"/>
                <w:szCs w:val="20"/>
                <w:color w:val="auto"/>
              </w:rPr>
            </w:pPr>
            <w:r>
              <w:rPr>
                <w:rFonts w:ascii="Arial" w:cs="Arial" w:eastAsia="Arial" w:hAnsi="Arial"/>
                <w:sz w:val="13"/>
                <w:szCs w:val="13"/>
                <w:b w:val="1"/>
                <w:bCs w:val="1"/>
                <w:color w:val="FFFFFF"/>
                <w:w w:val="99"/>
              </w:rPr>
              <w:t>($)</w:t>
            </w:r>
            <w:r>
              <w:rPr>
                <w:rFonts w:ascii="Arial" w:cs="Arial" w:eastAsia="Arial" w:hAnsi="Arial"/>
                <w:sz w:val="10"/>
                <w:szCs w:val="10"/>
                <w:b w:val="1"/>
                <w:bCs w:val="1"/>
                <w:color w:val="FFFFFF"/>
                <w:w w:val="99"/>
              </w:rPr>
              <w:t>(2)</w:t>
            </w:r>
          </w:p>
        </w:tc>
        <w:tc>
          <w:tcPr>
            <w:tcW w:w="760" w:type="dxa"/>
            <w:vAlign w:val="bottom"/>
            <w:shd w:val="clear" w:color="auto" w:fill="7F7F7F"/>
          </w:tcPr>
          <w:p>
            <w:pPr>
              <w:jc w:val="center"/>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7F7F7F"/>
          </w:tcPr>
          <w:p>
            <w:pPr>
              <w:jc w:val="center"/>
              <w:spacing w:after="0"/>
              <w:rPr>
                <w:sz w:val="20"/>
                <w:szCs w:val="20"/>
                <w:color w:val="auto"/>
              </w:rPr>
            </w:pPr>
            <w:r>
              <w:rPr>
                <w:rFonts w:ascii="Arial" w:cs="Arial" w:eastAsia="Arial" w:hAnsi="Arial"/>
                <w:sz w:val="13"/>
                <w:szCs w:val="13"/>
                <w:b w:val="1"/>
                <w:bCs w:val="1"/>
                <w:color w:val="FFFFFF"/>
                <w:w w:val="99"/>
              </w:rPr>
              <w:t>($)</w:t>
            </w:r>
            <w:r>
              <w:rPr>
                <w:rFonts w:ascii="Arial" w:cs="Arial" w:eastAsia="Arial" w:hAnsi="Arial"/>
                <w:sz w:val="10"/>
                <w:szCs w:val="10"/>
                <w:b w:val="1"/>
                <w:bCs w:val="1"/>
                <w:color w:val="FFFFFF"/>
                <w:w w:val="99"/>
              </w:rPr>
              <w:t>(2)</w:t>
            </w:r>
          </w:p>
        </w:tc>
        <w:tc>
          <w:tcPr>
            <w:tcW w:w="0" w:type="dxa"/>
            <w:vAlign w:val="bottom"/>
          </w:tcPr>
          <w:p>
            <w:pPr>
              <w:spacing w:after="0"/>
              <w:rPr>
                <w:sz w:val="1"/>
                <w:szCs w:val="1"/>
                <w:color w:val="auto"/>
              </w:rPr>
            </w:pPr>
          </w:p>
        </w:tc>
      </w:tr>
      <w:tr>
        <w:trPr>
          <w:trHeight w:val="187"/>
        </w:trPr>
        <w:tc>
          <w:tcPr>
            <w:tcW w:w="3780" w:type="dxa"/>
            <w:vAlign w:val="bottom"/>
          </w:tcPr>
          <w:p>
            <w:pPr>
              <w:ind w:left="20"/>
              <w:spacing w:after="0"/>
              <w:rPr>
                <w:sz w:val="20"/>
                <w:szCs w:val="20"/>
                <w:color w:val="auto"/>
              </w:rPr>
            </w:pPr>
            <w:r>
              <w:rPr>
                <w:rFonts w:ascii="Arial" w:cs="Arial" w:eastAsia="Arial" w:hAnsi="Arial"/>
                <w:sz w:val="13"/>
                <w:szCs w:val="13"/>
                <w:b w:val="1"/>
                <w:bCs w:val="1"/>
                <w:color w:val="auto"/>
              </w:rPr>
              <w:t>Charlie B. Kawwas, Ph.D.</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3/1/2013</w:t>
            </w:r>
          </w:p>
        </w:tc>
        <w:tc>
          <w:tcPr>
            <w:tcW w:w="920" w:type="dxa"/>
            <w:vAlign w:val="bottom"/>
          </w:tcPr>
          <w:p>
            <w:pPr>
              <w:jc w:val="right"/>
              <w:spacing w:after="0"/>
              <w:rPr>
                <w:sz w:val="20"/>
                <w:szCs w:val="20"/>
                <w:color w:val="auto"/>
              </w:rPr>
            </w:pPr>
            <w:r>
              <w:rPr>
                <w:rFonts w:ascii="Arial" w:cs="Arial" w:eastAsia="Arial" w:hAnsi="Arial"/>
                <w:sz w:val="13"/>
                <w:szCs w:val="13"/>
                <w:color w:val="auto"/>
              </w:rPr>
              <w:t>3,668</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38.92</w:t>
            </w:r>
          </w:p>
        </w:tc>
        <w:tc>
          <w:tcPr>
            <w:tcW w:w="740" w:type="dxa"/>
            <w:vAlign w:val="bottom"/>
          </w:tcPr>
          <w:p>
            <w:pPr>
              <w:jc w:val="right"/>
              <w:spacing w:after="0"/>
              <w:rPr>
                <w:sz w:val="20"/>
                <w:szCs w:val="20"/>
                <w:color w:val="auto"/>
              </w:rPr>
            </w:pPr>
            <w:r>
              <w:rPr>
                <w:rFonts w:ascii="Arial" w:cs="Arial" w:eastAsia="Arial" w:hAnsi="Arial"/>
                <w:sz w:val="13"/>
                <w:szCs w:val="13"/>
                <w:color w:val="auto"/>
              </w:rPr>
              <w:t>3/1/2020</w:t>
            </w:r>
          </w:p>
        </w:tc>
        <w:tc>
          <w:tcPr>
            <w:tcW w:w="9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3/1/2014</w:t>
            </w:r>
          </w:p>
        </w:tc>
        <w:tc>
          <w:tcPr>
            <w:tcW w:w="920" w:type="dxa"/>
            <w:vAlign w:val="bottom"/>
          </w:tcPr>
          <w:p>
            <w:pPr>
              <w:jc w:val="right"/>
              <w:spacing w:after="0"/>
              <w:rPr>
                <w:sz w:val="20"/>
                <w:szCs w:val="20"/>
                <w:color w:val="auto"/>
              </w:rPr>
            </w:pPr>
            <w:r>
              <w:rPr>
                <w:rFonts w:ascii="Arial" w:cs="Arial" w:eastAsia="Arial" w:hAnsi="Arial"/>
                <w:sz w:val="13"/>
                <w:szCs w:val="13"/>
                <w:color w:val="auto"/>
              </w:rPr>
              <w:t>2,831</w:t>
            </w:r>
          </w:p>
        </w:tc>
        <w:tc>
          <w:tcPr>
            <w:tcW w:w="960" w:type="dxa"/>
            <w:vAlign w:val="bottom"/>
          </w:tcPr>
          <w:p>
            <w:pPr>
              <w:jc w:val="right"/>
              <w:spacing w:after="0"/>
              <w:rPr>
                <w:sz w:val="20"/>
                <w:szCs w:val="20"/>
                <w:color w:val="auto"/>
              </w:rPr>
            </w:pPr>
            <w:r>
              <w:rPr>
                <w:rFonts w:ascii="Arial" w:cs="Arial" w:eastAsia="Arial" w:hAnsi="Arial"/>
                <w:sz w:val="13"/>
                <w:szCs w:val="13"/>
                <w:color w:val="auto"/>
              </w:rPr>
              <w:t>2,831</w:t>
            </w:r>
            <w:r>
              <w:rPr>
                <w:rFonts w:ascii="Arial" w:cs="Arial" w:eastAsia="Arial" w:hAnsi="Arial"/>
                <w:sz w:val="10"/>
                <w:szCs w:val="10"/>
                <w:color w:val="auto"/>
              </w:rPr>
              <w:t>(10)</w:t>
            </w:r>
          </w:p>
        </w:tc>
        <w:tc>
          <w:tcPr>
            <w:tcW w:w="640" w:type="dxa"/>
            <w:vAlign w:val="bottom"/>
          </w:tcPr>
          <w:p>
            <w:pPr>
              <w:jc w:val="right"/>
              <w:spacing w:after="0"/>
              <w:rPr>
                <w:sz w:val="20"/>
                <w:szCs w:val="20"/>
                <w:color w:val="auto"/>
              </w:rPr>
            </w:pPr>
            <w:r>
              <w:rPr>
                <w:rFonts w:ascii="Arial" w:cs="Arial" w:eastAsia="Arial" w:hAnsi="Arial"/>
                <w:sz w:val="13"/>
                <w:szCs w:val="13"/>
                <w:color w:val="auto"/>
              </w:rPr>
              <w:t>62.63</w:t>
            </w:r>
          </w:p>
        </w:tc>
        <w:tc>
          <w:tcPr>
            <w:tcW w:w="740" w:type="dxa"/>
            <w:vAlign w:val="bottom"/>
          </w:tcPr>
          <w:p>
            <w:pPr>
              <w:jc w:val="right"/>
              <w:spacing w:after="0"/>
              <w:rPr>
                <w:sz w:val="20"/>
                <w:szCs w:val="20"/>
                <w:color w:val="auto"/>
              </w:rPr>
            </w:pPr>
            <w:r>
              <w:rPr>
                <w:rFonts w:ascii="Arial" w:cs="Arial" w:eastAsia="Arial" w:hAnsi="Arial"/>
                <w:sz w:val="13"/>
                <w:szCs w:val="13"/>
                <w:color w:val="auto"/>
              </w:rPr>
              <w:t>3/1/2021</w:t>
            </w:r>
          </w:p>
        </w:tc>
        <w:tc>
          <w:tcPr>
            <w:tcW w:w="940" w:type="dxa"/>
            <w:vAlign w:val="bottom"/>
          </w:tcPr>
          <w:p>
            <w:pPr>
              <w:jc w:val="right"/>
              <w:spacing w:after="0"/>
              <w:rPr>
                <w:sz w:val="20"/>
                <w:szCs w:val="20"/>
                <w:color w:val="auto"/>
              </w:rPr>
            </w:pPr>
            <w:r>
              <w:rPr>
                <w:rFonts w:ascii="Arial" w:cs="Arial" w:eastAsia="Arial" w:hAnsi="Arial"/>
                <w:sz w:val="13"/>
                <w:szCs w:val="13"/>
                <w:color w:val="auto"/>
              </w:rPr>
              <w:t>2,859</w:t>
            </w:r>
            <w:r>
              <w:rPr>
                <w:rFonts w:ascii="Arial" w:cs="Arial" w:eastAsia="Arial" w:hAnsi="Arial"/>
                <w:sz w:val="10"/>
                <w:szCs w:val="10"/>
                <w:color w:val="auto"/>
              </w:rPr>
              <w:t>(11)</w:t>
            </w:r>
          </w:p>
        </w:tc>
        <w:tc>
          <w:tcPr>
            <w:tcW w:w="700" w:type="dxa"/>
            <w:vAlign w:val="bottom"/>
          </w:tcPr>
          <w:p>
            <w:pPr>
              <w:jc w:val="right"/>
              <w:spacing w:after="0"/>
              <w:rPr>
                <w:sz w:val="20"/>
                <w:szCs w:val="20"/>
                <w:color w:val="auto"/>
              </w:rPr>
            </w:pPr>
            <w:r>
              <w:rPr>
                <w:rFonts w:ascii="Arial" w:cs="Arial" w:eastAsia="Arial" w:hAnsi="Arial"/>
                <w:sz w:val="13"/>
                <w:szCs w:val="13"/>
                <w:color w:val="auto"/>
              </w:rPr>
              <w:t>723,041</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6/10/2014</w:t>
            </w:r>
          </w:p>
        </w:tc>
        <w:tc>
          <w:tcPr>
            <w:tcW w:w="920" w:type="dxa"/>
            <w:vAlign w:val="bottom"/>
          </w:tcPr>
          <w:p>
            <w:pPr>
              <w:jc w:val="right"/>
              <w:spacing w:after="0"/>
              <w:rPr>
                <w:sz w:val="20"/>
                <w:szCs w:val="20"/>
                <w:color w:val="auto"/>
              </w:rPr>
            </w:pPr>
            <w:r>
              <w:rPr>
                <w:rFonts w:ascii="Arial" w:cs="Arial" w:eastAsia="Arial" w:hAnsi="Arial"/>
                <w:sz w:val="13"/>
                <w:szCs w:val="13"/>
                <w:color w:val="auto"/>
              </w:rPr>
              <w:t>30,000</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30,000</w:t>
            </w:r>
            <w:r>
              <w:rPr>
                <w:rFonts w:ascii="Arial" w:cs="Arial" w:eastAsia="Arial" w:hAnsi="Arial"/>
                <w:sz w:val="10"/>
                <w:szCs w:val="10"/>
                <w:color w:val="auto"/>
              </w:rPr>
              <w:t>(7)</w:t>
            </w:r>
          </w:p>
        </w:tc>
        <w:tc>
          <w:tcPr>
            <w:tcW w:w="640" w:type="dxa"/>
            <w:vAlign w:val="bottom"/>
          </w:tcPr>
          <w:p>
            <w:pPr>
              <w:jc w:val="right"/>
              <w:spacing w:after="0"/>
              <w:rPr>
                <w:sz w:val="20"/>
                <w:szCs w:val="20"/>
                <w:color w:val="auto"/>
              </w:rPr>
            </w:pPr>
            <w:r>
              <w:rPr>
                <w:rFonts w:ascii="Arial" w:cs="Arial" w:eastAsia="Arial" w:hAnsi="Arial"/>
                <w:sz w:val="13"/>
                <w:szCs w:val="13"/>
                <w:color w:val="auto"/>
              </w:rPr>
              <w:t>71.86</w:t>
            </w:r>
          </w:p>
        </w:tc>
        <w:tc>
          <w:tcPr>
            <w:tcW w:w="740" w:type="dxa"/>
            <w:vAlign w:val="bottom"/>
          </w:tcPr>
          <w:p>
            <w:pPr>
              <w:jc w:val="right"/>
              <w:spacing w:after="0"/>
              <w:rPr>
                <w:sz w:val="20"/>
                <w:szCs w:val="20"/>
                <w:color w:val="auto"/>
              </w:rPr>
            </w:pPr>
            <w:r>
              <w:rPr>
                <w:rFonts w:ascii="Arial" w:cs="Arial" w:eastAsia="Arial" w:hAnsi="Arial"/>
                <w:sz w:val="13"/>
                <w:szCs w:val="13"/>
                <w:color w:val="auto"/>
              </w:rPr>
              <w:t>6/9/2021</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10,000</w:t>
            </w:r>
            <w:r>
              <w:rPr>
                <w:rFonts w:ascii="Arial" w:cs="Arial" w:eastAsia="Arial" w:hAnsi="Arial"/>
                <w:sz w:val="10"/>
                <w:szCs w:val="10"/>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2,529,000</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3/15/2015</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7,500</w:t>
            </w:r>
            <w:r>
              <w:rPr>
                <w:rFonts w:ascii="Arial" w:cs="Arial" w:eastAsia="Arial" w:hAnsi="Arial"/>
                <w:sz w:val="10"/>
                <w:szCs w:val="10"/>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1,896,750</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3/15/2015</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7,500</w:t>
            </w:r>
            <w:r>
              <w:rPr>
                <w:rFonts w:ascii="Arial" w:cs="Arial" w:eastAsia="Arial" w:hAnsi="Arial"/>
                <w:sz w:val="10"/>
                <w:szCs w:val="10"/>
                <w:color w:val="auto"/>
              </w:rPr>
              <w:t>(8)</w:t>
            </w:r>
          </w:p>
        </w:tc>
        <w:tc>
          <w:tcPr>
            <w:tcW w:w="700" w:type="dxa"/>
            <w:vAlign w:val="bottom"/>
          </w:tcPr>
          <w:p>
            <w:pPr>
              <w:jc w:val="right"/>
              <w:spacing w:after="0"/>
              <w:rPr>
                <w:sz w:val="20"/>
                <w:szCs w:val="20"/>
                <w:color w:val="auto"/>
              </w:rPr>
            </w:pPr>
            <w:r>
              <w:rPr>
                <w:rFonts w:ascii="Arial" w:cs="Arial" w:eastAsia="Arial" w:hAnsi="Arial"/>
                <w:sz w:val="13"/>
                <w:szCs w:val="13"/>
                <w:color w:val="auto"/>
              </w:rPr>
              <w:t>1,896,750</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12/15/2015</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2,250</w:t>
            </w:r>
            <w:r>
              <w:rPr>
                <w:rFonts w:ascii="Arial" w:cs="Arial" w:eastAsia="Arial" w:hAnsi="Arial"/>
                <w:sz w:val="10"/>
                <w:szCs w:val="10"/>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569,025</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3/15/2016</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11,250</w:t>
            </w:r>
            <w:r>
              <w:rPr>
                <w:rFonts w:ascii="Arial" w:cs="Arial" w:eastAsia="Arial" w:hAnsi="Arial"/>
                <w:sz w:val="10"/>
                <w:szCs w:val="10"/>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2,845,125</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3/15/2016</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11,250</w:t>
            </w:r>
            <w:r>
              <w:rPr>
                <w:rFonts w:ascii="Arial" w:cs="Arial" w:eastAsia="Arial" w:hAnsi="Arial"/>
                <w:sz w:val="10"/>
                <w:szCs w:val="10"/>
                <w:color w:val="auto"/>
              </w:rPr>
              <w:t>(8)</w:t>
            </w:r>
          </w:p>
        </w:tc>
        <w:tc>
          <w:tcPr>
            <w:tcW w:w="700" w:type="dxa"/>
            <w:vAlign w:val="bottom"/>
          </w:tcPr>
          <w:p>
            <w:pPr>
              <w:jc w:val="right"/>
              <w:spacing w:after="0"/>
              <w:rPr>
                <w:sz w:val="20"/>
                <w:szCs w:val="20"/>
                <w:color w:val="auto"/>
              </w:rPr>
            </w:pPr>
            <w:r>
              <w:rPr>
                <w:rFonts w:ascii="Arial" w:cs="Arial" w:eastAsia="Arial" w:hAnsi="Arial"/>
                <w:sz w:val="13"/>
                <w:szCs w:val="13"/>
                <w:color w:val="auto"/>
              </w:rPr>
              <w:t>2,845,125</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12/15/2016</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5,000</w:t>
            </w:r>
            <w:r>
              <w:rPr>
                <w:rFonts w:ascii="Arial" w:cs="Arial" w:eastAsia="Arial" w:hAnsi="Arial"/>
                <w:sz w:val="10"/>
                <w:szCs w:val="10"/>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1,264,500</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3/15/2017</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12,500</w:t>
            </w:r>
            <w:r>
              <w:rPr>
                <w:rFonts w:ascii="Arial" w:cs="Arial" w:eastAsia="Arial" w:hAnsi="Arial"/>
                <w:sz w:val="10"/>
                <w:szCs w:val="10"/>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3,161,250</w:t>
            </w:r>
          </w:p>
        </w:tc>
        <w:tc>
          <w:tcPr>
            <w:tcW w:w="760" w:type="dxa"/>
            <w:vAlign w:val="bottom"/>
          </w:tcPr>
          <w:p>
            <w:pPr>
              <w:jc w:val="right"/>
              <w:spacing w:after="0"/>
              <w:rPr>
                <w:sz w:val="20"/>
                <w:szCs w:val="20"/>
                <w:color w:val="auto"/>
              </w:rPr>
            </w:pPr>
            <w:r>
              <w:rPr>
                <w:rFonts w:ascii="Arial" w:cs="Arial" w:eastAsia="Arial" w:hAnsi="Arial"/>
                <w:sz w:val="13"/>
                <w:szCs w:val="13"/>
                <w:color w:val="auto"/>
              </w:rPr>
              <w:t>25,000</w:t>
            </w:r>
            <w:r>
              <w:rPr>
                <w:rFonts w:ascii="Arial" w:cs="Arial" w:eastAsia="Arial" w:hAnsi="Arial"/>
                <w:sz w:val="10"/>
                <w:szCs w:val="10"/>
                <w:color w:val="auto"/>
              </w:rPr>
              <w:t>(9)</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6,322,500</w:t>
            </w:r>
          </w:p>
        </w:tc>
        <w:tc>
          <w:tcPr>
            <w:tcW w:w="0" w:type="dxa"/>
            <w:vAlign w:val="bottom"/>
          </w:tcPr>
          <w:p>
            <w:pPr>
              <w:spacing w:after="0"/>
              <w:rPr>
                <w:sz w:val="1"/>
                <w:szCs w:val="1"/>
                <w:color w:val="auto"/>
              </w:rPr>
            </w:pPr>
          </w:p>
        </w:tc>
      </w:tr>
      <w:tr>
        <w:trPr>
          <w:trHeight w:val="162"/>
        </w:trPr>
        <w:tc>
          <w:tcPr>
            <w:tcW w:w="3780" w:type="dxa"/>
            <w:vAlign w:val="bottom"/>
            <w:shd w:val="clear" w:color="auto" w:fill="BFBFBF"/>
          </w:tcPr>
          <w:p>
            <w:pPr>
              <w:ind w:left="20"/>
              <w:spacing w:after="0"/>
              <w:rPr>
                <w:sz w:val="20"/>
                <w:szCs w:val="20"/>
                <w:color w:val="auto"/>
              </w:rPr>
            </w:pPr>
            <w:r>
              <w:rPr>
                <w:rFonts w:ascii="Arial" w:cs="Arial" w:eastAsia="Arial" w:hAnsi="Arial"/>
                <w:sz w:val="13"/>
                <w:szCs w:val="13"/>
                <w:b w:val="1"/>
                <w:bCs w:val="1"/>
                <w:color w:val="auto"/>
              </w:rPr>
              <w:t>Mark D. Brazeal</w:t>
            </w:r>
          </w:p>
        </w:tc>
        <w:tc>
          <w:tcPr>
            <w:tcW w:w="840" w:type="dxa"/>
            <w:vAlign w:val="bottom"/>
            <w:shd w:val="clear" w:color="auto" w:fill="BFBFBF"/>
          </w:tcPr>
          <w:p>
            <w:pPr>
              <w:jc w:val="right"/>
              <w:ind w:right="37"/>
              <w:spacing w:after="0"/>
              <w:rPr>
                <w:sz w:val="20"/>
                <w:szCs w:val="20"/>
                <w:color w:val="auto"/>
              </w:rPr>
            </w:pPr>
            <w:r>
              <w:rPr>
                <w:rFonts w:ascii="Arial" w:cs="Arial" w:eastAsia="Arial" w:hAnsi="Arial"/>
                <w:sz w:val="13"/>
                <w:szCs w:val="13"/>
                <w:color w:val="auto"/>
              </w:rPr>
              <w:t>4/15/2017</w:t>
            </w:r>
          </w:p>
        </w:tc>
        <w:tc>
          <w:tcPr>
            <w:tcW w:w="920" w:type="dxa"/>
            <w:vAlign w:val="bottom"/>
            <w:shd w:val="clear" w:color="auto" w:fill="BFBFBF"/>
          </w:tcPr>
          <w:p>
            <w:pPr>
              <w:spacing w:after="0"/>
              <w:rPr>
                <w:sz w:val="14"/>
                <w:szCs w:val="14"/>
                <w:color w:val="auto"/>
              </w:rPr>
            </w:pPr>
          </w:p>
        </w:tc>
        <w:tc>
          <w:tcPr>
            <w:tcW w:w="960" w:type="dxa"/>
            <w:vAlign w:val="bottom"/>
            <w:shd w:val="clear" w:color="auto" w:fill="BFBFBF"/>
          </w:tcPr>
          <w:p>
            <w:pPr>
              <w:spacing w:after="0"/>
              <w:rPr>
                <w:sz w:val="14"/>
                <w:szCs w:val="14"/>
                <w:color w:val="auto"/>
              </w:rPr>
            </w:pPr>
          </w:p>
        </w:tc>
        <w:tc>
          <w:tcPr>
            <w:tcW w:w="640" w:type="dxa"/>
            <w:vAlign w:val="bottom"/>
            <w:shd w:val="clear" w:color="auto" w:fill="BFBFBF"/>
          </w:tcPr>
          <w:p>
            <w:pPr>
              <w:spacing w:after="0"/>
              <w:rPr>
                <w:sz w:val="14"/>
                <w:szCs w:val="14"/>
                <w:color w:val="auto"/>
              </w:rPr>
            </w:pPr>
          </w:p>
        </w:tc>
        <w:tc>
          <w:tcPr>
            <w:tcW w:w="740" w:type="dxa"/>
            <w:vAlign w:val="bottom"/>
            <w:shd w:val="clear" w:color="auto" w:fill="BFBFBF"/>
          </w:tcPr>
          <w:p>
            <w:pPr>
              <w:spacing w:after="0"/>
              <w:rPr>
                <w:sz w:val="14"/>
                <w:szCs w:val="14"/>
                <w:color w:val="auto"/>
              </w:rPr>
            </w:pPr>
          </w:p>
        </w:tc>
        <w:tc>
          <w:tcPr>
            <w:tcW w:w="940" w:type="dxa"/>
            <w:vAlign w:val="bottom"/>
            <w:shd w:val="clear" w:color="auto" w:fill="BFBFBF"/>
          </w:tcPr>
          <w:p>
            <w:pPr>
              <w:jc w:val="right"/>
              <w:ind w:right="57"/>
              <w:spacing w:after="0"/>
              <w:rPr>
                <w:sz w:val="20"/>
                <w:szCs w:val="20"/>
                <w:color w:val="auto"/>
              </w:rPr>
            </w:pPr>
            <w:r>
              <w:rPr>
                <w:rFonts w:ascii="Arial" w:cs="Arial" w:eastAsia="Arial" w:hAnsi="Arial"/>
                <w:sz w:val="13"/>
                <w:szCs w:val="13"/>
                <w:color w:val="auto"/>
              </w:rPr>
              <w:t>12,500</w:t>
            </w:r>
            <w:r>
              <w:rPr>
                <w:rFonts w:ascii="Arial" w:cs="Arial" w:eastAsia="Arial" w:hAnsi="Arial"/>
                <w:sz w:val="10"/>
                <w:szCs w:val="10"/>
                <w:color w:val="auto"/>
              </w:rPr>
              <w:t>(5)</w:t>
            </w: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3,161,250</w:t>
            </w:r>
          </w:p>
        </w:tc>
        <w:tc>
          <w:tcPr>
            <w:tcW w:w="760" w:type="dxa"/>
            <w:vAlign w:val="bottom"/>
            <w:shd w:val="clear" w:color="auto" w:fill="BFBFBF"/>
          </w:tcPr>
          <w:p>
            <w:pPr>
              <w:jc w:val="right"/>
              <w:spacing w:after="0"/>
              <w:rPr>
                <w:sz w:val="20"/>
                <w:szCs w:val="20"/>
                <w:color w:val="auto"/>
              </w:rPr>
            </w:pPr>
            <w:r>
              <w:rPr>
                <w:rFonts w:ascii="Arial" w:cs="Arial" w:eastAsia="Arial" w:hAnsi="Arial"/>
                <w:sz w:val="13"/>
                <w:szCs w:val="13"/>
                <w:color w:val="auto"/>
              </w:rPr>
              <w:t>25,000</w:t>
            </w:r>
            <w:r>
              <w:rPr>
                <w:rFonts w:ascii="Arial" w:cs="Arial" w:eastAsia="Arial" w:hAnsi="Arial"/>
                <w:sz w:val="10"/>
                <w:szCs w:val="10"/>
                <w:color w:val="auto"/>
              </w:rPr>
              <w:t>(9)</w:t>
            </w:r>
          </w:p>
        </w:tc>
        <w:tc>
          <w:tcPr>
            <w:tcW w:w="740" w:type="dxa"/>
            <w:vAlign w:val="bottom"/>
            <w:shd w:val="clear" w:color="auto" w:fill="BFBFBF"/>
          </w:tcPr>
          <w:p>
            <w:pPr>
              <w:jc w:val="right"/>
              <w:ind w:right="17"/>
              <w:spacing w:after="0"/>
              <w:rPr>
                <w:sz w:val="20"/>
                <w:szCs w:val="20"/>
                <w:color w:val="auto"/>
              </w:rPr>
            </w:pPr>
            <w:r>
              <w:rPr>
                <w:rFonts w:ascii="Arial" w:cs="Arial" w:eastAsia="Arial" w:hAnsi="Arial"/>
                <w:sz w:val="13"/>
                <w:szCs w:val="13"/>
                <w:color w:val="auto"/>
              </w:rPr>
              <w:t>6,322,500</w:t>
            </w:r>
          </w:p>
        </w:tc>
        <w:tc>
          <w:tcPr>
            <w:tcW w:w="0" w:type="dxa"/>
            <w:vAlign w:val="bottom"/>
          </w:tcPr>
          <w:p>
            <w:pPr>
              <w:spacing w:after="0"/>
              <w:rPr>
                <w:sz w:val="1"/>
                <w:szCs w:val="1"/>
                <w:color w:val="auto"/>
              </w:rPr>
            </w:pPr>
          </w:p>
        </w:tc>
      </w:tr>
      <w:tr>
        <w:trPr>
          <w:trHeight w:val="187"/>
        </w:trPr>
        <w:tc>
          <w:tcPr>
            <w:tcW w:w="3780" w:type="dxa"/>
            <w:vAlign w:val="bottom"/>
          </w:tcPr>
          <w:p>
            <w:pPr>
              <w:ind w:left="20"/>
              <w:spacing w:after="0"/>
              <w:rPr>
                <w:sz w:val="20"/>
                <w:szCs w:val="20"/>
                <w:color w:val="auto"/>
              </w:rPr>
            </w:pPr>
            <w:r>
              <w:rPr>
                <w:rFonts w:ascii="Arial" w:cs="Arial" w:eastAsia="Arial" w:hAnsi="Arial"/>
                <w:sz w:val="13"/>
                <w:szCs w:val="13"/>
                <w:b w:val="1"/>
                <w:bCs w:val="1"/>
                <w:color w:val="auto"/>
              </w:rPr>
              <w:t>Bryan T. Ingram</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3/11/2014</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60,000</w:t>
            </w:r>
            <w:r>
              <w:rPr>
                <w:rFonts w:ascii="Arial" w:cs="Arial" w:eastAsia="Arial" w:hAnsi="Arial"/>
                <w:sz w:val="10"/>
                <w:szCs w:val="10"/>
                <w:color w:val="auto"/>
              </w:rPr>
              <w:t>(7)</w:t>
            </w:r>
          </w:p>
        </w:tc>
        <w:tc>
          <w:tcPr>
            <w:tcW w:w="640" w:type="dxa"/>
            <w:vAlign w:val="bottom"/>
          </w:tcPr>
          <w:p>
            <w:pPr>
              <w:jc w:val="right"/>
              <w:spacing w:after="0"/>
              <w:rPr>
                <w:sz w:val="20"/>
                <w:szCs w:val="20"/>
                <w:color w:val="auto"/>
              </w:rPr>
            </w:pPr>
            <w:r>
              <w:rPr>
                <w:rFonts w:ascii="Arial" w:cs="Arial" w:eastAsia="Arial" w:hAnsi="Arial"/>
                <w:sz w:val="13"/>
                <w:szCs w:val="13"/>
                <w:color w:val="auto"/>
              </w:rPr>
              <w:t>62.02</w:t>
            </w:r>
          </w:p>
        </w:tc>
        <w:tc>
          <w:tcPr>
            <w:tcW w:w="740" w:type="dxa"/>
            <w:vAlign w:val="bottom"/>
          </w:tcPr>
          <w:p>
            <w:pPr>
              <w:jc w:val="right"/>
              <w:spacing w:after="0"/>
              <w:rPr>
                <w:sz w:val="20"/>
                <w:szCs w:val="20"/>
                <w:color w:val="auto"/>
              </w:rPr>
            </w:pPr>
            <w:r>
              <w:rPr>
                <w:rFonts w:ascii="Arial" w:cs="Arial" w:eastAsia="Arial" w:hAnsi="Arial"/>
                <w:sz w:val="13"/>
                <w:szCs w:val="13"/>
                <w:color w:val="auto"/>
              </w:rPr>
              <w:t>3/10/2021</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20,000</w:t>
            </w:r>
            <w:r>
              <w:rPr>
                <w:rFonts w:ascii="Arial" w:cs="Arial" w:eastAsia="Arial" w:hAnsi="Arial"/>
                <w:sz w:val="10"/>
                <w:szCs w:val="10"/>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5,058,000</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12/9/2014</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3,000</w:t>
            </w:r>
            <w:r>
              <w:rPr>
                <w:rFonts w:ascii="Arial" w:cs="Arial" w:eastAsia="Arial" w:hAnsi="Arial"/>
                <w:sz w:val="10"/>
                <w:szCs w:val="10"/>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758,700</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3/15/2015</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12,500</w:t>
            </w:r>
            <w:r>
              <w:rPr>
                <w:rFonts w:ascii="Arial" w:cs="Arial" w:eastAsia="Arial" w:hAnsi="Arial"/>
                <w:sz w:val="10"/>
                <w:szCs w:val="10"/>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3,161,250</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3/15/2015</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12,500</w:t>
            </w:r>
            <w:r>
              <w:rPr>
                <w:rFonts w:ascii="Arial" w:cs="Arial" w:eastAsia="Arial" w:hAnsi="Arial"/>
                <w:sz w:val="10"/>
                <w:szCs w:val="10"/>
                <w:color w:val="auto"/>
              </w:rPr>
              <w:t>(8)</w:t>
            </w:r>
          </w:p>
        </w:tc>
        <w:tc>
          <w:tcPr>
            <w:tcW w:w="700" w:type="dxa"/>
            <w:vAlign w:val="bottom"/>
          </w:tcPr>
          <w:p>
            <w:pPr>
              <w:jc w:val="right"/>
              <w:spacing w:after="0"/>
              <w:rPr>
                <w:sz w:val="20"/>
                <w:szCs w:val="20"/>
                <w:color w:val="auto"/>
              </w:rPr>
            </w:pPr>
            <w:r>
              <w:rPr>
                <w:rFonts w:ascii="Arial" w:cs="Arial" w:eastAsia="Arial" w:hAnsi="Arial"/>
                <w:sz w:val="13"/>
                <w:szCs w:val="13"/>
                <w:color w:val="auto"/>
              </w:rPr>
              <w:t>3,161,250</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12/15/2015</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3,000</w:t>
            </w:r>
            <w:r>
              <w:rPr>
                <w:rFonts w:ascii="Arial" w:cs="Arial" w:eastAsia="Arial" w:hAnsi="Arial"/>
                <w:sz w:val="10"/>
                <w:szCs w:val="10"/>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758,700</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3/15/2016</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7,500</w:t>
            </w:r>
            <w:r>
              <w:rPr>
                <w:rFonts w:ascii="Arial" w:cs="Arial" w:eastAsia="Arial" w:hAnsi="Arial"/>
                <w:sz w:val="10"/>
                <w:szCs w:val="10"/>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1,896,750</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3/15/2016</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7,500</w:t>
            </w:r>
            <w:r>
              <w:rPr>
                <w:rFonts w:ascii="Arial" w:cs="Arial" w:eastAsia="Arial" w:hAnsi="Arial"/>
                <w:sz w:val="10"/>
                <w:szCs w:val="10"/>
                <w:color w:val="auto"/>
              </w:rPr>
              <w:t>(8)</w:t>
            </w:r>
          </w:p>
        </w:tc>
        <w:tc>
          <w:tcPr>
            <w:tcW w:w="700" w:type="dxa"/>
            <w:vAlign w:val="bottom"/>
          </w:tcPr>
          <w:p>
            <w:pPr>
              <w:jc w:val="right"/>
              <w:spacing w:after="0"/>
              <w:rPr>
                <w:sz w:val="20"/>
                <w:szCs w:val="20"/>
                <w:color w:val="auto"/>
              </w:rPr>
            </w:pPr>
            <w:r>
              <w:rPr>
                <w:rFonts w:ascii="Arial" w:cs="Arial" w:eastAsia="Arial" w:hAnsi="Arial"/>
                <w:sz w:val="13"/>
                <w:szCs w:val="13"/>
                <w:color w:val="auto"/>
              </w:rPr>
              <w:t>1,896,750</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12/15/2016</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5,000</w:t>
            </w:r>
            <w:r>
              <w:rPr>
                <w:rFonts w:ascii="Arial" w:cs="Arial" w:eastAsia="Arial" w:hAnsi="Arial"/>
                <w:sz w:val="10"/>
                <w:szCs w:val="10"/>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1,264,500</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3/15/2017</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12,500</w:t>
            </w:r>
            <w:r>
              <w:rPr>
                <w:rFonts w:ascii="Arial" w:cs="Arial" w:eastAsia="Arial" w:hAnsi="Arial"/>
                <w:sz w:val="10"/>
                <w:szCs w:val="10"/>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3,161,250</w:t>
            </w:r>
          </w:p>
        </w:tc>
        <w:tc>
          <w:tcPr>
            <w:tcW w:w="760" w:type="dxa"/>
            <w:vAlign w:val="bottom"/>
          </w:tcPr>
          <w:p>
            <w:pPr>
              <w:jc w:val="right"/>
              <w:spacing w:after="0"/>
              <w:rPr>
                <w:sz w:val="20"/>
                <w:szCs w:val="20"/>
                <w:color w:val="auto"/>
              </w:rPr>
            </w:pPr>
            <w:r>
              <w:rPr>
                <w:rFonts w:ascii="Arial" w:cs="Arial" w:eastAsia="Arial" w:hAnsi="Arial"/>
                <w:sz w:val="13"/>
                <w:szCs w:val="13"/>
                <w:color w:val="auto"/>
              </w:rPr>
              <w:t>25,000</w:t>
            </w:r>
            <w:r>
              <w:rPr>
                <w:rFonts w:ascii="Arial" w:cs="Arial" w:eastAsia="Arial" w:hAnsi="Arial"/>
                <w:sz w:val="10"/>
                <w:szCs w:val="10"/>
                <w:color w:val="auto"/>
              </w:rPr>
              <w:t>(9)</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6,322,500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-3256280</wp:posOffset>
            </wp:positionV>
            <wp:extent cx="3944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446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78740</wp:posOffset>
            </wp:positionV>
            <wp:extent cx="13290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63" w:lineRule="exact"/>
        <w:rPr>
          <w:sz w:val="20"/>
          <w:szCs w:val="20"/>
          <w:color w:val="auto"/>
        </w:rPr>
      </w:pPr>
    </w:p>
    <w:p>
      <w:pPr>
        <w:ind w:left="520" w:hanging="316"/>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awards shown in these columns are awards granted under our 2009 Plan unless otherwise noted.</w:t>
      </w:r>
    </w:p>
    <w:p>
      <w:pPr>
        <w:spacing w:after="0" w:line="1" w:lineRule="exact"/>
        <w:rPr>
          <w:rFonts w:ascii="Arial" w:cs="Arial" w:eastAsia="Arial" w:hAnsi="Arial"/>
          <w:sz w:val="14"/>
          <w:szCs w:val="14"/>
          <w:color w:val="auto"/>
        </w:rPr>
      </w:pPr>
    </w:p>
    <w:p>
      <w:pPr>
        <w:ind w:left="520" w:right="520" w:hanging="316"/>
        <w:spacing w:after="0" w:line="241"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shown in this column represent the number of ordinary shares that have not vested multiplied by $252.90, the closing price of an ordinary share on October 27, 2017, the last trading day of Fiscal Year 2017.</w:t>
      </w:r>
    </w:p>
    <w:p>
      <w:pPr>
        <w:ind w:left="520" w:right="80" w:hanging="316"/>
        <w:spacing w:after="0" w:line="242"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a performance-based option that vests at the rate of 25% on each anniversary of the grant date, subject to Mr. Tan’s continued employment with us. This performance-based option only became exercisable as to any tranche of 20% of the ordinary shares covered by the option if the share price target applicable to that tranche was met. In order for a share price target to be met, the average of the closing price of our ordinary shares, over a 30 consecutive trading day period, had to equal or exceed the applicable share price target. The share price targets ranged from $50.00 per share to $75.00 per share. All share price targets for this option have been met.</w:t>
      </w:r>
    </w:p>
    <w:p>
      <w:pPr>
        <w:spacing w:after="0" w:line="160" w:lineRule="exact"/>
        <w:rPr>
          <w:rFonts w:ascii="Arial" w:cs="Arial" w:eastAsia="Arial" w:hAnsi="Arial"/>
          <w:sz w:val="14"/>
          <w:szCs w:val="14"/>
          <w:color w:val="auto"/>
        </w:rPr>
      </w:pPr>
    </w:p>
    <w:p>
      <w:pPr>
        <w:ind w:left="520" w:right="60" w:hanging="316"/>
        <w:spacing w:after="0" w:line="241"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the PSU award granted in Fiscal Year 2016 based on attainment of the maximum performance level, which vests in full upon completion of the three-year performance period, subject to continued employment with us and achievement of performance goals over the performance period, as determined by the Independent Directors within 60 days following the end of the performance period. The Independent Directors will determine the achievement of two factors (i) Relative TSR over the performance period and (ii) share price growth over the performance period, based on 90-day trailing average prices at the start and end of the performance period. Based upon the level of performance achieved, a maximum of 240,000 ordinary shares may be earned under the PSU award. If the minimum performance goals are not met, no ordinary shares will be issued under this award and it will be cancelled.</w:t>
      </w:r>
    </w:p>
    <w:p>
      <w:pPr>
        <w:spacing w:after="0" w:line="2" w:lineRule="exact"/>
        <w:rPr>
          <w:rFonts w:ascii="Arial" w:cs="Arial" w:eastAsia="Arial" w:hAnsi="Arial"/>
          <w:sz w:val="14"/>
          <w:szCs w:val="14"/>
          <w:color w:val="auto"/>
        </w:rPr>
      </w:pPr>
    </w:p>
    <w:p>
      <w:pPr>
        <w:ind w:left="520" w:right="360" w:hanging="316"/>
        <w:spacing w:after="0" w:line="241"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RSU awards that vest at a rate of 25% per year on each anniversary of the grant date, subject to the NEO’s continued employment with us through the relevant vesting date.</w:t>
      </w:r>
    </w:p>
    <w:p>
      <w:pPr>
        <w:ind w:left="520" w:right="40" w:hanging="316"/>
        <w:spacing w:after="0" w:line="258"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the PSU award granted in Fiscal Year 2017 based on attainment of the maximum performance level. This PSU award vests in two overlapping performance periods; Performance Period #1 ending in 2020 and Performance Period #2 ending in 2021, with each</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20" w:right="140"/>
        <w:spacing w:after="0" w:line="241" w:lineRule="auto"/>
        <w:rPr>
          <w:sz w:val="20"/>
          <w:szCs w:val="20"/>
          <w:color w:val="auto"/>
        </w:rPr>
      </w:pPr>
      <w:r>
        <w:rPr>
          <w:rFonts w:ascii="Arial" w:cs="Arial" w:eastAsia="Arial" w:hAnsi="Arial"/>
          <w:sz w:val="14"/>
          <w:szCs w:val="14"/>
          <w:color w:val="auto"/>
        </w:rPr>
        <w:t>commencing on June 15, 2017. The ordinary shares earned at the end of each Performance Period will be fully vested on the last day of each Performance Period, subject to Mr. Tan’s continued employment with us through each such date. The number of ordinary shares earned during a Performance Period will depend on the level of performance achieved based on our Relative TSR and our absolute TSR over the Performance Periods, as determined by the Independent Directors within 60 days following the end of each Performance Period. Based upon the level of performance achieved, a maximum of 756,000 ordinary shares may be earned under the PSU award. If the minimum performance goals are not met, no ordinary shares will be issued and this award will be cancelled.</w:t>
      </w:r>
    </w:p>
    <w:p>
      <w:pPr>
        <w:spacing w:after="0" w:line="2" w:lineRule="exact"/>
        <w:rPr>
          <w:sz w:val="20"/>
          <w:szCs w:val="20"/>
          <w:color w:val="auto"/>
        </w:rPr>
      </w:pPr>
    </w:p>
    <w:p>
      <w:pPr>
        <w:ind w:left="520" w:right="200" w:hanging="316"/>
        <w:spacing w:after="0" w:line="241"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performance-based options that vest at the rate of 25% of the ordinary shares subject thereto on each anniversary of the grant date, subject to the NEO’s continued employment with us through the relevant vesting date. The performance-based options were not exercisable until the date on which the average of the closing prices of our ordinary shares, over a 10 consecutive trading day period, is equal to or greater than 120% of the exercise price of the option. The exercisability condition for these options has been met.</w:t>
      </w:r>
    </w:p>
    <w:p>
      <w:pPr>
        <w:spacing w:after="0" w:line="1" w:lineRule="exact"/>
        <w:rPr>
          <w:rFonts w:ascii="Arial" w:cs="Arial" w:eastAsia="Arial" w:hAnsi="Arial"/>
          <w:sz w:val="14"/>
          <w:szCs w:val="14"/>
          <w:color w:val="auto"/>
        </w:rPr>
      </w:pPr>
    </w:p>
    <w:p>
      <w:pPr>
        <w:ind w:left="520" w:right="80" w:hanging="316"/>
        <w:spacing w:after="0" w:line="241"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PSU awards that are scheduled to vest at the rate of 25% a year on each anniversary of the grant date, subject to the satisfaction of a share price contingency (set at the grant date) and the NEO’s continued employment with us through the relevant vesting date. No ordinary shares will vest until the average closing price per share of our ordinary shares over a 20 consecutive trading day period is equal to or greater than 120% of the fair market value of an ordinary share on the grant date. The share price contingency for this PSU award was met prior to the fourth anniversary of the grant date and therefore all of the ordinary shares subject to the PSU award have the potential to vest (assuming continued service). If the share price contingency was not met by the fourth anniversary of the grant date or the time the executive ceases to provide services to us, the PSU award would not vest and the award would have expired or immediately terminated, as applicable.</w:t>
      </w:r>
    </w:p>
    <w:p>
      <w:pPr>
        <w:spacing w:after="0" w:line="2" w:lineRule="exact"/>
        <w:rPr>
          <w:rFonts w:ascii="Arial" w:cs="Arial" w:eastAsia="Arial" w:hAnsi="Arial"/>
          <w:sz w:val="14"/>
          <w:szCs w:val="14"/>
          <w:color w:val="auto"/>
        </w:rPr>
      </w:pPr>
    </w:p>
    <w:p>
      <w:pPr>
        <w:ind w:left="520" w:right="40" w:hanging="316"/>
        <w:spacing w:after="0" w:line="241"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 PSU award based on attainment of the maximum performance level. The PSU award will vest at a rate of 25% per year on the later of (i) each anniversary of the grant date and (ii) the last day of the performance period, subject to the NEO’s continued employment with us through the relevant vesting date and subject to the achievement of specified performance goals over each performance period, as determined by the Compensation Committee within 60 days following the end of each performance period. The performance criteria is based on our Relative TSR over four performance periods beginning on the grant date and ending on each of March 14 of 2018, 2019, 2020 and 2021. The number of ordinary shares that may be earned is capped at one-quarter of the target number of ordinary shares for each of the first three performance periods. In the aggregate, the NEO may earn up to 200% of the total target number of ordinary shares, if at the end of the fourth performance period our Relative TSR is at or above the 75th percentile of the S&amp;P 500 and our absolute TSR is not negative. If the minimum performance goals are not met, no ordinary shares will be issued and this award will be cancelled.</w:t>
      </w:r>
    </w:p>
    <w:p>
      <w:pPr>
        <w:spacing w:after="0" w:line="3" w:lineRule="exact"/>
        <w:rPr>
          <w:rFonts w:ascii="Arial" w:cs="Arial" w:eastAsia="Arial" w:hAnsi="Arial"/>
          <w:sz w:val="14"/>
          <w:szCs w:val="14"/>
          <w:color w:val="auto"/>
        </w:rPr>
      </w:pPr>
    </w:p>
    <w:p>
      <w:pPr>
        <w:ind w:left="520" w:right="180" w:hanging="316"/>
        <w:spacing w:after="0" w:line="241"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an option assumed in connection with the acquisition of LSI and issued under the LSI Corporation 2003 Equity Incentive Plan (the “</w:t>
      </w:r>
      <w:r>
        <w:rPr>
          <w:rFonts w:ascii="Arial" w:cs="Arial" w:eastAsia="Arial" w:hAnsi="Arial"/>
          <w:sz w:val="14"/>
          <w:szCs w:val="14"/>
          <w:u w:val="single" w:color="auto"/>
          <w:color w:val="auto"/>
        </w:rPr>
        <w:t>LSI Plan</w:t>
      </w:r>
      <w:r>
        <w:rPr>
          <w:rFonts w:ascii="Arial" w:cs="Arial" w:eastAsia="Arial" w:hAnsi="Arial"/>
          <w:sz w:val="14"/>
          <w:szCs w:val="14"/>
          <w:color w:val="auto"/>
        </w:rPr>
        <w:t>”). This option vests in four annual installments of 25% each, commencing on approximately the first anniversary of the grant date, subject to the executive’s continued employment with us.</w:t>
      </w:r>
    </w:p>
    <w:p>
      <w:pPr>
        <w:spacing w:after="0" w:line="1" w:lineRule="exact"/>
        <w:rPr>
          <w:rFonts w:ascii="Arial" w:cs="Arial" w:eastAsia="Arial" w:hAnsi="Arial"/>
          <w:sz w:val="14"/>
          <w:szCs w:val="14"/>
          <w:color w:val="auto"/>
        </w:rPr>
      </w:pPr>
    </w:p>
    <w:p>
      <w:pPr>
        <w:ind w:left="520" w:right="140" w:hanging="316"/>
        <w:spacing w:after="0" w:line="258"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an RSU award assumed in connection with the acquisition of LSI and issued under the LSI Plan. This RSU award vests in four annual installments of 25% each, commencing on approximately the first anniversary of the grant date, subject to the executive’s continued employment with us.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Fiscal Year 2017 Option Exercises and Share Vested Table</w:t>
      </w:r>
    </w:p>
    <w:p>
      <w:pPr>
        <w:spacing w:after="0" w:line="99"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The following table shows information regarding the exercise of share options and the vesting of RSUs during Fiscal Year 2017. Share option award value realized is calculated by subtracting the aggregate exercise price of the share options exercised from the aggregate market value on the date of exercise of the ordinary shares acquired. RSU award value realized is calculated by multiplying the number of ordinary shares shown in the table by the closing market price of our ordinary shares, as reported on the Nasdaq Global Select Market, on the date the RSUs vested. Value Realized on Exercise and Value Realized on Vesting/Release represent long-term gain over multiple years of service by the NEO and it is not considered as part of an NEO’s Fiscal Year 2017 compensation.</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940" w:type="dxa"/>
            <w:vAlign w:val="bottom"/>
            <w:shd w:val="clear" w:color="auto" w:fill="7F7F7F"/>
          </w:tcPr>
          <w:p>
            <w:pPr>
              <w:spacing w:after="0"/>
              <w:rPr>
                <w:sz w:val="16"/>
                <w:szCs w:val="16"/>
                <w:color w:val="auto"/>
              </w:rPr>
            </w:pPr>
          </w:p>
        </w:tc>
        <w:tc>
          <w:tcPr>
            <w:tcW w:w="4260" w:type="dxa"/>
            <w:vAlign w:val="bottom"/>
            <w:gridSpan w:val="2"/>
            <w:shd w:val="clear" w:color="auto" w:fill="7F7F7F"/>
          </w:tcPr>
          <w:p>
            <w:pPr>
              <w:jc w:val="right"/>
              <w:ind w:right="1319"/>
              <w:spacing w:after="0"/>
              <w:rPr>
                <w:sz w:val="20"/>
                <w:szCs w:val="20"/>
                <w:color w:val="auto"/>
              </w:rPr>
            </w:pPr>
            <w:r>
              <w:rPr>
                <w:rFonts w:ascii="Arial" w:cs="Arial" w:eastAsia="Arial" w:hAnsi="Arial"/>
                <w:sz w:val="16"/>
                <w:szCs w:val="16"/>
                <w:b w:val="1"/>
                <w:bCs w:val="1"/>
                <w:color w:val="FFFFFF"/>
              </w:rPr>
              <w:t>Option Awards</w:t>
            </w:r>
          </w:p>
        </w:tc>
        <w:tc>
          <w:tcPr>
            <w:tcW w:w="3820" w:type="dxa"/>
            <w:vAlign w:val="bottom"/>
            <w:gridSpan w:val="2"/>
            <w:shd w:val="clear" w:color="auto" w:fill="7F7F7F"/>
          </w:tcPr>
          <w:p>
            <w:pPr>
              <w:jc w:val="right"/>
              <w:ind w:right="1179"/>
              <w:spacing w:after="0"/>
              <w:rPr>
                <w:sz w:val="20"/>
                <w:szCs w:val="20"/>
                <w:color w:val="auto"/>
              </w:rPr>
            </w:pPr>
            <w:r>
              <w:rPr>
                <w:rFonts w:ascii="Arial" w:cs="Arial" w:eastAsia="Arial" w:hAnsi="Arial"/>
                <w:sz w:val="16"/>
                <w:szCs w:val="16"/>
                <w:b w:val="1"/>
                <w:bCs w:val="1"/>
                <w:color w:val="FFFFFF"/>
              </w:rPr>
              <w:t>RSU Awards</w:t>
            </w:r>
          </w:p>
        </w:tc>
      </w:tr>
      <w:tr>
        <w:trPr>
          <w:trHeight w:val="347"/>
        </w:trPr>
        <w:tc>
          <w:tcPr>
            <w:tcW w:w="2940" w:type="dxa"/>
            <w:vAlign w:val="bottom"/>
            <w:shd w:val="clear" w:color="auto" w:fill="7F7F7F"/>
          </w:tcPr>
          <w:p>
            <w:pPr>
              <w:spacing w:after="0"/>
              <w:rPr>
                <w:sz w:val="24"/>
                <w:szCs w:val="24"/>
                <w:color w:val="auto"/>
              </w:rPr>
            </w:pPr>
          </w:p>
        </w:tc>
        <w:tc>
          <w:tcPr>
            <w:tcW w:w="2420" w:type="dxa"/>
            <w:vAlign w:val="bottom"/>
            <w:shd w:val="clear" w:color="auto" w:fill="7F7F7F"/>
          </w:tcPr>
          <w:p>
            <w:pPr>
              <w:jc w:val="center"/>
              <w:ind w:left="259"/>
              <w:spacing w:after="0"/>
              <w:rPr>
                <w:sz w:val="20"/>
                <w:szCs w:val="20"/>
                <w:color w:val="auto"/>
              </w:rPr>
            </w:pPr>
            <w:r>
              <w:rPr>
                <w:rFonts w:ascii="Arial" w:cs="Arial" w:eastAsia="Arial" w:hAnsi="Arial"/>
                <w:sz w:val="16"/>
                <w:szCs w:val="16"/>
                <w:b w:val="1"/>
                <w:bCs w:val="1"/>
                <w:color w:val="FFFFFF"/>
              </w:rPr>
              <w:t>Number of Shares</w:t>
            </w:r>
          </w:p>
        </w:tc>
        <w:tc>
          <w:tcPr>
            <w:tcW w:w="1840" w:type="dxa"/>
            <w:vAlign w:val="bottom"/>
            <w:shd w:val="clear" w:color="auto" w:fill="7F7F7F"/>
          </w:tcPr>
          <w:p>
            <w:pPr>
              <w:spacing w:after="0"/>
              <w:rPr>
                <w:sz w:val="24"/>
                <w:szCs w:val="24"/>
                <w:color w:val="auto"/>
              </w:rPr>
            </w:pPr>
          </w:p>
        </w:tc>
        <w:tc>
          <w:tcPr>
            <w:tcW w:w="20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Number of Shares</w:t>
            </w:r>
          </w:p>
        </w:tc>
        <w:tc>
          <w:tcPr>
            <w:tcW w:w="1740" w:type="dxa"/>
            <w:vAlign w:val="bottom"/>
            <w:shd w:val="clear" w:color="auto" w:fill="7F7F7F"/>
          </w:tcPr>
          <w:p>
            <w:pPr>
              <w:spacing w:after="0"/>
              <w:rPr>
                <w:sz w:val="24"/>
                <w:szCs w:val="24"/>
                <w:color w:val="auto"/>
              </w:rPr>
            </w:pPr>
          </w:p>
        </w:tc>
      </w:tr>
      <w:tr>
        <w:trPr>
          <w:trHeight w:val="189"/>
        </w:trPr>
        <w:tc>
          <w:tcPr>
            <w:tcW w:w="2940" w:type="dxa"/>
            <w:vAlign w:val="bottom"/>
            <w:shd w:val="clear" w:color="auto" w:fill="7F7F7F"/>
          </w:tcPr>
          <w:p>
            <w:pPr>
              <w:spacing w:after="0"/>
              <w:rPr>
                <w:sz w:val="16"/>
                <w:szCs w:val="16"/>
                <w:color w:val="auto"/>
              </w:rPr>
            </w:pPr>
          </w:p>
        </w:tc>
        <w:tc>
          <w:tcPr>
            <w:tcW w:w="2420" w:type="dxa"/>
            <w:vAlign w:val="bottom"/>
            <w:shd w:val="clear" w:color="auto" w:fill="7F7F7F"/>
          </w:tcPr>
          <w:p>
            <w:pPr>
              <w:jc w:val="center"/>
              <w:ind w:left="259"/>
              <w:spacing w:after="0"/>
              <w:rPr>
                <w:sz w:val="20"/>
                <w:szCs w:val="20"/>
                <w:color w:val="auto"/>
              </w:rPr>
            </w:pPr>
            <w:r>
              <w:rPr>
                <w:rFonts w:ascii="Arial" w:cs="Arial" w:eastAsia="Arial" w:hAnsi="Arial"/>
                <w:sz w:val="16"/>
                <w:szCs w:val="16"/>
                <w:b w:val="1"/>
                <w:bCs w:val="1"/>
                <w:color w:val="FFFFFF"/>
              </w:rPr>
              <w:t>Acquired on</w:t>
            </w:r>
          </w:p>
        </w:tc>
        <w:tc>
          <w:tcPr>
            <w:tcW w:w="18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Value Realized</w:t>
            </w:r>
          </w:p>
        </w:tc>
        <w:tc>
          <w:tcPr>
            <w:tcW w:w="20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Acquired on</w:t>
            </w:r>
          </w:p>
        </w:tc>
        <w:tc>
          <w:tcPr>
            <w:tcW w:w="1740" w:type="dxa"/>
            <w:vAlign w:val="bottom"/>
            <w:shd w:val="clear" w:color="auto" w:fill="7F7F7F"/>
          </w:tcPr>
          <w:p>
            <w:pPr>
              <w:jc w:val="center"/>
              <w:ind w:left="259"/>
              <w:spacing w:after="0"/>
              <w:rPr>
                <w:sz w:val="20"/>
                <w:szCs w:val="20"/>
                <w:color w:val="auto"/>
              </w:rPr>
            </w:pPr>
            <w:r>
              <w:rPr>
                <w:rFonts w:ascii="Arial" w:cs="Arial" w:eastAsia="Arial" w:hAnsi="Arial"/>
                <w:sz w:val="16"/>
                <w:szCs w:val="16"/>
                <w:b w:val="1"/>
                <w:bCs w:val="1"/>
                <w:color w:val="FFFFFF"/>
                <w:w w:val="99"/>
              </w:rPr>
              <w:t>Value Realized on</w:t>
            </w:r>
          </w:p>
        </w:tc>
      </w:tr>
      <w:tr>
        <w:trPr>
          <w:trHeight w:val="189"/>
        </w:trPr>
        <w:tc>
          <w:tcPr>
            <w:tcW w:w="2940" w:type="dxa"/>
            <w:vAlign w:val="bottom"/>
            <w:shd w:val="clear" w:color="auto" w:fill="7F7F7F"/>
          </w:tcPr>
          <w:p>
            <w:pPr>
              <w:spacing w:after="0"/>
              <w:rPr>
                <w:sz w:val="16"/>
                <w:szCs w:val="16"/>
                <w:color w:val="auto"/>
              </w:rPr>
            </w:pPr>
          </w:p>
        </w:tc>
        <w:tc>
          <w:tcPr>
            <w:tcW w:w="2420" w:type="dxa"/>
            <w:vAlign w:val="bottom"/>
            <w:shd w:val="clear" w:color="auto" w:fill="7F7F7F"/>
          </w:tcPr>
          <w:p>
            <w:pPr>
              <w:jc w:val="center"/>
              <w:ind w:left="259"/>
              <w:spacing w:after="0"/>
              <w:rPr>
                <w:sz w:val="20"/>
                <w:szCs w:val="20"/>
                <w:color w:val="auto"/>
              </w:rPr>
            </w:pPr>
            <w:r>
              <w:rPr>
                <w:rFonts w:ascii="Arial" w:cs="Arial" w:eastAsia="Arial" w:hAnsi="Arial"/>
                <w:sz w:val="16"/>
                <w:szCs w:val="16"/>
                <w:b w:val="1"/>
                <w:bCs w:val="1"/>
                <w:color w:val="FFFFFF"/>
              </w:rPr>
              <w:t>Exercise</w:t>
            </w:r>
          </w:p>
        </w:tc>
        <w:tc>
          <w:tcPr>
            <w:tcW w:w="18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on Exercise</w:t>
            </w:r>
          </w:p>
        </w:tc>
        <w:tc>
          <w:tcPr>
            <w:tcW w:w="20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Release</w:t>
            </w:r>
          </w:p>
        </w:tc>
        <w:tc>
          <w:tcPr>
            <w:tcW w:w="1740" w:type="dxa"/>
            <w:vAlign w:val="bottom"/>
            <w:shd w:val="clear" w:color="auto" w:fill="7F7F7F"/>
          </w:tcPr>
          <w:p>
            <w:pPr>
              <w:jc w:val="center"/>
              <w:ind w:left="259"/>
              <w:spacing w:after="0"/>
              <w:rPr>
                <w:sz w:val="20"/>
                <w:szCs w:val="20"/>
                <w:color w:val="auto"/>
              </w:rPr>
            </w:pPr>
            <w:r>
              <w:rPr>
                <w:rFonts w:ascii="Arial" w:cs="Arial" w:eastAsia="Arial" w:hAnsi="Arial"/>
                <w:sz w:val="16"/>
                <w:szCs w:val="16"/>
                <w:b w:val="1"/>
                <w:bCs w:val="1"/>
                <w:color w:val="FFFFFF"/>
              </w:rPr>
              <w:t>Vesting/Release</w:t>
            </w:r>
          </w:p>
        </w:tc>
      </w:tr>
      <w:tr>
        <w:trPr>
          <w:trHeight w:val="207"/>
        </w:trPr>
        <w:tc>
          <w:tcPr>
            <w:tcW w:w="2940" w:type="dxa"/>
            <w:vAlign w:val="bottom"/>
            <w:shd w:val="clear" w:color="auto" w:fill="7F7F7F"/>
          </w:tcPr>
          <w:p>
            <w:pPr>
              <w:ind w:left="80"/>
              <w:spacing w:after="0"/>
              <w:rPr>
                <w:sz w:val="20"/>
                <w:szCs w:val="20"/>
                <w:color w:val="auto"/>
              </w:rPr>
            </w:pPr>
            <w:r>
              <w:rPr>
                <w:rFonts w:ascii="Arial" w:cs="Arial" w:eastAsia="Arial" w:hAnsi="Arial"/>
                <w:sz w:val="16"/>
                <w:szCs w:val="16"/>
                <w:b w:val="1"/>
                <w:bCs w:val="1"/>
                <w:color w:val="FFFFFF"/>
              </w:rPr>
              <w:t>Name</w:t>
            </w:r>
          </w:p>
        </w:tc>
        <w:tc>
          <w:tcPr>
            <w:tcW w:w="2420" w:type="dxa"/>
            <w:vAlign w:val="bottom"/>
            <w:shd w:val="clear" w:color="auto" w:fill="7F7F7F"/>
          </w:tcPr>
          <w:p>
            <w:pPr>
              <w:jc w:val="center"/>
              <w:ind w:left="259"/>
              <w:spacing w:after="0"/>
              <w:rPr>
                <w:sz w:val="20"/>
                <w:szCs w:val="20"/>
                <w:color w:val="auto"/>
              </w:rPr>
            </w:pPr>
            <w:r>
              <w:rPr>
                <w:rFonts w:ascii="Arial" w:cs="Arial" w:eastAsia="Arial" w:hAnsi="Arial"/>
                <w:sz w:val="16"/>
                <w:szCs w:val="16"/>
                <w:b w:val="1"/>
                <w:bCs w:val="1"/>
                <w:color w:val="FFFFFF"/>
              </w:rPr>
              <w:t>(#)</w:t>
            </w:r>
          </w:p>
        </w:tc>
        <w:tc>
          <w:tcPr>
            <w:tcW w:w="18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t>
            </w:r>
          </w:p>
        </w:tc>
        <w:tc>
          <w:tcPr>
            <w:tcW w:w="20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t>
            </w:r>
          </w:p>
        </w:tc>
        <w:tc>
          <w:tcPr>
            <w:tcW w:w="1740" w:type="dxa"/>
            <w:vAlign w:val="bottom"/>
            <w:shd w:val="clear" w:color="auto" w:fill="7F7F7F"/>
          </w:tcPr>
          <w:p>
            <w:pPr>
              <w:jc w:val="center"/>
              <w:ind w:left="259"/>
              <w:spacing w:after="0"/>
              <w:rPr>
                <w:sz w:val="20"/>
                <w:szCs w:val="20"/>
                <w:color w:val="auto"/>
              </w:rPr>
            </w:pPr>
            <w:r>
              <w:rPr>
                <w:rFonts w:ascii="Arial" w:cs="Arial" w:eastAsia="Arial" w:hAnsi="Arial"/>
                <w:sz w:val="16"/>
                <w:szCs w:val="16"/>
                <w:b w:val="1"/>
                <w:bCs w:val="1"/>
                <w:color w:val="FFFFFF"/>
              </w:rPr>
              <w:t>($)</w:t>
            </w:r>
          </w:p>
        </w:tc>
      </w:tr>
      <w:tr>
        <w:trPr>
          <w:trHeight w:val="189"/>
        </w:trPr>
        <w:tc>
          <w:tcPr>
            <w:tcW w:w="2940" w:type="dxa"/>
            <w:vAlign w:val="bottom"/>
          </w:tcPr>
          <w:p>
            <w:pPr>
              <w:ind w:left="80"/>
              <w:spacing w:after="0"/>
              <w:rPr>
                <w:sz w:val="20"/>
                <w:szCs w:val="20"/>
                <w:color w:val="auto"/>
              </w:rPr>
            </w:pPr>
            <w:r>
              <w:rPr>
                <w:rFonts w:ascii="Arial" w:cs="Arial" w:eastAsia="Arial" w:hAnsi="Arial"/>
                <w:sz w:val="16"/>
                <w:szCs w:val="16"/>
                <w:color w:val="auto"/>
              </w:rPr>
              <w:t>Hock E. Tan</w:t>
            </w:r>
          </w:p>
        </w:tc>
        <w:tc>
          <w:tcPr>
            <w:tcW w:w="2420" w:type="dxa"/>
            <w:vAlign w:val="bottom"/>
          </w:tcPr>
          <w:p>
            <w:pPr>
              <w:jc w:val="right"/>
              <w:ind w:right="439"/>
              <w:spacing w:after="0"/>
              <w:rPr>
                <w:sz w:val="20"/>
                <w:szCs w:val="20"/>
                <w:color w:val="auto"/>
              </w:rPr>
            </w:pPr>
            <w:r>
              <w:rPr>
                <w:rFonts w:ascii="Arial" w:cs="Arial" w:eastAsia="Arial" w:hAnsi="Arial"/>
                <w:sz w:val="16"/>
                <w:szCs w:val="16"/>
                <w:color w:val="auto"/>
              </w:rPr>
              <w:t>170,000</w:t>
            </w:r>
          </w:p>
        </w:tc>
        <w:tc>
          <w:tcPr>
            <w:tcW w:w="1840" w:type="dxa"/>
            <w:vAlign w:val="bottom"/>
          </w:tcPr>
          <w:p>
            <w:pPr>
              <w:jc w:val="right"/>
              <w:ind w:right="279"/>
              <w:spacing w:after="0"/>
              <w:rPr>
                <w:sz w:val="20"/>
                <w:szCs w:val="20"/>
                <w:color w:val="auto"/>
              </w:rPr>
            </w:pPr>
            <w:r>
              <w:rPr>
                <w:rFonts w:ascii="Arial" w:cs="Arial" w:eastAsia="Arial" w:hAnsi="Arial"/>
                <w:sz w:val="16"/>
                <w:szCs w:val="16"/>
                <w:color w:val="auto"/>
              </w:rPr>
              <w:t>33,020,048</w:t>
            </w:r>
          </w:p>
        </w:tc>
        <w:tc>
          <w:tcPr>
            <w:tcW w:w="2080" w:type="dxa"/>
            <w:vAlign w:val="bottom"/>
          </w:tcPr>
          <w:p>
            <w:pPr>
              <w:jc w:val="right"/>
              <w:ind w:right="539"/>
              <w:spacing w:after="0"/>
              <w:rPr>
                <w:sz w:val="20"/>
                <w:szCs w:val="20"/>
                <w:color w:val="auto"/>
              </w:rPr>
            </w:pPr>
            <w:r>
              <w:rPr>
                <w:rFonts w:ascii="Arial" w:cs="Arial" w:eastAsia="Arial" w:hAnsi="Arial"/>
                <w:sz w:val="16"/>
                <w:szCs w:val="16"/>
                <w:color w:val="auto"/>
              </w:rPr>
              <w:t>20,833</w:t>
            </w:r>
          </w:p>
        </w:tc>
        <w:tc>
          <w:tcPr>
            <w:tcW w:w="1740" w:type="dxa"/>
            <w:vAlign w:val="bottom"/>
          </w:tcPr>
          <w:p>
            <w:pPr>
              <w:jc w:val="right"/>
              <w:spacing w:after="0"/>
              <w:rPr>
                <w:sz w:val="20"/>
                <w:szCs w:val="20"/>
                <w:color w:val="auto"/>
              </w:rPr>
            </w:pPr>
            <w:r>
              <w:rPr>
                <w:rFonts w:ascii="Arial" w:cs="Arial" w:eastAsia="Arial" w:hAnsi="Arial"/>
                <w:sz w:val="16"/>
                <w:szCs w:val="16"/>
                <w:color w:val="auto"/>
              </w:rPr>
              <w:t>4,227,073</w:t>
            </w:r>
          </w:p>
        </w:tc>
      </w:tr>
      <w:tr>
        <w:trPr>
          <w:trHeight w:val="189"/>
        </w:trPr>
        <w:tc>
          <w:tcPr>
            <w:tcW w:w="2940" w:type="dxa"/>
            <w:vAlign w:val="bottom"/>
            <w:shd w:val="clear" w:color="auto" w:fill="BFBFBF"/>
          </w:tcPr>
          <w:p>
            <w:pPr>
              <w:ind w:left="80"/>
              <w:spacing w:after="0"/>
              <w:rPr>
                <w:sz w:val="20"/>
                <w:szCs w:val="20"/>
                <w:color w:val="auto"/>
              </w:rPr>
            </w:pPr>
            <w:r>
              <w:rPr>
                <w:rFonts w:ascii="Arial" w:cs="Arial" w:eastAsia="Arial" w:hAnsi="Arial"/>
                <w:sz w:val="16"/>
                <w:szCs w:val="16"/>
                <w:color w:val="auto"/>
              </w:rPr>
              <w:t>Thomas H. Krause Jr.</w:t>
            </w:r>
          </w:p>
        </w:tc>
        <w:tc>
          <w:tcPr>
            <w:tcW w:w="2420" w:type="dxa"/>
            <w:vAlign w:val="bottom"/>
            <w:shd w:val="clear" w:color="auto" w:fill="BFBFBF"/>
          </w:tcPr>
          <w:p>
            <w:pPr>
              <w:jc w:val="right"/>
              <w:ind w:right="439"/>
              <w:spacing w:after="0"/>
              <w:rPr>
                <w:sz w:val="20"/>
                <w:szCs w:val="20"/>
                <w:color w:val="auto"/>
              </w:rPr>
            </w:pPr>
            <w:r>
              <w:rPr>
                <w:rFonts w:ascii="Arial" w:cs="Arial" w:eastAsia="Arial" w:hAnsi="Arial"/>
                <w:sz w:val="16"/>
                <w:szCs w:val="16"/>
                <w:color w:val="auto"/>
              </w:rPr>
              <w:t>28,500</w:t>
            </w:r>
          </w:p>
        </w:tc>
        <w:tc>
          <w:tcPr>
            <w:tcW w:w="1840" w:type="dxa"/>
            <w:vAlign w:val="bottom"/>
            <w:shd w:val="clear" w:color="auto" w:fill="BFBFBF"/>
          </w:tcPr>
          <w:p>
            <w:pPr>
              <w:jc w:val="right"/>
              <w:ind w:right="279"/>
              <w:spacing w:after="0"/>
              <w:rPr>
                <w:sz w:val="20"/>
                <w:szCs w:val="20"/>
                <w:color w:val="auto"/>
              </w:rPr>
            </w:pPr>
            <w:r>
              <w:rPr>
                <w:rFonts w:ascii="Arial" w:cs="Arial" w:eastAsia="Arial" w:hAnsi="Arial"/>
                <w:sz w:val="16"/>
                <w:szCs w:val="16"/>
                <w:color w:val="auto"/>
              </w:rPr>
              <w:t>4,838,590</w:t>
            </w:r>
          </w:p>
        </w:tc>
        <w:tc>
          <w:tcPr>
            <w:tcW w:w="2080" w:type="dxa"/>
            <w:vAlign w:val="bottom"/>
            <w:shd w:val="clear" w:color="auto" w:fill="BFBFBF"/>
          </w:tcPr>
          <w:p>
            <w:pPr>
              <w:jc w:val="right"/>
              <w:ind w:right="539"/>
              <w:spacing w:after="0"/>
              <w:rPr>
                <w:sz w:val="20"/>
                <w:szCs w:val="20"/>
                <w:color w:val="auto"/>
              </w:rPr>
            </w:pPr>
            <w:r>
              <w:rPr>
                <w:rFonts w:ascii="Arial" w:cs="Arial" w:eastAsia="Arial" w:hAnsi="Arial"/>
                <w:sz w:val="16"/>
                <w:szCs w:val="16"/>
                <w:color w:val="auto"/>
              </w:rPr>
              <w:t>19,500</w:t>
            </w:r>
          </w:p>
        </w:tc>
        <w:tc>
          <w:tcPr>
            <w:tcW w:w="17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4,342,175</w:t>
            </w:r>
          </w:p>
        </w:tc>
      </w:tr>
      <w:tr>
        <w:trPr>
          <w:trHeight w:val="189"/>
        </w:trPr>
        <w:tc>
          <w:tcPr>
            <w:tcW w:w="2940" w:type="dxa"/>
            <w:vAlign w:val="bottom"/>
          </w:tcPr>
          <w:p>
            <w:pPr>
              <w:ind w:left="80"/>
              <w:spacing w:after="0"/>
              <w:rPr>
                <w:sz w:val="20"/>
                <w:szCs w:val="20"/>
                <w:color w:val="auto"/>
              </w:rPr>
            </w:pPr>
            <w:r>
              <w:rPr>
                <w:rFonts w:ascii="Arial" w:cs="Arial" w:eastAsia="Arial" w:hAnsi="Arial"/>
                <w:sz w:val="16"/>
                <w:szCs w:val="16"/>
                <w:color w:val="auto"/>
              </w:rPr>
              <w:t>Charlie B. Kawwas, Ph.D.</w:t>
            </w:r>
          </w:p>
        </w:tc>
        <w:tc>
          <w:tcPr>
            <w:tcW w:w="2420" w:type="dxa"/>
            <w:vAlign w:val="bottom"/>
          </w:tcPr>
          <w:p>
            <w:pPr>
              <w:jc w:val="right"/>
              <w:ind w:right="439"/>
              <w:spacing w:after="0"/>
              <w:rPr>
                <w:sz w:val="20"/>
                <w:szCs w:val="20"/>
                <w:color w:val="auto"/>
              </w:rPr>
            </w:pPr>
            <w:r>
              <w:rPr>
                <w:rFonts w:ascii="Arial" w:cs="Arial" w:eastAsia="Arial" w:hAnsi="Arial"/>
                <w:sz w:val="16"/>
                <w:szCs w:val="16"/>
                <w:color w:val="auto"/>
              </w:rPr>
              <w:t>30,000</w:t>
            </w:r>
          </w:p>
        </w:tc>
        <w:tc>
          <w:tcPr>
            <w:tcW w:w="1840" w:type="dxa"/>
            <w:vAlign w:val="bottom"/>
          </w:tcPr>
          <w:p>
            <w:pPr>
              <w:jc w:val="right"/>
              <w:ind w:right="279"/>
              <w:spacing w:after="0"/>
              <w:rPr>
                <w:sz w:val="20"/>
                <w:szCs w:val="20"/>
                <w:color w:val="auto"/>
              </w:rPr>
            </w:pPr>
            <w:r>
              <w:rPr>
                <w:rFonts w:ascii="Arial" w:cs="Arial" w:eastAsia="Arial" w:hAnsi="Arial"/>
                <w:sz w:val="16"/>
                <w:szCs w:val="16"/>
                <w:color w:val="auto"/>
              </w:rPr>
              <w:t>3,690,478</w:t>
            </w:r>
          </w:p>
        </w:tc>
        <w:tc>
          <w:tcPr>
            <w:tcW w:w="2080" w:type="dxa"/>
            <w:vAlign w:val="bottom"/>
          </w:tcPr>
          <w:p>
            <w:pPr>
              <w:jc w:val="right"/>
              <w:ind w:right="539"/>
              <w:spacing w:after="0"/>
              <w:rPr>
                <w:sz w:val="20"/>
                <w:szCs w:val="20"/>
                <w:color w:val="auto"/>
              </w:rPr>
            </w:pPr>
            <w:r>
              <w:rPr>
                <w:rFonts w:ascii="Arial" w:cs="Arial" w:eastAsia="Arial" w:hAnsi="Arial"/>
                <w:sz w:val="16"/>
                <w:szCs w:val="16"/>
                <w:color w:val="auto"/>
              </w:rPr>
              <w:t>34,252</w:t>
            </w:r>
          </w:p>
        </w:tc>
        <w:tc>
          <w:tcPr>
            <w:tcW w:w="1740" w:type="dxa"/>
            <w:vAlign w:val="bottom"/>
          </w:tcPr>
          <w:p>
            <w:pPr>
              <w:jc w:val="right"/>
              <w:spacing w:after="0"/>
              <w:rPr>
                <w:sz w:val="20"/>
                <w:szCs w:val="20"/>
                <w:color w:val="auto"/>
              </w:rPr>
            </w:pPr>
            <w:r>
              <w:rPr>
                <w:rFonts w:ascii="Arial" w:cs="Arial" w:eastAsia="Arial" w:hAnsi="Arial"/>
                <w:sz w:val="16"/>
                <w:szCs w:val="16"/>
                <w:color w:val="auto"/>
              </w:rPr>
              <w:t>7,912,678</w:t>
            </w:r>
          </w:p>
        </w:tc>
      </w:tr>
      <w:tr>
        <w:trPr>
          <w:trHeight w:val="189"/>
        </w:trPr>
        <w:tc>
          <w:tcPr>
            <w:tcW w:w="2940" w:type="dxa"/>
            <w:vAlign w:val="bottom"/>
            <w:shd w:val="clear" w:color="auto" w:fill="BFBFBF"/>
          </w:tcPr>
          <w:p>
            <w:pPr>
              <w:ind w:left="80"/>
              <w:spacing w:after="0"/>
              <w:rPr>
                <w:sz w:val="20"/>
                <w:szCs w:val="20"/>
                <w:color w:val="auto"/>
              </w:rPr>
            </w:pPr>
            <w:r>
              <w:rPr>
                <w:rFonts w:ascii="Arial" w:cs="Arial" w:eastAsia="Arial" w:hAnsi="Arial"/>
                <w:sz w:val="16"/>
                <w:szCs w:val="16"/>
                <w:color w:val="auto"/>
              </w:rPr>
              <w:t>Mark D. Brazeal</w:t>
            </w:r>
          </w:p>
        </w:tc>
        <w:tc>
          <w:tcPr>
            <w:tcW w:w="2420" w:type="dxa"/>
            <w:vAlign w:val="bottom"/>
            <w:shd w:val="clear" w:color="auto" w:fill="BFBFBF"/>
          </w:tcPr>
          <w:p>
            <w:pPr>
              <w:jc w:val="right"/>
              <w:ind w:right="439"/>
              <w:spacing w:after="0"/>
              <w:rPr>
                <w:sz w:val="20"/>
                <w:szCs w:val="20"/>
                <w:color w:val="auto"/>
              </w:rPr>
            </w:pPr>
            <w:r>
              <w:rPr>
                <w:rFonts w:ascii="Arial" w:cs="Arial" w:eastAsia="Arial" w:hAnsi="Arial"/>
                <w:sz w:val="16"/>
                <w:szCs w:val="16"/>
                <w:color w:val="auto"/>
              </w:rPr>
              <w:t>—</w:t>
            </w:r>
          </w:p>
        </w:tc>
        <w:tc>
          <w:tcPr>
            <w:tcW w:w="1840" w:type="dxa"/>
            <w:vAlign w:val="bottom"/>
            <w:shd w:val="clear" w:color="auto" w:fill="BFBFBF"/>
          </w:tcPr>
          <w:p>
            <w:pPr>
              <w:jc w:val="right"/>
              <w:ind w:right="279"/>
              <w:spacing w:after="0"/>
              <w:rPr>
                <w:sz w:val="20"/>
                <w:szCs w:val="20"/>
                <w:color w:val="auto"/>
              </w:rPr>
            </w:pPr>
            <w:r>
              <w:rPr>
                <w:rFonts w:ascii="Arial" w:cs="Arial" w:eastAsia="Arial" w:hAnsi="Arial"/>
                <w:sz w:val="16"/>
                <w:szCs w:val="16"/>
                <w:color w:val="auto"/>
              </w:rPr>
              <w:t>—</w:t>
            </w:r>
          </w:p>
        </w:tc>
        <w:tc>
          <w:tcPr>
            <w:tcW w:w="2080" w:type="dxa"/>
            <w:vAlign w:val="bottom"/>
            <w:shd w:val="clear" w:color="auto" w:fill="BFBFBF"/>
          </w:tcPr>
          <w:p>
            <w:pPr>
              <w:jc w:val="right"/>
              <w:ind w:right="539"/>
              <w:spacing w:after="0"/>
              <w:rPr>
                <w:sz w:val="20"/>
                <w:szCs w:val="20"/>
                <w:color w:val="auto"/>
              </w:rPr>
            </w:pPr>
            <w:r>
              <w:rPr>
                <w:rFonts w:ascii="Arial" w:cs="Arial" w:eastAsia="Arial" w:hAnsi="Arial"/>
                <w:sz w:val="16"/>
                <w:szCs w:val="16"/>
                <w:color w:val="auto"/>
              </w:rPr>
              <w:t>—</w:t>
            </w:r>
          </w:p>
        </w:tc>
        <w:tc>
          <w:tcPr>
            <w:tcW w:w="17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2940" w:type="dxa"/>
            <w:vAlign w:val="bottom"/>
          </w:tcPr>
          <w:p>
            <w:pPr>
              <w:ind w:left="80"/>
              <w:spacing w:after="0"/>
              <w:rPr>
                <w:sz w:val="20"/>
                <w:szCs w:val="20"/>
                <w:color w:val="auto"/>
              </w:rPr>
            </w:pPr>
            <w:r>
              <w:rPr>
                <w:rFonts w:ascii="Arial" w:cs="Arial" w:eastAsia="Arial" w:hAnsi="Arial"/>
                <w:sz w:val="16"/>
                <w:szCs w:val="16"/>
                <w:color w:val="auto"/>
              </w:rPr>
              <w:t>Bryan T. Ingram</w:t>
            </w:r>
          </w:p>
        </w:tc>
        <w:tc>
          <w:tcPr>
            <w:tcW w:w="2420" w:type="dxa"/>
            <w:vAlign w:val="bottom"/>
          </w:tcPr>
          <w:p>
            <w:pPr>
              <w:jc w:val="right"/>
              <w:ind w:right="439"/>
              <w:spacing w:after="0"/>
              <w:rPr>
                <w:sz w:val="20"/>
                <w:szCs w:val="20"/>
                <w:color w:val="auto"/>
              </w:rPr>
            </w:pPr>
            <w:r>
              <w:rPr>
                <w:rFonts w:ascii="Arial" w:cs="Arial" w:eastAsia="Arial" w:hAnsi="Arial"/>
                <w:sz w:val="16"/>
                <w:szCs w:val="16"/>
                <w:color w:val="auto"/>
              </w:rPr>
              <w:t>92,000</w:t>
            </w:r>
          </w:p>
        </w:tc>
        <w:tc>
          <w:tcPr>
            <w:tcW w:w="1840" w:type="dxa"/>
            <w:vAlign w:val="bottom"/>
          </w:tcPr>
          <w:p>
            <w:pPr>
              <w:jc w:val="right"/>
              <w:ind w:right="279"/>
              <w:spacing w:after="0"/>
              <w:rPr>
                <w:sz w:val="20"/>
                <w:szCs w:val="20"/>
                <w:color w:val="auto"/>
              </w:rPr>
            </w:pPr>
            <w:r>
              <w:rPr>
                <w:rFonts w:ascii="Arial" w:cs="Arial" w:eastAsia="Arial" w:hAnsi="Arial"/>
                <w:sz w:val="16"/>
                <w:szCs w:val="16"/>
                <w:color w:val="auto"/>
              </w:rPr>
              <w:t>16,777,515</w:t>
            </w:r>
          </w:p>
        </w:tc>
        <w:tc>
          <w:tcPr>
            <w:tcW w:w="2080" w:type="dxa"/>
            <w:vAlign w:val="bottom"/>
          </w:tcPr>
          <w:p>
            <w:pPr>
              <w:jc w:val="right"/>
              <w:ind w:right="539"/>
              <w:spacing w:after="0"/>
              <w:rPr>
                <w:sz w:val="20"/>
                <w:szCs w:val="20"/>
                <w:color w:val="auto"/>
              </w:rPr>
            </w:pPr>
            <w:r>
              <w:rPr>
                <w:rFonts w:ascii="Arial" w:cs="Arial" w:eastAsia="Arial" w:hAnsi="Arial"/>
                <w:sz w:val="16"/>
                <w:szCs w:val="16"/>
                <w:color w:val="auto"/>
              </w:rPr>
              <w:t>46,666</w:t>
            </w:r>
          </w:p>
        </w:tc>
        <w:tc>
          <w:tcPr>
            <w:tcW w:w="1740" w:type="dxa"/>
            <w:vAlign w:val="bottom"/>
          </w:tcPr>
          <w:p>
            <w:pPr>
              <w:jc w:val="right"/>
              <w:spacing w:after="0"/>
              <w:rPr>
                <w:sz w:val="20"/>
                <w:szCs w:val="20"/>
                <w:color w:val="auto"/>
              </w:rPr>
            </w:pPr>
            <w:r>
              <w:rPr>
                <w:rFonts w:ascii="Arial" w:cs="Arial" w:eastAsia="Arial" w:hAnsi="Arial"/>
                <w:sz w:val="16"/>
                <w:szCs w:val="16"/>
                <w:color w:val="auto"/>
              </w:rPr>
              <w:t>10,227,446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-1196340</wp:posOffset>
            </wp:positionV>
            <wp:extent cx="46907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Fiscal Year 2017 Non-Qualified Deferred Compensation Table</w:t>
      </w:r>
    </w:p>
    <w:p>
      <w:pPr>
        <w:spacing w:after="0" w:line="126" w:lineRule="exact"/>
        <w:rPr>
          <w:sz w:val="20"/>
          <w:szCs w:val="20"/>
          <w:color w:val="auto"/>
        </w:rPr>
      </w:pPr>
    </w:p>
    <w:p>
      <w:pPr>
        <w:jc w:val="both"/>
        <w:ind w:left="200" w:right="320" w:firstLine="551"/>
        <w:spacing w:after="0"/>
        <w:rPr>
          <w:sz w:val="20"/>
          <w:szCs w:val="20"/>
          <w:color w:val="auto"/>
        </w:rPr>
      </w:pPr>
      <w:r>
        <w:rPr>
          <w:rFonts w:ascii="Arial" w:cs="Arial" w:eastAsia="Arial" w:hAnsi="Arial"/>
          <w:sz w:val="18"/>
          <w:szCs w:val="18"/>
          <w:color w:val="auto"/>
        </w:rPr>
        <w:t>The following table sets forth information regarding contributions and earnings under the Avago Technologies U.S. Inc. Deferred Compensation Plan during Fiscal Year 2017 with respect to our NEOs who participated in this plan. This plan was terminated effective May 31, 2016 and all remaining funds were distributed to participants on or before May 31, 2017.</w:t>
      </w:r>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160" w:type="dxa"/>
            <w:vAlign w:val="bottom"/>
            <w:shd w:val="clear" w:color="auto" w:fill="7F7F7F"/>
          </w:tcPr>
          <w:p>
            <w:pPr>
              <w:spacing w:after="0"/>
              <w:rPr>
                <w:sz w:val="16"/>
                <w:szCs w:val="16"/>
                <w:color w:val="auto"/>
              </w:rPr>
            </w:pPr>
          </w:p>
        </w:tc>
        <w:tc>
          <w:tcPr>
            <w:tcW w:w="2380" w:type="dxa"/>
            <w:vAlign w:val="bottom"/>
            <w:shd w:val="clear" w:color="auto" w:fill="7F7F7F"/>
          </w:tcPr>
          <w:p>
            <w:pPr>
              <w:jc w:val="center"/>
              <w:ind w:left="599"/>
              <w:spacing w:after="0"/>
              <w:rPr>
                <w:sz w:val="20"/>
                <w:szCs w:val="20"/>
                <w:color w:val="auto"/>
              </w:rPr>
            </w:pPr>
            <w:r>
              <w:rPr>
                <w:rFonts w:ascii="Arial" w:cs="Arial" w:eastAsia="Arial" w:hAnsi="Arial"/>
                <w:sz w:val="16"/>
                <w:szCs w:val="16"/>
                <w:b w:val="1"/>
                <w:bCs w:val="1"/>
                <w:color w:val="FFFFFF"/>
                <w:w w:val="98"/>
              </w:rPr>
              <w:t>Executive</w:t>
            </w:r>
          </w:p>
        </w:tc>
        <w:tc>
          <w:tcPr>
            <w:tcW w:w="17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Registrant</w:t>
            </w:r>
          </w:p>
        </w:tc>
        <w:tc>
          <w:tcPr>
            <w:tcW w:w="16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Aggregate</w:t>
            </w:r>
          </w:p>
        </w:tc>
        <w:tc>
          <w:tcPr>
            <w:tcW w:w="1780" w:type="dxa"/>
            <w:vAlign w:val="bottom"/>
            <w:shd w:val="clear" w:color="auto" w:fill="7F7F7F"/>
          </w:tcPr>
          <w:p>
            <w:pPr>
              <w:spacing w:after="0"/>
              <w:rPr>
                <w:sz w:val="16"/>
                <w:szCs w:val="16"/>
                <w:color w:val="auto"/>
              </w:rPr>
            </w:pPr>
          </w:p>
        </w:tc>
        <w:tc>
          <w:tcPr>
            <w:tcW w:w="1300" w:type="dxa"/>
            <w:vAlign w:val="bottom"/>
            <w:shd w:val="clear" w:color="auto" w:fill="7F7F7F"/>
          </w:tcPr>
          <w:p>
            <w:pPr>
              <w:spacing w:after="0"/>
              <w:rPr>
                <w:sz w:val="16"/>
                <w:szCs w:val="16"/>
                <w:color w:val="auto"/>
              </w:rPr>
            </w:pPr>
          </w:p>
        </w:tc>
      </w:tr>
      <w:tr>
        <w:trPr>
          <w:trHeight w:val="189"/>
        </w:trPr>
        <w:tc>
          <w:tcPr>
            <w:tcW w:w="2160" w:type="dxa"/>
            <w:vAlign w:val="bottom"/>
            <w:shd w:val="clear" w:color="auto" w:fill="7F7F7F"/>
          </w:tcPr>
          <w:p>
            <w:pPr>
              <w:spacing w:after="0"/>
              <w:rPr>
                <w:sz w:val="16"/>
                <w:szCs w:val="16"/>
                <w:color w:val="auto"/>
              </w:rPr>
            </w:pPr>
          </w:p>
        </w:tc>
        <w:tc>
          <w:tcPr>
            <w:tcW w:w="2380" w:type="dxa"/>
            <w:vAlign w:val="bottom"/>
            <w:shd w:val="clear" w:color="auto" w:fill="7F7F7F"/>
          </w:tcPr>
          <w:p>
            <w:pPr>
              <w:jc w:val="center"/>
              <w:ind w:left="599"/>
              <w:spacing w:after="0"/>
              <w:rPr>
                <w:sz w:val="20"/>
                <w:szCs w:val="20"/>
                <w:color w:val="auto"/>
              </w:rPr>
            </w:pPr>
            <w:r>
              <w:rPr>
                <w:rFonts w:ascii="Arial" w:cs="Arial" w:eastAsia="Arial" w:hAnsi="Arial"/>
                <w:sz w:val="16"/>
                <w:szCs w:val="16"/>
                <w:b w:val="1"/>
                <w:bCs w:val="1"/>
                <w:color w:val="FFFFFF"/>
              </w:rPr>
              <w:t>Contributions</w:t>
            </w:r>
          </w:p>
        </w:tc>
        <w:tc>
          <w:tcPr>
            <w:tcW w:w="17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Contributions</w:t>
            </w:r>
          </w:p>
        </w:tc>
        <w:tc>
          <w:tcPr>
            <w:tcW w:w="16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Earnings</w:t>
            </w:r>
          </w:p>
        </w:tc>
        <w:tc>
          <w:tcPr>
            <w:tcW w:w="17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Aggregate</w:t>
            </w:r>
          </w:p>
        </w:tc>
        <w:tc>
          <w:tcPr>
            <w:tcW w:w="1300" w:type="dxa"/>
            <w:vAlign w:val="bottom"/>
            <w:shd w:val="clear" w:color="auto" w:fill="7F7F7F"/>
          </w:tcPr>
          <w:p>
            <w:pPr>
              <w:jc w:val="center"/>
              <w:ind w:left="219"/>
              <w:spacing w:after="0"/>
              <w:rPr>
                <w:sz w:val="20"/>
                <w:szCs w:val="20"/>
                <w:color w:val="auto"/>
              </w:rPr>
            </w:pPr>
            <w:r>
              <w:rPr>
                <w:rFonts w:ascii="Arial" w:cs="Arial" w:eastAsia="Arial" w:hAnsi="Arial"/>
                <w:sz w:val="16"/>
                <w:szCs w:val="16"/>
                <w:b w:val="1"/>
                <w:bCs w:val="1"/>
                <w:color w:val="FFFFFF"/>
              </w:rPr>
              <w:t>Aggregate</w:t>
            </w:r>
          </w:p>
        </w:tc>
      </w:tr>
      <w:tr>
        <w:trPr>
          <w:trHeight w:val="189"/>
        </w:trPr>
        <w:tc>
          <w:tcPr>
            <w:tcW w:w="2160" w:type="dxa"/>
            <w:vAlign w:val="bottom"/>
            <w:shd w:val="clear" w:color="auto" w:fill="7F7F7F"/>
          </w:tcPr>
          <w:p>
            <w:pPr>
              <w:spacing w:after="0"/>
              <w:rPr>
                <w:sz w:val="16"/>
                <w:szCs w:val="16"/>
                <w:color w:val="auto"/>
              </w:rPr>
            </w:pPr>
          </w:p>
        </w:tc>
        <w:tc>
          <w:tcPr>
            <w:tcW w:w="2380" w:type="dxa"/>
            <w:vAlign w:val="bottom"/>
            <w:shd w:val="clear" w:color="auto" w:fill="7F7F7F"/>
          </w:tcPr>
          <w:p>
            <w:pPr>
              <w:jc w:val="center"/>
              <w:ind w:left="599"/>
              <w:spacing w:after="0"/>
              <w:rPr>
                <w:sz w:val="20"/>
                <w:szCs w:val="20"/>
                <w:color w:val="auto"/>
              </w:rPr>
            </w:pPr>
            <w:r>
              <w:rPr>
                <w:rFonts w:ascii="Arial" w:cs="Arial" w:eastAsia="Arial" w:hAnsi="Arial"/>
                <w:sz w:val="16"/>
                <w:szCs w:val="16"/>
                <w:b w:val="1"/>
                <w:bCs w:val="1"/>
                <w:color w:val="FFFFFF"/>
                <w:w w:val="98"/>
              </w:rPr>
              <w:t>in Fiscal Year</w:t>
            </w:r>
          </w:p>
        </w:tc>
        <w:tc>
          <w:tcPr>
            <w:tcW w:w="17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8"/>
              </w:rPr>
              <w:t>in Fiscal Year</w:t>
            </w:r>
          </w:p>
        </w:tc>
        <w:tc>
          <w:tcPr>
            <w:tcW w:w="16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in Fiscal</w:t>
            </w:r>
          </w:p>
        </w:tc>
        <w:tc>
          <w:tcPr>
            <w:tcW w:w="17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Withdrawals /</w:t>
            </w:r>
          </w:p>
        </w:tc>
        <w:tc>
          <w:tcPr>
            <w:tcW w:w="1300" w:type="dxa"/>
            <w:vAlign w:val="bottom"/>
            <w:shd w:val="clear" w:color="auto" w:fill="7F7F7F"/>
          </w:tcPr>
          <w:p>
            <w:pPr>
              <w:jc w:val="center"/>
              <w:ind w:left="219"/>
              <w:spacing w:after="0"/>
              <w:rPr>
                <w:sz w:val="20"/>
                <w:szCs w:val="20"/>
                <w:color w:val="auto"/>
              </w:rPr>
            </w:pPr>
            <w:r>
              <w:rPr>
                <w:rFonts w:ascii="Arial" w:cs="Arial" w:eastAsia="Arial" w:hAnsi="Arial"/>
                <w:sz w:val="16"/>
                <w:szCs w:val="16"/>
                <w:b w:val="1"/>
                <w:bCs w:val="1"/>
                <w:color w:val="FFFFFF"/>
                <w:w w:val="99"/>
              </w:rPr>
              <w:t>Balance at</w:t>
            </w:r>
          </w:p>
        </w:tc>
      </w:tr>
      <w:tr>
        <w:trPr>
          <w:trHeight w:val="188"/>
        </w:trPr>
        <w:tc>
          <w:tcPr>
            <w:tcW w:w="2160" w:type="dxa"/>
            <w:vAlign w:val="bottom"/>
            <w:shd w:val="clear" w:color="auto" w:fill="7F7F7F"/>
          </w:tcPr>
          <w:p>
            <w:pPr>
              <w:spacing w:after="0"/>
              <w:rPr>
                <w:sz w:val="16"/>
                <w:szCs w:val="16"/>
                <w:color w:val="auto"/>
              </w:rPr>
            </w:pPr>
          </w:p>
        </w:tc>
        <w:tc>
          <w:tcPr>
            <w:tcW w:w="2380" w:type="dxa"/>
            <w:vAlign w:val="bottom"/>
            <w:shd w:val="clear" w:color="auto" w:fill="7F7F7F"/>
          </w:tcPr>
          <w:p>
            <w:pPr>
              <w:jc w:val="center"/>
              <w:ind w:left="619"/>
              <w:spacing w:after="0"/>
              <w:rPr>
                <w:sz w:val="20"/>
                <w:szCs w:val="20"/>
                <w:color w:val="auto"/>
              </w:rPr>
            </w:pPr>
            <w:r>
              <w:rPr>
                <w:rFonts w:ascii="Arial" w:cs="Arial" w:eastAsia="Arial" w:hAnsi="Arial"/>
                <w:sz w:val="16"/>
                <w:szCs w:val="16"/>
                <w:b w:val="1"/>
                <w:bCs w:val="1"/>
                <w:color w:val="FFFFFF"/>
              </w:rPr>
              <w:t>2017</w:t>
            </w:r>
          </w:p>
        </w:tc>
        <w:tc>
          <w:tcPr>
            <w:tcW w:w="17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2017</w:t>
            </w:r>
          </w:p>
        </w:tc>
        <w:tc>
          <w:tcPr>
            <w:tcW w:w="16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8"/>
              </w:rPr>
              <w:t>Year 2017</w:t>
            </w:r>
          </w:p>
        </w:tc>
        <w:tc>
          <w:tcPr>
            <w:tcW w:w="17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Distribution</w:t>
            </w:r>
          </w:p>
        </w:tc>
        <w:tc>
          <w:tcPr>
            <w:tcW w:w="1300" w:type="dxa"/>
            <w:vAlign w:val="bottom"/>
            <w:shd w:val="clear" w:color="auto" w:fill="7F7F7F"/>
          </w:tcPr>
          <w:p>
            <w:pPr>
              <w:jc w:val="center"/>
              <w:ind w:left="219"/>
              <w:spacing w:after="0"/>
              <w:rPr>
                <w:sz w:val="20"/>
                <w:szCs w:val="20"/>
                <w:color w:val="auto"/>
              </w:rPr>
            </w:pPr>
            <w:r>
              <w:rPr>
                <w:rFonts w:ascii="Arial" w:cs="Arial" w:eastAsia="Arial" w:hAnsi="Arial"/>
                <w:sz w:val="16"/>
                <w:szCs w:val="16"/>
                <w:b w:val="1"/>
                <w:bCs w:val="1"/>
                <w:color w:val="FFFFFF"/>
              </w:rPr>
              <w:t>June 1, 2017</w:t>
            </w:r>
          </w:p>
        </w:tc>
      </w:tr>
      <w:tr>
        <w:trPr>
          <w:trHeight w:val="222"/>
        </w:trPr>
        <w:tc>
          <w:tcPr>
            <w:tcW w:w="2160" w:type="dxa"/>
            <w:vAlign w:val="bottom"/>
            <w:shd w:val="clear" w:color="auto" w:fill="7F7F7F"/>
          </w:tcPr>
          <w:p>
            <w:pPr>
              <w:ind w:left="20"/>
              <w:spacing w:after="0"/>
              <w:rPr>
                <w:sz w:val="20"/>
                <w:szCs w:val="20"/>
                <w:color w:val="auto"/>
              </w:rPr>
            </w:pPr>
            <w:r>
              <w:rPr>
                <w:rFonts w:ascii="Arial" w:cs="Arial" w:eastAsia="Arial" w:hAnsi="Arial"/>
                <w:sz w:val="16"/>
                <w:szCs w:val="16"/>
                <w:b w:val="1"/>
                <w:bCs w:val="1"/>
                <w:color w:val="FFFFFF"/>
              </w:rPr>
              <w:t>Name</w:t>
            </w:r>
          </w:p>
        </w:tc>
        <w:tc>
          <w:tcPr>
            <w:tcW w:w="2380" w:type="dxa"/>
            <w:vAlign w:val="bottom"/>
            <w:shd w:val="clear" w:color="auto" w:fill="7F7F7F"/>
          </w:tcPr>
          <w:p>
            <w:pPr>
              <w:jc w:val="center"/>
              <w:ind w:left="619"/>
              <w:spacing w:after="0"/>
              <w:rPr>
                <w:sz w:val="20"/>
                <w:szCs w:val="20"/>
                <w:color w:val="auto"/>
              </w:rPr>
            </w:pPr>
            <w:r>
              <w:rPr>
                <w:rFonts w:ascii="Arial" w:cs="Arial" w:eastAsia="Arial" w:hAnsi="Arial"/>
                <w:sz w:val="16"/>
                <w:szCs w:val="16"/>
                <w:b w:val="1"/>
                <w:bCs w:val="1"/>
                <w:color w:val="FFFFFF"/>
              </w:rPr>
              <w:t>($)</w:t>
            </w:r>
          </w:p>
        </w:tc>
        <w:tc>
          <w:tcPr>
            <w:tcW w:w="17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t>
            </w:r>
          </w:p>
        </w:tc>
        <w:tc>
          <w:tcPr>
            <w:tcW w:w="16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3"/>
                <w:szCs w:val="13"/>
                <w:b w:val="1"/>
                <w:bCs w:val="1"/>
                <w:color w:val="FFFFFF"/>
              </w:rPr>
              <w:t>(1)</w:t>
            </w:r>
          </w:p>
        </w:tc>
        <w:tc>
          <w:tcPr>
            <w:tcW w:w="1780" w:type="dxa"/>
            <w:vAlign w:val="bottom"/>
            <w:shd w:val="clear" w:color="auto" w:fill="7F7F7F"/>
          </w:tcPr>
          <w:p>
            <w:pPr>
              <w:jc w:val="right"/>
              <w:ind w:right="679"/>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F7F7F"/>
          </w:tcPr>
          <w:p>
            <w:pPr>
              <w:jc w:val="center"/>
              <w:ind w:left="219"/>
              <w:spacing w:after="0"/>
              <w:rPr>
                <w:sz w:val="20"/>
                <w:szCs w:val="20"/>
                <w:color w:val="auto"/>
              </w:rPr>
            </w:pPr>
            <w:r>
              <w:rPr>
                <w:rFonts w:ascii="Arial" w:cs="Arial" w:eastAsia="Arial" w:hAnsi="Arial"/>
                <w:sz w:val="16"/>
                <w:szCs w:val="16"/>
                <w:b w:val="1"/>
                <w:bCs w:val="1"/>
                <w:color w:val="FFFFFF"/>
              </w:rPr>
              <w:t>($)</w:t>
            </w:r>
          </w:p>
        </w:tc>
      </w:tr>
      <w:tr>
        <w:trPr>
          <w:trHeight w:val="197"/>
        </w:trPr>
        <w:tc>
          <w:tcPr>
            <w:tcW w:w="2160" w:type="dxa"/>
            <w:vAlign w:val="bottom"/>
          </w:tcPr>
          <w:p>
            <w:pPr>
              <w:ind w:left="20"/>
              <w:spacing w:after="0"/>
              <w:rPr>
                <w:sz w:val="20"/>
                <w:szCs w:val="20"/>
                <w:color w:val="auto"/>
              </w:rPr>
            </w:pPr>
            <w:r>
              <w:rPr>
                <w:rFonts w:ascii="Arial" w:cs="Arial" w:eastAsia="Arial" w:hAnsi="Arial"/>
                <w:sz w:val="16"/>
                <w:szCs w:val="16"/>
                <w:color w:val="auto"/>
              </w:rPr>
              <w:t>Bryan T. Ingram</w:t>
            </w:r>
          </w:p>
        </w:tc>
        <w:tc>
          <w:tcPr>
            <w:tcW w:w="2380" w:type="dxa"/>
            <w:vAlign w:val="bottom"/>
          </w:tcPr>
          <w:p>
            <w:pPr>
              <w:jc w:val="center"/>
              <w:ind w:left="619"/>
              <w:spacing w:after="0"/>
              <w:rPr>
                <w:sz w:val="20"/>
                <w:szCs w:val="20"/>
                <w:color w:val="auto"/>
              </w:rPr>
            </w:pPr>
            <w:r>
              <w:rPr>
                <w:rFonts w:ascii="Arial" w:cs="Arial" w:eastAsia="Arial" w:hAnsi="Arial"/>
                <w:sz w:val="16"/>
                <w:szCs w:val="16"/>
                <w:color w:val="auto"/>
                <w:w w:val="99"/>
              </w:rPr>
              <w:t>—</w:t>
            </w:r>
          </w:p>
        </w:tc>
        <w:tc>
          <w:tcPr>
            <w:tcW w:w="1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Pr>
          <w:p>
            <w:pPr>
              <w:jc w:val="right"/>
              <w:ind w:right="479"/>
              <w:spacing w:after="0"/>
              <w:rPr>
                <w:sz w:val="20"/>
                <w:szCs w:val="20"/>
                <w:color w:val="auto"/>
              </w:rPr>
            </w:pPr>
            <w:r>
              <w:rPr>
                <w:rFonts w:ascii="Arial" w:cs="Arial" w:eastAsia="Arial" w:hAnsi="Arial"/>
                <w:sz w:val="16"/>
                <w:szCs w:val="16"/>
                <w:color w:val="auto"/>
              </w:rPr>
              <w:t>2,221</w:t>
            </w:r>
          </w:p>
        </w:tc>
        <w:tc>
          <w:tcPr>
            <w:tcW w:w="1780" w:type="dxa"/>
            <w:vAlign w:val="bottom"/>
          </w:tcPr>
          <w:p>
            <w:pPr>
              <w:jc w:val="right"/>
              <w:ind w:right="519"/>
              <w:spacing w:after="0"/>
              <w:rPr>
                <w:sz w:val="20"/>
                <w:szCs w:val="20"/>
                <w:color w:val="auto"/>
              </w:rPr>
            </w:pPr>
            <w:r>
              <w:rPr>
                <w:rFonts w:ascii="Arial" w:cs="Arial" w:eastAsia="Arial" w:hAnsi="Arial"/>
                <w:sz w:val="16"/>
                <w:szCs w:val="16"/>
                <w:color w:val="auto"/>
              </w:rPr>
              <w:t>25,962</w:t>
            </w:r>
          </w:p>
        </w:tc>
        <w:tc>
          <w:tcPr>
            <w:tcW w:w="1300" w:type="dxa"/>
            <w:vAlign w:val="bottom"/>
          </w:tcPr>
          <w:p>
            <w:pPr>
              <w:ind w:left="8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16033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52" w:lineRule="exact"/>
        <w:rPr>
          <w:sz w:val="20"/>
          <w:szCs w:val="20"/>
          <w:color w:val="auto"/>
        </w:rPr>
      </w:pPr>
    </w:p>
    <w:p>
      <w:pPr>
        <w:ind w:left="520" w:right="480" w:hanging="316"/>
        <w:spacing w:after="0" w:line="279"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reflected are not included in the “</w:t>
      </w:r>
      <w:r>
        <w:rPr>
          <w:rFonts w:ascii="Arial" w:cs="Arial" w:eastAsia="Arial" w:hAnsi="Arial"/>
          <w:sz w:val="14"/>
          <w:szCs w:val="14"/>
          <w:i w:val="1"/>
          <w:iCs w:val="1"/>
          <w:color w:val="auto"/>
        </w:rPr>
        <w:t>Fiscal Year 2017 Summary Compensation Table</w:t>
      </w:r>
      <w:r>
        <w:rPr>
          <w:rFonts w:ascii="Arial" w:cs="Arial" w:eastAsia="Arial" w:hAnsi="Arial"/>
          <w:sz w:val="14"/>
          <w:szCs w:val="14"/>
          <w:color w:val="auto"/>
        </w:rPr>
        <w:t>” because the earnings are not above-market. These amounts include dividends, interest and changes in market value.</w:t>
      </w:r>
    </w:p>
    <w:p>
      <w:pPr>
        <w:spacing w:after="0" w:line="193" w:lineRule="exact"/>
        <w:rPr>
          <w:sz w:val="20"/>
          <w:szCs w:val="20"/>
          <w:color w:val="auto"/>
        </w:rPr>
      </w:pPr>
    </w:p>
    <w:p>
      <w:pPr>
        <w:ind w:left="200" w:right="780"/>
        <w:spacing w:after="0" w:line="271" w:lineRule="auto"/>
        <w:rPr>
          <w:sz w:val="20"/>
          <w:szCs w:val="20"/>
          <w:color w:val="auto"/>
        </w:rPr>
      </w:pPr>
      <w:r>
        <w:rPr>
          <w:rFonts w:ascii="Arial" w:cs="Arial" w:eastAsia="Arial" w:hAnsi="Arial"/>
          <w:sz w:val="18"/>
          <w:szCs w:val="18"/>
          <w:b w:val="1"/>
          <w:bCs w:val="1"/>
          <w:color w:val="auto"/>
        </w:rPr>
        <w:t>Severance and Change in Control Agreements with Named Executive Officers; Death and Disability Policy; Employment Arrangements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Severance Benefit Agreements</w:t>
      </w:r>
    </w:p>
    <w:p>
      <w:pPr>
        <w:spacing w:after="0" w:line="126"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Each of our NEOs is party to a severance benefits agreement with us. The severance benefit agreements provide each NEO with a severance payment and other benefits in the event of the termination of the NEO’s employment without cause, because of death or permanent disability or a resignation by the NEO for “good reason” (“</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provided that the NEO timely executes a general release of all claims in our favor. If a qualifying termination takes place within 12 months following (or in the case of Mr. Tan, within three months prior to or 12 months following) a “change in control” (as defined in the severance benefit agreement) of our Company, we must provide the NEO with:</w:t>
      </w:r>
    </w:p>
    <w:p>
      <w:pPr>
        <w:spacing w:after="0" w:line="220"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2320" w:type="dxa"/>
            <w:vAlign w:val="bottom"/>
            <w:shd w:val="clear" w:color="auto" w:fill="7F7F7F"/>
          </w:tcPr>
          <w:p>
            <w:pPr>
              <w:spacing w:after="0"/>
              <w:rPr>
                <w:sz w:val="16"/>
                <w:szCs w:val="16"/>
                <w:color w:val="auto"/>
              </w:rPr>
            </w:pPr>
          </w:p>
        </w:tc>
        <w:tc>
          <w:tcPr>
            <w:tcW w:w="1840" w:type="dxa"/>
            <w:vAlign w:val="bottom"/>
            <w:shd w:val="clear" w:color="auto" w:fill="7F7F7F"/>
          </w:tcPr>
          <w:p>
            <w:pPr>
              <w:spacing w:after="0"/>
              <w:rPr>
                <w:sz w:val="16"/>
                <w:szCs w:val="16"/>
                <w:color w:val="auto"/>
              </w:rPr>
            </w:pPr>
          </w:p>
        </w:tc>
        <w:tc>
          <w:tcPr>
            <w:tcW w:w="1800" w:type="dxa"/>
            <w:vAlign w:val="bottom"/>
            <w:shd w:val="clear" w:color="auto" w:fill="7F7F7F"/>
          </w:tcPr>
          <w:p>
            <w:pPr>
              <w:spacing w:after="0"/>
              <w:rPr>
                <w:sz w:val="16"/>
                <w:szCs w:val="16"/>
                <w:color w:val="auto"/>
              </w:rPr>
            </w:pPr>
          </w:p>
        </w:tc>
        <w:tc>
          <w:tcPr>
            <w:tcW w:w="226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Health</w:t>
            </w:r>
          </w:p>
        </w:tc>
        <w:tc>
          <w:tcPr>
            <w:tcW w:w="2020" w:type="dxa"/>
            <w:vAlign w:val="bottom"/>
            <w:shd w:val="clear" w:color="auto" w:fill="7F7F7F"/>
          </w:tcPr>
          <w:p>
            <w:pPr>
              <w:spacing w:after="0"/>
              <w:rPr>
                <w:sz w:val="16"/>
                <w:szCs w:val="16"/>
                <w:color w:val="auto"/>
              </w:rPr>
            </w:pPr>
          </w:p>
        </w:tc>
      </w:tr>
      <w:tr>
        <w:trPr>
          <w:trHeight w:val="189"/>
        </w:trPr>
        <w:tc>
          <w:tcPr>
            <w:tcW w:w="2320" w:type="dxa"/>
            <w:vAlign w:val="bottom"/>
            <w:shd w:val="clear" w:color="auto" w:fill="7F7F7F"/>
          </w:tcPr>
          <w:p>
            <w:pPr>
              <w:spacing w:after="0"/>
              <w:rPr>
                <w:sz w:val="16"/>
                <w:szCs w:val="16"/>
                <w:color w:val="auto"/>
              </w:rPr>
            </w:pPr>
          </w:p>
        </w:tc>
        <w:tc>
          <w:tcPr>
            <w:tcW w:w="1840" w:type="dxa"/>
            <w:vAlign w:val="bottom"/>
            <w:shd w:val="clear" w:color="auto" w:fill="7F7F7F"/>
          </w:tcPr>
          <w:p>
            <w:pPr>
              <w:spacing w:after="0"/>
              <w:rPr>
                <w:sz w:val="16"/>
                <w:szCs w:val="16"/>
                <w:color w:val="auto"/>
              </w:rPr>
            </w:pPr>
          </w:p>
        </w:tc>
        <w:tc>
          <w:tcPr>
            <w:tcW w:w="1800" w:type="dxa"/>
            <w:vAlign w:val="bottom"/>
            <w:shd w:val="clear" w:color="auto" w:fill="7F7F7F"/>
          </w:tcPr>
          <w:p>
            <w:pPr>
              <w:spacing w:after="0"/>
              <w:rPr>
                <w:sz w:val="16"/>
                <w:szCs w:val="16"/>
                <w:color w:val="auto"/>
              </w:rPr>
            </w:pPr>
          </w:p>
        </w:tc>
        <w:tc>
          <w:tcPr>
            <w:tcW w:w="2260" w:type="dxa"/>
            <w:vAlign w:val="bottom"/>
            <w:shd w:val="clear" w:color="auto" w:fill="7F7F7F"/>
          </w:tcPr>
          <w:p>
            <w:pPr>
              <w:jc w:val="right"/>
              <w:ind w:right="739"/>
              <w:spacing w:after="0"/>
              <w:rPr>
                <w:sz w:val="20"/>
                <w:szCs w:val="20"/>
                <w:color w:val="auto"/>
              </w:rPr>
            </w:pPr>
            <w:r>
              <w:rPr>
                <w:rFonts w:ascii="Arial" w:cs="Arial" w:eastAsia="Arial" w:hAnsi="Arial"/>
                <w:sz w:val="16"/>
                <w:szCs w:val="16"/>
                <w:b w:val="1"/>
                <w:bCs w:val="1"/>
                <w:color w:val="FFFFFF"/>
              </w:rPr>
              <w:t>Benefits</w:t>
            </w:r>
          </w:p>
        </w:tc>
        <w:tc>
          <w:tcPr>
            <w:tcW w:w="2020" w:type="dxa"/>
            <w:vAlign w:val="bottom"/>
            <w:shd w:val="clear" w:color="auto" w:fill="7F7F7F"/>
          </w:tcPr>
          <w:p>
            <w:pPr>
              <w:jc w:val="center"/>
              <w:ind w:left="340"/>
              <w:spacing w:after="0"/>
              <w:rPr>
                <w:sz w:val="20"/>
                <w:szCs w:val="20"/>
                <w:color w:val="auto"/>
              </w:rPr>
            </w:pPr>
            <w:r>
              <w:rPr>
                <w:rFonts w:ascii="Arial" w:cs="Arial" w:eastAsia="Arial" w:hAnsi="Arial"/>
                <w:sz w:val="16"/>
                <w:szCs w:val="16"/>
                <w:b w:val="1"/>
                <w:bCs w:val="1"/>
                <w:color w:val="FFFFFF"/>
              </w:rPr>
              <w:t>Equity Award</w:t>
            </w:r>
          </w:p>
        </w:tc>
      </w:tr>
      <w:tr>
        <w:trPr>
          <w:trHeight w:val="188"/>
        </w:trPr>
        <w:tc>
          <w:tcPr>
            <w:tcW w:w="2320" w:type="dxa"/>
            <w:vAlign w:val="bottom"/>
            <w:shd w:val="clear" w:color="auto" w:fill="7F7F7F"/>
          </w:tcPr>
          <w:p>
            <w:pPr>
              <w:spacing w:after="0"/>
              <w:rPr>
                <w:sz w:val="16"/>
                <w:szCs w:val="16"/>
                <w:color w:val="auto"/>
              </w:rPr>
            </w:pPr>
          </w:p>
        </w:tc>
        <w:tc>
          <w:tcPr>
            <w:tcW w:w="1840" w:type="dxa"/>
            <w:vAlign w:val="bottom"/>
            <w:shd w:val="clear" w:color="auto" w:fill="7F7F7F"/>
          </w:tcPr>
          <w:p>
            <w:pPr>
              <w:ind w:left="460"/>
              <w:spacing w:after="0"/>
              <w:rPr>
                <w:sz w:val="20"/>
                <w:szCs w:val="20"/>
                <w:color w:val="auto"/>
              </w:rPr>
            </w:pPr>
            <w:r>
              <w:rPr>
                <w:rFonts w:ascii="Arial" w:cs="Arial" w:eastAsia="Arial" w:hAnsi="Arial"/>
                <w:sz w:val="16"/>
                <w:szCs w:val="16"/>
                <w:b w:val="1"/>
                <w:bCs w:val="1"/>
                <w:color w:val="FFFFFF"/>
              </w:rPr>
              <w:t>Continued</w:t>
            </w:r>
          </w:p>
        </w:tc>
        <w:tc>
          <w:tcPr>
            <w:tcW w:w="1800" w:type="dxa"/>
            <w:vAlign w:val="bottom"/>
            <w:shd w:val="clear" w:color="auto" w:fill="7F7F7F"/>
          </w:tcPr>
          <w:p>
            <w:pPr>
              <w:spacing w:after="0"/>
              <w:rPr>
                <w:sz w:val="16"/>
                <w:szCs w:val="16"/>
                <w:color w:val="auto"/>
              </w:rPr>
            </w:pPr>
          </w:p>
        </w:tc>
        <w:tc>
          <w:tcPr>
            <w:tcW w:w="226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Continuation</w:t>
            </w:r>
          </w:p>
        </w:tc>
        <w:tc>
          <w:tcPr>
            <w:tcW w:w="2020" w:type="dxa"/>
            <w:vAlign w:val="bottom"/>
            <w:shd w:val="clear" w:color="auto" w:fill="7F7F7F"/>
          </w:tcPr>
          <w:p>
            <w:pPr>
              <w:jc w:val="center"/>
              <w:ind w:left="360"/>
              <w:spacing w:after="0"/>
              <w:rPr>
                <w:sz w:val="20"/>
                <w:szCs w:val="20"/>
                <w:color w:val="auto"/>
              </w:rPr>
            </w:pPr>
            <w:r>
              <w:rPr>
                <w:rFonts w:ascii="Arial" w:cs="Arial" w:eastAsia="Arial" w:hAnsi="Arial"/>
                <w:sz w:val="16"/>
                <w:szCs w:val="16"/>
                <w:b w:val="1"/>
                <w:bCs w:val="1"/>
                <w:color w:val="FFFFFF"/>
              </w:rPr>
              <w:t>Vesting</w:t>
            </w:r>
          </w:p>
        </w:tc>
      </w:tr>
      <w:tr>
        <w:trPr>
          <w:trHeight w:val="222"/>
        </w:trPr>
        <w:tc>
          <w:tcPr>
            <w:tcW w:w="2320" w:type="dxa"/>
            <w:vAlign w:val="bottom"/>
            <w:shd w:val="clear" w:color="auto" w:fill="7F7F7F"/>
          </w:tcPr>
          <w:p>
            <w:pPr>
              <w:ind w:left="40"/>
              <w:spacing w:after="0"/>
              <w:rPr>
                <w:sz w:val="20"/>
                <w:szCs w:val="20"/>
                <w:color w:val="auto"/>
              </w:rPr>
            </w:pPr>
            <w:r>
              <w:rPr>
                <w:rFonts w:ascii="Arial" w:cs="Arial" w:eastAsia="Arial" w:hAnsi="Arial"/>
                <w:sz w:val="16"/>
                <w:szCs w:val="16"/>
                <w:b w:val="1"/>
                <w:bCs w:val="1"/>
                <w:color w:val="FFFFFF"/>
              </w:rPr>
              <w:t>Name</w:t>
            </w:r>
          </w:p>
        </w:tc>
        <w:tc>
          <w:tcPr>
            <w:tcW w:w="1840" w:type="dxa"/>
            <w:vAlign w:val="bottom"/>
            <w:shd w:val="clear" w:color="auto" w:fill="7F7F7F"/>
          </w:tcPr>
          <w:p>
            <w:pPr>
              <w:ind w:left="420"/>
              <w:spacing w:after="0"/>
              <w:rPr>
                <w:sz w:val="20"/>
                <w:szCs w:val="20"/>
                <w:color w:val="auto"/>
              </w:rPr>
            </w:pPr>
            <w:r>
              <w:rPr>
                <w:rFonts w:ascii="Arial" w:cs="Arial" w:eastAsia="Arial" w:hAnsi="Arial"/>
                <w:sz w:val="16"/>
                <w:szCs w:val="16"/>
                <w:b w:val="1"/>
                <w:bCs w:val="1"/>
                <w:color w:val="FFFFFF"/>
              </w:rPr>
              <w:t>Base Salary</w:t>
            </w:r>
          </w:p>
        </w:tc>
        <w:tc>
          <w:tcPr>
            <w:tcW w:w="1800" w:type="dxa"/>
            <w:vAlign w:val="bottom"/>
            <w:shd w:val="clear" w:color="auto" w:fill="7F7F7F"/>
          </w:tcPr>
          <w:p>
            <w:pPr>
              <w:jc w:val="right"/>
              <w:ind w:right="540"/>
              <w:spacing w:after="0" w:line="222" w:lineRule="exact"/>
              <w:rPr>
                <w:sz w:val="20"/>
                <w:szCs w:val="20"/>
                <w:color w:val="auto"/>
              </w:rPr>
            </w:pPr>
            <w:r>
              <w:rPr>
                <w:rFonts w:ascii="Arial" w:cs="Arial" w:eastAsia="Arial" w:hAnsi="Arial"/>
                <w:sz w:val="15"/>
                <w:szCs w:val="15"/>
                <w:b w:val="1"/>
                <w:bCs w:val="1"/>
                <w:color w:val="FFFFFF"/>
              </w:rPr>
              <w:t>Bonus</w:t>
            </w:r>
            <w:r>
              <w:rPr>
                <w:rFonts w:ascii="Arial" w:cs="Arial" w:eastAsia="Arial" w:hAnsi="Arial"/>
                <w:sz w:val="25"/>
                <w:szCs w:val="25"/>
                <w:b w:val="1"/>
                <w:bCs w:val="1"/>
                <w:color w:val="FFFFFF"/>
                <w:vertAlign w:val="superscript"/>
              </w:rPr>
              <w:t>(1)</w:t>
            </w:r>
          </w:p>
        </w:tc>
        <w:tc>
          <w:tcPr>
            <w:tcW w:w="226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Coverage</w:t>
            </w:r>
          </w:p>
        </w:tc>
        <w:tc>
          <w:tcPr>
            <w:tcW w:w="2020" w:type="dxa"/>
            <w:vAlign w:val="bottom"/>
            <w:shd w:val="clear" w:color="auto" w:fill="7F7F7F"/>
          </w:tcPr>
          <w:p>
            <w:pPr>
              <w:jc w:val="center"/>
              <w:ind w:left="320"/>
              <w:spacing w:after="0" w:line="222" w:lineRule="exact"/>
              <w:rPr>
                <w:sz w:val="20"/>
                <w:szCs w:val="20"/>
                <w:color w:val="auto"/>
              </w:rPr>
            </w:pPr>
            <w:r>
              <w:rPr>
                <w:rFonts w:ascii="Arial" w:cs="Arial" w:eastAsia="Arial" w:hAnsi="Arial"/>
                <w:sz w:val="15"/>
                <w:szCs w:val="15"/>
                <w:b w:val="1"/>
                <w:bCs w:val="1"/>
                <w:color w:val="FFFFFF"/>
              </w:rPr>
              <w:t>Acceleration</w:t>
            </w:r>
            <w:r>
              <w:rPr>
                <w:rFonts w:ascii="Arial" w:cs="Arial" w:eastAsia="Arial" w:hAnsi="Arial"/>
                <w:sz w:val="25"/>
                <w:szCs w:val="25"/>
                <w:b w:val="1"/>
                <w:bCs w:val="1"/>
                <w:color w:val="FFFFFF"/>
                <w:vertAlign w:val="superscript"/>
              </w:rPr>
              <w:t>(2)</w:t>
            </w:r>
          </w:p>
        </w:tc>
      </w:tr>
      <w:tr>
        <w:trPr>
          <w:trHeight w:val="189"/>
        </w:trPr>
        <w:tc>
          <w:tcPr>
            <w:tcW w:w="2320" w:type="dxa"/>
            <w:vAlign w:val="bottom"/>
          </w:tcPr>
          <w:p>
            <w:pPr>
              <w:ind w:left="40"/>
              <w:spacing w:after="0"/>
              <w:rPr>
                <w:sz w:val="20"/>
                <w:szCs w:val="20"/>
                <w:color w:val="auto"/>
              </w:rPr>
            </w:pPr>
            <w:r>
              <w:rPr>
                <w:rFonts w:ascii="Arial" w:cs="Arial" w:eastAsia="Arial" w:hAnsi="Arial"/>
                <w:sz w:val="16"/>
                <w:szCs w:val="16"/>
                <w:color w:val="auto"/>
              </w:rPr>
              <w:t>Hock E. Tan</w:t>
            </w:r>
          </w:p>
        </w:tc>
        <w:tc>
          <w:tcPr>
            <w:tcW w:w="1840" w:type="dxa"/>
            <w:vAlign w:val="bottom"/>
          </w:tcPr>
          <w:p>
            <w:pPr>
              <w:ind w:left="520"/>
              <w:spacing w:after="0"/>
              <w:rPr>
                <w:sz w:val="20"/>
                <w:szCs w:val="20"/>
                <w:color w:val="auto"/>
              </w:rPr>
            </w:pPr>
            <w:r>
              <w:rPr>
                <w:rFonts w:ascii="Arial" w:cs="Arial" w:eastAsia="Arial" w:hAnsi="Arial"/>
                <w:sz w:val="16"/>
                <w:szCs w:val="16"/>
                <w:color w:val="auto"/>
              </w:rPr>
              <w:t>24 months</w:t>
            </w:r>
          </w:p>
        </w:tc>
        <w:tc>
          <w:tcPr>
            <w:tcW w:w="1800" w:type="dxa"/>
            <w:vAlign w:val="bottom"/>
          </w:tcPr>
          <w:p>
            <w:pPr>
              <w:jc w:val="right"/>
              <w:ind w:right="560"/>
              <w:spacing w:after="0"/>
              <w:rPr>
                <w:sz w:val="20"/>
                <w:szCs w:val="20"/>
                <w:color w:val="auto"/>
              </w:rPr>
            </w:pPr>
            <w:r>
              <w:rPr>
                <w:rFonts w:ascii="Arial" w:cs="Arial" w:eastAsia="Arial" w:hAnsi="Arial"/>
                <w:sz w:val="16"/>
                <w:szCs w:val="16"/>
                <w:color w:val="auto"/>
              </w:rPr>
              <w:t>200%</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400"/>
              <w:spacing w:after="0"/>
              <w:rPr>
                <w:sz w:val="20"/>
                <w:szCs w:val="20"/>
                <w:color w:val="auto"/>
              </w:rPr>
            </w:pPr>
            <w:r>
              <w:rPr>
                <w:rFonts w:ascii="Arial" w:cs="Arial" w:eastAsia="Arial" w:hAnsi="Arial"/>
                <w:sz w:val="16"/>
                <w:szCs w:val="16"/>
                <w:color w:val="auto"/>
              </w:rPr>
              <w:t>100%</w:t>
            </w:r>
          </w:p>
        </w:tc>
      </w:tr>
      <w:tr>
        <w:trPr>
          <w:trHeight w:val="189"/>
        </w:trPr>
        <w:tc>
          <w:tcPr>
            <w:tcW w:w="2320" w:type="dxa"/>
            <w:vAlign w:val="bottom"/>
            <w:shd w:val="clear" w:color="auto" w:fill="BFBFBF"/>
          </w:tcPr>
          <w:p>
            <w:pPr>
              <w:ind w:left="40"/>
              <w:spacing w:after="0"/>
              <w:rPr>
                <w:sz w:val="20"/>
                <w:szCs w:val="20"/>
                <w:color w:val="auto"/>
              </w:rPr>
            </w:pPr>
            <w:r>
              <w:rPr>
                <w:rFonts w:ascii="Arial" w:cs="Arial" w:eastAsia="Arial" w:hAnsi="Arial"/>
                <w:sz w:val="16"/>
                <w:szCs w:val="16"/>
                <w:color w:val="auto"/>
              </w:rPr>
              <w:t>Thomas H. Krause, Jr.</w:t>
            </w:r>
          </w:p>
        </w:tc>
        <w:tc>
          <w:tcPr>
            <w:tcW w:w="1840" w:type="dxa"/>
            <w:vAlign w:val="bottom"/>
            <w:shd w:val="clear" w:color="auto" w:fill="BFBFBF"/>
          </w:tcPr>
          <w:p>
            <w:pPr>
              <w:ind w:left="520"/>
              <w:spacing w:after="0"/>
              <w:rPr>
                <w:sz w:val="20"/>
                <w:szCs w:val="20"/>
                <w:color w:val="auto"/>
              </w:rPr>
            </w:pPr>
            <w:r>
              <w:rPr>
                <w:rFonts w:ascii="Arial" w:cs="Arial" w:eastAsia="Arial" w:hAnsi="Arial"/>
                <w:sz w:val="16"/>
                <w:szCs w:val="16"/>
                <w:color w:val="auto"/>
              </w:rPr>
              <w:t>12 months</w:t>
            </w:r>
          </w:p>
        </w:tc>
        <w:tc>
          <w:tcPr>
            <w:tcW w:w="1800" w:type="dxa"/>
            <w:vAlign w:val="bottom"/>
            <w:shd w:val="clear" w:color="auto" w:fill="BFBFBF"/>
          </w:tcPr>
          <w:p>
            <w:pPr>
              <w:jc w:val="right"/>
              <w:ind w:right="560"/>
              <w:spacing w:after="0"/>
              <w:rPr>
                <w:sz w:val="20"/>
                <w:szCs w:val="20"/>
                <w:color w:val="auto"/>
              </w:rPr>
            </w:pPr>
            <w:r>
              <w:rPr>
                <w:rFonts w:ascii="Arial" w:cs="Arial" w:eastAsia="Arial" w:hAnsi="Arial"/>
                <w:sz w:val="16"/>
                <w:szCs w:val="16"/>
                <w:color w:val="auto"/>
              </w:rPr>
              <w:t>100%</w:t>
            </w:r>
          </w:p>
        </w:tc>
        <w:tc>
          <w:tcPr>
            <w:tcW w:w="2260" w:type="dxa"/>
            <w:vAlign w:val="bottom"/>
            <w:shd w:val="clear" w:color="auto" w:fill="BFBFBF"/>
          </w:tcPr>
          <w:p>
            <w:pPr>
              <w:jc w:val="right"/>
              <w:ind w:right="739"/>
              <w:spacing w:after="0"/>
              <w:rPr>
                <w:sz w:val="20"/>
                <w:szCs w:val="20"/>
                <w:color w:val="auto"/>
              </w:rPr>
            </w:pPr>
            <w:r>
              <w:rPr>
                <w:rFonts w:ascii="Arial" w:cs="Arial" w:eastAsia="Arial" w:hAnsi="Arial"/>
                <w:sz w:val="16"/>
                <w:szCs w:val="16"/>
                <w:color w:val="auto"/>
              </w:rPr>
              <w:t>12 months</w:t>
            </w:r>
          </w:p>
        </w:tc>
        <w:tc>
          <w:tcPr>
            <w:tcW w:w="2020" w:type="dxa"/>
            <w:vAlign w:val="bottom"/>
            <w:shd w:val="clear" w:color="auto" w:fill="BFBFBF"/>
          </w:tcPr>
          <w:p>
            <w:pPr>
              <w:jc w:val="right"/>
              <w:ind w:right="400"/>
              <w:spacing w:after="0"/>
              <w:rPr>
                <w:sz w:val="20"/>
                <w:szCs w:val="20"/>
                <w:color w:val="auto"/>
              </w:rPr>
            </w:pPr>
            <w:r>
              <w:rPr>
                <w:rFonts w:ascii="Arial" w:cs="Arial" w:eastAsia="Arial" w:hAnsi="Arial"/>
                <w:sz w:val="16"/>
                <w:szCs w:val="16"/>
                <w:color w:val="auto"/>
              </w:rPr>
              <w:t>100%</w:t>
            </w:r>
          </w:p>
        </w:tc>
      </w:tr>
      <w:tr>
        <w:trPr>
          <w:trHeight w:val="189"/>
        </w:trPr>
        <w:tc>
          <w:tcPr>
            <w:tcW w:w="2320" w:type="dxa"/>
            <w:vAlign w:val="bottom"/>
          </w:tcPr>
          <w:p>
            <w:pPr>
              <w:ind w:left="40"/>
              <w:spacing w:after="0"/>
              <w:rPr>
                <w:sz w:val="20"/>
                <w:szCs w:val="20"/>
                <w:color w:val="auto"/>
              </w:rPr>
            </w:pPr>
            <w:r>
              <w:rPr>
                <w:rFonts w:ascii="Arial" w:cs="Arial" w:eastAsia="Arial" w:hAnsi="Arial"/>
                <w:sz w:val="16"/>
                <w:szCs w:val="16"/>
                <w:color w:val="auto"/>
              </w:rPr>
              <w:t>Charlie B. Kawwas, Ph.D.</w:t>
            </w:r>
          </w:p>
        </w:tc>
        <w:tc>
          <w:tcPr>
            <w:tcW w:w="1840" w:type="dxa"/>
            <w:vAlign w:val="bottom"/>
          </w:tcPr>
          <w:p>
            <w:pPr>
              <w:ind w:left="520"/>
              <w:spacing w:after="0"/>
              <w:rPr>
                <w:sz w:val="20"/>
                <w:szCs w:val="20"/>
                <w:color w:val="auto"/>
              </w:rPr>
            </w:pPr>
            <w:r>
              <w:rPr>
                <w:rFonts w:ascii="Arial" w:cs="Arial" w:eastAsia="Arial" w:hAnsi="Arial"/>
                <w:sz w:val="16"/>
                <w:szCs w:val="16"/>
                <w:color w:val="auto"/>
              </w:rPr>
              <w:t>12 months</w:t>
            </w:r>
          </w:p>
        </w:tc>
        <w:tc>
          <w:tcPr>
            <w:tcW w:w="1800" w:type="dxa"/>
            <w:vAlign w:val="bottom"/>
          </w:tcPr>
          <w:p>
            <w:pPr>
              <w:jc w:val="right"/>
              <w:ind w:right="560"/>
              <w:spacing w:after="0"/>
              <w:rPr>
                <w:sz w:val="20"/>
                <w:szCs w:val="20"/>
                <w:color w:val="auto"/>
              </w:rPr>
            </w:pPr>
            <w:r>
              <w:rPr>
                <w:rFonts w:ascii="Arial" w:cs="Arial" w:eastAsia="Arial" w:hAnsi="Arial"/>
                <w:sz w:val="16"/>
                <w:szCs w:val="16"/>
                <w:color w:val="auto"/>
              </w:rPr>
              <w:t>100%</w:t>
            </w:r>
          </w:p>
        </w:tc>
        <w:tc>
          <w:tcPr>
            <w:tcW w:w="2260" w:type="dxa"/>
            <w:vAlign w:val="bottom"/>
          </w:tcPr>
          <w:p>
            <w:pPr>
              <w:jc w:val="right"/>
              <w:ind w:right="739"/>
              <w:spacing w:after="0"/>
              <w:rPr>
                <w:sz w:val="20"/>
                <w:szCs w:val="20"/>
                <w:color w:val="auto"/>
              </w:rPr>
            </w:pPr>
            <w:r>
              <w:rPr>
                <w:rFonts w:ascii="Arial" w:cs="Arial" w:eastAsia="Arial" w:hAnsi="Arial"/>
                <w:sz w:val="16"/>
                <w:szCs w:val="16"/>
                <w:color w:val="auto"/>
              </w:rPr>
              <w:t>12 months</w:t>
            </w:r>
          </w:p>
        </w:tc>
        <w:tc>
          <w:tcPr>
            <w:tcW w:w="2020" w:type="dxa"/>
            <w:vAlign w:val="bottom"/>
          </w:tcPr>
          <w:p>
            <w:pPr>
              <w:jc w:val="right"/>
              <w:ind w:right="400"/>
              <w:spacing w:after="0"/>
              <w:rPr>
                <w:sz w:val="20"/>
                <w:szCs w:val="20"/>
                <w:color w:val="auto"/>
              </w:rPr>
            </w:pPr>
            <w:r>
              <w:rPr>
                <w:rFonts w:ascii="Arial" w:cs="Arial" w:eastAsia="Arial" w:hAnsi="Arial"/>
                <w:sz w:val="16"/>
                <w:szCs w:val="16"/>
                <w:color w:val="auto"/>
              </w:rPr>
              <w:t>100%</w:t>
            </w:r>
          </w:p>
        </w:tc>
      </w:tr>
      <w:tr>
        <w:trPr>
          <w:trHeight w:val="189"/>
        </w:trPr>
        <w:tc>
          <w:tcPr>
            <w:tcW w:w="2320" w:type="dxa"/>
            <w:vAlign w:val="bottom"/>
            <w:shd w:val="clear" w:color="auto" w:fill="BFBFBF"/>
          </w:tcPr>
          <w:p>
            <w:pPr>
              <w:ind w:left="40"/>
              <w:spacing w:after="0"/>
              <w:rPr>
                <w:sz w:val="20"/>
                <w:szCs w:val="20"/>
                <w:color w:val="auto"/>
              </w:rPr>
            </w:pPr>
            <w:r>
              <w:rPr>
                <w:rFonts w:ascii="Arial" w:cs="Arial" w:eastAsia="Arial" w:hAnsi="Arial"/>
                <w:sz w:val="16"/>
                <w:szCs w:val="16"/>
                <w:color w:val="auto"/>
              </w:rPr>
              <w:t>Mark D. Brazeal</w:t>
            </w:r>
          </w:p>
        </w:tc>
        <w:tc>
          <w:tcPr>
            <w:tcW w:w="1840" w:type="dxa"/>
            <w:vAlign w:val="bottom"/>
            <w:shd w:val="clear" w:color="auto" w:fill="BFBFBF"/>
          </w:tcPr>
          <w:p>
            <w:pPr>
              <w:ind w:left="520"/>
              <w:spacing w:after="0"/>
              <w:rPr>
                <w:sz w:val="20"/>
                <w:szCs w:val="20"/>
                <w:color w:val="auto"/>
              </w:rPr>
            </w:pPr>
            <w:r>
              <w:rPr>
                <w:rFonts w:ascii="Arial" w:cs="Arial" w:eastAsia="Arial" w:hAnsi="Arial"/>
                <w:sz w:val="16"/>
                <w:szCs w:val="16"/>
                <w:color w:val="auto"/>
              </w:rPr>
              <w:t>12 months</w:t>
            </w:r>
          </w:p>
        </w:tc>
        <w:tc>
          <w:tcPr>
            <w:tcW w:w="1800" w:type="dxa"/>
            <w:vAlign w:val="bottom"/>
            <w:shd w:val="clear" w:color="auto" w:fill="BFBFBF"/>
          </w:tcPr>
          <w:p>
            <w:pPr>
              <w:jc w:val="right"/>
              <w:ind w:right="560"/>
              <w:spacing w:after="0"/>
              <w:rPr>
                <w:sz w:val="20"/>
                <w:szCs w:val="20"/>
                <w:color w:val="auto"/>
              </w:rPr>
            </w:pPr>
            <w:r>
              <w:rPr>
                <w:rFonts w:ascii="Arial" w:cs="Arial" w:eastAsia="Arial" w:hAnsi="Arial"/>
                <w:sz w:val="16"/>
                <w:szCs w:val="16"/>
                <w:color w:val="auto"/>
              </w:rPr>
              <w:t>100%</w:t>
            </w:r>
          </w:p>
        </w:tc>
        <w:tc>
          <w:tcPr>
            <w:tcW w:w="2260" w:type="dxa"/>
            <w:vAlign w:val="bottom"/>
            <w:shd w:val="clear" w:color="auto" w:fill="BFBFBF"/>
          </w:tcPr>
          <w:p>
            <w:pPr>
              <w:jc w:val="right"/>
              <w:ind w:right="739"/>
              <w:spacing w:after="0"/>
              <w:rPr>
                <w:sz w:val="20"/>
                <w:szCs w:val="20"/>
                <w:color w:val="auto"/>
              </w:rPr>
            </w:pPr>
            <w:r>
              <w:rPr>
                <w:rFonts w:ascii="Arial" w:cs="Arial" w:eastAsia="Arial" w:hAnsi="Arial"/>
                <w:sz w:val="16"/>
                <w:szCs w:val="16"/>
                <w:color w:val="auto"/>
              </w:rPr>
              <w:t>12 months</w:t>
            </w:r>
          </w:p>
        </w:tc>
        <w:tc>
          <w:tcPr>
            <w:tcW w:w="2020" w:type="dxa"/>
            <w:vAlign w:val="bottom"/>
            <w:shd w:val="clear" w:color="auto" w:fill="BFBFBF"/>
          </w:tcPr>
          <w:p>
            <w:pPr>
              <w:jc w:val="right"/>
              <w:ind w:right="400"/>
              <w:spacing w:after="0"/>
              <w:rPr>
                <w:sz w:val="20"/>
                <w:szCs w:val="20"/>
                <w:color w:val="auto"/>
              </w:rPr>
            </w:pPr>
            <w:r>
              <w:rPr>
                <w:rFonts w:ascii="Arial" w:cs="Arial" w:eastAsia="Arial" w:hAnsi="Arial"/>
                <w:sz w:val="16"/>
                <w:szCs w:val="16"/>
                <w:color w:val="auto"/>
              </w:rPr>
              <w:t>100%</w:t>
            </w:r>
          </w:p>
        </w:tc>
      </w:tr>
      <w:tr>
        <w:trPr>
          <w:trHeight w:val="197"/>
        </w:trPr>
        <w:tc>
          <w:tcPr>
            <w:tcW w:w="2320" w:type="dxa"/>
            <w:vAlign w:val="bottom"/>
          </w:tcPr>
          <w:p>
            <w:pPr>
              <w:ind w:left="40"/>
              <w:spacing w:after="0"/>
              <w:rPr>
                <w:sz w:val="20"/>
                <w:szCs w:val="20"/>
                <w:color w:val="auto"/>
              </w:rPr>
            </w:pPr>
            <w:r>
              <w:rPr>
                <w:rFonts w:ascii="Arial" w:cs="Arial" w:eastAsia="Arial" w:hAnsi="Arial"/>
                <w:sz w:val="16"/>
                <w:szCs w:val="16"/>
                <w:color w:val="auto"/>
              </w:rPr>
              <w:t>Bryan T. Ingram</w:t>
            </w:r>
          </w:p>
        </w:tc>
        <w:tc>
          <w:tcPr>
            <w:tcW w:w="1840" w:type="dxa"/>
            <w:vAlign w:val="bottom"/>
          </w:tcPr>
          <w:p>
            <w:pPr>
              <w:ind w:left="520"/>
              <w:spacing w:after="0"/>
              <w:rPr>
                <w:sz w:val="20"/>
                <w:szCs w:val="20"/>
                <w:color w:val="auto"/>
              </w:rPr>
            </w:pPr>
            <w:r>
              <w:rPr>
                <w:rFonts w:ascii="Arial" w:cs="Arial" w:eastAsia="Arial" w:hAnsi="Arial"/>
                <w:sz w:val="16"/>
                <w:szCs w:val="16"/>
                <w:color w:val="auto"/>
              </w:rPr>
              <w:t>12 months</w:t>
            </w:r>
          </w:p>
        </w:tc>
        <w:tc>
          <w:tcPr>
            <w:tcW w:w="1800" w:type="dxa"/>
            <w:vAlign w:val="bottom"/>
          </w:tcPr>
          <w:p>
            <w:pPr>
              <w:jc w:val="right"/>
              <w:ind w:right="560"/>
              <w:spacing w:after="0"/>
              <w:rPr>
                <w:sz w:val="20"/>
                <w:szCs w:val="20"/>
                <w:color w:val="auto"/>
              </w:rPr>
            </w:pPr>
            <w:r>
              <w:rPr>
                <w:rFonts w:ascii="Arial" w:cs="Arial" w:eastAsia="Arial" w:hAnsi="Arial"/>
                <w:sz w:val="16"/>
                <w:szCs w:val="16"/>
                <w:color w:val="auto"/>
              </w:rPr>
              <w:t>100%</w:t>
            </w:r>
          </w:p>
        </w:tc>
        <w:tc>
          <w:tcPr>
            <w:tcW w:w="2260" w:type="dxa"/>
            <w:vAlign w:val="bottom"/>
          </w:tcPr>
          <w:p>
            <w:pPr>
              <w:jc w:val="right"/>
              <w:ind w:right="739"/>
              <w:spacing w:after="0"/>
              <w:rPr>
                <w:sz w:val="20"/>
                <w:szCs w:val="20"/>
                <w:color w:val="auto"/>
              </w:rPr>
            </w:pPr>
            <w:r>
              <w:rPr>
                <w:rFonts w:ascii="Arial" w:cs="Arial" w:eastAsia="Arial" w:hAnsi="Arial"/>
                <w:sz w:val="16"/>
                <w:szCs w:val="16"/>
                <w:color w:val="auto"/>
              </w:rPr>
              <w:t>12 months</w:t>
            </w:r>
          </w:p>
        </w:tc>
        <w:tc>
          <w:tcPr>
            <w:tcW w:w="2020" w:type="dxa"/>
            <w:vAlign w:val="bottom"/>
          </w:tcPr>
          <w:p>
            <w:pPr>
              <w:jc w:val="right"/>
              <w:ind w:right="400"/>
              <w:spacing w:after="0"/>
              <w:rPr>
                <w:sz w:val="20"/>
                <w:szCs w:val="20"/>
                <w:color w:val="auto"/>
              </w:rPr>
            </w:pPr>
            <w:r>
              <w:rPr>
                <w:rFonts w:ascii="Arial" w:cs="Arial" w:eastAsia="Arial" w:hAnsi="Arial"/>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81280</wp:posOffset>
            </wp:positionV>
            <wp:extent cx="13290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50" w:lineRule="exact"/>
        <w:rPr>
          <w:sz w:val="20"/>
          <w:szCs w:val="20"/>
          <w:color w:val="auto"/>
        </w:rPr>
      </w:pPr>
    </w:p>
    <w:p>
      <w:pPr>
        <w:ind w:left="960" w:hanging="432"/>
        <w:spacing w:after="0"/>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Bonus payments are calculated using the lesser of the NEO’s prior year’s actual bonus or prior year’s target bonus.</w:t>
      </w:r>
    </w:p>
    <w:p>
      <w:pPr>
        <w:spacing w:after="0" w:line="5" w:lineRule="exact"/>
        <w:rPr>
          <w:rFonts w:ascii="Arial" w:cs="Arial" w:eastAsia="Arial" w:hAnsi="Arial"/>
          <w:sz w:val="16"/>
          <w:szCs w:val="16"/>
          <w:color w:val="auto"/>
        </w:rPr>
      </w:pPr>
    </w:p>
    <w:p>
      <w:pPr>
        <w:ind w:left="960" w:right="260" w:hanging="432"/>
        <w:spacing w:after="0" w:line="246" w:lineRule="auto"/>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Upon a qualifying termination of an NEO’s employment in connection with a change in control of our Company, the NEO will receive full acceleration of all outstanding service-based equity awards, and acceleration of outstanding performance-based equity awards to the extent</w:t>
      </w:r>
    </w:p>
    <w:p>
      <w:pPr>
        <w:ind w:left="960" w:right="120"/>
        <w:spacing w:after="0" w:line="253" w:lineRule="auto"/>
        <w:rPr>
          <w:rFonts w:ascii="Arial" w:cs="Arial" w:eastAsia="Arial" w:hAnsi="Arial"/>
          <w:sz w:val="16"/>
          <w:szCs w:val="16"/>
          <w:color w:val="auto"/>
        </w:rPr>
      </w:pPr>
      <w:r>
        <w:rPr>
          <w:rFonts w:ascii="Arial" w:cs="Arial" w:eastAsia="Arial" w:hAnsi="Arial"/>
          <w:sz w:val="16"/>
          <w:szCs w:val="16"/>
          <w:color w:val="auto"/>
        </w:rPr>
        <w:t>(i) the effective price per share paid by the acquirer meets or exceeds any share price contingency applicable to any share-price performance-based awards or (ii) other performance goals have been deemed satisfied, in the discretion of our Board, based on our performance through the date of the change in control, for all other types of performance-based equity awards.</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the qualifying termination takes place other than in connection with a change in control of our Company, we must provide the</w:t>
      </w:r>
    </w:p>
    <w:p>
      <w:pPr>
        <w:ind w:left="200"/>
        <w:spacing w:after="0"/>
        <w:rPr>
          <w:sz w:val="20"/>
          <w:szCs w:val="20"/>
          <w:color w:val="auto"/>
        </w:rPr>
      </w:pPr>
      <w:r>
        <w:rPr>
          <w:rFonts w:ascii="Arial" w:cs="Arial" w:eastAsia="Arial" w:hAnsi="Arial"/>
          <w:sz w:val="18"/>
          <w:szCs w:val="18"/>
          <w:color w:val="auto"/>
        </w:rPr>
        <w:t>NEO with:</w:t>
      </w:r>
    </w:p>
    <w:p>
      <w:pPr>
        <w:spacing w:after="0" w:line="227"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2880" w:type="dxa"/>
            <w:vAlign w:val="bottom"/>
            <w:shd w:val="clear" w:color="auto" w:fill="7F7F7F"/>
          </w:tcPr>
          <w:p>
            <w:pPr>
              <w:spacing w:after="0"/>
              <w:rPr>
                <w:sz w:val="16"/>
                <w:szCs w:val="16"/>
                <w:color w:val="auto"/>
              </w:rPr>
            </w:pPr>
          </w:p>
        </w:tc>
        <w:tc>
          <w:tcPr>
            <w:tcW w:w="2780" w:type="dxa"/>
            <w:vAlign w:val="bottom"/>
            <w:shd w:val="clear" w:color="auto" w:fill="7F7F7F"/>
          </w:tcPr>
          <w:p>
            <w:pPr>
              <w:jc w:val="right"/>
              <w:ind w:right="499"/>
              <w:spacing w:after="0"/>
              <w:rPr>
                <w:sz w:val="20"/>
                <w:szCs w:val="20"/>
                <w:color w:val="auto"/>
              </w:rPr>
            </w:pPr>
            <w:r>
              <w:rPr>
                <w:rFonts w:ascii="Arial" w:cs="Arial" w:eastAsia="Arial" w:hAnsi="Arial"/>
                <w:sz w:val="16"/>
                <w:szCs w:val="16"/>
                <w:b w:val="1"/>
                <w:bCs w:val="1"/>
                <w:color w:val="FFFFFF"/>
              </w:rPr>
              <w:t>Continued Base</w:t>
            </w:r>
          </w:p>
        </w:tc>
        <w:tc>
          <w:tcPr>
            <w:tcW w:w="2220" w:type="dxa"/>
            <w:vAlign w:val="bottom"/>
            <w:vMerge w:val="restart"/>
            <w:shd w:val="clear" w:color="auto" w:fill="7F7F7F"/>
          </w:tcPr>
          <w:p>
            <w:pPr>
              <w:jc w:val="right"/>
              <w:ind w:right="899"/>
              <w:spacing w:after="0"/>
              <w:rPr>
                <w:sz w:val="20"/>
                <w:szCs w:val="20"/>
                <w:color w:val="auto"/>
              </w:rPr>
            </w:pPr>
            <w:r>
              <w:rPr>
                <w:rFonts w:ascii="Arial" w:cs="Arial" w:eastAsia="Arial" w:hAnsi="Arial"/>
                <w:sz w:val="16"/>
                <w:szCs w:val="16"/>
                <w:b w:val="1"/>
                <w:bCs w:val="1"/>
                <w:color w:val="FFFFFF"/>
              </w:rPr>
              <w:t>Bonus</w:t>
            </w:r>
            <w:r>
              <w:rPr>
                <w:rFonts w:ascii="Arial" w:cs="Arial" w:eastAsia="Arial" w:hAnsi="Arial"/>
                <w:sz w:val="27"/>
                <w:szCs w:val="27"/>
                <w:b w:val="1"/>
                <w:bCs w:val="1"/>
                <w:color w:val="FFFFFF"/>
                <w:vertAlign w:val="superscript"/>
              </w:rPr>
              <w:t>(1)</w:t>
            </w:r>
          </w:p>
        </w:tc>
        <w:tc>
          <w:tcPr>
            <w:tcW w:w="2360" w:type="dxa"/>
            <w:vAlign w:val="bottom"/>
            <w:shd w:val="clear" w:color="auto" w:fill="7F7F7F"/>
          </w:tcPr>
          <w:p>
            <w:pPr>
              <w:ind w:left="720"/>
              <w:spacing w:after="0"/>
              <w:rPr>
                <w:sz w:val="20"/>
                <w:szCs w:val="20"/>
                <w:color w:val="auto"/>
              </w:rPr>
            </w:pPr>
            <w:r>
              <w:rPr>
                <w:rFonts w:ascii="Arial" w:cs="Arial" w:eastAsia="Arial" w:hAnsi="Arial"/>
                <w:sz w:val="16"/>
                <w:szCs w:val="16"/>
                <w:b w:val="1"/>
                <w:bCs w:val="1"/>
                <w:color w:val="FFFFFF"/>
              </w:rPr>
              <w:t>Health Benefits</w:t>
            </w:r>
          </w:p>
        </w:tc>
        <w:tc>
          <w:tcPr>
            <w:tcW w:w="0" w:type="dxa"/>
            <w:vAlign w:val="bottom"/>
          </w:tcPr>
          <w:p>
            <w:pPr>
              <w:spacing w:after="0"/>
              <w:rPr>
                <w:sz w:val="1"/>
                <w:szCs w:val="1"/>
                <w:color w:val="auto"/>
              </w:rPr>
            </w:pPr>
          </w:p>
        </w:tc>
      </w:tr>
      <w:tr>
        <w:trPr>
          <w:trHeight w:val="207"/>
        </w:trPr>
        <w:tc>
          <w:tcPr>
            <w:tcW w:w="2880" w:type="dxa"/>
            <w:vAlign w:val="bottom"/>
            <w:shd w:val="clear" w:color="auto" w:fill="7F7F7F"/>
          </w:tcPr>
          <w:p>
            <w:pPr>
              <w:ind w:left="40"/>
              <w:spacing w:after="0"/>
              <w:rPr>
                <w:sz w:val="20"/>
                <w:szCs w:val="20"/>
                <w:color w:val="auto"/>
              </w:rPr>
            </w:pPr>
            <w:r>
              <w:rPr>
                <w:rFonts w:ascii="Arial" w:cs="Arial" w:eastAsia="Arial" w:hAnsi="Arial"/>
                <w:sz w:val="16"/>
                <w:szCs w:val="16"/>
                <w:b w:val="1"/>
                <w:bCs w:val="1"/>
                <w:color w:val="FFFFFF"/>
              </w:rPr>
              <w:t>Name</w:t>
            </w:r>
          </w:p>
        </w:tc>
        <w:tc>
          <w:tcPr>
            <w:tcW w:w="2780" w:type="dxa"/>
            <w:vAlign w:val="bottom"/>
            <w:shd w:val="clear" w:color="auto" w:fill="7F7F7F"/>
          </w:tcPr>
          <w:p>
            <w:pPr>
              <w:jc w:val="right"/>
              <w:ind w:right="879"/>
              <w:spacing w:after="0"/>
              <w:rPr>
                <w:sz w:val="20"/>
                <w:szCs w:val="20"/>
                <w:color w:val="auto"/>
              </w:rPr>
            </w:pPr>
            <w:r>
              <w:rPr>
                <w:rFonts w:ascii="Arial" w:cs="Arial" w:eastAsia="Arial" w:hAnsi="Arial"/>
                <w:sz w:val="16"/>
                <w:szCs w:val="16"/>
                <w:b w:val="1"/>
                <w:bCs w:val="1"/>
                <w:color w:val="FFFFFF"/>
              </w:rPr>
              <w:t>Salary</w:t>
            </w:r>
          </w:p>
        </w:tc>
        <w:tc>
          <w:tcPr>
            <w:tcW w:w="2220" w:type="dxa"/>
            <w:vAlign w:val="bottom"/>
            <w:vMerge w:val="continue"/>
            <w:shd w:val="clear" w:color="auto" w:fill="7F7F7F"/>
          </w:tcPr>
          <w:p>
            <w:pPr>
              <w:spacing w:after="0"/>
              <w:rPr>
                <w:sz w:val="18"/>
                <w:szCs w:val="18"/>
                <w:color w:val="auto"/>
              </w:rPr>
            </w:pPr>
          </w:p>
        </w:tc>
        <w:tc>
          <w:tcPr>
            <w:tcW w:w="2360" w:type="dxa"/>
            <w:vAlign w:val="bottom"/>
            <w:shd w:val="clear" w:color="auto" w:fill="7F7F7F"/>
          </w:tcPr>
          <w:p>
            <w:pPr>
              <w:ind w:left="420"/>
              <w:spacing w:after="0"/>
              <w:rPr>
                <w:sz w:val="20"/>
                <w:szCs w:val="20"/>
                <w:color w:val="auto"/>
              </w:rPr>
            </w:pPr>
            <w:r>
              <w:rPr>
                <w:rFonts w:ascii="Arial" w:cs="Arial" w:eastAsia="Arial" w:hAnsi="Arial"/>
                <w:sz w:val="16"/>
                <w:szCs w:val="16"/>
                <w:b w:val="1"/>
                <w:bCs w:val="1"/>
                <w:color w:val="FFFFFF"/>
              </w:rPr>
              <w:t>Continuation Coverage</w:t>
            </w:r>
          </w:p>
        </w:tc>
        <w:tc>
          <w:tcPr>
            <w:tcW w:w="0" w:type="dxa"/>
            <w:vAlign w:val="bottom"/>
          </w:tcPr>
          <w:p>
            <w:pPr>
              <w:spacing w:after="0"/>
              <w:rPr>
                <w:sz w:val="1"/>
                <w:szCs w:val="1"/>
                <w:color w:val="auto"/>
              </w:rPr>
            </w:pPr>
          </w:p>
        </w:tc>
      </w:tr>
      <w:tr>
        <w:trPr>
          <w:trHeight w:val="189"/>
        </w:trPr>
        <w:tc>
          <w:tcPr>
            <w:tcW w:w="2880" w:type="dxa"/>
            <w:vAlign w:val="bottom"/>
          </w:tcPr>
          <w:p>
            <w:pPr>
              <w:ind w:left="40"/>
              <w:spacing w:after="0"/>
              <w:rPr>
                <w:sz w:val="20"/>
                <w:szCs w:val="20"/>
                <w:color w:val="auto"/>
              </w:rPr>
            </w:pPr>
            <w:r>
              <w:rPr>
                <w:rFonts w:ascii="Arial" w:cs="Arial" w:eastAsia="Arial" w:hAnsi="Arial"/>
                <w:sz w:val="16"/>
                <w:szCs w:val="16"/>
                <w:color w:val="auto"/>
              </w:rPr>
              <w:t>Hock E. Tan</w:t>
            </w:r>
          </w:p>
        </w:tc>
        <w:tc>
          <w:tcPr>
            <w:tcW w:w="2780" w:type="dxa"/>
            <w:vAlign w:val="bottom"/>
          </w:tcPr>
          <w:p>
            <w:pPr>
              <w:jc w:val="right"/>
              <w:ind w:right="859"/>
              <w:spacing w:after="0"/>
              <w:rPr>
                <w:sz w:val="20"/>
                <w:szCs w:val="20"/>
                <w:color w:val="auto"/>
              </w:rPr>
            </w:pPr>
            <w:r>
              <w:rPr>
                <w:rFonts w:ascii="Arial" w:cs="Arial" w:eastAsia="Arial" w:hAnsi="Arial"/>
                <w:sz w:val="16"/>
                <w:szCs w:val="16"/>
                <w:color w:val="auto"/>
              </w:rPr>
              <w:t>12 months</w:t>
            </w:r>
          </w:p>
        </w:tc>
        <w:tc>
          <w:tcPr>
            <w:tcW w:w="2220" w:type="dxa"/>
            <w:vAlign w:val="bottom"/>
          </w:tcPr>
          <w:p>
            <w:pPr>
              <w:jc w:val="right"/>
              <w:ind w:right="359"/>
              <w:spacing w:after="0"/>
              <w:rPr>
                <w:sz w:val="20"/>
                <w:szCs w:val="20"/>
                <w:color w:val="auto"/>
              </w:rPr>
            </w:pPr>
            <w:r>
              <w:rPr>
                <w:rFonts w:ascii="Arial" w:cs="Arial" w:eastAsia="Arial" w:hAnsi="Arial"/>
                <w:sz w:val="16"/>
                <w:szCs w:val="16"/>
                <w:color w:val="auto"/>
              </w:rPr>
              <w:t>100%</w:t>
            </w:r>
          </w:p>
        </w:tc>
        <w:tc>
          <w:tcPr>
            <w:tcW w:w="2360" w:type="dxa"/>
            <w:vAlign w:val="bottom"/>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880" w:type="dxa"/>
            <w:vAlign w:val="bottom"/>
            <w:shd w:val="clear" w:color="auto" w:fill="BFBFBF"/>
          </w:tcPr>
          <w:p>
            <w:pPr>
              <w:ind w:left="40"/>
              <w:spacing w:after="0"/>
              <w:rPr>
                <w:sz w:val="20"/>
                <w:szCs w:val="20"/>
                <w:color w:val="auto"/>
              </w:rPr>
            </w:pPr>
            <w:r>
              <w:rPr>
                <w:rFonts w:ascii="Arial" w:cs="Arial" w:eastAsia="Arial" w:hAnsi="Arial"/>
                <w:sz w:val="16"/>
                <w:szCs w:val="16"/>
                <w:color w:val="auto"/>
              </w:rPr>
              <w:t>Thomas H. Krause, Jr.</w:t>
            </w:r>
          </w:p>
        </w:tc>
        <w:tc>
          <w:tcPr>
            <w:tcW w:w="2780" w:type="dxa"/>
            <w:vAlign w:val="bottom"/>
            <w:shd w:val="clear" w:color="auto" w:fill="BFBFBF"/>
          </w:tcPr>
          <w:p>
            <w:pPr>
              <w:jc w:val="right"/>
              <w:ind w:right="859"/>
              <w:spacing w:after="0"/>
              <w:rPr>
                <w:sz w:val="20"/>
                <w:szCs w:val="20"/>
                <w:color w:val="auto"/>
              </w:rPr>
            </w:pPr>
            <w:r>
              <w:rPr>
                <w:rFonts w:ascii="Arial" w:cs="Arial" w:eastAsia="Arial" w:hAnsi="Arial"/>
                <w:sz w:val="16"/>
                <w:szCs w:val="16"/>
                <w:color w:val="auto"/>
              </w:rPr>
              <w:t>9 months</w:t>
            </w:r>
          </w:p>
        </w:tc>
        <w:tc>
          <w:tcPr>
            <w:tcW w:w="2220" w:type="dxa"/>
            <w:vAlign w:val="bottom"/>
            <w:shd w:val="clear" w:color="auto" w:fill="BFBFBF"/>
          </w:tcPr>
          <w:p>
            <w:pPr>
              <w:jc w:val="right"/>
              <w:ind w:right="359"/>
              <w:spacing w:after="0"/>
              <w:rPr>
                <w:sz w:val="20"/>
                <w:szCs w:val="20"/>
                <w:color w:val="auto"/>
              </w:rPr>
            </w:pPr>
            <w:r>
              <w:rPr>
                <w:rFonts w:ascii="Arial" w:cs="Arial" w:eastAsia="Arial" w:hAnsi="Arial"/>
                <w:sz w:val="16"/>
                <w:szCs w:val="16"/>
                <w:color w:val="auto"/>
              </w:rPr>
              <w:t>50%</w:t>
            </w:r>
          </w:p>
        </w:tc>
        <w:tc>
          <w:tcPr>
            <w:tcW w:w="2360" w:type="dxa"/>
            <w:vAlign w:val="bottom"/>
            <w:shd w:val="clear" w:color="auto" w:fill="BFBFBF"/>
          </w:tcPr>
          <w:p>
            <w:pPr>
              <w:ind w:left="1180"/>
              <w:spacing w:after="0"/>
              <w:rPr>
                <w:sz w:val="20"/>
                <w:szCs w:val="20"/>
                <w:color w:val="auto"/>
              </w:rPr>
            </w:pPr>
            <w:r>
              <w:rPr>
                <w:rFonts w:ascii="Arial" w:cs="Arial" w:eastAsia="Arial" w:hAnsi="Arial"/>
                <w:sz w:val="16"/>
                <w:szCs w:val="16"/>
                <w:color w:val="auto"/>
              </w:rPr>
              <w:t>6 months</w:t>
            </w:r>
          </w:p>
        </w:tc>
        <w:tc>
          <w:tcPr>
            <w:tcW w:w="0" w:type="dxa"/>
            <w:vAlign w:val="bottom"/>
          </w:tcPr>
          <w:p>
            <w:pPr>
              <w:spacing w:after="0"/>
              <w:rPr>
                <w:sz w:val="1"/>
                <w:szCs w:val="1"/>
                <w:color w:val="auto"/>
              </w:rPr>
            </w:pPr>
          </w:p>
        </w:tc>
      </w:tr>
      <w:tr>
        <w:trPr>
          <w:trHeight w:val="189"/>
        </w:trPr>
        <w:tc>
          <w:tcPr>
            <w:tcW w:w="2880" w:type="dxa"/>
            <w:vAlign w:val="bottom"/>
          </w:tcPr>
          <w:p>
            <w:pPr>
              <w:ind w:left="40"/>
              <w:spacing w:after="0"/>
              <w:rPr>
                <w:sz w:val="20"/>
                <w:szCs w:val="20"/>
                <w:color w:val="auto"/>
              </w:rPr>
            </w:pPr>
            <w:r>
              <w:rPr>
                <w:rFonts w:ascii="Arial" w:cs="Arial" w:eastAsia="Arial" w:hAnsi="Arial"/>
                <w:sz w:val="16"/>
                <w:szCs w:val="16"/>
                <w:color w:val="auto"/>
              </w:rPr>
              <w:t>Charlie B. Kawwas, Ph.D.</w:t>
            </w:r>
          </w:p>
        </w:tc>
        <w:tc>
          <w:tcPr>
            <w:tcW w:w="2780" w:type="dxa"/>
            <w:vAlign w:val="bottom"/>
          </w:tcPr>
          <w:p>
            <w:pPr>
              <w:jc w:val="right"/>
              <w:ind w:right="859"/>
              <w:spacing w:after="0"/>
              <w:rPr>
                <w:sz w:val="20"/>
                <w:szCs w:val="20"/>
                <w:color w:val="auto"/>
              </w:rPr>
            </w:pPr>
            <w:r>
              <w:rPr>
                <w:rFonts w:ascii="Arial" w:cs="Arial" w:eastAsia="Arial" w:hAnsi="Arial"/>
                <w:sz w:val="16"/>
                <w:szCs w:val="16"/>
                <w:color w:val="auto"/>
              </w:rPr>
              <w:t>9 months</w:t>
            </w:r>
          </w:p>
        </w:tc>
        <w:tc>
          <w:tcPr>
            <w:tcW w:w="2220" w:type="dxa"/>
            <w:vAlign w:val="bottom"/>
          </w:tcPr>
          <w:p>
            <w:pPr>
              <w:jc w:val="right"/>
              <w:ind w:right="359"/>
              <w:spacing w:after="0"/>
              <w:rPr>
                <w:sz w:val="20"/>
                <w:szCs w:val="20"/>
                <w:color w:val="auto"/>
              </w:rPr>
            </w:pPr>
            <w:r>
              <w:rPr>
                <w:rFonts w:ascii="Arial" w:cs="Arial" w:eastAsia="Arial" w:hAnsi="Arial"/>
                <w:sz w:val="16"/>
                <w:szCs w:val="16"/>
                <w:color w:val="auto"/>
              </w:rPr>
              <w:t>50%</w:t>
            </w:r>
          </w:p>
        </w:tc>
        <w:tc>
          <w:tcPr>
            <w:tcW w:w="2360" w:type="dxa"/>
            <w:vAlign w:val="bottom"/>
          </w:tcPr>
          <w:p>
            <w:pPr>
              <w:ind w:left="1180"/>
              <w:spacing w:after="0"/>
              <w:rPr>
                <w:sz w:val="20"/>
                <w:szCs w:val="20"/>
                <w:color w:val="auto"/>
              </w:rPr>
            </w:pPr>
            <w:r>
              <w:rPr>
                <w:rFonts w:ascii="Arial" w:cs="Arial" w:eastAsia="Arial" w:hAnsi="Arial"/>
                <w:sz w:val="16"/>
                <w:szCs w:val="16"/>
                <w:color w:val="auto"/>
              </w:rPr>
              <w:t>6 months</w:t>
            </w:r>
          </w:p>
        </w:tc>
        <w:tc>
          <w:tcPr>
            <w:tcW w:w="0" w:type="dxa"/>
            <w:vAlign w:val="bottom"/>
          </w:tcPr>
          <w:p>
            <w:pPr>
              <w:spacing w:after="0"/>
              <w:rPr>
                <w:sz w:val="1"/>
                <w:szCs w:val="1"/>
                <w:color w:val="auto"/>
              </w:rPr>
            </w:pPr>
          </w:p>
        </w:tc>
      </w:tr>
      <w:tr>
        <w:trPr>
          <w:trHeight w:val="189"/>
        </w:trPr>
        <w:tc>
          <w:tcPr>
            <w:tcW w:w="2880" w:type="dxa"/>
            <w:vAlign w:val="bottom"/>
            <w:shd w:val="clear" w:color="auto" w:fill="BFBFBF"/>
          </w:tcPr>
          <w:p>
            <w:pPr>
              <w:ind w:left="40"/>
              <w:spacing w:after="0"/>
              <w:rPr>
                <w:sz w:val="20"/>
                <w:szCs w:val="20"/>
                <w:color w:val="auto"/>
              </w:rPr>
            </w:pPr>
            <w:r>
              <w:rPr>
                <w:rFonts w:ascii="Arial" w:cs="Arial" w:eastAsia="Arial" w:hAnsi="Arial"/>
                <w:sz w:val="16"/>
                <w:szCs w:val="16"/>
                <w:color w:val="auto"/>
              </w:rPr>
              <w:t>Mark D. Brazeal</w:t>
            </w:r>
          </w:p>
        </w:tc>
        <w:tc>
          <w:tcPr>
            <w:tcW w:w="2780" w:type="dxa"/>
            <w:vAlign w:val="bottom"/>
            <w:shd w:val="clear" w:color="auto" w:fill="BFBFBF"/>
          </w:tcPr>
          <w:p>
            <w:pPr>
              <w:jc w:val="right"/>
              <w:ind w:right="859"/>
              <w:spacing w:after="0"/>
              <w:rPr>
                <w:sz w:val="20"/>
                <w:szCs w:val="20"/>
                <w:color w:val="auto"/>
              </w:rPr>
            </w:pPr>
            <w:r>
              <w:rPr>
                <w:rFonts w:ascii="Arial" w:cs="Arial" w:eastAsia="Arial" w:hAnsi="Arial"/>
                <w:sz w:val="16"/>
                <w:szCs w:val="16"/>
                <w:color w:val="auto"/>
              </w:rPr>
              <w:t>9 months</w:t>
            </w:r>
          </w:p>
        </w:tc>
        <w:tc>
          <w:tcPr>
            <w:tcW w:w="2220" w:type="dxa"/>
            <w:vAlign w:val="bottom"/>
            <w:shd w:val="clear" w:color="auto" w:fill="BFBFBF"/>
          </w:tcPr>
          <w:p>
            <w:pPr>
              <w:jc w:val="right"/>
              <w:ind w:right="359"/>
              <w:spacing w:after="0"/>
              <w:rPr>
                <w:sz w:val="20"/>
                <w:szCs w:val="20"/>
                <w:color w:val="auto"/>
              </w:rPr>
            </w:pPr>
            <w:r>
              <w:rPr>
                <w:rFonts w:ascii="Arial" w:cs="Arial" w:eastAsia="Arial" w:hAnsi="Arial"/>
                <w:sz w:val="16"/>
                <w:szCs w:val="16"/>
                <w:color w:val="auto"/>
              </w:rPr>
              <w:t>50%</w:t>
            </w:r>
          </w:p>
        </w:tc>
        <w:tc>
          <w:tcPr>
            <w:tcW w:w="2360" w:type="dxa"/>
            <w:vAlign w:val="bottom"/>
            <w:shd w:val="clear" w:color="auto" w:fill="BFBFBF"/>
          </w:tcPr>
          <w:p>
            <w:pPr>
              <w:ind w:left="1180"/>
              <w:spacing w:after="0"/>
              <w:rPr>
                <w:sz w:val="20"/>
                <w:szCs w:val="20"/>
                <w:color w:val="auto"/>
              </w:rPr>
            </w:pPr>
            <w:r>
              <w:rPr>
                <w:rFonts w:ascii="Arial" w:cs="Arial" w:eastAsia="Arial" w:hAnsi="Arial"/>
                <w:sz w:val="16"/>
                <w:szCs w:val="16"/>
                <w:color w:val="auto"/>
              </w:rPr>
              <w:t>6 months</w:t>
            </w:r>
          </w:p>
        </w:tc>
        <w:tc>
          <w:tcPr>
            <w:tcW w:w="0" w:type="dxa"/>
            <w:vAlign w:val="bottom"/>
          </w:tcPr>
          <w:p>
            <w:pPr>
              <w:spacing w:after="0"/>
              <w:rPr>
                <w:sz w:val="1"/>
                <w:szCs w:val="1"/>
                <w:color w:val="auto"/>
              </w:rPr>
            </w:pPr>
          </w:p>
        </w:tc>
      </w:tr>
      <w:tr>
        <w:trPr>
          <w:trHeight w:val="197"/>
        </w:trPr>
        <w:tc>
          <w:tcPr>
            <w:tcW w:w="2880" w:type="dxa"/>
            <w:vAlign w:val="bottom"/>
          </w:tcPr>
          <w:p>
            <w:pPr>
              <w:ind w:left="40"/>
              <w:spacing w:after="0"/>
              <w:rPr>
                <w:sz w:val="20"/>
                <w:szCs w:val="20"/>
                <w:color w:val="auto"/>
              </w:rPr>
            </w:pPr>
            <w:r>
              <w:rPr>
                <w:rFonts w:ascii="Arial" w:cs="Arial" w:eastAsia="Arial" w:hAnsi="Arial"/>
                <w:sz w:val="16"/>
                <w:szCs w:val="16"/>
                <w:color w:val="auto"/>
              </w:rPr>
              <w:t>Bryan T. Ingram</w:t>
            </w:r>
          </w:p>
        </w:tc>
        <w:tc>
          <w:tcPr>
            <w:tcW w:w="2780" w:type="dxa"/>
            <w:vAlign w:val="bottom"/>
          </w:tcPr>
          <w:p>
            <w:pPr>
              <w:jc w:val="right"/>
              <w:ind w:right="859"/>
              <w:spacing w:after="0"/>
              <w:rPr>
                <w:sz w:val="20"/>
                <w:szCs w:val="20"/>
                <w:color w:val="auto"/>
              </w:rPr>
            </w:pPr>
            <w:r>
              <w:rPr>
                <w:rFonts w:ascii="Arial" w:cs="Arial" w:eastAsia="Arial" w:hAnsi="Arial"/>
                <w:sz w:val="16"/>
                <w:szCs w:val="16"/>
                <w:color w:val="auto"/>
              </w:rPr>
              <w:t>9 months</w:t>
            </w:r>
          </w:p>
        </w:tc>
        <w:tc>
          <w:tcPr>
            <w:tcW w:w="2220" w:type="dxa"/>
            <w:vAlign w:val="bottom"/>
          </w:tcPr>
          <w:p>
            <w:pPr>
              <w:jc w:val="right"/>
              <w:ind w:right="359"/>
              <w:spacing w:after="0"/>
              <w:rPr>
                <w:sz w:val="20"/>
                <w:szCs w:val="20"/>
                <w:color w:val="auto"/>
              </w:rPr>
            </w:pPr>
            <w:r>
              <w:rPr>
                <w:rFonts w:ascii="Arial" w:cs="Arial" w:eastAsia="Arial" w:hAnsi="Arial"/>
                <w:sz w:val="16"/>
                <w:szCs w:val="16"/>
                <w:color w:val="auto"/>
              </w:rPr>
              <w:t>50%</w:t>
            </w:r>
          </w:p>
        </w:tc>
        <w:tc>
          <w:tcPr>
            <w:tcW w:w="2360" w:type="dxa"/>
            <w:vAlign w:val="bottom"/>
          </w:tcPr>
          <w:p>
            <w:pPr>
              <w:ind w:left="1180"/>
              <w:spacing w:after="0"/>
              <w:rPr>
                <w:sz w:val="20"/>
                <w:szCs w:val="20"/>
                <w:color w:val="auto"/>
              </w:rPr>
            </w:pPr>
            <w:r>
              <w:rPr>
                <w:rFonts w:ascii="Arial" w:cs="Arial" w:eastAsia="Arial" w:hAnsi="Arial"/>
                <w:sz w:val="16"/>
                <w:szCs w:val="16"/>
                <w:color w:val="auto"/>
              </w:rPr>
              <w:t>6 months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81280</wp:posOffset>
            </wp:positionV>
            <wp:extent cx="13290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63" w:lineRule="exact"/>
        <w:rPr>
          <w:sz w:val="20"/>
          <w:szCs w:val="20"/>
          <w:color w:val="auto"/>
        </w:rPr>
      </w:pPr>
    </w:p>
    <w:p>
      <w:pPr>
        <w:ind w:left="960" w:hanging="432"/>
        <w:spacing w:after="0"/>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Bonus payments are calculated using the lesser of the NEO’s prior year’s actual bonus or prior year’s target bonus.</w:t>
      </w:r>
    </w:p>
    <w:p>
      <w:pPr>
        <w:spacing w:after="0" w:line="259"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The definition of “change in control” under the severance benefit agreements is the same as the definition of “change in control” under our 2009 Plan, which captures acquisitions of more than 50% of our voting shares by any person or group, as well as the sale of all or substantially all of our assets. Mr. Tan’s severance benefit agreement was approved by our shareholders, as required by Singapore law, at our 2014 Annual General Meeting of Shareholders.</w:t>
      </w:r>
    </w:p>
    <w:p>
      <w:pPr>
        <w:spacing w:after="0" w:line="148"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The definition of “good reason” means any of the following: (A) a material reduction in the NEO’s salary (other than as part of a broad salary reduction program instituted because we are in financial distress); (B) a substantial reduction in the NEO’s duties and responsibilities; (C) the elimination or reduction of the NEO’s eligibility to participate in our benefit programs that is inconsistent with the eligibility of our executive employees to participate therein; (D) we inform the executive of our intention to transfer the NEO’s primary workplace to a location that is more than 50 miles from the location of the NEO’s primary workplace as of such date; (E) our material breach of the severance benefits agreement that is not cured within sixty (60) days written notice thereof; and (F) any serious chronic mental or physical illness of the NEO or a member of the NEO’s family that requires the NEO to terminate his or her employment because of substantial interference with the NEO’s duties; provided, that at our request the NEO provides us with a written physician’s statement confirming the existence of such mental or physical illness.</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Policy on Acceleration of Executive Staff Equity Awards in the Event of Death or Disability</w:t>
      </w:r>
    </w:p>
    <w:p>
      <w:pPr>
        <w:spacing w:after="0" w:line="85"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In September 2015, our Board approved the Death and Disability Policy. This policy was effective immediately upon adoption, and provides for the full acceleration upon an executive’s death or permanent disability of his or her outstanding and unvested equity awards that would otherwise vest solely based on the executive’s continued service, including performance-based equity awards for which the performance criteria have been met as of such date. The Death and Disability Policy applies in the event of the death or permanent disability, of (i) any officer of our Company, as such term is defined in Exchange Act Rule 16a-1, and (ii) any member of our CEO’s executive staff, including the NEOs, as determined by our CEO.</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Continuing Employment Agreement – Mr. Ingram</w:t>
      </w:r>
    </w:p>
    <w:p>
      <w:pPr>
        <w:spacing w:after="0" w:line="8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Pursuant to his Letter Agreement, entered into on October 16, 2015, if Mr. Ingram had experienced a qualifying termination during the period commencing on November 2, 2015 and ending on October 31, 2017 (the “</w:t>
      </w:r>
      <w:r>
        <w:rPr>
          <w:rFonts w:ascii="Arial" w:cs="Arial" w:eastAsia="Arial" w:hAnsi="Arial"/>
          <w:sz w:val="18"/>
          <w:szCs w:val="18"/>
          <w:u w:val="single" w:color="auto"/>
          <w:color w:val="auto"/>
        </w:rPr>
        <w:t>Retention Period</w:t>
      </w:r>
      <w:r>
        <w:rPr>
          <w:rFonts w:ascii="Arial" w:cs="Arial" w:eastAsia="Arial" w:hAnsi="Arial"/>
          <w:sz w:val="18"/>
          <w:szCs w:val="18"/>
          <w:color w:val="auto"/>
        </w:rPr>
        <w:t>”) or he elected in writing within 30 days immediately following the end of the Retention Period (the “</w:t>
      </w:r>
      <w:r>
        <w:rPr>
          <w:rFonts w:ascii="Arial" w:cs="Arial" w:eastAsia="Arial" w:hAnsi="Arial"/>
          <w:sz w:val="18"/>
          <w:szCs w:val="18"/>
          <w:u w:val="single" w:color="auto"/>
          <w:color w:val="auto"/>
        </w:rPr>
        <w:t>Election Period</w:t>
      </w:r>
      <w:r>
        <w:rPr>
          <w:rFonts w:ascii="Arial" w:cs="Arial" w:eastAsia="Arial" w:hAnsi="Arial"/>
          <w:sz w:val="18"/>
          <w:szCs w:val="18"/>
          <w:color w:val="auto"/>
        </w:rPr>
        <w:t>”) to resign as of such date, then his outstanding and unvested equity and equity-linked awards that were granted prior to March 15, 2015 and vest solely based upon his continued service, including performance-based awards for which the performance criteria has been met (“</w:t>
      </w:r>
      <w:r>
        <w:rPr>
          <w:rFonts w:ascii="Arial" w:cs="Arial" w:eastAsia="Arial" w:hAnsi="Arial"/>
          <w:sz w:val="18"/>
          <w:szCs w:val="18"/>
          <w:u w:val="single" w:color="auto"/>
          <w:color w:val="auto"/>
        </w:rPr>
        <w:t>Time-Based Awards</w:t>
      </w:r>
      <w:r>
        <w:rPr>
          <w:rFonts w:ascii="Arial" w:cs="Arial" w:eastAsia="Arial" w:hAnsi="Arial"/>
          <w:sz w:val="18"/>
          <w:szCs w:val="18"/>
          <w:color w:val="auto"/>
        </w:rPr>
        <w:t>”), would have vested in full as of such termination date. The Letter Agreement also provided that if Mr. Ingram remained available to provide limited consulting services through the first anniversary of such termination date and refrained from engaging in a competing business or activity during this time (or if he died or became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permanently disabled during such time), then the Time-Based Awards granted on March 15, 2015 and each performance-based award granted on March 15, 2015 for which the performance criteria had been met following his termination date but prior to the first anniversary of the termination date, would have fully vested on the first anniversary of the termination date.</w:t>
      </w:r>
    </w:p>
    <w:p>
      <w:pPr>
        <w:spacing w:after="0" w:line="149"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The Letter Agreement further provided that if Mr. Ingram’s employment was terminated as a result of a Covered Termination or he elected in writing during the Election Period to resign as of such date and such termination date occurred after the end of the fiscal year but prior to the payment date of his cash bonus under the APB Plan in effect for that year, then he would have been entitled to receive his cash bonus, based upon actual performance under the APB Plan in effect on the bonus payment date. Mr. Ingram did not make such an election during the Election Period and, as such, effective as of December 1, 2017, the Letter Agreement terminated by its terms.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Severance Payments and Benefits upon Certain Terminations of Employment</w:t>
      </w:r>
    </w:p>
    <w:p>
      <w:pPr>
        <w:spacing w:after="0" w:line="85"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The following table reflects the potential payments and benefits to which the NEOs would be entitled under their severance benefits agreements in effect as of the end of Fiscal Year 2017, in the event of a qualifying termination taking place not in connection with a change in control of our Company. The amounts presented in the table assume an employment termination date of October 29, 2017 and that all eligibility requirements contemplated by the NEO’s respective agreements or our policies and practices, as applicable, were met.</w:t>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780" w:type="dxa"/>
            <w:vAlign w:val="bottom"/>
            <w:shd w:val="clear" w:color="auto" w:fill="7F7F7F"/>
          </w:tcPr>
          <w:p>
            <w:pPr>
              <w:spacing w:after="0"/>
              <w:rPr>
                <w:sz w:val="16"/>
                <w:szCs w:val="16"/>
                <w:color w:val="auto"/>
              </w:rPr>
            </w:pPr>
          </w:p>
        </w:tc>
        <w:tc>
          <w:tcPr>
            <w:tcW w:w="1940" w:type="dxa"/>
            <w:vAlign w:val="bottom"/>
            <w:shd w:val="clear" w:color="auto" w:fill="7F7F7F"/>
          </w:tcPr>
          <w:p>
            <w:pPr>
              <w:spacing w:after="0"/>
              <w:rPr>
                <w:sz w:val="16"/>
                <w:szCs w:val="16"/>
                <w:color w:val="auto"/>
              </w:rPr>
            </w:pPr>
          </w:p>
        </w:tc>
        <w:tc>
          <w:tcPr>
            <w:tcW w:w="1120" w:type="dxa"/>
            <w:vAlign w:val="bottom"/>
            <w:shd w:val="clear" w:color="auto" w:fill="7F7F7F"/>
          </w:tcPr>
          <w:p>
            <w:pPr>
              <w:spacing w:after="0"/>
              <w:rPr>
                <w:sz w:val="16"/>
                <w:szCs w:val="16"/>
                <w:color w:val="auto"/>
              </w:rPr>
            </w:pPr>
          </w:p>
        </w:tc>
        <w:tc>
          <w:tcPr>
            <w:tcW w:w="13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Health</w:t>
            </w:r>
          </w:p>
        </w:tc>
        <w:tc>
          <w:tcPr>
            <w:tcW w:w="1320" w:type="dxa"/>
            <w:vAlign w:val="bottom"/>
            <w:shd w:val="clear" w:color="auto" w:fill="7F7F7F"/>
          </w:tcPr>
          <w:p>
            <w:pPr>
              <w:spacing w:after="0"/>
              <w:rPr>
                <w:sz w:val="16"/>
                <w:szCs w:val="16"/>
                <w:color w:val="auto"/>
              </w:rPr>
            </w:pPr>
          </w:p>
        </w:tc>
        <w:tc>
          <w:tcPr>
            <w:tcW w:w="1280" w:type="dxa"/>
            <w:vAlign w:val="bottom"/>
            <w:shd w:val="clear" w:color="auto" w:fill="7F7F7F"/>
          </w:tcPr>
          <w:p>
            <w:pPr>
              <w:spacing w:after="0"/>
              <w:rPr>
                <w:sz w:val="16"/>
                <w:szCs w:val="16"/>
                <w:color w:val="auto"/>
              </w:rPr>
            </w:pPr>
          </w:p>
        </w:tc>
        <w:tc>
          <w:tcPr>
            <w:tcW w:w="1240" w:type="dxa"/>
            <w:vAlign w:val="bottom"/>
            <w:shd w:val="clear" w:color="auto" w:fill="7F7F7F"/>
          </w:tcPr>
          <w:p>
            <w:pPr>
              <w:spacing w:after="0"/>
              <w:rPr>
                <w:sz w:val="16"/>
                <w:szCs w:val="16"/>
                <w:color w:val="auto"/>
              </w:rPr>
            </w:pPr>
          </w:p>
        </w:tc>
      </w:tr>
      <w:tr>
        <w:trPr>
          <w:trHeight w:val="189"/>
        </w:trPr>
        <w:tc>
          <w:tcPr>
            <w:tcW w:w="2780" w:type="dxa"/>
            <w:vAlign w:val="bottom"/>
            <w:shd w:val="clear" w:color="auto" w:fill="7F7F7F"/>
          </w:tcPr>
          <w:p>
            <w:pPr>
              <w:spacing w:after="0"/>
              <w:rPr>
                <w:sz w:val="16"/>
                <w:szCs w:val="16"/>
                <w:color w:val="auto"/>
              </w:rPr>
            </w:pPr>
          </w:p>
        </w:tc>
        <w:tc>
          <w:tcPr>
            <w:tcW w:w="1940" w:type="dxa"/>
            <w:vAlign w:val="bottom"/>
            <w:shd w:val="clear" w:color="auto" w:fill="7F7F7F"/>
          </w:tcPr>
          <w:p>
            <w:pPr>
              <w:jc w:val="center"/>
              <w:ind w:left="619"/>
              <w:spacing w:after="0"/>
              <w:rPr>
                <w:sz w:val="20"/>
                <w:szCs w:val="20"/>
                <w:color w:val="auto"/>
              </w:rPr>
            </w:pPr>
            <w:r>
              <w:rPr>
                <w:rFonts w:ascii="Arial" w:cs="Arial" w:eastAsia="Arial" w:hAnsi="Arial"/>
                <w:sz w:val="16"/>
                <w:szCs w:val="16"/>
                <w:b w:val="1"/>
                <w:bCs w:val="1"/>
                <w:color w:val="FFFFFF"/>
              </w:rPr>
              <w:t>Cash</w:t>
            </w:r>
          </w:p>
        </w:tc>
        <w:tc>
          <w:tcPr>
            <w:tcW w:w="11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Cash</w:t>
            </w:r>
          </w:p>
        </w:tc>
        <w:tc>
          <w:tcPr>
            <w:tcW w:w="13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Benefits</w:t>
            </w:r>
          </w:p>
        </w:tc>
        <w:tc>
          <w:tcPr>
            <w:tcW w:w="13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280" w:type="dxa"/>
            <w:vAlign w:val="bottom"/>
            <w:shd w:val="clear" w:color="auto" w:fill="7F7F7F"/>
          </w:tcPr>
          <w:p>
            <w:pPr>
              <w:spacing w:after="0"/>
              <w:rPr>
                <w:sz w:val="16"/>
                <w:szCs w:val="16"/>
                <w:color w:val="auto"/>
              </w:rPr>
            </w:pPr>
          </w:p>
        </w:tc>
        <w:tc>
          <w:tcPr>
            <w:tcW w:w="1240" w:type="dxa"/>
            <w:vAlign w:val="bottom"/>
            <w:shd w:val="clear" w:color="auto" w:fill="7F7F7F"/>
          </w:tcPr>
          <w:p>
            <w:pPr>
              <w:spacing w:after="0"/>
              <w:rPr>
                <w:sz w:val="16"/>
                <w:szCs w:val="16"/>
                <w:color w:val="auto"/>
              </w:rPr>
            </w:pPr>
          </w:p>
        </w:tc>
      </w:tr>
      <w:tr>
        <w:trPr>
          <w:trHeight w:val="189"/>
        </w:trPr>
        <w:tc>
          <w:tcPr>
            <w:tcW w:w="2780" w:type="dxa"/>
            <w:vAlign w:val="bottom"/>
            <w:shd w:val="clear" w:color="auto" w:fill="7F7F7F"/>
          </w:tcPr>
          <w:p>
            <w:pPr>
              <w:spacing w:after="0"/>
              <w:rPr>
                <w:sz w:val="16"/>
                <w:szCs w:val="16"/>
                <w:color w:val="auto"/>
              </w:rPr>
            </w:pPr>
          </w:p>
        </w:tc>
        <w:tc>
          <w:tcPr>
            <w:tcW w:w="1940" w:type="dxa"/>
            <w:vAlign w:val="bottom"/>
            <w:shd w:val="clear" w:color="auto" w:fill="7F7F7F"/>
          </w:tcPr>
          <w:p>
            <w:pPr>
              <w:jc w:val="center"/>
              <w:ind w:left="619"/>
              <w:spacing w:after="0"/>
              <w:rPr>
                <w:sz w:val="20"/>
                <w:szCs w:val="20"/>
                <w:color w:val="auto"/>
              </w:rPr>
            </w:pPr>
            <w:r>
              <w:rPr>
                <w:rFonts w:ascii="Arial" w:cs="Arial" w:eastAsia="Arial" w:hAnsi="Arial"/>
                <w:sz w:val="16"/>
                <w:szCs w:val="16"/>
                <w:b w:val="1"/>
                <w:bCs w:val="1"/>
                <w:color w:val="FFFFFF"/>
                <w:w w:val="99"/>
              </w:rPr>
              <w:t>Severance</w:t>
            </w:r>
          </w:p>
        </w:tc>
        <w:tc>
          <w:tcPr>
            <w:tcW w:w="11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Severance</w:t>
            </w:r>
          </w:p>
        </w:tc>
        <w:tc>
          <w:tcPr>
            <w:tcW w:w="13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Continuation</w:t>
            </w:r>
          </w:p>
        </w:tc>
        <w:tc>
          <w:tcPr>
            <w:tcW w:w="13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Options</w:t>
            </w:r>
          </w:p>
        </w:tc>
        <w:tc>
          <w:tcPr>
            <w:tcW w:w="12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Value of RSU</w:t>
            </w:r>
          </w:p>
        </w:tc>
        <w:tc>
          <w:tcPr>
            <w:tcW w:w="1240" w:type="dxa"/>
            <w:vAlign w:val="bottom"/>
            <w:shd w:val="clear" w:color="auto" w:fill="7F7F7F"/>
          </w:tcPr>
          <w:p>
            <w:pPr>
              <w:spacing w:after="0"/>
              <w:rPr>
                <w:sz w:val="16"/>
                <w:szCs w:val="16"/>
                <w:color w:val="auto"/>
              </w:rPr>
            </w:pPr>
          </w:p>
        </w:tc>
      </w:tr>
      <w:tr>
        <w:trPr>
          <w:trHeight w:val="188"/>
        </w:trPr>
        <w:tc>
          <w:tcPr>
            <w:tcW w:w="2780" w:type="dxa"/>
            <w:vAlign w:val="bottom"/>
            <w:shd w:val="clear" w:color="auto" w:fill="7F7F7F"/>
          </w:tcPr>
          <w:p>
            <w:pPr>
              <w:spacing w:after="0"/>
              <w:rPr>
                <w:sz w:val="16"/>
                <w:szCs w:val="16"/>
                <w:color w:val="auto"/>
              </w:rPr>
            </w:pPr>
          </w:p>
        </w:tc>
        <w:tc>
          <w:tcPr>
            <w:tcW w:w="1940" w:type="dxa"/>
            <w:vAlign w:val="bottom"/>
            <w:shd w:val="clear" w:color="auto" w:fill="7F7F7F"/>
          </w:tcPr>
          <w:p>
            <w:pPr>
              <w:jc w:val="center"/>
              <w:ind w:left="619"/>
              <w:spacing w:after="0"/>
              <w:rPr>
                <w:sz w:val="20"/>
                <w:szCs w:val="20"/>
                <w:color w:val="auto"/>
              </w:rPr>
            </w:pPr>
            <w:r>
              <w:rPr>
                <w:rFonts w:ascii="Arial" w:cs="Arial" w:eastAsia="Arial" w:hAnsi="Arial"/>
                <w:sz w:val="16"/>
                <w:szCs w:val="16"/>
                <w:b w:val="1"/>
                <w:bCs w:val="1"/>
                <w:color w:val="FFFFFF"/>
              </w:rPr>
              <w:t>Base Salary</w:t>
            </w:r>
          </w:p>
        </w:tc>
        <w:tc>
          <w:tcPr>
            <w:tcW w:w="11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Bonus</w:t>
            </w:r>
          </w:p>
        </w:tc>
        <w:tc>
          <w:tcPr>
            <w:tcW w:w="13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Coverage</w:t>
            </w:r>
          </w:p>
        </w:tc>
        <w:tc>
          <w:tcPr>
            <w:tcW w:w="13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Acceleration</w:t>
            </w:r>
          </w:p>
        </w:tc>
        <w:tc>
          <w:tcPr>
            <w:tcW w:w="12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Acceleration</w:t>
            </w:r>
          </w:p>
        </w:tc>
        <w:tc>
          <w:tcPr>
            <w:tcW w:w="1240" w:type="dxa"/>
            <w:vAlign w:val="bottom"/>
            <w:shd w:val="clear" w:color="auto" w:fill="7F7F7F"/>
          </w:tcPr>
          <w:p>
            <w:pPr>
              <w:jc w:val="right"/>
              <w:ind w:right="499"/>
              <w:spacing w:after="0"/>
              <w:rPr>
                <w:sz w:val="20"/>
                <w:szCs w:val="20"/>
                <w:color w:val="auto"/>
              </w:rPr>
            </w:pPr>
            <w:r>
              <w:rPr>
                <w:rFonts w:ascii="Arial" w:cs="Arial" w:eastAsia="Arial" w:hAnsi="Arial"/>
                <w:sz w:val="16"/>
                <w:szCs w:val="16"/>
                <w:b w:val="1"/>
                <w:bCs w:val="1"/>
                <w:color w:val="FFFFFF"/>
              </w:rPr>
              <w:t>Total</w:t>
            </w:r>
          </w:p>
        </w:tc>
      </w:tr>
      <w:tr>
        <w:trPr>
          <w:trHeight w:val="208"/>
        </w:trPr>
        <w:tc>
          <w:tcPr>
            <w:tcW w:w="2780" w:type="dxa"/>
            <w:vAlign w:val="bottom"/>
            <w:shd w:val="clear" w:color="auto" w:fill="7F7F7F"/>
          </w:tcPr>
          <w:p>
            <w:pPr>
              <w:ind w:left="80"/>
              <w:spacing w:after="0"/>
              <w:rPr>
                <w:sz w:val="20"/>
                <w:szCs w:val="20"/>
                <w:color w:val="auto"/>
              </w:rPr>
            </w:pPr>
            <w:r>
              <w:rPr>
                <w:rFonts w:ascii="Arial" w:cs="Arial" w:eastAsia="Arial" w:hAnsi="Arial"/>
                <w:sz w:val="16"/>
                <w:szCs w:val="16"/>
                <w:b w:val="1"/>
                <w:bCs w:val="1"/>
                <w:color w:val="FFFFFF"/>
              </w:rPr>
              <w:t>Name</w:t>
            </w:r>
          </w:p>
        </w:tc>
        <w:tc>
          <w:tcPr>
            <w:tcW w:w="1940" w:type="dxa"/>
            <w:vAlign w:val="bottom"/>
            <w:shd w:val="clear" w:color="auto" w:fill="7F7F7F"/>
          </w:tcPr>
          <w:p>
            <w:pPr>
              <w:jc w:val="center"/>
              <w:ind w:left="619"/>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t>
            </w:r>
          </w:p>
        </w:tc>
        <w:tc>
          <w:tcPr>
            <w:tcW w:w="13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3"/>
                <w:szCs w:val="13"/>
                <w:b w:val="1"/>
                <w:bCs w:val="1"/>
                <w:color w:val="FFFFFF"/>
              </w:rPr>
              <w:t>(1)</w:t>
            </w:r>
          </w:p>
        </w:tc>
        <w:tc>
          <w:tcPr>
            <w:tcW w:w="13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3"/>
                <w:szCs w:val="13"/>
                <w:b w:val="1"/>
                <w:bCs w:val="1"/>
                <w:color w:val="FFFFFF"/>
              </w:rPr>
              <w:t>(2)</w:t>
            </w:r>
          </w:p>
        </w:tc>
        <w:tc>
          <w:tcPr>
            <w:tcW w:w="128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3"/>
                <w:szCs w:val="13"/>
                <w:b w:val="1"/>
                <w:bCs w:val="1"/>
                <w:color w:val="FFFFFF"/>
              </w:rPr>
              <w:t>(3)</w:t>
            </w:r>
          </w:p>
        </w:tc>
        <w:tc>
          <w:tcPr>
            <w:tcW w:w="1240" w:type="dxa"/>
            <w:vAlign w:val="bottom"/>
            <w:shd w:val="clear" w:color="auto" w:fill="7F7F7F"/>
          </w:tcPr>
          <w:p>
            <w:pPr>
              <w:jc w:val="right"/>
              <w:ind w:right="559"/>
              <w:spacing w:after="0"/>
              <w:rPr>
                <w:sz w:val="20"/>
                <w:szCs w:val="20"/>
                <w:color w:val="auto"/>
              </w:rPr>
            </w:pPr>
            <w:r>
              <w:rPr>
                <w:rFonts w:ascii="Arial" w:cs="Arial" w:eastAsia="Arial" w:hAnsi="Arial"/>
                <w:sz w:val="16"/>
                <w:szCs w:val="16"/>
                <w:b w:val="1"/>
                <w:bCs w:val="1"/>
                <w:color w:val="FFFFFF"/>
              </w:rPr>
              <w:t>($)</w:t>
            </w:r>
          </w:p>
        </w:tc>
      </w:tr>
      <w:tr>
        <w:trPr>
          <w:trHeight w:val="189"/>
        </w:trPr>
        <w:tc>
          <w:tcPr>
            <w:tcW w:w="2780" w:type="dxa"/>
            <w:vAlign w:val="bottom"/>
          </w:tcPr>
          <w:p>
            <w:pPr>
              <w:ind w:left="80"/>
              <w:spacing w:after="0"/>
              <w:rPr>
                <w:sz w:val="20"/>
                <w:szCs w:val="20"/>
                <w:color w:val="auto"/>
              </w:rPr>
            </w:pPr>
            <w:r>
              <w:rPr>
                <w:rFonts w:ascii="Arial" w:cs="Arial" w:eastAsia="Arial" w:hAnsi="Arial"/>
                <w:sz w:val="16"/>
                <w:szCs w:val="16"/>
                <w:color w:val="auto"/>
              </w:rPr>
              <w:t>Hock E. Tan</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1,100,000</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1,650,000</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ind w:left="800"/>
              <w:spacing w:after="0"/>
              <w:rPr>
                <w:sz w:val="20"/>
                <w:szCs w:val="20"/>
                <w:color w:val="auto"/>
              </w:rPr>
            </w:pPr>
            <w:r>
              <w:rPr>
                <w:rFonts w:ascii="Arial" w:cs="Arial" w:eastAsia="Arial" w:hAnsi="Arial"/>
                <w:sz w:val="16"/>
                <w:szCs w:val="16"/>
                <w:color w:val="auto"/>
              </w:rPr>
              <w:t>—</w:t>
            </w:r>
          </w:p>
        </w:tc>
        <w:tc>
          <w:tcPr>
            <w:tcW w:w="1280" w:type="dxa"/>
            <w:vAlign w:val="bottom"/>
          </w:tcPr>
          <w:p>
            <w:pPr>
              <w:ind w:left="68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2,750,000</w:t>
            </w:r>
          </w:p>
        </w:tc>
      </w:tr>
      <w:tr>
        <w:trPr>
          <w:trHeight w:val="189"/>
        </w:trPr>
        <w:tc>
          <w:tcPr>
            <w:tcW w:w="2780" w:type="dxa"/>
            <w:vAlign w:val="bottom"/>
            <w:shd w:val="clear" w:color="auto" w:fill="BFBFBF"/>
          </w:tcPr>
          <w:p>
            <w:pPr>
              <w:ind w:left="80"/>
              <w:spacing w:after="0"/>
              <w:rPr>
                <w:sz w:val="20"/>
                <w:szCs w:val="20"/>
                <w:color w:val="auto"/>
              </w:rPr>
            </w:pPr>
            <w:r>
              <w:rPr>
                <w:rFonts w:ascii="Arial" w:cs="Arial" w:eastAsia="Arial" w:hAnsi="Arial"/>
                <w:sz w:val="16"/>
                <w:szCs w:val="16"/>
                <w:color w:val="auto"/>
              </w:rPr>
              <w:t>Thomas H. Krause Jr.</w:t>
            </w:r>
          </w:p>
        </w:tc>
        <w:tc>
          <w:tcPr>
            <w:tcW w:w="1940" w:type="dxa"/>
            <w:vAlign w:val="bottom"/>
            <w:shd w:val="clear" w:color="auto" w:fill="BFBFBF"/>
          </w:tcPr>
          <w:p>
            <w:pPr>
              <w:jc w:val="right"/>
              <w:ind w:right="79"/>
              <w:spacing w:after="0"/>
              <w:rPr>
                <w:sz w:val="20"/>
                <w:szCs w:val="20"/>
                <w:color w:val="auto"/>
              </w:rPr>
            </w:pPr>
            <w:r>
              <w:rPr>
                <w:rFonts w:ascii="Arial" w:cs="Arial" w:eastAsia="Arial" w:hAnsi="Arial"/>
                <w:sz w:val="16"/>
                <w:szCs w:val="16"/>
                <w:color w:val="auto"/>
              </w:rPr>
              <w:t>300,000</w:t>
            </w:r>
          </w:p>
        </w:tc>
        <w:tc>
          <w:tcPr>
            <w:tcW w:w="112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150,000</w:t>
            </w:r>
          </w:p>
        </w:tc>
        <w:tc>
          <w:tcPr>
            <w:tcW w:w="134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10,566</w:t>
            </w:r>
          </w:p>
        </w:tc>
        <w:tc>
          <w:tcPr>
            <w:tcW w:w="1320" w:type="dxa"/>
            <w:vAlign w:val="bottom"/>
            <w:shd w:val="clear" w:color="auto" w:fill="BFBFBF"/>
          </w:tcPr>
          <w:p>
            <w:pPr>
              <w:ind w:left="8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BFBFBF"/>
          </w:tcPr>
          <w:p>
            <w:pPr>
              <w:ind w:left="6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BFBF"/>
          </w:tcPr>
          <w:p>
            <w:pPr>
              <w:jc w:val="right"/>
              <w:ind w:right="199"/>
              <w:spacing w:after="0"/>
              <w:rPr>
                <w:sz w:val="20"/>
                <w:szCs w:val="20"/>
                <w:color w:val="auto"/>
              </w:rPr>
            </w:pPr>
            <w:r>
              <w:rPr>
                <w:rFonts w:ascii="Arial" w:cs="Arial" w:eastAsia="Arial" w:hAnsi="Arial"/>
                <w:sz w:val="16"/>
                <w:szCs w:val="16"/>
                <w:color w:val="auto"/>
              </w:rPr>
              <w:t>460,566</w:t>
            </w:r>
          </w:p>
        </w:tc>
      </w:tr>
      <w:tr>
        <w:trPr>
          <w:trHeight w:val="189"/>
        </w:trPr>
        <w:tc>
          <w:tcPr>
            <w:tcW w:w="2780" w:type="dxa"/>
            <w:vAlign w:val="bottom"/>
          </w:tcPr>
          <w:p>
            <w:pPr>
              <w:ind w:left="80"/>
              <w:spacing w:after="0"/>
              <w:rPr>
                <w:sz w:val="20"/>
                <w:szCs w:val="20"/>
                <w:color w:val="auto"/>
              </w:rPr>
            </w:pPr>
            <w:r>
              <w:rPr>
                <w:rFonts w:ascii="Arial" w:cs="Arial" w:eastAsia="Arial" w:hAnsi="Arial"/>
                <w:sz w:val="16"/>
                <w:szCs w:val="16"/>
                <w:color w:val="auto"/>
              </w:rPr>
              <w:t>Charlie B. Kawwas, Ph.D.</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366,397</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183,198</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11,327</w:t>
            </w:r>
          </w:p>
        </w:tc>
        <w:tc>
          <w:tcPr>
            <w:tcW w:w="1320" w:type="dxa"/>
            <w:vAlign w:val="bottom"/>
          </w:tcPr>
          <w:p>
            <w:pPr>
              <w:ind w:left="800"/>
              <w:spacing w:after="0"/>
              <w:rPr>
                <w:sz w:val="20"/>
                <w:szCs w:val="20"/>
                <w:color w:val="auto"/>
              </w:rPr>
            </w:pPr>
            <w:r>
              <w:rPr>
                <w:rFonts w:ascii="Arial" w:cs="Arial" w:eastAsia="Arial" w:hAnsi="Arial"/>
                <w:sz w:val="16"/>
                <w:szCs w:val="16"/>
                <w:color w:val="auto"/>
              </w:rPr>
              <w:t>—</w:t>
            </w:r>
          </w:p>
        </w:tc>
        <w:tc>
          <w:tcPr>
            <w:tcW w:w="1280" w:type="dxa"/>
            <w:vAlign w:val="bottom"/>
          </w:tcPr>
          <w:p>
            <w:pPr>
              <w:ind w:left="68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560,922</w:t>
            </w:r>
          </w:p>
        </w:tc>
      </w:tr>
      <w:tr>
        <w:trPr>
          <w:trHeight w:val="189"/>
        </w:trPr>
        <w:tc>
          <w:tcPr>
            <w:tcW w:w="2780" w:type="dxa"/>
            <w:vAlign w:val="bottom"/>
            <w:shd w:val="clear" w:color="auto" w:fill="BFBFBF"/>
          </w:tcPr>
          <w:p>
            <w:pPr>
              <w:ind w:left="80"/>
              <w:spacing w:after="0"/>
              <w:rPr>
                <w:sz w:val="20"/>
                <w:szCs w:val="20"/>
                <w:color w:val="auto"/>
              </w:rPr>
            </w:pPr>
            <w:r>
              <w:rPr>
                <w:rFonts w:ascii="Arial" w:cs="Arial" w:eastAsia="Arial" w:hAnsi="Arial"/>
                <w:sz w:val="16"/>
                <w:szCs w:val="16"/>
                <w:color w:val="auto"/>
              </w:rPr>
              <w:t>Mark D. Brazeal</w:t>
            </w:r>
          </w:p>
        </w:tc>
        <w:tc>
          <w:tcPr>
            <w:tcW w:w="1940" w:type="dxa"/>
            <w:vAlign w:val="bottom"/>
            <w:shd w:val="clear" w:color="auto" w:fill="BFBFBF"/>
          </w:tcPr>
          <w:p>
            <w:pPr>
              <w:jc w:val="right"/>
              <w:ind w:right="79"/>
              <w:spacing w:after="0"/>
              <w:rPr>
                <w:sz w:val="20"/>
                <w:szCs w:val="20"/>
                <w:color w:val="auto"/>
              </w:rPr>
            </w:pPr>
            <w:r>
              <w:rPr>
                <w:rFonts w:ascii="Arial" w:cs="Arial" w:eastAsia="Arial" w:hAnsi="Arial"/>
                <w:sz w:val="16"/>
                <w:szCs w:val="16"/>
                <w:color w:val="auto"/>
              </w:rPr>
              <w:t>337,500</w:t>
            </w:r>
          </w:p>
        </w:tc>
        <w:tc>
          <w:tcPr>
            <w:tcW w:w="112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135,000</w:t>
            </w:r>
          </w:p>
        </w:tc>
        <w:tc>
          <w:tcPr>
            <w:tcW w:w="134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10,419</w:t>
            </w:r>
          </w:p>
        </w:tc>
        <w:tc>
          <w:tcPr>
            <w:tcW w:w="1320" w:type="dxa"/>
            <w:vAlign w:val="bottom"/>
            <w:shd w:val="clear" w:color="auto" w:fill="BFBFBF"/>
          </w:tcPr>
          <w:p>
            <w:pPr>
              <w:ind w:left="8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BFBFBF"/>
          </w:tcPr>
          <w:p>
            <w:pPr>
              <w:ind w:left="6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BFBF"/>
          </w:tcPr>
          <w:p>
            <w:pPr>
              <w:jc w:val="right"/>
              <w:ind w:right="199"/>
              <w:spacing w:after="0"/>
              <w:rPr>
                <w:sz w:val="20"/>
                <w:szCs w:val="20"/>
                <w:color w:val="auto"/>
              </w:rPr>
            </w:pPr>
            <w:r>
              <w:rPr>
                <w:rFonts w:ascii="Arial" w:cs="Arial" w:eastAsia="Arial" w:hAnsi="Arial"/>
                <w:sz w:val="16"/>
                <w:szCs w:val="16"/>
                <w:color w:val="auto"/>
              </w:rPr>
              <w:t>482,919</w:t>
            </w:r>
          </w:p>
        </w:tc>
      </w:tr>
      <w:tr>
        <w:trPr>
          <w:trHeight w:val="202"/>
        </w:trPr>
        <w:tc>
          <w:tcPr>
            <w:tcW w:w="2780" w:type="dxa"/>
            <w:vAlign w:val="bottom"/>
          </w:tcPr>
          <w:p>
            <w:pPr>
              <w:ind w:left="80"/>
              <w:spacing w:after="0"/>
              <w:rPr>
                <w:sz w:val="20"/>
                <w:szCs w:val="20"/>
                <w:color w:val="auto"/>
              </w:rPr>
            </w:pPr>
            <w:r>
              <w:rPr>
                <w:rFonts w:ascii="Arial" w:cs="Arial" w:eastAsia="Arial" w:hAnsi="Arial"/>
                <w:sz w:val="16"/>
                <w:szCs w:val="16"/>
                <w:color w:val="auto"/>
              </w:rPr>
              <w:t>Bryan T. Ingram</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444,188</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296,125</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10,356</w:t>
            </w:r>
          </w:p>
        </w:tc>
        <w:tc>
          <w:tcPr>
            <w:tcW w:w="1320" w:type="dxa"/>
            <w:vAlign w:val="bottom"/>
          </w:tcPr>
          <w:p>
            <w:pPr>
              <w:ind w:left="240"/>
              <w:spacing w:after="0"/>
              <w:rPr>
                <w:sz w:val="20"/>
                <w:szCs w:val="20"/>
                <w:color w:val="auto"/>
              </w:rPr>
            </w:pPr>
            <w:r>
              <w:rPr>
                <w:rFonts w:ascii="Arial" w:cs="Arial" w:eastAsia="Arial" w:hAnsi="Arial"/>
                <w:sz w:val="16"/>
                <w:szCs w:val="16"/>
                <w:color w:val="auto"/>
              </w:rPr>
              <w:t>11,452,800</w:t>
            </w:r>
            <w:r>
              <w:rPr>
                <w:rFonts w:ascii="Arial" w:cs="Arial" w:eastAsia="Arial" w:hAnsi="Arial"/>
                <w:sz w:val="13"/>
                <w:szCs w:val="13"/>
                <w:color w:val="auto"/>
              </w:rPr>
              <w:t>(4)</w:t>
            </w:r>
          </w:p>
        </w:tc>
        <w:tc>
          <w:tcPr>
            <w:tcW w:w="1280" w:type="dxa"/>
            <w:vAlign w:val="bottom"/>
          </w:tcPr>
          <w:p>
            <w:pPr>
              <w:ind w:left="220"/>
              <w:spacing w:after="0"/>
              <w:rPr>
                <w:sz w:val="20"/>
                <w:szCs w:val="20"/>
                <w:color w:val="auto"/>
              </w:rPr>
            </w:pPr>
            <w:r>
              <w:rPr>
                <w:rFonts w:ascii="Arial" w:cs="Arial" w:eastAsia="Arial" w:hAnsi="Arial"/>
                <w:sz w:val="16"/>
                <w:szCs w:val="16"/>
                <w:color w:val="auto"/>
              </w:rPr>
              <w:t>5,816,700</w:t>
            </w:r>
            <w:r>
              <w:rPr>
                <w:rFonts w:ascii="Arial" w:cs="Arial" w:eastAsia="Arial" w:hAnsi="Arial"/>
                <w:sz w:val="13"/>
                <w:szCs w:val="13"/>
                <w:color w:val="auto"/>
              </w:rPr>
              <w:t>(4)</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18,020,169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6033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58" w:lineRule="exact"/>
        <w:rPr>
          <w:sz w:val="20"/>
          <w:szCs w:val="20"/>
          <w:color w:val="auto"/>
        </w:rPr>
      </w:pPr>
    </w:p>
    <w:p>
      <w:pPr>
        <w:ind w:left="520" w:hanging="316"/>
        <w:spacing w:after="0"/>
        <w:tabs>
          <w:tab w:leader="none" w:pos="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the cost of our subsidized continued health benefits, based on our current costs to provide such coverage.</w:t>
      </w:r>
    </w:p>
    <w:p>
      <w:pPr>
        <w:spacing w:after="0" w:line="5" w:lineRule="exact"/>
        <w:rPr>
          <w:rFonts w:ascii="Arial" w:cs="Arial" w:eastAsia="Arial" w:hAnsi="Arial"/>
          <w:sz w:val="16"/>
          <w:szCs w:val="16"/>
          <w:color w:val="auto"/>
        </w:rPr>
      </w:pPr>
    </w:p>
    <w:p>
      <w:pPr>
        <w:ind w:left="520" w:right="100" w:hanging="316"/>
        <w:spacing w:after="0" w:line="246" w:lineRule="auto"/>
        <w:tabs>
          <w:tab w:leader="none" w:pos="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amount in this column represent, for each share option that would have accelerated, the number of ordinary shares that would have vested multiplied by the difference between $252.90, the closing price per ordinary share on October 27, 2017, the last trading day of Fiscal Year 2017, and the exercise price of the share option. As of such date, all share price contingencies contained in any outstanding performance-based options had been met and all such share options would have accelerated in the event of a qualifying termination.</w:t>
      </w:r>
    </w:p>
    <w:p>
      <w:pPr>
        <w:spacing w:after="0" w:line="1" w:lineRule="exact"/>
        <w:rPr>
          <w:rFonts w:ascii="Arial" w:cs="Arial" w:eastAsia="Arial" w:hAnsi="Arial"/>
          <w:sz w:val="16"/>
          <w:szCs w:val="16"/>
          <w:color w:val="auto"/>
        </w:rPr>
      </w:pPr>
    </w:p>
    <w:p>
      <w:pPr>
        <w:ind w:left="520" w:right="40" w:hanging="316"/>
        <w:spacing w:after="0" w:line="246" w:lineRule="auto"/>
        <w:tabs>
          <w:tab w:leader="none" w:pos="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Includes, for each service-based RSU award, the number of ordinary shares that would have vested multiplied by $252.90, the closing price per ordinary share on October 27, 2017, the last trading day of Fiscal Year 2017. As of such date, all such awards would have accelerated in the event of a qualifying termination.</w:t>
      </w:r>
    </w:p>
    <w:p>
      <w:pPr>
        <w:spacing w:after="0" w:line="1" w:lineRule="exact"/>
        <w:rPr>
          <w:rFonts w:ascii="Arial" w:cs="Arial" w:eastAsia="Arial" w:hAnsi="Arial"/>
          <w:sz w:val="16"/>
          <w:szCs w:val="16"/>
          <w:color w:val="auto"/>
        </w:rPr>
      </w:pPr>
    </w:p>
    <w:p>
      <w:pPr>
        <w:ind w:left="520" w:hanging="316"/>
        <w:spacing w:after="0"/>
        <w:tabs>
          <w:tab w:leader="none" w:pos="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letter agreement pursuant to which such acceleration could have occurred expired effective December 1, 2017.</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Severance Payments and Benefits upon Certain Terminations of Employment in Connection with a Change in Control</w:t>
      </w:r>
    </w:p>
    <w:p>
      <w:pPr>
        <w:spacing w:after="0" w:line="99"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The following table reflects the potential payments and benefits to which the NEOs would be entitled under their severance benefits agreements in effect as of the end of Fiscal Year 2017 in the event of a qualifying termination taking place within 12 months following a change in control of our Company (or in the case of Mr. Tan three months before or 12 months following a change in control of our Company). The amounts presented in the table assume an employment termination date of October 29, 2017 and that all eligibility requirements contemplated by the NEO’s respective agreements and our policies and practices, as applicable, were met.</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347"/>
        </w:trPr>
        <w:tc>
          <w:tcPr>
            <w:tcW w:w="3280" w:type="dxa"/>
            <w:vAlign w:val="bottom"/>
            <w:shd w:val="clear" w:color="auto" w:fill="7F7F7F"/>
          </w:tcPr>
          <w:p>
            <w:pPr>
              <w:spacing w:after="0"/>
              <w:rPr>
                <w:sz w:val="24"/>
                <w:szCs w:val="24"/>
                <w:color w:val="auto"/>
              </w:rPr>
            </w:pPr>
          </w:p>
        </w:tc>
        <w:tc>
          <w:tcPr>
            <w:tcW w:w="1140" w:type="dxa"/>
            <w:vAlign w:val="bottom"/>
            <w:shd w:val="clear" w:color="auto" w:fill="7F7F7F"/>
          </w:tcPr>
          <w:p>
            <w:pPr>
              <w:spacing w:after="0"/>
              <w:rPr>
                <w:sz w:val="24"/>
                <w:szCs w:val="24"/>
                <w:color w:val="auto"/>
              </w:rPr>
            </w:pPr>
          </w:p>
        </w:tc>
        <w:tc>
          <w:tcPr>
            <w:tcW w:w="1040" w:type="dxa"/>
            <w:vAlign w:val="bottom"/>
            <w:shd w:val="clear" w:color="auto" w:fill="7F7F7F"/>
          </w:tcPr>
          <w:p>
            <w:pPr>
              <w:spacing w:after="0"/>
              <w:rPr>
                <w:sz w:val="24"/>
                <w:szCs w:val="24"/>
                <w:color w:val="auto"/>
              </w:rPr>
            </w:pPr>
          </w:p>
        </w:tc>
        <w:tc>
          <w:tcPr>
            <w:tcW w:w="116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8"/>
              </w:rPr>
              <w:t>Health</w:t>
            </w:r>
          </w:p>
        </w:tc>
        <w:tc>
          <w:tcPr>
            <w:tcW w:w="1140" w:type="dxa"/>
            <w:vAlign w:val="bottom"/>
            <w:shd w:val="clear" w:color="auto" w:fill="7F7F7F"/>
          </w:tcPr>
          <w:p>
            <w:pPr>
              <w:spacing w:after="0"/>
              <w:rPr>
                <w:sz w:val="24"/>
                <w:szCs w:val="24"/>
                <w:color w:val="auto"/>
              </w:rPr>
            </w:pPr>
          </w:p>
        </w:tc>
        <w:tc>
          <w:tcPr>
            <w:tcW w:w="1820" w:type="dxa"/>
            <w:vAlign w:val="bottom"/>
            <w:shd w:val="clear" w:color="auto" w:fill="7F7F7F"/>
          </w:tcPr>
          <w:p>
            <w:pPr>
              <w:spacing w:after="0"/>
              <w:rPr>
                <w:sz w:val="24"/>
                <w:szCs w:val="24"/>
                <w:color w:val="auto"/>
              </w:rPr>
            </w:pPr>
          </w:p>
        </w:tc>
        <w:tc>
          <w:tcPr>
            <w:tcW w:w="1440" w:type="dxa"/>
            <w:vAlign w:val="bottom"/>
            <w:shd w:val="clear" w:color="auto" w:fill="7F7F7F"/>
          </w:tcPr>
          <w:p>
            <w:pPr>
              <w:spacing w:after="0"/>
              <w:rPr>
                <w:sz w:val="24"/>
                <w:szCs w:val="24"/>
                <w:color w:val="auto"/>
              </w:rPr>
            </w:pPr>
          </w:p>
        </w:tc>
      </w:tr>
      <w:tr>
        <w:trPr>
          <w:trHeight w:val="189"/>
        </w:trPr>
        <w:tc>
          <w:tcPr>
            <w:tcW w:w="3280" w:type="dxa"/>
            <w:vAlign w:val="bottom"/>
            <w:shd w:val="clear" w:color="auto" w:fill="7F7F7F"/>
          </w:tcPr>
          <w:p>
            <w:pPr>
              <w:spacing w:after="0"/>
              <w:rPr>
                <w:sz w:val="16"/>
                <w:szCs w:val="16"/>
                <w:color w:val="auto"/>
              </w:rPr>
            </w:pPr>
          </w:p>
        </w:tc>
        <w:tc>
          <w:tcPr>
            <w:tcW w:w="11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Cash</w:t>
            </w:r>
          </w:p>
        </w:tc>
        <w:tc>
          <w:tcPr>
            <w:tcW w:w="10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Cash</w:t>
            </w:r>
          </w:p>
        </w:tc>
        <w:tc>
          <w:tcPr>
            <w:tcW w:w="116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Benefits</w:t>
            </w:r>
          </w:p>
        </w:tc>
        <w:tc>
          <w:tcPr>
            <w:tcW w:w="11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820" w:type="dxa"/>
            <w:vAlign w:val="bottom"/>
            <w:shd w:val="clear" w:color="auto" w:fill="7F7F7F"/>
          </w:tcPr>
          <w:p>
            <w:pPr>
              <w:spacing w:after="0"/>
              <w:rPr>
                <w:sz w:val="16"/>
                <w:szCs w:val="16"/>
                <w:color w:val="auto"/>
              </w:rPr>
            </w:pPr>
          </w:p>
        </w:tc>
        <w:tc>
          <w:tcPr>
            <w:tcW w:w="1440" w:type="dxa"/>
            <w:vAlign w:val="bottom"/>
            <w:shd w:val="clear" w:color="auto" w:fill="7F7F7F"/>
          </w:tcPr>
          <w:p>
            <w:pPr>
              <w:spacing w:after="0"/>
              <w:rPr>
                <w:sz w:val="16"/>
                <w:szCs w:val="16"/>
                <w:color w:val="auto"/>
              </w:rPr>
            </w:pPr>
          </w:p>
        </w:tc>
      </w:tr>
      <w:tr>
        <w:trPr>
          <w:trHeight w:val="189"/>
        </w:trPr>
        <w:tc>
          <w:tcPr>
            <w:tcW w:w="3280" w:type="dxa"/>
            <w:vAlign w:val="bottom"/>
            <w:shd w:val="clear" w:color="auto" w:fill="7F7F7F"/>
          </w:tcPr>
          <w:p>
            <w:pPr>
              <w:spacing w:after="0"/>
              <w:rPr>
                <w:sz w:val="16"/>
                <w:szCs w:val="16"/>
                <w:color w:val="auto"/>
              </w:rPr>
            </w:pPr>
          </w:p>
        </w:tc>
        <w:tc>
          <w:tcPr>
            <w:tcW w:w="11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Severance</w:t>
            </w:r>
          </w:p>
        </w:tc>
        <w:tc>
          <w:tcPr>
            <w:tcW w:w="10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Severance</w:t>
            </w:r>
          </w:p>
        </w:tc>
        <w:tc>
          <w:tcPr>
            <w:tcW w:w="116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Continuation</w:t>
            </w:r>
          </w:p>
        </w:tc>
        <w:tc>
          <w:tcPr>
            <w:tcW w:w="11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Options</w:t>
            </w:r>
          </w:p>
        </w:tc>
        <w:tc>
          <w:tcPr>
            <w:tcW w:w="1820" w:type="dxa"/>
            <w:vAlign w:val="bottom"/>
            <w:shd w:val="clear" w:color="auto" w:fill="7F7F7F"/>
          </w:tcPr>
          <w:p>
            <w:pPr>
              <w:jc w:val="center"/>
              <w:ind w:right="127"/>
              <w:spacing w:after="0"/>
              <w:rPr>
                <w:sz w:val="20"/>
                <w:szCs w:val="20"/>
                <w:color w:val="auto"/>
              </w:rPr>
            </w:pPr>
            <w:r>
              <w:rPr>
                <w:rFonts w:ascii="Arial" w:cs="Arial" w:eastAsia="Arial" w:hAnsi="Arial"/>
                <w:sz w:val="16"/>
                <w:szCs w:val="16"/>
                <w:b w:val="1"/>
                <w:bCs w:val="1"/>
                <w:color w:val="FFFFFF"/>
                <w:w w:val="99"/>
              </w:rPr>
              <w:t>Value of</w:t>
            </w:r>
          </w:p>
        </w:tc>
        <w:tc>
          <w:tcPr>
            <w:tcW w:w="1440" w:type="dxa"/>
            <w:vAlign w:val="bottom"/>
            <w:shd w:val="clear" w:color="auto" w:fill="7F7F7F"/>
          </w:tcPr>
          <w:p>
            <w:pPr>
              <w:spacing w:after="0"/>
              <w:rPr>
                <w:sz w:val="16"/>
                <w:szCs w:val="16"/>
                <w:color w:val="auto"/>
              </w:rPr>
            </w:pPr>
          </w:p>
        </w:tc>
      </w:tr>
      <w:tr>
        <w:trPr>
          <w:trHeight w:val="188"/>
        </w:trPr>
        <w:tc>
          <w:tcPr>
            <w:tcW w:w="3280" w:type="dxa"/>
            <w:vAlign w:val="bottom"/>
            <w:shd w:val="clear" w:color="auto" w:fill="7F7F7F"/>
          </w:tcPr>
          <w:p>
            <w:pPr>
              <w:spacing w:after="0"/>
              <w:rPr>
                <w:sz w:val="16"/>
                <w:szCs w:val="16"/>
                <w:color w:val="auto"/>
              </w:rPr>
            </w:pPr>
          </w:p>
        </w:tc>
        <w:tc>
          <w:tcPr>
            <w:tcW w:w="11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Base Salary</w:t>
            </w:r>
          </w:p>
        </w:tc>
        <w:tc>
          <w:tcPr>
            <w:tcW w:w="10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Bonus</w:t>
            </w:r>
          </w:p>
        </w:tc>
        <w:tc>
          <w:tcPr>
            <w:tcW w:w="116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Coverage</w:t>
            </w:r>
          </w:p>
        </w:tc>
        <w:tc>
          <w:tcPr>
            <w:tcW w:w="11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Acceleration</w:t>
            </w:r>
          </w:p>
        </w:tc>
        <w:tc>
          <w:tcPr>
            <w:tcW w:w="1820" w:type="dxa"/>
            <w:vAlign w:val="bottom"/>
            <w:shd w:val="clear" w:color="auto" w:fill="7F7F7F"/>
          </w:tcPr>
          <w:p>
            <w:pPr>
              <w:jc w:val="center"/>
              <w:ind w:right="147"/>
              <w:spacing w:after="0"/>
              <w:rPr>
                <w:sz w:val="20"/>
                <w:szCs w:val="20"/>
                <w:color w:val="auto"/>
              </w:rPr>
            </w:pPr>
            <w:r>
              <w:rPr>
                <w:rFonts w:ascii="Arial" w:cs="Arial" w:eastAsia="Arial" w:hAnsi="Arial"/>
                <w:sz w:val="16"/>
                <w:szCs w:val="16"/>
                <w:b w:val="1"/>
                <w:bCs w:val="1"/>
                <w:color w:val="FFFFFF"/>
              </w:rPr>
              <w:t>RSU/PSU</w:t>
            </w:r>
          </w:p>
        </w:tc>
        <w:tc>
          <w:tcPr>
            <w:tcW w:w="1440" w:type="dxa"/>
            <w:vAlign w:val="bottom"/>
            <w:shd w:val="clear" w:color="auto" w:fill="7F7F7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08"/>
        </w:trPr>
        <w:tc>
          <w:tcPr>
            <w:tcW w:w="3280" w:type="dxa"/>
            <w:vAlign w:val="bottom"/>
            <w:shd w:val="clear" w:color="auto" w:fill="7F7F7F"/>
          </w:tcPr>
          <w:p>
            <w:pPr>
              <w:ind w:left="80"/>
              <w:spacing w:after="0"/>
              <w:rPr>
                <w:sz w:val="20"/>
                <w:szCs w:val="20"/>
                <w:color w:val="auto"/>
              </w:rPr>
            </w:pPr>
            <w:r>
              <w:rPr>
                <w:rFonts w:ascii="Arial" w:cs="Arial" w:eastAsia="Arial" w:hAnsi="Arial"/>
                <w:sz w:val="16"/>
                <w:szCs w:val="16"/>
                <w:b w:val="1"/>
                <w:bCs w:val="1"/>
                <w:color w:val="FFFFFF"/>
              </w:rPr>
              <w:t>Name</w:t>
            </w:r>
          </w:p>
        </w:tc>
        <w:tc>
          <w:tcPr>
            <w:tcW w:w="11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t>
            </w:r>
          </w:p>
        </w:tc>
        <w:tc>
          <w:tcPr>
            <w:tcW w:w="10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t>
            </w:r>
          </w:p>
        </w:tc>
        <w:tc>
          <w:tcPr>
            <w:tcW w:w="116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3"/>
                <w:szCs w:val="13"/>
                <w:b w:val="1"/>
                <w:bCs w:val="1"/>
                <w:color w:val="FFFFFF"/>
              </w:rPr>
              <w:t>(1)</w:t>
            </w:r>
          </w:p>
        </w:tc>
        <w:tc>
          <w:tcPr>
            <w:tcW w:w="11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3"/>
                <w:szCs w:val="13"/>
                <w:b w:val="1"/>
                <w:bCs w:val="1"/>
                <w:color w:val="FFFFFF"/>
              </w:rPr>
              <w:t>(2)</w:t>
            </w:r>
          </w:p>
        </w:tc>
        <w:tc>
          <w:tcPr>
            <w:tcW w:w="1820" w:type="dxa"/>
            <w:vAlign w:val="bottom"/>
            <w:shd w:val="clear" w:color="auto" w:fill="7F7F7F"/>
          </w:tcPr>
          <w:p>
            <w:pPr>
              <w:jc w:val="center"/>
              <w:ind w:right="127"/>
              <w:spacing w:after="0" w:line="209" w:lineRule="exact"/>
              <w:rPr>
                <w:sz w:val="20"/>
                <w:szCs w:val="20"/>
                <w:color w:val="auto"/>
              </w:rPr>
            </w:pPr>
            <w:r>
              <w:rPr>
                <w:rFonts w:ascii="Arial" w:cs="Arial" w:eastAsia="Arial" w:hAnsi="Arial"/>
                <w:sz w:val="15"/>
                <w:szCs w:val="15"/>
                <w:b w:val="1"/>
                <w:bCs w:val="1"/>
                <w:color w:val="FFFFFF"/>
              </w:rPr>
              <w:t>Acceleration ($)</w:t>
            </w:r>
            <w:r>
              <w:rPr>
                <w:rFonts w:ascii="Arial" w:cs="Arial" w:eastAsia="Arial" w:hAnsi="Arial"/>
                <w:sz w:val="24"/>
                <w:szCs w:val="24"/>
                <w:b w:val="1"/>
                <w:bCs w:val="1"/>
                <w:color w:val="FFFFFF"/>
                <w:vertAlign w:val="superscript"/>
              </w:rPr>
              <w:t>(3)</w:t>
            </w:r>
          </w:p>
        </w:tc>
        <w:tc>
          <w:tcPr>
            <w:tcW w:w="1440" w:type="dxa"/>
            <w:vAlign w:val="bottom"/>
            <w:shd w:val="clear" w:color="auto" w:fill="7F7F7F"/>
          </w:tcPr>
          <w:p>
            <w:pPr>
              <w:jc w:val="right"/>
              <w:ind w:right="679"/>
              <w:spacing w:after="0"/>
              <w:rPr>
                <w:sz w:val="20"/>
                <w:szCs w:val="20"/>
                <w:color w:val="auto"/>
              </w:rPr>
            </w:pPr>
            <w:r>
              <w:rPr>
                <w:rFonts w:ascii="Arial" w:cs="Arial" w:eastAsia="Arial" w:hAnsi="Arial"/>
                <w:sz w:val="16"/>
                <w:szCs w:val="16"/>
                <w:b w:val="1"/>
                <w:bCs w:val="1"/>
                <w:color w:val="FFFFFF"/>
              </w:rPr>
              <w:t>($)</w:t>
            </w:r>
          </w:p>
        </w:tc>
      </w:tr>
      <w:tr>
        <w:trPr>
          <w:trHeight w:val="189"/>
        </w:trPr>
        <w:tc>
          <w:tcPr>
            <w:tcW w:w="3280" w:type="dxa"/>
            <w:vAlign w:val="bottom"/>
          </w:tcPr>
          <w:p>
            <w:pPr>
              <w:ind w:left="80"/>
              <w:spacing w:after="0"/>
              <w:rPr>
                <w:sz w:val="20"/>
                <w:szCs w:val="20"/>
                <w:color w:val="auto"/>
              </w:rPr>
            </w:pPr>
            <w:r>
              <w:rPr>
                <w:rFonts w:ascii="Arial" w:cs="Arial" w:eastAsia="Arial" w:hAnsi="Arial"/>
                <w:sz w:val="16"/>
                <w:szCs w:val="16"/>
                <w:color w:val="auto"/>
              </w:rPr>
              <w:t>Hock E. Tan</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2,200,000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3,300,000</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37,546,875</w:t>
            </w:r>
          </w:p>
        </w:tc>
        <w:tc>
          <w:tcPr>
            <w:tcW w:w="1820" w:type="dxa"/>
            <w:vAlign w:val="bottom"/>
          </w:tcPr>
          <w:p>
            <w:pPr>
              <w:jc w:val="right"/>
              <w:ind w:right="67"/>
              <w:spacing w:after="0" w:line="189" w:lineRule="exact"/>
              <w:rPr>
                <w:sz w:val="20"/>
                <w:szCs w:val="20"/>
                <w:color w:val="auto"/>
              </w:rPr>
            </w:pPr>
            <w:r>
              <w:rPr>
                <w:rFonts w:ascii="Arial" w:cs="Arial" w:eastAsia="Arial" w:hAnsi="Arial"/>
                <w:sz w:val="13"/>
                <w:szCs w:val="13"/>
                <w:color w:val="auto"/>
              </w:rPr>
              <w:t>146,762,422</w:t>
            </w:r>
            <w:r>
              <w:rPr>
                <w:rFonts w:ascii="Arial" w:cs="Arial" w:eastAsia="Arial" w:hAnsi="Arial"/>
                <w:sz w:val="21"/>
                <w:szCs w:val="21"/>
                <w:color w:val="auto"/>
                <w:vertAlign w:val="superscript"/>
              </w:rPr>
              <w:t>(4)</w:t>
            </w:r>
          </w:p>
        </w:tc>
        <w:tc>
          <w:tcPr>
            <w:tcW w:w="1440" w:type="dxa"/>
            <w:vAlign w:val="bottom"/>
          </w:tcPr>
          <w:p>
            <w:pPr>
              <w:jc w:val="right"/>
              <w:ind w:right="299"/>
              <w:spacing w:after="0"/>
              <w:rPr>
                <w:sz w:val="20"/>
                <w:szCs w:val="20"/>
                <w:color w:val="auto"/>
              </w:rPr>
            </w:pPr>
            <w:r>
              <w:rPr>
                <w:rFonts w:ascii="Arial" w:cs="Arial" w:eastAsia="Arial" w:hAnsi="Arial"/>
                <w:sz w:val="16"/>
                <w:szCs w:val="16"/>
                <w:color w:val="auto"/>
              </w:rPr>
              <w:t>189,809,297</w:t>
            </w:r>
          </w:p>
        </w:tc>
      </w:tr>
      <w:tr>
        <w:trPr>
          <w:trHeight w:val="189"/>
        </w:trPr>
        <w:tc>
          <w:tcPr>
            <w:tcW w:w="3280" w:type="dxa"/>
            <w:vAlign w:val="bottom"/>
            <w:shd w:val="clear" w:color="auto" w:fill="BFBFBF"/>
          </w:tcPr>
          <w:p>
            <w:pPr>
              <w:ind w:left="80"/>
              <w:spacing w:after="0"/>
              <w:rPr>
                <w:sz w:val="20"/>
                <w:szCs w:val="20"/>
                <w:color w:val="auto"/>
              </w:rPr>
            </w:pPr>
            <w:r>
              <w:rPr>
                <w:rFonts w:ascii="Arial" w:cs="Arial" w:eastAsia="Arial" w:hAnsi="Arial"/>
                <w:sz w:val="16"/>
                <w:szCs w:val="16"/>
                <w:color w:val="auto"/>
              </w:rPr>
              <w:t>Thomas H. Krause Jr.</w:t>
            </w:r>
          </w:p>
        </w:tc>
        <w:tc>
          <w:tcPr>
            <w:tcW w:w="1140" w:type="dxa"/>
            <w:vAlign w:val="bottom"/>
            <w:shd w:val="clear" w:color="auto" w:fill="BFBFBF"/>
          </w:tcPr>
          <w:p>
            <w:pPr>
              <w:jc w:val="right"/>
              <w:ind w:right="39"/>
              <w:spacing w:after="0"/>
              <w:rPr>
                <w:sz w:val="20"/>
                <w:szCs w:val="20"/>
                <w:color w:val="auto"/>
              </w:rPr>
            </w:pPr>
            <w:r>
              <w:rPr>
                <w:rFonts w:ascii="Arial" w:cs="Arial" w:eastAsia="Arial" w:hAnsi="Arial"/>
                <w:sz w:val="16"/>
                <w:szCs w:val="16"/>
                <w:color w:val="auto"/>
              </w:rPr>
              <w:t>400,000</w:t>
            </w:r>
          </w:p>
        </w:tc>
        <w:tc>
          <w:tcPr>
            <w:tcW w:w="1040" w:type="dxa"/>
            <w:vAlign w:val="bottom"/>
            <w:shd w:val="clear" w:color="auto" w:fill="BFBFBF"/>
          </w:tcPr>
          <w:p>
            <w:pPr>
              <w:jc w:val="right"/>
              <w:ind w:right="39"/>
              <w:spacing w:after="0"/>
              <w:rPr>
                <w:sz w:val="20"/>
                <w:szCs w:val="20"/>
                <w:color w:val="auto"/>
              </w:rPr>
            </w:pPr>
            <w:r>
              <w:rPr>
                <w:rFonts w:ascii="Arial" w:cs="Arial" w:eastAsia="Arial" w:hAnsi="Arial"/>
                <w:sz w:val="16"/>
                <w:szCs w:val="16"/>
                <w:color w:val="auto"/>
              </w:rPr>
              <w:t>300,000</w:t>
            </w:r>
          </w:p>
        </w:tc>
        <w:tc>
          <w:tcPr>
            <w:tcW w:w="11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8"/>
              </w:rPr>
              <w:t>21,132</w:t>
            </w:r>
          </w:p>
        </w:tc>
        <w:tc>
          <w:tcPr>
            <w:tcW w:w="114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4,294,800</w:t>
            </w:r>
          </w:p>
        </w:tc>
        <w:tc>
          <w:tcPr>
            <w:tcW w:w="1820" w:type="dxa"/>
            <w:vAlign w:val="bottom"/>
            <w:shd w:val="clear" w:color="auto" w:fill="BFBFBF"/>
          </w:tcPr>
          <w:p>
            <w:pPr>
              <w:jc w:val="right"/>
              <w:ind w:right="67"/>
              <w:spacing w:after="0" w:line="189" w:lineRule="exact"/>
              <w:rPr>
                <w:sz w:val="20"/>
                <w:szCs w:val="20"/>
                <w:color w:val="auto"/>
              </w:rPr>
            </w:pPr>
            <w:r>
              <w:rPr>
                <w:rFonts w:ascii="Arial" w:cs="Arial" w:eastAsia="Arial" w:hAnsi="Arial"/>
                <w:sz w:val="13"/>
                <w:szCs w:val="13"/>
                <w:color w:val="auto"/>
              </w:rPr>
              <w:t>22,980,011</w:t>
            </w:r>
            <w:r>
              <w:rPr>
                <w:rFonts w:ascii="Arial" w:cs="Arial" w:eastAsia="Arial" w:hAnsi="Arial"/>
                <w:sz w:val="21"/>
                <w:szCs w:val="21"/>
                <w:color w:val="auto"/>
                <w:vertAlign w:val="superscript"/>
              </w:rPr>
              <w:t>(5)</w:t>
            </w:r>
          </w:p>
        </w:tc>
        <w:tc>
          <w:tcPr>
            <w:tcW w:w="1440" w:type="dxa"/>
            <w:vAlign w:val="bottom"/>
            <w:shd w:val="clear" w:color="auto" w:fill="BFBFBF"/>
          </w:tcPr>
          <w:p>
            <w:pPr>
              <w:jc w:val="right"/>
              <w:ind w:right="299"/>
              <w:spacing w:after="0"/>
              <w:rPr>
                <w:sz w:val="20"/>
                <w:szCs w:val="20"/>
                <w:color w:val="auto"/>
              </w:rPr>
            </w:pPr>
            <w:r>
              <w:rPr>
                <w:rFonts w:ascii="Arial" w:cs="Arial" w:eastAsia="Arial" w:hAnsi="Arial"/>
                <w:sz w:val="16"/>
                <w:szCs w:val="16"/>
                <w:color w:val="auto"/>
              </w:rPr>
              <w:t>27,995,943</w:t>
            </w:r>
          </w:p>
        </w:tc>
      </w:tr>
      <w:tr>
        <w:trPr>
          <w:trHeight w:val="189"/>
        </w:trPr>
        <w:tc>
          <w:tcPr>
            <w:tcW w:w="3280" w:type="dxa"/>
            <w:vAlign w:val="bottom"/>
          </w:tcPr>
          <w:p>
            <w:pPr>
              <w:ind w:left="80"/>
              <w:spacing w:after="0"/>
              <w:rPr>
                <w:sz w:val="20"/>
                <w:szCs w:val="20"/>
                <w:color w:val="auto"/>
              </w:rPr>
            </w:pPr>
            <w:r>
              <w:rPr>
                <w:rFonts w:ascii="Arial" w:cs="Arial" w:eastAsia="Arial" w:hAnsi="Arial"/>
                <w:sz w:val="16"/>
                <w:szCs w:val="16"/>
                <w:color w:val="auto"/>
              </w:rPr>
              <w:t>Charlie B. Kawwas, Ph.D.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488,529</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366,397</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22,654</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5,969,854</w:t>
            </w:r>
          </w:p>
        </w:tc>
        <w:tc>
          <w:tcPr>
            <w:tcW w:w="1820" w:type="dxa"/>
            <w:vAlign w:val="bottom"/>
          </w:tcPr>
          <w:p>
            <w:pPr>
              <w:jc w:val="right"/>
              <w:ind w:right="67"/>
              <w:spacing w:after="0" w:line="189" w:lineRule="exact"/>
              <w:rPr>
                <w:sz w:val="20"/>
                <w:szCs w:val="20"/>
                <w:color w:val="auto"/>
              </w:rPr>
            </w:pPr>
            <w:r>
              <w:rPr>
                <w:rFonts w:ascii="Arial" w:cs="Arial" w:eastAsia="Arial" w:hAnsi="Arial"/>
                <w:sz w:val="13"/>
                <w:szCs w:val="13"/>
                <w:color w:val="auto"/>
              </w:rPr>
              <w:t>23,007,578</w:t>
            </w:r>
            <w:r>
              <w:rPr>
                <w:rFonts w:ascii="Arial" w:cs="Arial" w:eastAsia="Arial" w:hAnsi="Arial"/>
                <w:sz w:val="21"/>
                <w:szCs w:val="21"/>
                <w:color w:val="auto"/>
                <w:vertAlign w:val="superscript"/>
              </w:rPr>
              <w:t>(5)</w:t>
            </w:r>
          </w:p>
        </w:tc>
        <w:tc>
          <w:tcPr>
            <w:tcW w:w="1440" w:type="dxa"/>
            <w:vAlign w:val="bottom"/>
          </w:tcPr>
          <w:p>
            <w:pPr>
              <w:jc w:val="right"/>
              <w:ind w:right="299"/>
              <w:spacing w:after="0"/>
              <w:rPr>
                <w:sz w:val="20"/>
                <w:szCs w:val="20"/>
                <w:color w:val="auto"/>
              </w:rPr>
            </w:pPr>
            <w:r>
              <w:rPr>
                <w:rFonts w:ascii="Arial" w:cs="Arial" w:eastAsia="Arial" w:hAnsi="Arial"/>
                <w:sz w:val="16"/>
                <w:szCs w:val="16"/>
                <w:color w:val="auto"/>
              </w:rPr>
              <w:t>29,855,012</w:t>
            </w:r>
          </w:p>
        </w:tc>
      </w:tr>
      <w:tr>
        <w:trPr>
          <w:trHeight w:val="189"/>
        </w:trPr>
        <w:tc>
          <w:tcPr>
            <w:tcW w:w="3280" w:type="dxa"/>
            <w:vAlign w:val="bottom"/>
            <w:shd w:val="clear" w:color="auto" w:fill="BFBFBF"/>
          </w:tcPr>
          <w:p>
            <w:pPr>
              <w:ind w:left="80"/>
              <w:spacing w:after="0"/>
              <w:rPr>
                <w:sz w:val="20"/>
                <w:szCs w:val="20"/>
                <w:color w:val="auto"/>
              </w:rPr>
            </w:pPr>
            <w:r>
              <w:rPr>
                <w:rFonts w:ascii="Arial" w:cs="Arial" w:eastAsia="Arial" w:hAnsi="Arial"/>
                <w:sz w:val="16"/>
                <w:szCs w:val="16"/>
                <w:color w:val="auto"/>
              </w:rPr>
              <w:t>Mark D. Brazeal</w:t>
            </w:r>
          </w:p>
        </w:tc>
        <w:tc>
          <w:tcPr>
            <w:tcW w:w="1140" w:type="dxa"/>
            <w:vAlign w:val="bottom"/>
            <w:shd w:val="clear" w:color="auto" w:fill="BFBFBF"/>
          </w:tcPr>
          <w:p>
            <w:pPr>
              <w:jc w:val="right"/>
              <w:ind w:right="39"/>
              <w:spacing w:after="0"/>
              <w:rPr>
                <w:sz w:val="20"/>
                <w:szCs w:val="20"/>
                <w:color w:val="auto"/>
              </w:rPr>
            </w:pPr>
            <w:r>
              <w:rPr>
                <w:rFonts w:ascii="Arial" w:cs="Arial" w:eastAsia="Arial" w:hAnsi="Arial"/>
                <w:sz w:val="16"/>
                <w:szCs w:val="16"/>
                <w:color w:val="auto"/>
              </w:rPr>
              <w:t>450,000</w:t>
            </w:r>
          </w:p>
        </w:tc>
        <w:tc>
          <w:tcPr>
            <w:tcW w:w="1040" w:type="dxa"/>
            <w:vAlign w:val="bottom"/>
            <w:shd w:val="clear" w:color="auto" w:fill="BFBFBF"/>
          </w:tcPr>
          <w:p>
            <w:pPr>
              <w:jc w:val="right"/>
              <w:ind w:right="39"/>
              <w:spacing w:after="0"/>
              <w:rPr>
                <w:sz w:val="20"/>
                <w:szCs w:val="20"/>
                <w:color w:val="auto"/>
              </w:rPr>
            </w:pPr>
            <w:r>
              <w:rPr>
                <w:rFonts w:ascii="Arial" w:cs="Arial" w:eastAsia="Arial" w:hAnsi="Arial"/>
                <w:sz w:val="16"/>
                <w:szCs w:val="16"/>
                <w:color w:val="auto"/>
              </w:rPr>
              <w:t>270,000</w:t>
            </w:r>
          </w:p>
        </w:tc>
        <w:tc>
          <w:tcPr>
            <w:tcW w:w="11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8"/>
              </w:rPr>
              <w:t>20,838</w:t>
            </w:r>
          </w:p>
        </w:tc>
        <w:tc>
          <w:tcPr>
            <w:tcW w:w="1140" w:type="dxa"/>
            <w:vAlign w:val="bottom"/>
            <w:shd w:val="clear" w:color="auto" w:fill="BFBFBF"/>
          </w:tcPr>
          <w:p>
            <w:pPr>
              <w:jc w:val="right"/>
              <w:ind w:right="399"/>
              <w:spacing w:after="0"/>
              <w:rPr>
                <w:sz w:val="20"/>
                <w:szCs w:val="20"/>
                <w:color w:val="auto"/>
              </w:rPr>
            </w:pPr>
            <w:r>
              <w:rPr>
                <w:rFonts w:ascii="Arial" w:cs="Arial" w:eastAsia="Arial" w:hAnsi="Arial"/>
                <w:sz w:val="16"/>
                <w:szCs w:val="16"/>
                <w:color w:val="auto"/>
              </w:rPr>
              <w:t>—</w:t>
            </w:r>
          </w:p>
        </w:tc>
        <w:tc>
          <w:tcPr>
            <w:tcW w:w="1820" w:type="dxa"/>
            <w:vAlign w:val="bottom"/>
            <w:shd w:val="clear" w:color="auto" w:fill="BFBFBF"/>
          </w:tcPr>
          <w:p>
            <w:pPr>
              <w:jc w:val="right"/>
              <w:ind w:right="67"/>
              <w:spacing w:after="0" w:line="189" w:lineRule="exact"/>
              <w:rPr>
                <w:sz w:val="20"/>
                <w:szCs w:val="20"/>
                <w:color w:val="auto"/>
              </w:rPr>
            </w:pPr>
            <w:r>
              <w:rPr>
                <w:rFonts w:ascii="Arial" w:cs="Arial" w:eastAsia="Arial" w:hAnsi="Arial"/>
                <w:sz w:val="13"/>
                <w:szCs w:val="13"/>
                <w:color w:val="auto"/>
              </w:rPr>
              <w:t>8,438,261</w:t>
            </w:r>
            <w:r>
              <w:rPr>
                <w:rFonts w:ascii="Arial" w:cs="Arial" w:eastAsia="Arial" w:hAnsi="Arial"/>
                <w:sz w:val="21"/>
                <w:szCs w:val="21"/>
                <w:color w:val="auto"/>
                <w:vertAlign w:val="superscript"/>
              </w:rPr>
              <w:t>(5)</w:t>
            </w:r>
          </w:p>
        </w:tc>
        <w:tc>
          <w:tcPr>
            <w:tcW w:w="1440" w:type="dxa"/>
            <w:vAlign w:val="bottom"/>
            <w:shd w:val="clear" w:color="auto" w:fill="BFBFBF"/>
          </w:tcPr>
          <w:p>
            <w:pPr>
              <w:jc w:val="right"/>
              <w:ind w:right="299"/>
              <w:spacing w:after="0"/>
              <w:rPr>
                <w:sz w:val="20"/>
                <w:szCs w:val="20"/>
                <w:color w:val="auto"/>
              </w:rPr>
            </w:pPr>
            <w:r>
              <w:rPr>
                <w:rFonts w:ascii="Arial" w:cs="Arial" w:eastAsia="Arial" w:hAnsi="Arial"/>
                <w:sz w:val="16"/>
                <w:szCs w:val="16"/>
                <w:color w:val="auto"/>
              </w:rPr>
              <w:t>9,179,099</w:t>
            </w:r>
          </w:p>
        </w:tc>
      </w:tr>
      <w:tr>
        <w:trPr>
          <w:trHeight w:val="352"/>
        </w:trPr>
        <w:tc>
          <w:tcPr>
            <w:tcW w:w="3280" w:type="dxa"/>
            <w:vAlign w:val="bottom"/>
          </w:tcPr>
          <w:p>
            <w:pPr>
              <w:ind w:left="80"/>
              <w:spacing w:after="0"/>
              <w:rPr>
                <w:sz w:val="20"/>
                <w:szCs w:val="20"/>
                <w:color w:val="auto"/>
              </w:rPr>
            </w:pPr>
            <w:r>
              <w:rPr>
                <w:rFonts w:ascii="Arial" w:cs="Arial" w:eastAsia="Arial" w:hAnsi="Arial"/>
                <w:sz w:val="16"/>
                <w:szCs w:val="16"/>
                <w:color w:val="auto"/>
              </w:rPr>
              <w:t>Bryan T. Ingram</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592,250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592,250</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20,712</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11,452,800</w:t>
            </w:r>
          </w:p>
        </w:tc>
        <w:tc>
          <w:tcPr>
            <w:tcW w:w="1820" w:type="dxa"/>
            <w:vAlign w:val="bottom"/>
          </w:tcPr>
          <w:p>
            <w:pPr>
              <w:jc w:val="right"/>
              <w:ind w:right="67"/>
              <w:spacing w:after="0"/>
              <w:rPr>
                <w:sz w:val="20"/>
                <w:szCs w:val="20"/>
                <w:color w:val="auto"/>
              </w:rPr>
            </w:pPr>
            <w:r>
              <w:rPr>
                <w:rFonts w:ascii="Arial" w:cs="Arial" w:eastAsia="Arial" w:hAnsi="Arial"/>
                <w:sz w:val="16"/>
                <w:szCs w:val="16"/>
                <w:color w:val="auto"/>
              </w:rPr>
              <w:t>26,394,161</w:t>
            </w:r>
            <w:r>
              <w:rPr>
                <w:rFonts w:ascii="Arial" w:cs="Arial" w:eastAsia="Arial" w:hAnsi="Arial"/>
                <w:sz w:val="27"/>
                <w:szCs w:val="27"/>
                <w:color w:val="auto"/>
                <w:vertAlign w:val="superscript"/>
              </w:rPr>
              <w:t>(5)</w:t>
            </w:r>
          </w:p>
        </w:tc>
        <w:tc>
          <w:tcPr>
            <w:tcW w:w="1440" w:type="dxa"/>
            <w:vAlign w:val="bottom"/>
          </w:tcPr>
          <w:p>
            <w:pPr>
              <w:jc w:val="right"/>
              <w:ind w:right="299"/>
              <w:spacing w:after="0"/>
              <w:rPr>
                <w:sz w:val="20"/>
                <w:szCs w:val="20"/>
                <w:color w:val="auto"/>
              </w:rPr>
            </w:pPr>
            <w:r>
              <w:rPr>
                <w:rFonts w:ascii="Arial" w:cs="Arial" w:eastAsia="Arial" w:hAnsi="Arial"/>
                <w:sz w:val="16"/>
                <w:szCs w:val="16"/>
                <w:color w:val="auto"/>
              </w:rPr>
              <w:t>39,052,173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16033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520" w:hanging="316"/>
        <w:spacing w:after="0"/>
        <w:tabs>
          <w:tab w:leader="none" w:pos="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the cost of our subsidized continued health benefits based on our current costs to provide such coverage.</w:t>
      </w:r>
    </w:p>
    <w:p>
      <w:pPr>
        <w:spacing w:after="0" w:line="5" w:lineRule="exact"/>
        <w:rPr>
          <w:rFonts w:ascii="Arial" w:cs="Arial" w:eastAsia="Arial" w:hAnsi="Arial"/>
          <w:sz w:val="16"/>
          <w:szCs w:val="16"/>
          <w:color w:val="auto"/>
        </w:rPr>
      </w:pPr>
    </w:p>
    <w:p>
      <w:pPr>
        <w:ind w:left="520" w:right="100" w:hanging="316"/>
        <w:spacing w:after="0" w:line="246" w:lineRule="auto"/>
        <w:tabs>
          <w:tab w:leader="none" w:pos="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amounts in this column represent, for each share option that would have accelerated, the number of ordinary shares that would have vested multiplied by the difference between $252.90, the closing price per ordinary share on October 27, 2017, the last trading day of Fiscal Year 2017, and the exercise price of the share option. As of such date, all share price contingencies contained in any outstanding performance-based options had been met and all such share options would have accelerated in the event of a qualifying termination.</w:t>
      </w:r>
    </w:p>
    <w:p>
      <w:pPr>
        <w:spacing w:after="0" w:line="1" w:lineRule="exact"/>
        <w:rPr>
          <w:rFonts w:ascii="Arial" w:cs="Arial" w:eastAsia="Arial" w:hAnsi="Arial"/>
          <w:sz w:val="16"/>
          <w:szCs w:val="16"/>
          <w:color w:val="auto"/>
        </w:rPr>
      </w:pPr>
    </w:p>
    <w:p>
      <w:pPr>
        <w:ind w:left="520" w:right="100" w:hanging="316"/>
        <w:spacing w:after="0" w:line="246" w:lineRule="auto"/>
        <w:tabs>
          <w:tab w:leader="none" w:pos="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amounts in this column include, for each service-based RSU award and PSU award subject to a share price contingency that had been met, the number of ordinary shares that would have vested multiplied by $252.90, the closing price per ordinary share on October 27, 2017, the last trading day of Fiscal Year 2017. As of such date, all share price contingencies had been met and all such awards would have accelerated in the event of a qualifying termination.</w:t>
      </w:r>
    </w:p>
    <w:p>
      <w:pPr>
        <w:spacing w:after="0" w:line="1" w:lineRule="exact"/>
        <w:rPr>
          <w:rFonts w:ascii="Arial" w:cs="Arial" w:eastAsia="Arial" w:hAnsi="Arial"/>
          <w:sz w:val="16"/>
          <w:szCs w:val="16"/>
          <w:color w:val="auto"/>
        </w:rPr>
      </w:pPr>
    </w:p>
    <w:p>
      <w:pPr>
        <w:ind w:left="520" w:right="20" w:hanging="316"/>
        <w:spacing w:after="0" w:line="246" w:lineRule="auto"/>
        <w:tabs>
          <w:tab w:leader="none" w:pos="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This amount includes, for each PSU award for which the applicable performance goals have been deemed satisfied based on our actual performance immediately prior to October 27, 2017, the last trading day of Fiscal Year 2017, that would have accelerated, the number of ordinary shares that would have vested multiplied by $252.90, the closing price per ordinary share on October 27, 2017. As of such date, 240,000 ordinary shares and 334,308 ordinary shares subject to the PSU awards granted in Fiscal Year 2016 and Fiscal Year 2017, respectively, would have accelerated in the event of a qualifying termination.</w:t>
      </w:r>
    </w:p>
    <w:p>
      <w:pPr>
        <w:spacing w:after="0" w:line="2" w:lineRule="exact"/>
        <w:rPr>
          <w:rFonts w:ascii="Arial" w:cs="Arial" w:eastAsia="Arial" w:hAnsi="Arial"/>
          <w:sz w:val="16"/>
          <w:szCs w:val="16"/>
          <w:color w:val="auto"/>
        </w:rPr>
      </w:pPr>
    </w:p>
    <w:p>
      <w:pPr>
        <w:ind w:left="520" w:right="20" w:hanging="316"/>
        <w:spacing w:after="0" w:line="251" w:lineRule="auto"/>
        <w:tabs>
          <w:tab w:leader="none" w:pos="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This amount includes, for each PSU award for which the applicable performance goals have been deemed satisfied based on our actual performance immediately prior to October 27, 2017, the last trading day of Fiscal Year 2017, that would have accelerated, the number of ordinary shares that would have vested multiplied by $252.90, the closing price per ordinary share on October 27, 2017. As of such date, 167% of the target ordinary shares subject to the PSU awards, would have accelerated in the event of a qualifying termination.</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under the Death and Disability Policy</w:t>
      </w:r>
    </w:p>
    <w:p>
      <w:pPr>
        <w:spacing w:after="0" w:line="99"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The following table reflects the potential payments and benefits to which the NEOs would be entitled under the Death and Disability Policy in effect as of October 29, 2017, in the event of death or permanent disability. The amounts presented in the table assume a termination of employment date of October 29, 2017 and that all eligibility requirements contemplated by the Death and Disability Policy were met.</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560" w:type="dxa"/>
            <w:vAlign w:val="bottom"/>
            <w:shd w:val="clear" w:color="auto" w:fill="7F7F7F"/>
          </w:tcPr>
          <w:p>
            <w:pPr>
              <w:spacing w:after="0"/>
              <w:rPr>
                <w:sz w:val="16"/>
                <w:szCs w:val="16"/>
                <w:color w:val="auto"/>
              </w:rPr>
            </w:pPr>
          </w:p>
        </w:tc>
        <w:tc>
          <w:tcPr>
            <w:tcW w:w="3320" w:type="dxa"/>
            <w:vAlign w:val="bottom"/>
            <w:shd w:val="clear" w:color="auto" w:fill="7F7F7F"/>
          </w:tcPr>
          <w:p>
            <w:pPr>
              <w:jc w:val="right"/>
              <w:ind w:right="419"/>
              <w:spacing w:after="0"/>
              <w:rPr>
                <w:sz w:val="20"/>
                <w:szCs w:val="20"/>
                <w:color w:val="auto"/>
              </w:rPr>
            </w:pPr>
            <w:r>
              <w:rPr>
                <w:rFonts w:ascii="Arial" w:cs="Arial" w:eastAsia="Arial" w:hAnsi="Arial"/>
                <w:sz w:val="16"/>
                <w:szCs w:val="16"/>
                <w:b w:val="1"/>
                <w:bCs w:val="1"/>
                <w:color w:val="FFFFFF"/>
              </w:rPr>
              <w:t>Value of Option Acceleration</w:t>
            </w:r>
          </w:p>
        </w:tc>
        <w:tc>
          <w:tcPr>
            <w:tcW w:w="3280" w:type="dxa"/>
            <w:vAlign w:val="bottom"/>
            <w:shd w:val="clear" w:color="auto" w:fill="7F7F7F"/>
          </w:tcPr>
          <w:p>
            <w:pPr>
              <w:jc w:val="right"/>
              <w:ind w:right="279"/>
              <w:spacing w:after="0"/>
              <w:rPr>
                <w:sz w:val="20"/>
                <w:szCs w:val="20"/>
                <w:color w:val="auto"/>
              </w:rPr>
            </w:pPr>
            <w:r>
              <w:rPr>
                <w:rFonts w:ascii="Arial" w:cs="Arial" w:eastAsia="Arial" w:hAnsi="Arial"/>
                <w:sz w:val="16"/>
                <w:szCs w:val="16"/>
                <w:b w:val="1"/>
                <w:bCs w:val="1"/>
                <w:color w:val="FFFFFF"/>
              </w:rPr>
              <w:t>Value of RSU/PSU Acceleration</w:t>
            </w:r>
          </w:p>
        </w:tc>
        <w:tc>
          <w:tcPr>
            <w:tcW w:w="1860" w:type="dxa"/>
            <w:vAlign w:val="bottom"/>
            <w:shd w:val="clear" w:color="auto" w:fill="7F7F7F"/>
          </w:tcPr>
          <w:p>
            <w:pPr>
              <w:jc w:val="right"/>
              <w:ind w:right="899"/>
              <w:spacing w:after="0"/>
              <w:rPr>
                <w:sz w:val="20"/>
                <w:szCs w:val="20"/>
                <w:color w:val="auto"/>
              </w:rPr>
            </w:pPr>
            <w:r>
              <w:rPr>
                <w:rFonts w:ascii="Arial" w:cs="Arial" w:eastAsia="Arial" w:hAnsi="Arial"/>
                <w:sz w:val="16"/>
                <w:szCs w:val="16"/>
                <w:b w:val="1"/>
                <w:bCs w:val="1"/>
                <w:color w:val="FFFFFF"/>
              </w:rPr>
              <w:t>Total</w:t>
            </w:r>
          </w:p>
        </w:tc>
      </w:tr>
      <w:tr>
        <w:trPr>
          <w:trHeight w:val="222"/>
        </w:trPr>
        <w:tc>
          <w:tcPr>
            <w:tcW w:w="2560" w:type="dxa"/>
            <w:vAlign w:val="bottom"/>
            <w:shd w:val="clear" w:color="auto" w:fill="7F7F7F"/>
          </w:tcPr>
          <w:p>
            <w:pPr>
              <w:ind w:left="80"/>
              <w:spacing w:after="0"/>
              <w:rPr>
                <w:sz w:val="20"/>
                <w:szCs w:val="20"/>
                <w:color w:val="auto"/>
              </w:rPr>
            </w:pPr>
            <w:r>
              <w:rPr>
                <w:rFonts w:ascii="Arial" w:cs="Arial" w:eastAsia="Arial" w:hAnsi="Arial"/>
                <w:sz w:val="16"/>
                <w:szCs w:val="16"/>
                <w:b w:val="1"/>
                <w:bCs w:val="1"/>
                <w:color w:val="FFFFFF"/>
              </w:rPr>
              <w:t>Name</w:t>
            </w:r>
          </w:p>
        </w:tc>
        <w:tc>
          <w:tcPr>
            <w:tcW w:w="3320" w:type="dxa"/>
            <w:vAlign w:val="bottom"/>
            <w:shd w:val="clear" w:color="auto" w:fill="7F7F7F"/>
          </w:tcPr>
          <w:p>
            <w:pPr>
              <w:jc w:val="right"/>
              <w:ind w:right="1339"/>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3"/>
                <w:szCs w:val="13"/>
                <w:b w:val="1"/>
                <w:bCs w:val="1"/>
                <w:color w:val="FFFFFF"/>
              </w:rPr>
              <w:t>(1)</w:t>
            </w:r>
          </w:p>
        </w:tc>
        <w:tc>
          <w:tcPr>
            <w:tcW w:w="3280" w:type="dxa"/>
            <w:vAlign w:val="bottom"/>
            <w:shd w:val="clear" w:color="auto" w:fill="7F7F7F"/>
          </w:tcPr>
          <w:p>
            <w:pPr>
              <w:jc w:val="right"/>
              <w:ind w:right="1219"/>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3"/>
                <w:szCs w:val="13"/>
                <w:b w:val="1"/>
                <w:bCs w:val="1"/>
                <w:color w:val="FFFFFF"/>
              </w:rPr>
              <w:t>(2)(3)</w:t>
            </w:r>
          </w:p>
        </w:tc>
        <w:tc>
          <w:tcPr>
            <w:tcW w:w="1860" w:type="dxa"/>
            <w:vAlign w:val="bottom"/>
            <w:shd w:val="clear" w:color="auto" w:fill="7F7F7F"/>
          </w:tcPr>
          <w:p>
            <w:pPr>
              <w:jc w:val="right"/>
              <w:ind w:right="959"/>
              <w:spacing w:after="0"/>
              <w:rPr>
                <w:sz w:val="20"/>
                <w:szCs w:val="20"/>
                <w:color w:val="auto"/>
              </w:rPr>
            </w:pPr>
            <w:r>
              <w:rPr>
                <w:rFonts w:ascii="Arial" w:cs="Arial" w:eastAsia="Arial" w:hAnsi="Arial"/>
                <w:sz w:val="16"/>
                <w:szCs w:val="16"/>
                <w:b w:val="1"/>
                <w:bCs w:val="1"/>
                <w:color w:val="FFFFFF"/>
              </w:rPr>
              <w:t>($)</w:t>
            </w:r>
          </w:p>
        </w:tc>
      </w:tr>
      <w:tr>
        <w:trPr>
          <w:trHeight w:val="189"/>
        </w:trPr>
        <w:tc>
          <w:tcPr>
            <w:tcW w:w="2560" w:type="dxa"/>
            <w:vAlign w:val="bottom"/>
          </w:tcPr>
          <w:p>
            <w:pPr>
              <w:ind w:left="80"/>
              <w:spacing w:after="0"/>
              <w:rPr>
                <w:sz w:val="20"/>
                <w:szCs w:val="20"/>
                <w:color w:val="auto"/>
              </w:rPr>
            </w:pPr>
            <w:r>
              <w:rPr>
                <w:rFonts w:ascii="Arial" w:cs="Arial" w:eastAsia="Arial" w:hAnsi="Arial"/>
                <w:sz w:val="16"/>
                <w:szCs w:val="16"/>
                <w:color w:val="auto"/>
              </w:rPr>
              <w:t>Hock E. Tan</w:t>
            </w:r>
          </w:p>
        </w:tc>
        <w:tc>
          <w:tcPr>
            <w:tcW w:w="3320" w:type="dxa"/>
            <w:vAlign w:val="bottom"/>
          </w:tcPr>
          <w:p>
            <w:pPr>
              <w:jc w:val="right"/>
              <w:ind w:right="1079"/>
              <w:spacing w:after="0"/>
              <w:rPr>
                <w:sz w:val="20"/>
                <w:szCs w:val="20"/>
                <w:color w:val="auto"/>
              </w:rPr>
            </w:pPr>
            <w:r>
              <w:rPr>
                <w:rFonts w:ascii="Arial" w:cs="Arial" w:eastAsia="Arial" w:hAnsi="Arial"/>
                <w:sz w:val="16"/>
                <w:szCs w:val="16"/>
                <w:color w:val="auto"/>
              </w:rPr>
              <w:t>37,546,875</w:t>
            </w:r>
          </w:p>
        </w:tc>
        <w:tc>
          <w:tcPr>
            <w:tcW w:w="3280" w:type="dxa"/>
            <w:vAlign w:val="bottom"/>
          </w:tcPr>
          <w:p>
            <w:pPr>
              <w:jc w:val="right"/>
              <w:ind w:right="739"/>
              <w:spacing w:after="0"/>
              <w:rPr>
                <w:sz w:val="20"/>
                <w:szCs w:val="20"/>
                <w:color w:val="auto"/>
              </w:rPr>
            </w:pPr>
            <w:r>
              <w:rPr>
                <w:rFonts w:ascii="Arial" w:cs="Arial" w:eastAsia="Arial" w:hAnsi="Arial"/>
                <w:sz w:val="16"/>
                <w:szCs w:val="16"/>
                <w:color w:val="auto"/>
              </w:rPr>
              <w:t>22,763,529</w:t>
            </w:r>
            <w:r>
              <w:rPr>
                <w:rFonts w:ascii="Arial" w:cs="Arial" w:eastAsia="Arial" w:hAnsi="Arial"/>
                <w:sz w:val="13"/>
                <w:szCs w:val="13"/>
                <w:color w:val="auto"/>
              </w:rPr>
              <w:t>(4)</w:t>
            </w:r>
          </w:p>
        </w:tc>
        <w:tc>
          <w:tcPr>
            <w:tcW w:w="1860" w:type="dxa"/>
            <w:vAlign w:val="bottom"/>
          </w:tcPr>
          <w:p>
            <w:pPr>
              <w:jc w:val="right"/>
              <w:ind w:right="599"/>
              <w:spacing w:after="0"/>
              <w:rPr>
                <w:sz w:val="20"/>
                <w:szCs w:val="20"/>
                <w:color w:val="auto"/>
              </w:rPr>
            </w:pPr>
            <w:r>
              <w:rPr>
                <w:rFonts w:ascii="Arial" w:cs="Arial" w:eastAsia="Arial" w:hAnsi="Arial"/>
                <w:sz w:val="16"/>
                <w:szCs w:val="16"/>
                <w:color w:val="auto"/>
              </w:rPr>
              <w:t>60,310,404</w:t>
            </w:r>
          </w:p>
        </w:tc>
      </w:tr>
      <w:tr>
        <w:trPr>
          <w:trHeight w:val="189"/>
        </w:trPr>
        <w:tc>
          <w:tcPr>
            <w:tcW w:w="2560" w:type="dxa"/>
            <w:vAlign w:val="bottom"/>
            <w:shd w:val="clear" w:color="auto" w:fill="BFBFBF"/>
          </w:tcPr>
          <w:p>
            <w:pPr>
              <w:ind w:left="80"/>
              <w:spacing w:after="0"/>
              <w:rPr>
                <w:sz w:val="20"/>
                <w:szCs w:val="20"/>
                <w:color w:val="auto"/>
              </w:rPr>
            </w:pPr>
            <w:r>
              <w:rPr>
                <w:rFonts w:ascii="Arial" w:cs="Arial" w:eastAsia="Arial" w:hAnsi="Arial"/>
                <w:sz w:val="16"/>
                <w:szCs w:val="16"/>
                <w:color w:val="auto"/>
              </w:rPr>
              <w:t>Thomas H. Krause Jr.</w:t>
            </w:r>
          </w:p>
        </w:tc>
        <w:tc>
          <w:tcPr>
            <w:tcW w:w="3320" w:type="dxa"/>
            <w:vAlign w:val="bottom"/>
            <w:shd w:val="clear" w:color="auto" w:fill="BFBFBF"/>
          </w:tcPr>
          <w:p>
            <w:pPr>
              <w:jc w:val="right"/>
              <w:ind w:right="1079"/>
              <w:spacing w:after="0"/>
              <w:rPr>
                <w:sz w:val="20"/>
                <w:szCs w:val="20"/>
                <w:color w:val="auto"/>
              </w:rPr>
            </w:pPr>
            <w:r>
              <w:rPr>
                <w:rFonts w:ascii="Arial" w:cs="Arial" w:eastAsia="Arial" w:hAnsi="Arial"/>
                <w:sz w:val="16"/>
                <w:szCs w:val="16"/>
                <w:color w:val="auto"/>
              </w:rPr>
              <w:t>4,294,800</w:t>
            </w:r>
          </w:p>
        </w:tc>
        <w:tc>
          <w:tcPr>
            <w:tcW w:w="3280" w:type="dxa"/>
            <w:vAlign w:val="bottom"/>
            <w:shd w:val="clear" w:color="auto" w:fill="BFBFBF"/>
          </w:tcPr>
          <w:p>
            <w:pPr>
              <w:jc w:val="right"/>
              <w:ind w:right="919"/>
              <w:spacing w:after="0"/>
              <w:rPr>
                <w:sz w:val="20"/>
                <w:szCs w:val="20"/>
                <w:color w:val="auto"/>
              </w:rPr>
            </w:pPr>
            <w:r>
              <w:rPr>
                <w:rFonts w:ascii="Arial" w:cs="Arial" w:eastAsia="Arial" w:hAnsi="Arial"/>
                <w:sz w:val="16"/>
                <w:szCs w:val="16"/>
                <w:color w:val="auto"/>
              </w:rPr>
              <w:t>17,703,000</w:t>
            </w:r>
          </w:p>
        </w:tc>
        <w:tc>
          <w:tcPr>
            <w:tcW w:w="1860" w:type="dxa"/>
            <w:vAlign w:val="bottom"/>
            <w:shd w:val="clear" w:color="auto" w:fill="BFBFBF"/>
          </w:tcPr>
          <w:p>
            <w:pPr>
              <w:jc w:val="right"/>
              <w:ind w:right="599"/>
              <w:spacing w:after="0"/>
              <w:rPr>
                <w:sz w:val="20"/>
                <w:szCs w:val="20"/>
                <w:color w:val="auto"/>
              </w:rPr>
            </w:pPr>
            <w:r>
              <w:rPr>
                <w:rFonts w:ascii="Arial" w:cs="Arial" w:eastAsia="Arial" w:hAnsi="Arial"/>
                <w:sz w:val="16"/>
                <w:szCs w:val="16"/>
                <w:color w:val="auto"/>
              </w:rPr>
              <w:t>21,997,800</w:t>
            </w:r>
          </w:p>
        </w:tc>
      </w:tr>
      <w:tr>
        <w:trPr>
          <w:trHeight w:val="189"/>
        </w:trPr>
        <w:tc>
          <w:tcPr>
            <w:tcW w:w="2560" w:type="dxa"/>
            <w:vAlign w:val="bottom"/>
          </w:tcPr>
          <w:p>
            <w:pPr>
              <w:ind w:left="80"/>
              <w:spacing w:after="0"/>
              <w:rPr>
                <w:sz w:val="20"/>
                <w:szCs w:val="20"/>
                <w:color w:val="auto"/>
              </w:rPr>
            </w:pPr>
            <w:r>
              <w:rPr>
                <w:rFonts w:ascii="Arial" w:cs="Arial" w:eastAsia="Arial" w:hAnsi="Arial"/>
                <w:sz w:val="16"/>
                <w:szCs w:val="16"/>
                <w:color w:val="auto"/>
              </w:rPr>
              <w:t>Charlie B. Kawwas, Ph.D.</w:t>
            </w:r>
          </w:p>
        </w:tc>
        <w:tc>
          <w:tcPr>
            <w:tcW w:w="3320" w:type="dxa"/>
            <w:vAlign w:val="bottom"/>
          </w:tcPr>
          <w:p>
            <w:pPr>
              <w:jc w:val="right"/>
              <w:ind w:right="1079"/>
              <w:spacing w:after="0"/>
              <w:rPr>
                <w:sz w:val="20"/>
                <w:szCs w:val="20"/>
                <w:color w:val="auto"/>
              </w:rPr>
            </w:pPr>
            <w:r>
              <w:rPr>
                <w:rFonts w:ascii="Arial" w:cs="Arial" w:eastAsia="Arial" w:hAnsi="Arial"/>
                <w:sz w:val="16"/>
                <w:szCs w:val="16"/>
                <w:color w:val="auto"/>
              </w:rPr>
              <w:t>5,969,854</w:t>
            </w:r>
          </w:p>
        </w:tc>
        <w:tc>
          <w:tcPr>
            <w:tcW w:w="3280" w:type="dxa"/>
            <w:vAlign w:val="bottom"/>
          </w:tcPr>
          <w:p>
            <w:pPr>
              <w:jc w:val="right"/>
              <w:ind w:right="919"/>
              <w:spacing w:after="0"/>
              <w:rPr>
                <w:sz w:val="20"/>
                <w:szCs w:val="20"/>
                <w:color w:val="auto"/>
              </w:rPr>
            </w:pPr>
            <w:r>
              <w:rPr>
                <w:rFonts w:ascii="Arial" w:cs="Arial" w:eastAsia="Arial" w:hAnsi="Arial"/>
                <w:sz w:val="16"/>
                <w:szCs w:val="16"/>
                <w:color w:val="auto"/>
              </w:rPr>
              <w:t>17,730,566</w:t>
            </w:r>
          </w:p>
        </w:tc>
        <w:tc>
          <w:tcPr>
            <w:tcW w:w="1860" w:type="dxa"/>
            <w:vAlign w:val="bottom"/>
          </w:tcPr>
          <w:p>
            <w:pPr>
              <w:jc w:val="right"/>
              <w:ind w:right="599"/>
              <w:spacing w:after="0"/>
              <w:rPr>
                <w:sz w:val="20"/>
                <w:szCs w:val="20"/>
                <w:color w:val="auto"/>
              </w:rPr>
            </w:pPr>
            <w:r>
              <w:rPr>
                <w:rFonts w:ascii="Arial" w:cs="Arial" w:eastAsia="Arial" w:hAnsi="Arial"/>
                <w:sz w:val="16"/>
                <w:szCs w:val="16"/>
                <w:color w:val="auto"/>
              </w:rPr>
              <w:t>23,700,420</w:t>
            </w:r>
          </w:p>
        </w:tc>
      </w:tr>
      <w:tr>
        <w:trPr>
          <w:trHeight w:val="189"/>
        </w:trPr>
        <w:tc>
          <w:tcPr>
            <w:tcW w:w="2560" w:type="dxa"/>
            <w:vAlign w:val="bottom"/>
            <w:shd w:val="clear" w:color="auto" w:fill="BFBFBF"/>
          </w:tcPr>
          <w:p>
            <w:pPr>
              <w:ind w:left="80"/>
              <w:spacing w:after="0"/>
              <w:rPr>
                <w:sz w:val="20"/>
                <w:szCs w:val="20"/>
                <w:color w:val="auto"/>
              </w:rPr>
            </w:pPr>
            <w:r>
              <w:rPr>
                <w:rFonts w:ascii="Arial" w:cs="Arial" w:eastAsia="Arial" w:hAnsi="Arial"/>
                <w:sz w:val="16"/>
                <w:szCs w:val="16"/>
                <w:color w:val="auto"/>
              </w:rPr>
              <w:t>Mark D. Brazeal</w:t>
            </w:r>
          </w:p>
        </w:tc>
        <w:tc>
          <w:tcPr>
            <w:tcW w:w="3320" w:type="dxa"/>
            <w:vAlign w:val="bottom"/>
            <w:shd w:val="clear" w:color="auto" w:fill="BFBFBF"/>
          </w:tcPr>
          <w:p>
            <w:pPr>
              <w:jc w:val="right"/>
              <w:ind w:right="1419"/>
              <w:spacing w:after="0"/>
              <w:rPr>
                <w:sz w:val="20"/>
                <w:szCs w:val="20"/>
                <w:color w:val="auto"/>
              </w:rPr>
            </w:pPr>
            <w:r>
              <w:rPr>
                <w:rFonts w:ascii="Arial" w:cs="Arial" w:eastAsia="Arial" w:hAnsi="Arial"/>
                <w:sz w:val="16"/>
                <w:szCs w:val="16"/>
                <w:color w:val="auto"/>
              </w:rPr>
              <w:t>—</w:t>
            </w:r>
          </w:p>
        </w:tc>
        <w:tc>
          <w:tcPr>
            <w:tcW w:w="3280" w:type="dxa"/>
            <w:vAlign w:val="bottom"/>
            <w:shd w:val="clear" w:color="auto" w:fill="BFBFBF"/>
          </w:tcPr>
          <w:p>
            <w:pPr>
              <w:jc w:val="right"/>
              <w:ind w:right="919"/>
              <w:spacing w:after="0"/>
              <w:rPr>
                <w:sz w:val="20"/>
                <w:szCs w:val="20"/>
                <w:color w:val="auto"/>
              </w:rPr>
            </w:pPr>
            <w:r>
              <w:rPr>
                <w:rFonts w:ascii="Arial" w:cs="Arial" w:eastAsia="Arial" w:hAnsi="Arial"/>
                <w:sz w:val="16"/>
                <w:szCs w:val="16"/>
                <w:color w:val="auto"/>
              </w:rPr>
              <w:t>3,161,250</w:t>
            </w:r>
          </w:p>
        </w:tc>
        <w:tc>
          <w:tcPr>
            <w:tcW w:w="1860" w:type="dxa"/>
            <w:vAlign w:val="bottom"/>
            <w:shd w:val="clear" w:color="auto" w:fill="BFBFBF"/>
          </w:tcPr>
          <w:p>
            <w:pPr>
              <w:jc w:val="right"/>
              <w:ind w:right="599"/>
              <w:spacing w:after="0"/>
              <w:rPr>
                <w:sz w:val="20"/>
                <w:szCs w:val="20"/>
                <w:color w:val="auto"/>
              </w:rPr>
            </w:pPr>
            <w:r>
              <w:rPr>
                <w:rFonts w:ascii="Arial" w:cs="Arial" w:eastAsia="Arial" w:hAnsi="Arial"/>
                <w:sz w:val="16"/>
                <w:szCs w:val="16"/>
                <w:color w:val="auto"/>
              </w:rPr>
              <w:t>3,161,250</w:t>
            </w:r>
          </w:p>
        </w:tc>
      </w:tr>
      <w:tr>
        <w:trPr>
          <w:trHeight w:val="197"/>
        </w:trPr>
        <w:tc>
          <w:tcPr>
            <w:tcW w:w="2560" w:type="dxa"/>
            <w:vAlign w:val="bottom"/>
          </w:tcPr>
          <w:p>
            <w:pPr>
              <w:ind w:left="80"/>
              <w:spacing w:after="0"/>
              <w:rPr>
                <w:sz w:val="20"/>
                <w:szCs w:val="20"/>
                <w:color w:val="auto"/>
              </w:rPr>
            </w:pPr>
            <w:r>
              <w:rPr>
                <w:rFonts w:ascii="Arial" w:cs="Arial" w:eastAsia="Arial" w:hAnsi="Arial"/>
                <w:sz w:val="16"/>
                <w:szCs w:val="16"/>
                <w:color w:val="auto"/>
              </w:rPr>
              <w:t>Bryan T. Ingram</w:t>
            </w:r>
          </w:p>
        </w:tc>
        <w:tc>
          <w:tcPr>
            <w:tcW w:w="3320" w:type="dxa"/>
            <w:vAlign w:val="bottom"/>
          </w:tcPr>
          <w:p>
            <w:pPr>
              <w:jc w:val="right"/>
              <w:ind w:right="1079"/>
              <w:spacing w:after="0"/>
              <w:rPr>
                <w:sz w:val="20"/>
                <w:szCs w:val="20"/>
                <w:color w:val="auto"/>
              </w:rPr>
            </w:pPr>
            <w:r>
              <w:rPr>
                <w:rFonts w:ascii="Arial" w:cs="Arial" w:eastAsia="Arial" w:hAnsi="Arial"/>
                <w:sz w:val="16"/>
                <w:szCs w:val="16"/>
                <w:color w:val="auto"/>
              </w:rPr>
              <w:t>11,452,800</w:t>
            </w:r>
          </w:p>
        </w:tc>
        <w:tc>
          <w:tcPr>
            <w:tcW w:w="3280" w:type="dxa"/>
            <w:vAlign w:val="bottom"/>
          </w:tcPr>
          <w:p>
            <w:pPr>
              <w:jc w:val="right"/>
              <w:ind w:right="919"/>
              <w:spacing w:after="0"/>
              <w:rPr>
                <w:sz w:val="20"/>
                <w:szCs w:val="20"/>
                <w:color w:val="auto"/>
              </w:rPr>
            </w:pPr>
            <w:r>
              <w:rPr>
                <w:rFonts w:ascii="Arial" w:cs="Arial" w:eastAsia="Arial" w:hAnsi="Arial"/>
                <w:sz w:val="16"/>
                <w:szCs w:val="16"/>
                <w:color w:val="auto"/>
              </w:rPr>
              <w:t>21,117,150</w:t>
            </w:r>
          </w:p>
        </w:tc>
        <w:tc>
          <w:tcPr>
            <w:tcW w:w="1860" w:type="dxa"/>
            <w:vAlign w:val="bottom"/>
          </w:tcPr>
          <w:p>
            <w:pPr>
              <w:jc w:val="right"/>
              <w:ind w:right="599"/>
              <w:spacing w:after="0"/>
              <w:rPr>
                <w:sz w:val="20"/>
                <w:szCs w:val="20"/>
                <w:color w:val="auto"/>
              </w:rPr>
            </w:pPr>
            <w:r>
              <w:rPr>
                <w:rFonts w:ascii="Arial" w:cs="Arial" w:eastAsia="Arial" w:hAnsi="Arial"/>
                <w:sz w:val="16"/>
                <w:szCs w:val="16"/>
                <w:color w:val="auto"/>
              </w:rPr>
              <w:t>32,569,950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16033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50" w:lineRule="exact"/>
        <w:rPr>
          <w:sz w:val="20"/>
          <w:szCs w:val="20"/>
          <w:color w:val="auto"/>
        </w:rPr>
      </w:pPr>
    </w:p>
    <w:p>
      <w:pPr>
        <w:ind w:left="520" w:right="100" w:hanging="316"/>
        <w:spacing w:after="0" w:line="246" w:lineRule="auto"/>
        <w:tabs>
          <w:tab w:leader="none" w:pos="5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amounts in this column represent, for each option that would have accelerated, the number of ordinary shares that would have vested multiplied by the difference between $252.90, the closing price per ordinary share on October 27, 2017, the last trading day of Fiscal Year 2017, and the exercise price of the option. As of such date, all share price contingencies contained in any outstanding performance-based options had been met and all such share options would have accelerated in the event of death or permanent disability.</w:t>
      </w:r>
    </w:p>
    <w:p>
      <w:pPr>
        <w:spacing w:after="0" w:line="1" w:lineRule="exact"/>
        <w:rPr>
          <w:rFonts w:ascii="Arial" w:cs="Arial" w:eastAsia="Arial" w:hAnsi="Arial"/>
          <w:sz w:val="16"/>
          <w:szCs w:val="16"/>
          <w:color w:val="auto"/>
        </w:rPr>
      </w:pPr>
    </w:p>
    <w:p>
      <w:pPr>
        <w:ind w:left="520" w:right="140" w:hanging="316"/>
        <w:spacing w:after="0" w:line="246" w:lineRule="auto"/>
        <w:tabs>
          <w:tab w:leader="none" w:pos="5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amounts in this column include for each service-based RSU award and PSU award subject to a share price contingency that had been met, the number of ordinary shares that would have vested multiplied by $252.90, the closing price per ordinary share on October 27, 2017, the last trading day of Fiscal Year 2017. As of such date, all share price contingencies had been met and all such awards would have accelerated.</w:t>
      </w:r>
    </w:p>
    <w:p>
      <w:pPr>
        <w:spacing w:after="0" w:line="1" w:lineRule="exact"/>
        <w:rPr>
          <w:rFonts w:ascii="Arial" w:cs="Arial" w:eastAsia="Arial" w:hAnsi="Arial"/>
          <w:sz w:val="16"/>
          <w:szCs w:val="16"/>
          <w:color w:val="auto"/>
        </w:rPr>
      </w:pPr>
    </w:p>
    <w:p>
      <w:pPr>
        <w:ind w:left="520" w:right="120" w:hanging="316"/>
        <w:spacing w:after="0" w:line="246" w:lineRule="auto"/>
        <w:tabs>
          <w:tab w:leader="none" w:pos="5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This amount does not include accelerations of the PSU awards subject to performance goals based on criteria other than share price contingencies, except as noted below, as these awards are not eligible for acceleration upon death or permanent disability.</w:t>
      </w:r>
    </w:p>
    <w:p>
      <w:pPr>
        <w:ind w:left="520" w:right="120" w:hanging="316"/>
        <w:spacing w:after="0" w:line="260" w:lineRule="auto"/>
        <w:tabs>
          <w:tab w:leader="none" w:pos="5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This amount includes the acceleration of the PSU award granted in Fiscal Year 2017 with respect to 50% of the target number of ordinary shares for each performance period multiplied by $252.90, the closing price per ordinary share on October 27, 2017, the last trading day of Fiscal Year 2017.</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Plans Approved by our Shareholders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two equity compensation plans that have been approved by our shareholders: the 2009 Plan and the ESPP.</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Plans Not Approved by our Shareholders</w:t>
      </w:r>
    </w:p>
    <w:p>
      <w:pPr>
        <w:spacing w:after="0" w:line="99"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As at October 29, 2017, we had two equity compensation plans that had not been approved by our shareholders and pursuant to which we may continue to grant equity awards: the LSI Plan, which we assumed in connection with our acquisition of LSI, and the BRCM 2012 Stock Incentive Plan (the “</w:t>
      </w:r>
      <w:r>
        <w:rPr>
          <w:rFonts w:ascii="Arial" w:cs="Arial" w:eastAsia="Arial" w:hAnsi="Arial"/>
          <w:sz w:val="18"/>
          <w:szCs w:val="18"/>
          <w:u w:val="single" w:color="auto"/>
          <w:color w:val="auto"/>
        </w:rPr>
        <w:t>2012 Plan</w:t>
      </w:r>
      <w:r>
        <w:rPr>
          <w:rFonts w:ascii="Arial" w:cs="Arial" w:eastAsia="Arial" w:hAnsi="Arial"/>
          <w:sz w:val="18"/>
          <w:szCs w:val="18"/>
          <w:color w:val="auto"/>
        </w:rPr>
        <w:t>”), which we assumed in connection with our acquisition of BRCM. We have also assumed outstanding equity awards granted under the LSI Plan, the 2012 Plan and under other equity compensation plans or agreements that were assumed by us in connection with our acquisitions of LSI and BRCM and other companies that originally granted those awards.</w:t>
      </w:r>
    </w:p>
    <w:p>
      <w:pPr>
        <w:spacing w:after="0" w:line="149" w:lineRule="exact"/>
        <w:rPr>
          <w:sz w:val="20"/>
          <w:szCs w:val="20"/>
          <w:color w:val="auto"/>
        </w:rPr>
      </w:pPr>
    </w:p>
    <w:p>
      <w:pPr>
        <w:ind w:left="200" w:right="360" w:firstLine="551"/>
        <w:spacing w:after="0"/>
        <w:rPr>
          <w:sz w:val="20"/>
          <w:szCs w:val="20"/>
          <w:color w:val="auto"/>
        </w:rPr>
      </w:pPr>
      <w:r>
        <w:rPr>
          <w:rFonts w:ascii="Arial" w:cs="Arial" w:eastAsia="Arial" w:hAnsi="Arial"/>
          <w:sz w:val="18"/>
          <w:szCs w:val="18"/>
          <w:color w:val="auto"/>
        </w:rPr>
        <w:t>The following table sets forth the number and weighted-average exercise price of ordinary shares to be issued upon exercise of outstanding share options and RSUs, and the number of securities remaining available for future issuance under all of our equity compensation plans, as at October 29, 2017.</w:t>
      </w:r>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420" w:type="dxa"/>
            <w:vAlign w:val="bottom"/>
            <w:shd w:val="clear" w:color="auto" w:fill="7F7F7F"/>
          </w:tcPr>
          <w:p>
            <w:pPr>
              <w:spacing w:after="0"/>
              <w:rPr>
                <w:sz w:val="16"/>
                <w:szCs w:val="16"/>
                <w:color w:val="auto"/>
              </w:rPr>
            </w:pPr>
          </w:p>
        </w:tc>
        <w:tc>
          <w:tcPr>
            <w:tcW w:w="3200" w:type="dxa"/>
            <w:vAlign w:val="bottom"/>
            <w:shd w:val="clear" w:color="auto" w:fill="7F7F7F"/>
          </w:tcPr>
          <w:p>
            <w:pPr>
              <w:spacing w:after="0"/>
              <w:rPr>
                <w:sz w:val="16"/>
                <w:szCs w:val="16"/>
                <w:color w:val="auto"/>
              </w:rPr>
            </w:pPr>
          </w:p>
        </w:tc>
        <w:tc>
          <w:tcPr>
            <w:tcW w:w="1940" w:type="dxa"/>
            <w:vAlign w:val="bottom"/>
            <w:shd w:val="clear" w:color="auto" w:fill="7F7F7F"/>
          </w:tcPr>
          <w:p>
            <w:pPr>
              <w:spacing w:after="0"/>
              <w:rPr>
                <w:sz w:val="16"/>
                <w:szCs w:val="16"/>
                <w:color w:val="auto"/>
              </w:rPr>
            </w:pPr>
          </w:p>
        </w:tc>
        <w:tc>
          <w:tcPr>
            <w:tcW w:w="2460" w:type="dxa"/>
            <w:vAlign w:val="bottom"/>
            <w:shd w:val="clear" w:color="auto" w:fill="7F7F7F"/>
          </w:tcPr>
          <w:p>
            <w:pPr>
              <w:jc w:val="center"/>
              <w:ind w:left="223"/>
              <w:spacing w:after="0"/>
              <w:rPr>
                <w:sz w:val="20"/>
                <w:szCs w:val="20"/>
                <w:color w:val="auto"/>
              </w:rPr>
            </w:pPr>
            <w:r>
              <w:rPr>
                <w:rFonts w:ascii="Arial" w:cs="Arial" w:eastAsia="Arial" w:hAnsi="Arial"/>
                <w:sz w:val="16"/>
                <w:szCs w:val="16"/>
                <w:b w:val="1"/>
                <w:bCs w:val="1"/>
                <w:color w:val="FFFFFF"/>
              </w:rPr>
              <w:t>Number of Ordinary Shares</w:t>
            </w:r>
          </w:p>
        </w:tc>
      </w:tr>
      <w:tr>
        <w:trPr>
          <w:trHeight w:val="189"/>
        </w:trPr>
        <w:tc>
          <w:tcPr>
            <w:tcW w:w="3420" w:type="dxa"/>
            <w:vAlign w:val="bottom"/>
            <w:shd w:val="clear" w:color="auto" w:fill="7F7F7F"/>
          </w:tcPr>
          <w:p>
            <w:pPr>
              <w:spacing w:after="0"/>
              <w:rPr>
                <w:sz w:val="16"/>
                <w:szCs w:val="16"/>
                <w:color w:val="auto"/>
              </w:rPr>
            </w:pPr>
          </w:p>
        </w:tc>
        <w:tc>
          <w:tcPr>
            <w:tcW w:w="3200" w:type="dxa"/>
            <w:vAlign w:val="bottom"/>
            <w:shd w:val="clear" w:color="auto" w:fill="7F7F7F"/>
          </w:tcPr>
          <w:p>
            <w:pPr>
              <w:jc w:val="center"/>
              <w:ind w:left="481"/>
              <w:spacing w:after="0"/>
              <w:rPr>
                <w:sz w:val="20"/>
                <w:szCs w:val="20"/>
                <w:color w:val="auto"/>
              </w:rPr>
            </w:pPr>
            <w:r>
              <w:rPr>
                <w:rFonts w:ascii="Arial" w:cs="Arial" w:eastAsia="Arial" w:hAnsi="Arial"/>
                <w:sz w:val="16"/>
                <w:szCs w:val="16"/>
                <w:b w:val="1"/>
                <w:bCs w:val="1"/>
                <w:color w:val="FFFFFF"/>
              </w:rPr>
              <w:t>Number of Ordinary</w:t>
            </w:r>
          </w:p>
        </w:tc>
        <w:tc>
          <w:tcPr>
            <w:tcW w:w="19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Weighted-Average</w:t>
            </w:r>
          </w:p>
        </w:tc>
        <w:tc>
          <w:tcPr>
            <w:tcW w:w="2460" w:type="dxa"/>
            <w:vAlign w:val="bottom"/>
            <w:shd w:val="clear" w:color="auto" w:fill="7F7F7F"/>
          </w:tcPr>
          <w:p>
            <w:pPr>
              <w:jc w:val="center"/>
              <w:ind w:left="223"/>
              <w:spacing w:after="0"/>
              <w:rPr>
                <w:sz w:val="20"/>
                <w:szCs w:val="20"/>
                <w:color w:val="auto"/>
              </w:rPr>
            </w:pPr>
            <w:r>
              <w:rPr>
                <w:rFonts w:ascii="Arial" w:cs="Arial" w:eastAsia="Arial" w:hAnsi="Arial"/>
                <w:sz w:val="16"/>
                <w:szCs w:val="16"/>
                <w:b w:val="1"/>
                <w:bCs w:val="1"/>
                <w:color w:val="FFFFFF"/>
              </w:rPr>
              <w:t>Remaining Available for</w:t>
            </w:r>
          </w:p>
        </w:tc>
      </w:tr>
      <w:tr>
        <w:trPr>
          <w:trHeight w:val="189"/>
        </w:trPr>
        <w:tc>
          <w:tcPr>
            <w:tcW w:w="3420" w:type="dxa"/>
            <w:vAlign w:val="bottom"/>
            <w:shd w:val="clear" w:color="auto" w:fill="7F7F7F"/>
          </w:tcPr>
          <w:p>
            <w:pPr>
              <w:spacing w:after="0"/>
              <w:rPr>
                <w:sz w:val="16"/>
                <w:szCs w:val="16"/>
                <w:color w:val="auto"/>
              </w:rPr>
            </w:pPr>
          </w:p>
        </w:tc>
        <w:tc>
          <w:tcPr>
            <w:tcW w:w="3200" w:type="dxa"/>
            <w:vAlign w:val="bottom"/>
            <w:shd w:val="clear" w:color="auto" w:fill="7F7F7F"/>
          </w:tcPr>
          <w:p>
            <w:pPr>
              <w:jc w:val="center"/>
              <w:ind w:left="481"/>
              <w:spacing w:after="0"/>
              <w:rPr>
                <w:sz w:val="20"/>
                <w:szCs w:val="20"/>
                <w:color w:val="auto"/>
              </w:rPr>
            </w:pPr>
            <w:r>
              <w:rPr>
                <w:rFonts w:ascii="Arial" w:cs="Arial" w:eastAsia="Arial" w:hAnsi="Arial"/>
                <w:sz w:val="16"/>
                <w:szCs w:val="16"/>
                <w:b w:val="1"/>
                <w:bCs w:val="1"/>
                <w:color w:val="FFFFFF"/>
              </w:rPr>
              <w:t>Shares to be Issued</w:t>
            </w:r>
          </w:p>
        </w:tc>
        <w:tc>
          <w:tcPr>
            <w:tcW w:w="19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Exercise Price of</w:t>
            </w:r>
          </w:p>
        </w:tc>
        <w:tc>
          <w:tcPr>
            <w:tcW w:w="2460" w:type="dxa"/>
            <w:vAlign w:val="bottom"/>
            <w:shd w:val="clear" w:color="auto" w:fill="7F7F7F"/>
          </w:tcPr>
          <w:p>
            <w:pPr>
              <w:jc w:val="center"/>
              <w:ind w:left="223"/>
              <w:spacing w:after="0"/>
              <w:rPr>
                <w:sz w:val="20"/>
                <w:szCs w:val="20"/>
                <w:color w:val="auto"/>
              </w:rPr>
            </w:pPr>
            <w:r>
              <w:rPr>
                <w:rFonts w:ascii="Arial" w:cs="Arial" w:eastAsia="Arial" w:hAnsi="Arial"/>
                <w:sz w:val="16"/>
                <w:szCs w:val="16"/>
                <w:b w:val="1"/>
                <w:bCs w:val="1"/>
                <w:color w:val="FFFFFF"/>
              </w:rPr>
              <w:t>Future Issuance Under</w:t>
            </w:r>
          </w:p>
        </w:tc>
      </w:tr>
      <w:tr>
        <w:trPr>
          <w:trHeight w:val="189"/>
        </w:trPr>
        <w:tc>
          <w:tcPr>
            <w:tcW w:w="3420" w:type="dxa"/>
            <w:vAlign w:val="bottom"/>
            <w:shd w:val="clear" w:color="auto" w:fill="7F7F7F"/>
          </w:tcPr>
          <w:p>
            <w:pPr>
              <w:spacing w:after="0"/>
              <w:rPr>
                <w:sz w:val="16"/>
                <w:szCs w:val="16"/>
                <w:color w:val="auto"/>
              </w:rPr>
            </w:pPr>
          </w:p>
        </w:tc>
        <w:tc>
          <w:tcPr>
            <w:tcW w:w="3200" w:type="dxa"/>
            <w:vAlign w:val="bottom"/>
            <w:shd w:val="clear" w:color="auto" w:fill="7F7F7F"/>
          </w:tcPr>
          <w:p>
            <w:pPr>
              <w:jc w:val="center"/>
              <w:ind w:left="481"/>
              <w:spacing w:after="0"/>
              <w:rPr>
                <w:sz w:val="20"/>
                <w:szCs w:val="20"/>
                <w:color w:val="auto"/>
              </w:rPr>
            </w:pPr>
            <w:r>
              <w:rPr>
                <w:rFonts w:ascii="Arial" w:cs="Arial" w:eastAsia="Arial" w:hAnsi="Arial"/>
                <w:sz w:val="16"/>
                <w:szCs w:val="16"/>
                <w:b w:val="1"/>
                <w:bCs w:val="1"/>
                <w:color w:val="FFFFFF"/>
              </w:rPr>
              <w:t>Upon Exercise of</w:t>
            </w:r>
          </w:p>
        </w:tc>
        <w:tc>
          <w:tcPr>
            <w:tcW w:w="19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Outstanding</w:t>
            </w:r>
          </w:p>
        </w:tc>
        <w:tc>
          <w:tcPr>
            <w:tcW w:w="2460" w:type="dxa"/>
            <w:vAlign w:val="bottom"/>
            <w:shd w:val="clear" w:color="auto" w:fill="7F7F7F"/>
          </w:tcPr>
          <w:p>
            <w:pPr>
              <w:jc w:val="center"/>
              <w:ind w:left="223"/>
              <w:spacing w:after="0"/>
              <w:rPr>
                <w:sz w:val="20"/>
                <w:szCs w:val="20"/>
                <w:color w:val="auto"/>
              </w:rPr>
            </w:pPr>
            <w:r>
              <w:rPr>
                <w:rFonts w:ascii="Arial" w:cs="Arial" w:eastAsia="Arial" w:hAnsi="Arial"/>
                <w:sz w:val="16"/>
                <w:szCs w:val="16"/>
                <w:b w:val="1"/>
                <w:bCs w:val="1"/>
                <w:color w:val="FFFFFF"/>
              </w:rPr>
              <w:t>Equity Compensation</w:t>
            </w:r>
          </w:p>
        </w:tc>
      </w:tr>
      <w:tr>
        <w:trPr>
          <w:trHeight w:val="189"/>
        </w:trPr>
        <w:tc>
          <w:tcPr>
            <w:tcW w:w="3420" w:type="dxa"/>
            <w:vAlign w:val="bottom"/>
            <w:shd w:val="clear" w:color="auto" w:fill="7F7F7F"/>
          </w:tcPr>
          <w:p>
            <w:pPr>
              <w:spacing w:after="0"/>
              <w:rPr>
                <w:sz w:val="16"/>
                <w:szCs w:val="16"/>
                <w:color w:val="auto"/>
              </w:rPr>
            </w:pPr>
          </w:p>
        </w:tc>
        <w:tc>
          <w:tcPr>
            <w:tcW w:w="3200" w:type="dxa"/>
            <w:vAlign w:val="bottom"/>
            <w:shd w:val="clear" w:color="auto" w:fill="7F7F7F"/>
          </w:tcPr>
          <w:p>
            <w:pPr>
              <w:jc w:val="center"/>
              <w:ind w:left="481"/>
              <w:spacing w:after="0"/>
              <w:rPr>
                <w:sz w:val="20"/>
                <w:szCs w:val="20"/>
                <w:color w:val="auto"/>
              </w:rPr>
            </w:pPr>
            <w:r>
              <w:rPr>
                <w:rFonts w:ascii="Arial" w:cs="Arial" w:eastAsia="Arial" w:hAnsi="Arial"/>
                <w:sz w:val="16"/>
                <w:szCs w:val="16"/>
                <w:b w:val="1"/>
                <w:bCs w:val="1"/>
                <w:color w:val="FFFFFF"/>
              </w:rPr>
              <w:t>Outstanding Options,</w:t>
            </w:r>
          </w:p>
        </w:tc>
        <w:tc>
          <w:tcPr>
            <w:tcW w:w="19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Options, Warrants</w:t>
            </w:r>
          </w:p>
        </w:tc>
        <w:tc>
          <w:tcPr>
            <w:tcW w:w="2460" w:type="dxa"/>
            <w:vAlign w:val="bottom"/>
            <w:shd w:val="clear" w:color="auto" w:fill="7F7F7F"/>
          </w:tcPr>
          <w:p>
            <w:pPr>
              <w:jc w:val="center"/>
              <w:ind w:left="223"/>
              <w:spacing w:after="0"/>
              <w:rPr>
                <w:sz w:val="20"/>
                <w:szCs w:val="20"/>
                <w:color w:val="auto"/>
              </w:rPr>
            </w:pPr>
            <w:r>
              <w:rPr>
                <w:rFonts w:ascii="Arial" w:cs="Arial" w:eastAsia="Arial" w:hAnsi="Arial"/>
                <w:sz w:val="16"/>
                <w:szCs w:val="16"/>
                <w:b w:val="1"/>
                <w:bCs w:val="1"/>
                <w:color w:val="FFFFFF"/>
              </w:rPr>
              <w:t>Plans (Excluding Securities</w:t>
            </w:r>
          </w:p>
        </w:tc>
      </w:tr>
      <w:tr>
        <w:trPr>
          <w:trHeight w:val="189"/>
        </w:trPr>
        <w:tc>
          <w:tcPr>
            <w:tcW w:w="3420" w:type="dxa"/>
            <w:vAlign w:val="bottom"/>
            <w:shd w:val="clear" w:color="auto" w:fill="7F7F7F"/>
          </w:tcPr>
          <w:p>
            <w:pPr>
              <w:spacing w:after="0"/>
              <w:rPr>
                <w:sz w:val="16"/>
                <w:szCs w:val="16"/>
                <w:color w:val="auto"/>
              </w:rPr>
            </w:pPr>
          </w:p>
        </w:tc>
        <w:tc>
          <w:tcPr>
            <w:tcW w:w="3200" w:type="dxa"/>
            <w:vAlign w:val="bottom"/>
            <w:shd w:val="clear" w:color="auto" w:fill="7F7F7F"/>
          </w:tcPr>
          <w:p>
            <w:pPr>
              <w:jc w:val="center"/>
              <w:ind w:left="461"/>
              <w:spacing w:after="0"/>
              <w:rPr>
                <w:sz w:val="20"/>
                <w:szCs w:val="20"/>
                <w:color w:val="auto"/>
              </w:rPr>
            </w:pPr>
            <w:r>
              <w:rPr>
                <w:rFonts w:ascii="Arial" w:cs="Arial" w:eastAsia="Arial" w:hAnsi="Arial"/>
                <w:sz w:val="16"/>
                <w:szCs w:val="16"/>
                <w:b w:val="1"/>
                <w:bCs w:val="1"/>
                <w:color w:val="FFFFFF"/>
              </w:rPr>
              <w:t>Warrants and Rights</w:t>
            </w:r>
          </w:p>
        </w:tc>
        <w:tc>
          <w:tcPr>
            <w:tcW w:w="19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and Rights ($)</w:t>
            </w:r>
          </w:p>
        </w:tc>
        <w:tc>
          <w:tcPr>
            <w:tcW w:w="2460" w:type="dxa"/>
            <w:vAlign w:val="bottom"/>
            <w:shd w:val="clear" w:color="auto" w:fill="7F7F7F"/>
          </w:tcPr>
          <w:p>
            <w:pPr>
              <w:jc w:val="center"/>
              <w:ind w:left="203"/>
              <w:spacing w:after="0"/>
              <w:rPr>
                <w:sz w:val="20"/>
                <w:szCs w:val="20"/>
                <w:color w:val="auto"/>
              </w:rPr>
            </w:pPr>
            <w:r>
              <w:rPr>
                <w:rFonts w:ascii="Arial" w:cs="Arial" w:eastAsia="Arial" w:hAnsi="Arial"/>
                <w:sz w:val="16"/>
                <w:szCs w:val="16"/>
                <w:b w:val="1"/>
                <w:bCs w:val="1"/>
                <w:color w:val="FFFFFF"/>
              </w:rPr>
              <w:t>Reflected in Column (a))</w:t>
            </w:r>
          </w:p>
        </w:tc>
      </w:tr>
      <w:tr>
        <w:trPr>
          <w:trHeight w:val="221"/>
        </w:trPr>
        <w:tc>
          <w:tcPr>
            <w:tcW w:w="3420" w:type="dxa"/>
            <w:vAlign w:val="bottom"/>
            <w:shd w:val="clear" w:color="auto" w:fill="7F7F7F"/>
          </w:tcPr>
          <w:p>
            <w:pPr>
              <w:ind w:left="80"/>
              <w:spacing w:after="0"/>
              <w:rPr>
                <w:sz w:val="20"/>
                <w:szCs w:val="20"/>
                <w:color w:val="auto"/>
              </w:rPr>
            </w:pPr>
            <w:r>
              <w:rPr>
                <w:rFonts w:ascii="Arial" w:cs="Arial" w:eastAsia="Arial" w:hAnsi="Arial"/>
                <w:sz w:val="16"/>
                <w:szCs w:val="16"/>
                <w:b w:val="1"/>
                <w:bCs w:val="1"/>
                <w:color w:val="FFFFFF"/>
              </w:rPr>
              <w:t>Plan Category</w:t>
            </w:r>
          </w:p>
        </w:tc>
        <w:tc>
          <w:tcPr>
            <w:tcW w:w="3200" w:type="dxa"/>
            <w:vAlign w:val="bottom"/>
            <w:shd w:val="clear" w:color="auto" w:fill="7F7F7F"/>
          </w:tcPr>
          <w:p>
            <w:pPr>
              <w:jc w:val="center"/>
              <w:ind w:left="481"/>
              <w:spacing w:after="0"/>
              <w:rPr>
                <w:sz w:val="20"/>
                <w:szCs w:val="20"/>
                <w:color w:val="auto"/>
              </w:rPr>
            </w:pPr>
            <w:r>
              <w:rPr>
                <w:rFonts w:ascii="Arial" w:cs="Arial" w:eastAsia="Arial" w:hAnsi="Arial"/>
                <w:sz w:val="16"/>
                <w:szCs w:val="16"/>
                <w:b w:val="1"/>
                <w:bCs w:val="1"/>
                <w:color w:val="FFFFFF"/>
              </w:rPr>
              <w:t>(a)</w:t>
            </w:r>
          </w:p>
        </w:tc>
        <w:tc>
          <w:tcPr>
            <w:tcW w:w="19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(b)</w:t>
            </w:r>
            <w:r>
              <w:rPr>
                <w:rFonts w:ascii="Arial" w:cs="Arial" w:eastAsia="Arial" w:hAnsi="Arial"/>
                <w:sz w:val="13"/>
                <w:szCs w:val="13"/>
                <w:b w:val="1"/>
                <w:bCs w:val="1"/>
                <w:color w:val="FFFFFF"/>
              </w:rPr>
              <w:t>(1)</w:t>
            </w:r>
          </w:p>
        </w:tc>
        <w:tc>
          <w:tcPr>
            <w:tcW w:w="2460" w:type="dxa"/>
            <w:vAlign w:val="bottom"/>
            <w:shd w:val="clear" w:color="auto" w:fill="7F7F7F"/>
          </w:tcPr>
          <w:p>
            <w:pPr>
              <w:jc w:val="center"/>
              <w:ind w:left="223"/>
              <w:spacing w:after="0"/>
              <w:rPr>
                <w:sz w:val="20"/>
                <w:szCs w:val="20"/>
                <w:color w:val="auto"/>
              </w:rPr>
            </w:pPr>
            <w:r>
              <w:rPr>
                <w:rFonts w:ascii="Arial" w:cs="Arial" w:eastAsia="Arial" w:hAnsi="Arial"/>
                <w:sz w:val="16"/>
                <w:szCs w:val="16"/>
                <w:b w:val="1"/>
                <w:bCs w:val="1"/>
                <w:color w:val="FFFFFF"/>
              </w:rPr>
              <w:t>(c)</w:t>
            </w:r>
          </w:p>
        </w:tc>
      </w:tr>
      <w:tr>
        <w:trPr>
          <w:trHeight w:val="191"/>
        </w:trPr>
        <w:tc>
          <w:tcPr>
            <w:tcW w:w="3420" w:type="dxa"/>
            <w:vAlign w:val="bottom"/>
          </w:tcPr>
          <w:p>
            <w:pPr>
              <w:ind w:left="80"/>
              <w:spacing w:after="0"/>
              <w:rPr>
                <w:sz w:val="20"/>
                <w:szCs w:val="20"/>
                <w:color w:val="auto"/>
              </w:rPr>
            </w:pPr>
            <w:r>
              <w:rPr>
                <w:rFonts w:ascii="Arial" w:cs="Arial" w:eastAsia="Arial" w:hAnsi="Arial"/>
                <w:sz w:val="16"/>
                <w:szCs w:val="16"/>
                <w:color w:val="auto"/>
              </w:rPr>
              <w:t>Equity Compensation plans</w:t>
            </w:r>
          </w:p>
        </w:tc>
        <w:tc>
          <w:tcPr>
            <w:tcW w:w="3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01"/>
        </w:trPr>
        <w:tc>
          <w:tcPr>
            <w:tcW w:w="3420" w:type="dxa"/>
            <w:vAlign w:val="bottom"/>
          </w:tcPr>
          <w:p>
            <w:pPr>
              <w:ind w:left="80"/>
              <w:spacing w:after="0"/>
              <w:rPr>
                <w:sz w:val="20"/>
                <w:szCs w:val="20"/>
                <w:color w:val="auto"/>
              </w:rPr>
            </w:pPr>
            <w:r>
              <w:rPr>
                <w:rFonts w:ascii="Arial" w:cs="Arial" w:eastAsia="Arial" w:hAnsi="Arial"/>
                <w:sz w:val="16"/>
                <w:szCs w:val="16"/>
                <w:color w:val="auto"/>
              </w:rPr>
              <w:t>approve by shareholders</w:t>
            </w:r>
          </w:p>
        </w:tc>
        <w:tc>
          <w:tcPr>
            <w:tcW w:w="3200" w:type="dxa"/>
            <w:vAlign w:val="bottom"/>
          </w:tcPr>
          <w:p>
            <w:pPr>
              <w:ind w:left="1900"/>
              <w:spacing w:after="0" w:line="201" w:lineRule="exact"/>
              <w:rPr>
                <w:sz w:val="20"/>
                <w:szCs w:val="20"/>
                <w:color w:val="auto"/>
              </w:rPr>
            </w:pPr>
            <w:r>
              <w:rPr>
                <w:rFonts w:ascii="Arial" w:cs="Arial" w:eastAsia="Arial" w:hAnsi="Arial"/>
                <w:sz w:val="14"/>
                <w:szCs w:val="14"/>
                <w:color w:val="auto"/>
              </w:rPr>
              <w:t xml:space="preserve">14,711,780 </w:t>
            </w:r>
            <w:r>
              <w:rPr>
                <w:rFonts w:ascii="Arial" w:cs="Arial" w:eastAsia="Arial" w:hAnsi="Arial"/>
                <w:sz w:val="23"/>
                <w:szCs w:val="23"/>
                <w:color w:val="auto"/>
                <w:vertAlign w:val="superscript"/>
              </w:rPr>
              <w:t>(2)</w:t>
            </w:r>
          </w:p>
        </w:tc>
        <w:tc>
          <w:tcPr>
            <w:tcW w:w="1940" w:type="dxa"/>
            <w:vAlign w:val="bottom"/>
          </w:tcPr>
          <w:p>
            <w:pPr>
              <w:jc w:val="right"/>
              <w:ind w:right="219"/>
              <w:spacing w:after="0"/>
              <w:rPr>
                <w:sz w:val="20"/>
                <w:szCs w:val="20"/>
                <w:color w:val="auto"/>
              </w:rPr>
            </w:pPr>
            <w:r>
              <w:rPr>
                <w:rFonts w:ascii="Arial" w:cs="Arial" w:eastAsia="Arial" w:hAnsi="Arial"/>
                <w:sz w:val="16"/>
                <w:szCs w:val="16"/>
                <w:color w:val="auto"/>
              </w:rPr>
              <w:t>$46.26</w:t>
            </w:r>
          </w:p>
        </w:tc>
        <w:tc>
          <w:tcPr>
            <w:tcW w:w="2460" w:type="dxa"/>
            <w:vAlign w:val="bottom"/>
          </w:tcPr>
          <w:p>
            <w:pPr>
              <w:jc w:val="right"/>
              <w:ind w:right="423"/>
              <w:spacing w:after="0" w:line="201" w:lineRule="exact"/>
              <w:rPr>
                <w:sz w:val="20"/>
                <w:szCs w:val="20"/>
                <w:color w:val="auto"/>
              </w:rPr>
            </w:pPr>
            <w:r>
              <w:rPr>
                <w:rFonts w:ascii="Arial" w:cs="Arial" w:eastAsia="Arial" w:hAnsi="Arial"/>
                <w:sz w:val="14"/>
                <w:szCs w:val="14"/>
                <w:color w:val="auto"/>
              </w:rPr>
              <w:t xml:space="preserve">19,016,705 </w:t>
            </w:r>
            <w:r>
              <w:rPr>
                <w:rFonts w:ascii="Arial" w:cs="Arial" w:eastAsia="Arial" w:hAnsi="Arial"/>
                <w:sz w:val="23"/>
                <w:szCs w:val="23"/>
                <w:color w:val="auto"/>
                <w:vertAlign w:val="superscript"/>
              </w:rPr>
              <w:t>(3)</w:t>
            </w:r>
          </w:p>
        </w:tc>
      </w:tr>
      <w:tr>
        <w:trPr>
          <w:trHeight w:val="191"/>
        </w:trPr>
        <w:tc>
          <w:tcPr>
            <w:tcW w:w="3420" w:type="dxa"/>
            <w:vAlign w:val="bottom"/>
            <w:shd w:val="clear" w:color="auto" w:fill="BFBFBF"/>
          </w:tcPr>
          <w:p>
            <w:pPr>
              <w:ind w:left="80"/>
              <w:spacing w:after="0"/>
              <w:rPr>
                <w:sz w:val="20"/>
                <w:szCs w:val="20"/>
                <w:color w:val="auto"/>
              </w:rPr>
            </w:pPr>
            <w:r>
              <w:rPr>
                <w:rFonts w:ascii="Arial" w:cs="Arial" w:eastAsia="Arial" w:hAnsi="Arial"/>
                <w:sz w:val="16"/>
                <w:szCs w:val="16"/>
                <w:color w:val="auto"/>
              </w:rPr>
              <w:t>Employee stock purchase plans</w:t>
            </w:r>
          </w:p>
        </w:tc>
        <w:tc>
          <w:tcPr>
            <w:tcW w:w="3200" w:type="dxa"/>
            <w:vAlign w:val="bottom"/>
            <w:shd w:val="clear" w:color="auto" w:fill="BFBFBF"/>
          </w:tcPr>
          <w:p>
            <w:pPr>
              <w:spacing w:after="0"/>
              <w:rPr>
                <w:sz w:val="16"/>
                <w:szCs w:val="16"/>
                <w:color w:val="auto"/>
              </w:rPr>
            </w:pPr>
          </w:p>
        </w:tc>
        <w:tc>
          <w:tcPr>
            <w:tcW w:w="1940" w:type="dxa"/>
            <w:vAlign w:val="bottom"/>
            <w:shd w:val="clear" w:color="auto" w:fill="BFBFBF"/>
          </w:tcPr>
          <w:p>
            <w:pPr>
              <w:spacing w:after="0"/>
              <w:rPr>
                <w:sz w:val="16"/>
                <w:szCs w:val="16"/>
                <w:color w:val="auto"/>
              </w:rPr>
            </w:pPr>
          </w:p>
        </w:tc>
        <w:tc>
          <w:tcPr>
            <w:tcW w:w="2460" w:type="dxa"/>
            <w:vAlign w:val="bottom"/>
            <w:shd w:val="clear" w:color="auto" w:fill="BFBFBF"/>
          </w:tcPr>
          <w:p>
            <w:pPr>
              <w:spacing w:after="0"/>
              <w:rPr>
                <w:sz w:val="16"/>
                <w:szCs w:val="16"/>
                <w:color w:val="auto"/>
              </w:rPr>
            </w:pPr>
          </w:p>
        </w:tc>
      </w:tr>
      <w:tr>
        <w:trPr>
          <w:trHeight w:val="201"/>
        </w:trPr>
        <w:tc>
          <w:tcPr>
            <w:tcW w:w="3420" w:type="dxa"/>
            <w:vAlign w:val="bottom"/>
            <w:shd w:val="clear" w:color="auto" w:fill="BFBFBF"/>
          </w:tcPr>
          <w:p>
            <w:pPr>
              <w:ind w:left="80"/>
              <w:spacing w:after="0"/>
              <w:rPr>
                <w:sz w:val="20"/>
                <w:szCs w:val="20"/>
                <w:color w:val="auto"/>
              </w:rPr>
            </w:pPr>
            <w:r>
              <w:rPr>
                <w:rFonts w:ascii="Arial" w:cs="Arial" w:eastAsia="Arial" w:hAnsi="Arial"/>
                <w:sz w:val="16"/>
                <w:szCs w:val="16"/>
                <w:color w:val="auto"/>
              </w:rPr>
              <w:t>approved by shareholders</w:t>
            </w:r>
          </w:p>
        </w:tc>
        <w:tc>
          <w:tcPr>
            <w:tcW w:w="3200" w:type="dxa"/>
            <w:vAlign w:val="bottom"/>
            <w:shd w:val="clear" w:color="auto" w:fill="BFBFBF"/>
          </w:tcPr>
          <w:p>
            <w:pPr>
              <w:spacing w:after="0"/>
              <w:rPr>
                <w:sz w:val="17"/>
                <w:szCs w:val="17"/>
                <w:color w:val="auto"/>
              </w:rPr>
            </w:pPr>
          </w:p>
        </w:tc>
        <w:tc>
          <w:tcPr>
            <w:tcW w:w="1940" w:type="dxa"/>
            <w:vAlign w:val="bottom"/>
            <w:shd w:val="clear" w:color="auto" w:fill="BFBFBF"/>
          </w:tcPr>
          <w:p>
            <w:pPr>
              <w:spacing w:after="0"/>
              <w:rPr>
                <w:sz w:val="17"/>
                <w:szCs w:val="17"/>
                <w:color w:val="auto"/>
              </w:rPr>
            </w:pPr>
          </w:p>
        </w:tc>
        <w:tc>
          <w:tcPr>
            <w:tcW w:w="2460" w:type="dxa"/>
            <w:vAlign w:val="bottom"/>
            <w:shd w:val="clear" w:color="auto" w:fill="BFBFBF"/>
          </w:tcPr>
          <w:p>
            <w:pPr>
              <w:jc w:val="right"/>
              <w:ind w:right="423"/>
              <w:spacing w:after="0" w:line="201" w:lineRule="exact"/>
              <w:rPr>
                <w:sz w:val="20"/>
                <w:szCs w:val="20"/>
                <w:color w:val="auto"/>
              </w:rPr>
            </w:pPr>
            <w:r>
              <w:rPr>
                <w:rFonts w:ascii="Arial" w:cs="Arial" w:eastAsia="Arial" w:hAnsi="Arial"/>
                <w:sz w:val="14"/>
                <w:szCs w:val="14"/>
                <w:color w:val="auto"/>
              </w:rPr>
              <w:t xml:space="preserve">7,962,854 </w:t>
            </w:r>
            <w:r>
              <w:rPr>
                <w:rFonts w:ascii="Arial" w:cs="Arial" w:eastAsia="Arial" w:hAnsi="Arial"/>
                <w:sz w:val="23"/>
                <w:szCs w:val="23"/>
                <w:color w:val="auto"/>
                <w:vertAlign w:val="superscript"/>
              </w:rPr>
              <w:t>(4)</w:t>
            </w:r>
          </w:p>
        </w:tc>
      </w:tr>
      <w:tr>
        <w:trPr>
          <w:trHeight w:val="191"/>
        </w:trPr>
        <w:tc>
          <w:tcPr>
            <w:tcW w:w="3420" w:type="dxa"/>
            <w:vAlign w:val="bottom"/>
          </w:tcPr>
          <w:p>
            <w:pPr>
              <w:ind w:left="80"/>
              <w:spacing w:after="0"/>
              <w:rPr>
                <w:sz w:val="20"/>
                <w:szCs w:val="20"/>
                <w:color w:val="auto"/>
              </w:rPr>
            </w:pPr>
            <w:r>
              <w:rPr>
                <w:rFonts w:ascii="Arial" w:cs="Arial" w:eastAsia="Arial" w:hAnsi="Arial"/>
                <w:sz w:val="16"/>
                <w:szCs w:val="16"/>
                <w:color w:val="auto"/>
              </w:rPr>
              <w:t>Equity compensation plans not</w:t>
            </w:r>
          </w:p>
        </w:tc>
        <w:tc>
          <w:tcPr>
            <w:tcW w:w="3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01"/>
        </w:trPr>
        <w:tc>
          <w:tcPr>
            <w:tcW w:w="3420" w:type="dxa"/>
            <w:vAlign w:val="bottom"/>
          </w:tcPr>
          <w:p>
            <w:pPr>
              <w:ind w:left="80"/>
              <w:spacing w:after="0"/>
              <w:rPr>
                <w:sz w:val="20"/>
                <w:szCs w:val="20"/>
                <w:color w:val="auto"/>
              </w:rPr>
            </w:pPr>
            <w:r>
              <w:rPr>
                <w:rFonts w:ascii="Arial" w:cs="Arial" w:eastAsia="Arial" w:hAnsi="Arial"/>
                <w:sz w:val="16"/>
                <w:szCs w:val="16"/>
                <w:color w:val="auto"/>
              </w:rPr>
              <w:t>approved by shareholders</w:t>
            </w:r>
          </w:p>
        </w:tc>
        <w:tc>
          <w:tcPr>
            <w:tcW w:w="3200" w:type="dxa"/>
            <w:vAlign w:val="bottom"/>
          </w:tcPr>
          <w:p>
            <w:pPr>
              <w:ind w:left="1900"/>
              <w:spacing w:after="0" w:line="201" w:lineRule="exact"/>
              <w:rPr>
                <w:sz w:val="20"/>
                <w:szCs w:val="20"/>
                <w:color w:val="auto"/>
              </w:rPr>
            </w:pPr>
            <w:r>
              <w:rPr>
                <w:rFonts w:ascii="Arial" w:cs="Arial" w:eastAsia="Arial" w:hAnsi="Arial"/>
                <w:sz w:val="14"/>
                <w:szCs w:val="14"/>
                <w:color w:val="auto"/>
              </w:rPr>
              <w:t xml:space="preserve">13,717,730 </w:t>
            </w:r>
            <w:r>
              <w:rPr>
                <w:rFonts w:ascii="Arial" w:cs="Arial" w:eastAsia="Arial" w:hAnsi="Arial"/>
                <w:sz w:val="23"/>
                <w:szCs w:val="23"/>
                <w:color w:val="auto"/>
                <w:vertAlign w:val="superscript"/>
              </w:rPr>
              <w:t>(5)</w:t>
            </w:r>
          </w:p>
        </w:tc>
        <w:tc>
          <w:tcPr>
            <w:tcW w:w="1940" w:type="dxa"/>
            <w:vAlign w:val="bottom"/>
          </w:tcPr>
          <w:p>
            <w:pPr>
              <w:jc w:val="right"/>
              <w:ind w:right="219"/>
              <w:spacing w:after="0"/>
              <w:rPr>
                <w:sz w:val="20"/>
                <w:szCs w:val="20"/>
                <w:color w:val="auto"/>
              </w:rPr>
            </w:pPr>
            <w:r>
              <w:rPr>
                <w:rFonts w:ascii="Arial" w:cs="Arial" w:eastAsia="Arial" w:hAnsi="Arial"/>
                <w:sz w:val="16"/>
                <w:szCs w:val="16"/>
                <w:color w:val="auto"/>
              </w:rPr>
              <w:t>$73.32</w:t>
            </w:r>
          </w:p>
        </w:tc>
        <w:tc>
          <w:tcPr>
            <w:tcW w:w="2460" w:type="dxa"/>
            <w:vAlign w:val="bottom"/>
          </w:tcPr>
          <w:p>
            <w:pPr>
              <w:jc w:val="right"/>
              <w:ind w:right="343"/>
              <w:spacing w:after="0" w:line="201" w:lineRule="exact"/>
              <w:rPr>
                <w:sz w:val="20"/>
                <w:szCs w:val="20"/>
                <w:color w:val="auto"/>
              </w:rPr>
            </w:pPr>
            <w:r>
              <w:rPr>
                <w:rFonts w:ascii="Arial" w:cs="Arial" w:eastAsia="Arial" w:hAnsi="Arial"/>
                <w:sz w:val="14"/>
                <w:szCs w:val="14"/>
                <w:color w:val="auto"/>
              </w:rPr>
              <w:t xml:space="preserve">85,743,067 </w:t>
            </w:r>
            <w:r>
              <w:rPr>
                <w:rFonts w:ascii="Arial" w:cs="Arial" w:eastAsia="Arial" w:hAnsi="Arial"/>
                <w:sz w:val="23"/>
                <w:szCs w:val="23"/>
                <w:color w:val="auto"/>
                <w:vertAlign w:val="superscript"/>
              </w:rPr>
              <w:t>(6)(7)</w:t>
            </w:r>
          </w:p>
        </w:tc>
      </w:tr>
      <w:tr>
        <w:trPr>
          <w:trHeight w:val="189"/>
        </w:trPr>
        <w:tc>
          <w:tcPr>
            <w:tcW w:w="3420" w:type="dxa"/>
            <w:vAlign w:val="bottom"/>
            <w:shd w:val="clear" w:color="auto" w:fill="BFBFBF"/>
          </w:tcPr>
          <w:p>
            <w:pPr>
              <w:ind w:left="80"/>
              <w:spacing w:after="0"/>
              <w:rPr>
                <w:sz w:val="20"/>
                <w:szCs w:val="20"/>
                <w:color w:val="auto"/>
              </w:rPr>
            </w:pPr>
            <w:r>
              <w:rPr>
                <w:rFonts w:ascii="Arial" w:cs="Arial" w:eastAsia="Arial" w:hAnsi="Arial"/>
                <w:sz w:val="16"/>
                <w:szCs w:val="16"/>
                <w:b w:val="1"/>
                <w:bCs w:val="1"/>
                <w:color w:val="auto"/>
              </w:rPr>
              <w:t>Total</w:t>
            </w:r>
          </w:p>
        </w:tc>
        <w:tc>
          <w:tcPr>
            <w:tcW w:w="3200" w:type="dxa"/>
            <w:vAlign w:val="bottom"/>
            <w:shd w:val="clear" w:color="auto" w:fill="BFBFBF"/>
          </w:tcPr>
          <w:p>
            <w:pPr>
              <w:ind w:left="1900"/>
              <w:spacing w:after="0"/>
              <w:rPr>
                <w:sz w:val="20"/>
                <w:szCs w:val="20"/>
                <w:color w:val="auto"/>
              </w:rPr>
            </w:pPr>
            <w:r>
              <w:rPr>
                <w:rFonts w:ascii="Arial" w:cs="Arial" w:eastAsia="Arial" w:hAnsi="Arial"/>
                <w:sz w:val="16"/>
                <w:szCs w:val="16"/>
                <w:b w:val="1"/>
                <w:bCs w:val="1"/>
                <w:color w:val="auto"/>
              </w:rPr>
              <w:t>28,429,510</w:t>
            </w:r>
          </w:p>
        </w:tc>
        <w:tc>
          <w:tcPr>
            <w:tcW w:w="1940" w:type="dxa"/>
            <w:vAlign w:val="bottom"/>
            <w:shd w:val="clear" w:color="auto" w:fill="BFBFBF"/>
          </w:tcPr>
          <w:p>
            <w:pPr>
              <w:jc w:val="right"/>
              <w:ind w:right="219"/>
              <w:spacing w:after="0"/>
              <w:rPr>
                <w:sz w:val="20"/>
                <w:szCs w:val="20"/>
                <w:color w:val="auto"/>
              </w:rPr>
            </w:pPr>
            <w:r>
              <w:rPr>
                <w:rFonts w:ascii="Arial" w:cs="Arial" w:eastAsia="Arial" w:hAnsi="Arial"/>
                <w:sz w:val="16"/>
                <w:szCs w:val="16"/>
                <w:color w:val="auto"/>
              </w:rPr>
              <w:t>$49.54</w:t>
            </w:r>
          </w:p>
        </w:tc>
        <w:tc>
          <w:tcPr>
            <w:tcW w:w="2460" w:type="dxa"/>
            <w:vAlign w:val="bottom"/>
            <w:shd w:val="clear" w:color="auto" w:fill="BFBFBF"/>
          </w:tcPr>
          <w:p>
            <w:pPr>
              <w:jc w:val="right"/>
              <w:ind w:right="343"/>
              <w:spacing w:after="0" w:line="189" w:lineRule="exact"/>
              <w:rPr>
                <w:sz w:val="20"/>
                <w:szCs w:val="20"/>
                <w:color w:val="auto"/>
              </w:rPr>
            </w:pPr>
            <w:r>
              <w:rPr>
                <w:rFonts w:ascii="Arial" w:cs="Arial" w:eastAsia="Arial" w:hAnsi="Arial"/>
                <w:sz w:val="13"/>
                <w:szCs w:val="13"/>
                <w:b w:val="1"/>
                <w:bCs w:val="1"/>
                <w:color w:val="auto"/>
              </w:rPr>
              <w:t xml:space="preserve">112,722,626 </w:t>
            </w:r>
            <w:r>
              <w:rPr>
                <w:rFonts w:ascii="Arial" w:cs="Arial" w:eastAsia="Arial" w:hAnsi="Arial"/>
                <w:sz w:val="21"/>
                <w:szCs w:val="21"/>
                <w:b w:val="1"/>
                <w:bCs w:val="1"/>
                <w:color w:val="auto"/>
                <w:vertAlign w:val="superscript"/>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85725</wp:posOffset>
            </wp:positionV>
            <wp:extent cx="14662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7" w:lineRule="exact"/>
        <w:rPr>
          <w:sz w:val="20"/>
          <w:szCs w:val="20"/>
          <w:color w:val="auto"/>
        </w:rPr>
      </w:pPr>
    </w:p>
    <w:p>
      <w:pPr>
        <w:ind w:left="740" w:right="320" w:hanging="428"/>
        <w:spacing w:after="0" w:line="246"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Ordinary shares issuable upon vesting of RSUs have been excluded from the calculation of the weighted average exercise price because they have no exercise price associated with them.</w:t>
      </w:r>
    </w:p>
    <w:p>
      <w:pPr>
        <w:jc w:val="both"/>
        <w:ind w:left="740" w:right="300" w:hanging="428"/>
        <w:spacing w:after="0" w:line="246"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9,156,544 ordinary shares subject to outstanding share options and 5,555,236 ordinary shares that may be issued upon vesting of outstanding RSUs (including PSUs assuming the maximum performance level), in each case pursuant to equity awards issued under the 2009 Plan.</w:t>
      </w:r>
    </w:p>
    <w:p>
      <w:pPr>
        <w:spacing w:after="0" w:line="1" w:lineRule="exact"/>
        <w:rPr>
          <w:rFonts w:ascii="Arial" w:cs="Arial" w:eastAsia="Arial" w:hAnsi="Arial"/>
          <w:sz w:val="16"/>
          <w:szCs w:val="16"/>
          <w:color w:val="auto"/>
        </w:rPr>
      </w:pPr>
    </w:p>
    <w:p>
      <w:pPr>
        <w:ind w:left="740" w:right="80" w:hanging="428"/>
        <w:spacing w:after="0" w:line="246"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2009 Plan has an automatic annual share renewal formula pursuant to which the aggregate number of ordinary shares available for issuance under the 2009 Plan increases automatically on the first day each fiscal year by the least of (i) 6,000,000 ordinary shares, (ii) 3% of the ordinary shares outstanding on the last day of the immediately preceding fiscal year and (iii) such smaller number of ordinary shares as determined by our Board. In accordance with this formula, on October 30, 2017 (the first day of our Fiscal Year 2018), the number of ordinary shares available for future issuance under the 2009 Plan increased by 6,000,000 ordinary shares, which is not reflected in the table.</w:t>
      </w:r>
    </w:p>
    <w:p>
      <w:pPr>
        <w:spacing w:after="0" w:line="2" w:lineRule="exact"/>
        <w:rPr>
          <w:rFonts w:ascii="Arial" w:cs="Arial" w:eastAsia="Arial" w:hAnsi="Arial"/>
          <w:sz w:val="16"/>
          <w:szCs w:val="16"/>
          <w:color w:val="auto"/>
        </w:rPr>
      </w:pPr>
    </w:p>
    <w:p>
      <w:pPr>
        <w:ind w:left="740" w:right="120" w:hanging="428"/>
        <w:spacing w:after="0" w:line="246"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ESPP has an automatic annual share renewal formula pursuant to which the aggregate number of ordinary shares available for issuance under the ESPP increases automatically on the first day each fiscal year by the least of (i) 2 million ordinary shares, (ii) 1% of the ordinary shares outstanding on the last day of the immediately preceding fiscal year and (iii) such smaller number of ordinary shares as determined by our Board. Our Board determined not to increase the number of ordinary shares available for issuance under the ESPP for Fiscal Year 2018.</w:t>
      </w:r>
    </w:p>
    <w:p>
      <w:pPr>
        <w:spacing w:after="0" w:line="1" w:lineRule="exact"/>
        <w:rPr>
          <w:rFonts w:ascii="Arial" w:cs="Arial" w:eastAsia="Arial" w:hAnsi="Arial"/>
          <w:sz w:val="16"/>
          <w:szCs w:val="16"/>
          <w:color w:val="auto"/>
        </w:rPr>
      </w:pPr>
    </w:p>
    <w:p>
      <w:pPr>
        <w:ind w:left="740" w:right="100" w:hanging="428"/>
        <w:spacing w:after="0" w:line="253"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(i) 1,260,770 ordinary shares subject to options and 2,078,798 ordinary shares that may be issued upon vesting of RSUs, all of which were awarded under the LSI Plan, (ii) 10,369,624 ordinary shares that may be issued upon vesting of RSUs (including PSUs assuming the maximum performance level), all of which were awarded under</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740"/>
        <w:spacing w:after="0" w:line="246" w:lineRule="auto"/>
        <w:rPr>
          <w:sz w:val="20"/>
          <w:szCs w:val="20"/>
          <w:color w:val="auto"/>
        </w:rPr>
      </w:pPr>
      <w:r>
        <w:rPr>
          <w:rFonts w:ascii="Arial" w:cs="Arial" w:eastAsia="Arial" w:hAnsi="Arial"/>
          <w:sz w:val="16"/>
          <w:szCs w:val="16"/>
          <w:color w:val="auto"/>
        </w:rPr>
        <w:t>the 2012 Plan, and (iii) 814 ordinary shares subject to share options and 7,724 ordinary shares that may be issued upon vesting of RSUs issued pursuant to other equity compensation plans and agreements assumed by us in connection with our acquisition of LSI, BRCM and other companies that originally established those plans or agreements.</w:t>
      </w:r>
    </w:p>
    <w:p>
      <w:pPr>
        <w:spacing w:after="0" w:line="1" w:lineRule="exact"/>
        <w:rPr>
          <w:sz w:val="20"/>
          <w:szCs w:val="20"/>
          <w:color w:val="auto"/>
        </w:rPr>
      </w:pPr>
    </w:p>
    <w:p>
      <w:pPr>
        <w:ind w:left="740" w:right="200" w:hanging="428"/>
        <w:spacing w:after="0" w:line="246" w:lineRule="auto"/>
        <w:tabs>
          <w:tab w:leader="none" w:pos="7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ordinary shares available for issuance under the LSI Plan and the 2012 Plan, of which 1,448,137 ordinary shares and 81,930,261 ordinary shares, respectively, may be used for RSU awards.</w:t>
      </w:r>
    </w:p>
    <w:p>
      <w:pPr>
        <w:ind w:left="740" w:right="100" w:hanging="428"/>
        <w:spacing w:after="0" w:line="251" w:lineRule="auto"/>
        <w:tabs>
          <w:tab w:leader="none" w:pos="7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2012 Plan has an automatic annual share renewal provision pursuant to which the aggregate number of ordinary shares available for issuance under the 2012 Plan increases automatically on the first trading day of January each calendar year by 12,195,965 ordinary shares. In accordance with this provision, on January 2, 2018 (the first trading day in January 2018), the number of ordinary shares available for future issuance under the 2012 Plan increased by 12,195,965 ordinary shares, which is not reflected in the table.</w:t>
      </w:r>
    </w:p>
    <w:p>
      <w:pPr>
        <w:spacing w:after="0" w:line="146"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For additional information regarding our equity compensation plans, please refer to Note 9 of Notes to Consolidated Financial Statements included in Part II, Item 8 of our 2017 Form 10-K.</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60"/>
          </w:cols>
          <w:pgMar w:left="240" w:top="459" w:right="5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AUDIT COMMITTEE REPORT</w:t>
      </w:r>
    </w:p>
    <w:p>
      <w:pPr>
        <w:spacing w:after="0" w:line="18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The Audit Committee is responsible for assisting the Board of Directors with its oversight responsibilities regarding the following:</w:t>
      </w:r>
    </w:p>
    <w:p>
      <w:pPr>
        <w:spacing w:after="0" w:line="77" w:lineRule="exact"/>
        <w:rPr>
          <w:sz w:val="20"/>
          <w:szCs w:val="20"/>
          <w:color w:val="auto"/>
        </w:rPr>
      </w:pPr>
    </w:p>
    <w:p>
      <w:pPr>
        <w:ind w:left="1280" w:hanging="428"/>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quality and integrity of Broadcom Limited’s (the “</w:t>
      </w:r>
      <w:r>
        <w:rPr>
          <w:rFonts w:ascii="Arial" w:cs="Arial" w:eastAsia="Arial" w:hAnsi="Arial"/>
          <w:sz w:val="18"/>
          <w:szCs w:val="18"/>
          <w:u w:val="single" w:color="auto"/>
          <w:color w:val="auto"/>
        </w:rPr>
        <w:t>Company</w:t>
      </w:r>
      <w:r>
        <w:rPr>
          <w:rFonts w:ascii="Arial" w:cs="Arial" w:eastAsia="Arial" w:hAnsi="Arial"/>
          <w:sz w:val="18"/>
          <w:szCs w:val="18"/>
          <w:color w:val="auto"/>
        </w:rPr>
        <w:t>”) financial statements and internal controls;</w:t>
      </w:r>
    </w:p>
    <w:p>
      <w:pPr>
        <w:spacing w:after="0" w:line="76" w:lineRule="exact"/>
        <w:rPr>
          <w:rFonts w:ascii="Arial" w:cs="Arial" w:eastAsia="Arial" w:hAnsi="Arial"/>
          <w:sz w:val="18"/>
          <w:szCs w:val="18"/>
          <w:color w:val="auto"/>
        </w:rPr>
      </w:pPr>
    </w:p>
    <w:p>
      <w:pPr>
        <w:ind w:left="1280" w:right="60" w:hanging="428"/>
        <w:spacing w:after="0" w:line="246" w:lineRule="auto"/>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appointment, compensation, retention, qualifications and independence of the Company’s independent registered public accounting firm;</w:t>
      </w:r>
    </w:p>
    <w:p>
      <w:pPr>
        <w:spacing w:after="0" w:line="61" w:lineRule="exact"/>
        <w:rPr>
          <w:rFonts w:ascii="Arial" w:cs="Arial" w:eastAsia="Arial" w:hAnsi="Arial"/>
          <w:sz w:val="18"/>
          <w:szCs w:val="18"/>
          <w:color w:val="auto"/>
        </w:rPr>
      </w:pPr>
    </w:p>
    <w:p>
      <w:pPr>
        <w:ind w:left="1280" w:hanging="428"/>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independent registered public accounting firm;</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 and</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158"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In fulfilling its oversight responsibilities, the Audit Committee reviewed and discussed the Company’s financial statements for the fiscal year ended October 29, 2017 (“</w:t>
      </w:r>
      <w:r>
        <w:rPr>
          <w:rFonts w:ascii="Arial" w:cs="Arial" w:eastAsia="Arial" w:hAnsi="Arial"/>
          <w:sz w:val="18"/>
          <w:szCs w:val="18"/>
          <w:u w:val="single" w:color="auto"/>
          <w:color w:val="auto"/>
        </w:rPr>
        <w:t>Fiscal Year 2017</w:t>
      </w:r>
      <w:r>
        <w:rPr>
          <w:rFonts w:ascii="Arial" w:cs="Arial" w:eastAsia="Arial" w:hAnsi="Arial"/>
          <w:sz w:val="18"/>
          <w:szCs w:val="18"/>
          <w:color w:val="auto"/>
        </w:rPr>
        <w:t>”) with the Company’s management and PricewaterhouseCoopers LLP, the Company’s independent registered public accounting firm. In addition, the Audit Committee has discussed with PricewaterhouseCoopers LLP, with and without management present, the Company’s internal controls over financial reporting and overall quality of the Company’s financial reporting. The Audit Committee also discussed with PricewaterhouseCoopers LLP the matters required to be discussed by Auditing Standard No. 1301, “Communications with Audit Committees,” issued by the Public Company Accounting Oversight Board. The Audit Committee also received the written disclosures and the letter from PricewaterhouseCoopers LLP required by the applicable requirements of the Public Company Accounting Oversight Board regarding the independent accountant’s communications with the Audit Committee concerning independence, and has discussed the independence of PricewaterhouseCoopers LLP with that firm. The Audit Committee’s policy is to pre-approve all audit and permissible non-audit services provided by the Company’s independent registered public accounting firm. All audit and non-audit services performed by our independent registered public accounting firm during Fiscal Year 2017 were pre-approved by the Audit Committee in accordance with established procedures.</w:t>
      </w:r>
    </w:p>
    <w:p>
      <w:pPr>
        <w:spacing w:after="0" w:line="151"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Based on the Audit Committee’s review and discussions noted above, as well as such other matters deemed relevant and appropriate by the Audit Committee, the Audit Committee recommended to the Board that the audited financial statements for Fiscal Year 2017 be included in the Company’s Annual Report on Form 10-K for Fiscal Year 2017 for filing with the Securities and Exchange Commission.</w:t>
      </w:r>
    </w:p>
    <w:p>
      <w:pPr>
        <w:spacing w:after="0" w:line="148"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The Audit Committee and the Board of Directors have approved, subject to shareholder approval, the selection of PricewaterhouseCoopers LLP as the Company’s independent registered public accounting firm and independent Singapore auditor for the fiscal year ending November 4, 2018.</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Donald Macleod, Chairperson</w:t>
      </w:r>
    </w:p>
    <w:p>
      <w:pPr>
        <w:ind w:left="200"/>
        <w:spacing w:after="0" w:line="237" w:lineRule="auto"/>
        <w:rPr>
          <w:sz w:val="20"/>
          <w:szCs w:val="20"/>
          <w:color w:val="auto"/>
        </w:rPr>
      </w:pPr>
      <w:r>
        <w:rPr>
          <w:rFonts w:ascii="Arial" w:cs="Arial" w:eastAsia="Arial" w:hAnsi="Arial"/>
          <w:sz w:val="18"/>
          <w:szCs w:val="18"/>
          <w:color w:val="auto"/>
        </w:rPr>
        <w:t>Gayla J. Delly</w:t>
      </w:r>
      <w:r>
        <w:rPr>
          <w:rFonts w:ascii="Arial" w:cs="Arial" w:eastAsia="Arial" w:hAnsi="Arial"/>
          <w:sz w:val="15"/>
          <w:szCs w:val="15"/>
          <w:color w:val="auto"/>
        </w:rPr>
        <w:t>(1)</w:t>
      </w:r>
    </w:p>
    <w:p>
      <w:pPr>
        <w:ind w:left="200"/>
        <w:spacing w:after="0" w:line="235" w:lineRule="auto"/>
        <w:rPr>
          <w:sz w:val="20"/>
          <w:szCs w:val="20"/>
          <w:color w:val="auto"/>
        </w:rPr>
      </w:pPr>
      <w:r>
        <w:rPr>
          <w:rFonts w:ascii="Arial" w:cs="Arial" w:eastAsia="Arial" w:hAnsi="Arial"/>
          <w:sz w:val="18"/>
          <w:szCs w:val="18"/>
          <w:color w:val="auto"/>
        </w:rPr>
        <w:t>Eddy W. Hartenstein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Peter J.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83820</wp:posOffset>
            </wp:positionV>
            <wp:extent cx="16033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65" w:lineRule="exact"/>
        <w:rPr>
          <w:sz w:val="20"/>
          <w:szCs w:val="20"/>
          <w:color w:val="auto"/>
        </w:rPr>
      </w:pPr>
    </w:p>
    <w:p>
      <w:pPr>
        <w:ind w:left="440" w:hanging="236"/>
        <w:spacing w:after="0"/>
        <w:tabs>
          <w:tab w:leader="none" w:pos="440" w:val="left"/>
        </w:tabs>
        <w:numPr>
          <w:ilvl w:val="0"/>
          <w:numId w:val="77"/>
        </w:numPr>
        <w:rPr>
          <w:rFonts w:ascii="Arial" w:cs="Arial" w:eastAsia="Arial" w:hAnsi="Arial"/>
          <w:sz w:val="15"/>
          <w:szCs w:val="15"/>
          <w:color w:val="auto"/>
        </w:rPr>
      </w:pPr>
      <w:r>
        <w:rPr>
          <w:rFonts w:ascii="Arial" w:cs="Arial" w:eastAsia="Arial" w:hAnsi="Arial"/>
          <w:sz w:val="18"/>
          <w:szCs w:val="18"/>
          <w:color w:val="auto"/>
        </w:rPr>
        <w:t>Ms. Delly joined the Audit Committee in December 2017.</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DIRECTORS AND EXECUTIVE OFFICERS</w:t>
      </w:r>
    </w:p>
    <w:p>
      <w:pPr>
        <w:spacing w:after="0" w:line="158" w:lineRule="exact"/>
        <w:rPr>
          <w:sz w:val="20"/>
          <w:szCs w:val="20"/>
          <w:color w:val="auto"/>
        </w:rPr>
      </w:pPr>
    </w:p>
    <w:p>
      <w:pPr>
        <w:jc w:val="both"/>
        <w:ind w:left="200" w:right="260" w:firstLine="551"/>
        <w:spacing w:after="0"/>
        <w:rPr>
          <w:sz w:val="20"/>
          <w:szCs w:val="20"/>
          <w:color w:val="auto"/>
        </w:rPr>
      </w:pPr>
      <w:r>
        <w:rPr>
          <w:rFonts w:ascii="Arial" w:cs="Arial" w:eastAsia="Arial" w:hAnsi="Arial"/>
          <w:sz w:val="18"/>
          <w:szCs w:val="18"/>
          <w:color w:val="auto"/>
        </w:rPr>
        <w:t>The following table sets forth information about (i) the beneficial ownership of our ordinary shares and the Restricted Units in the Partnership, the holders of which are entitled to vote an equal number of our Special Voting Shares, and (ii) aggregate voting power at February 12, 2018 for:</w:t>
      </w:r>
    </w:p>
    <w:p>
      <w:pPr>
        <w:spacing w:after="0" w:line="68" w:lineRule="exact"/>
        <w:rPr>
          <w:sz w:val="20"/>
          <w:szCs w:val="20"/>
          <w:color w:val="auto"/>
        </w:rPr>
      </w:pPr>
    </w:p>
    <w:p>
      <w:pPr>
        <w:ind w:left="1280" w:hanging="428"/>
        <w:spacing w:after="0"/>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our directors and nominees for director;</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our ordinary shares or of the Restricted Units; and</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8" w:lineRule="exact"/>
        <w:rPr>
          <w:sz w:val="20"/>
          <w:szCs w:val="20"/>
          <w:color w:val="auto"/>
        </w:rPr>
      </w:pPr>
    </w:p>
    <w:p>
      <w:pPr>
        <w:jc w:val="both"/>
        <w:ind w:left="200" w:right="80" w:firstLine="551"/>
        <w:spacing w:after="0"/>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ordinary shares and Restricted Units that they beneficially own.</w:t>
      </w:r>
    </w:p>
    <w:p>
      <w:pPr>
        <w:spacing w:after="0" w:line="149"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terms of the Restricted Units are governed by the Amended and Restated Exempted Limited Partnership Agreement dated February 1, 2016, of the Partnership. Holders of Restricted Units are entitled to direct the Trustee to vote one Special Voting Share for each Restricted Unit that they hold, pursuant to the terms of the Voting Trust. The Trustee is the sole registered shareholder of the 22,097,111 Special Voting Shares outstanding as at February 12, 2018, and the number of Special Voting Shares outstanding is equal to the number of outstanding Restricted Units as at such date. As of February 1, 2017, holders of Restricted Units have the right to exchange their Restricted Units for cash or our ordinary shares, at our discretion. If an exchange is settled in ordinary shares, the holder will receive one ordinary share for each exchanged Restricted Unit.</w:t>
      </w:r>
    </w:p>
    <w:p>
      <w:pPr>
        <w:spacing w:after="0" w:line="149"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Ordinary shares subject to options that are currently exercisable or exercisable within 60 days of February 12, 2018 and RSUs that vest within 60 days of February 12, 2018 are deemed to be outstanding and to be beneficially owned by the person holding the equity award for the purpose of computing the percentage ownership of that person but are not treated as outstanding for the purpose of computing the percentage ownership of any other person.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In the table below, percentage ownership is based on 410,487,054 ordinary shares and 22,097,111 Restricted Units outstanding as of February 12, 2018. Total percentage of voting power assumes that all holders of Restricted Units provide proper voting instructions to the Trustee in respect of their corresponding Special Voting Shares, and is based on an aggregate of 432,584,165 ordinary shares and Special Voting Shares outstanding as of February 12, 2018.</w:t>
      </w:r>
    </w:p>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310"/>
        </w:trPr>
        <w:tc>
          <w:tcPr>
            <w:tcW w:w="20" w:type="dxa"/>
            <w:vAlign w:val="bottom"/>
          </w:tcPr>
          <w:p>
            <w:pPr>
              <w:spacing w:after="0"/>
              <w:rPr>
                <w:sz w:val="24"/>
                <w:szCs w:val="24"/>
                <w:color w:val="auto"/>
              </w:rPr>
            </w:pPr>
          </w:p>
        </w:tc>
        <w:tc>
          <w:tcPr>
            <w:tcW w:w="4900" w:type="dxa"/>
            <w:vAlign w:val="bottom"/>
            <w:shd w:val="clear" w:color="auto" w:fill="7F7F7F"/>
          </w:tcPr>
          <w:p>
            <w:pPr>
              <w:spacing w:after="0"/>
              <w:rPr>
                <w:sz w:val="24"/>
                <w:szCs w:val="24"/>
                <w:color w:val="auto"/>
              </w:rPr>
            </w:pPr>
          </w:p>
        </w:tc>
        <w:tc>
          <w:tcPr>
            <w:tcW w:w="1020" w:type="dxa"/>
            <w:vAlign w:val="bottom"/>
            <w:shd w:val="clear" w:color="auto" w:fill="7F7F7F"/>
          </w:tcPr>
          <w:p>
            <w:pPr>
              <w:spacing w:after="0"/>
              <w:rPr>
                <w:sz w:val="24"/>
                <w:szCs w:val="24"/>
                <w:color w:val="auto"/>
              </w:rPr>
            </w:pPr>
          </w:p>
        </w:tc>
        <w:tc>
          <w:tcPr>
            <w:tcW w:w="4080" w:type="dxa"/>
            <w:vAlign w:val="bottom"/>
            <w:gridSpan w:val="4"/>
            <w:shd w:val="clear" w:color="auto" w:fill="7F7F7F"/>
          </w:tcPr>
          <w:p>
            <w:pPr>
              <w:jc w:val="right"/>
              <w:ind w:right="439"/>
              <w:spacing w:after="0"/>
              <w:rPr>
                <w:sz w:val="20"/>
                <w:szCs w:val="20"/>
                <w:color w:val="auto"/>
              </w:rPr>
            </w:pPr>
            <w:r>
              <w:rPr>
                <w:rFonts w:ascii="Arial" w:cs="Arial" w:eastAsia="Arial" w:hAnsi="Arial"/>
                <w:sz w:val="16"/>
                <w:szCs w:val="16"/>
                <w:b w:val="1"/>
                <w:bCs w:val="1"/>
                <w:color w:val="FFFFFF"/>
              </w:rPr>
              <w:t>Voting Securities Beneficially Owned</w:t>
            </w:r>
            <w:r>
              <w:rPr>
                <w:rFonts w:ascii="Arial" w:cs="Arial" w:eastAsia="Arial" w:hAnsi="Arial"/>
                <w:sz w:val="27"/>
                <w:szCs w:val="27"/>
                <w:b w:val="1"/>
                <w:bCs w:val="1"/>
                <w:color w:val="FFFFFF"/>
                <w:vertAlign w:val="superscript"/>
              </w:rPr>
              <w:t>(1)</w:t>
            </w:r>
          </w:p>
        </w:tc>
        <w:tc>
          <w:tcPr>
            <w:tcW w:w="1020" w:type="dxa"/>
            <w:vAlign w:val="bottom"/>
            <w:shd w:val="clear" w:color="auto" w:fill="7F7F7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00" w:type="dxa"/>
            <w:vAlign w:val="bottom"/>
            <w:shd w:val="clear" w:color="auto" w:fill="7F7F7F"/>
          </w:tcPr>
          <w:p>
            <w:pPr>
              <w:spacing w:after="0"/>
              <w:rPr>
                <w:sz w:val="19"/>
                <w:szCs w:val="19"/>
                <w:color w:val="auto"/>
              </w:rPr>
            </w:pPr>
          </w:p>
        </w:tc>
        <w:tc>
          <w:tcPr>
            <w:tcW w:w="1020" w:type="dxa"/>
            <w:vAlign w:val="bottom"/>
            <w:shd w:val="clear" w:color="auto" w:fill="7F7F7F"/>
          </w:tcPr>
          <w:p>
            <w:pPr>
              <w:spacing w:after="0"/>
              <w:rPr>
                <w:sz w:val="19"/>
                <w:szCs w:val="19"/>
                <w:color w:val="auto"/>
              </w:rPr>
            </w:pPr>
          </w:p>
        </w:tc>
        <w:tc>
          <w:tcPr>
            <w:tcW w:w="1040" w:type="dxa"/>
            <w:vAlign w:val="bottom"/>
            <w:shd w:val="clear" w:color="auto" w:fill="7F7F7F"/>
          </w:tcPr>
          <w:p>
            <w:pPr>
              <w:spacing w:after="0"/>
              <w:rPr>
                <w:sz w:val="19"/>
                <w:szCs w:val="19"/>
                <w:color w:val="auto"/>
              </w:rPr>
            </w:pPr>
          </w:p>
        </w:tc>
        <w:tc>
          <w:tcPr>
            <w:tcW w:w="1000" w:type="dxa"/>
            <w:vAlign w:val="bottom"/>
            <w:shd w:val="clear" w:color="auto" w:fill="7F7F7F"/>
          </w:tcPr>
          <w:p>
            <w:pPr>
              <w:spacing w:after="0"/>
              <w:rPr>
                <w:sz w:val="19"/>
                <w:szCs w:val="19"/>
                <w:color w:val="auto"/>
              </w:rPr>
            </w:pPr>
          </w:p>
        </w:tc>
        <w:tc>
          <w:tcPr>
            <w:tcW w:w="100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Percentage</w:t>
            </w:r>
          </w:p>
        </w:tc>
        <w:tc>
          <w:tcPr>
            <w:tcW w:w="10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Total</w:t>
            </w:r>
          </w:p>
        </w:tc>
        <w:tc>
          <w:tcPr>
            <w:tcW w:w="10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7F7F7F"/>
          </w:tcPr>
          <w:p>
            <w:pPr>
              <w:spacing w:after="0"/>
              <w:rPr>
                <w:sz w:val="16"/>
                <w:szCs w:val="16"/>
                <w:color w:val="auto"/>
              </w:rPr>
            </w:pPr>
          </w:p>
        </w:tc>
        <w:tc>
          <w:tcPr>
            <w:tcW w:w="10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0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Percentage</w:t>
            </w:r>
          </w:p>
        </w:tc>
        <w:tc>
          <w:tcPr>
            <w:tcW w:w="100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Number of</w:t>
            </w:r>
          </w:p>
        </w:tc>
        <w:tc>
          <w:tcPr>
            <w:tcW w:w="100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of</w:t>
            </w:r>
          </w:p>
        </w:tc>
        <w:tc>
          <w:tcPr>
            <w:tcW w:w="10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Shares</w:t>
            </w:r>
          </w:p>
        </w:tc>
        <w:tc>
          <w:tcPr>
            <w:tcW w:w="10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Percentage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7F7F7F"/>
          </w:tcPr>
          <w:p>
            <w:pPr>
              <w:spacing w:after="0"/>
              <w:rPr>
                <w:sz w:val="20"/>
                <w:szCs w:val="20"/>
                <w:color w:val="auto"/>
              </w:rPr>
            </w:pPr>
            <w:r>
              <w:rPr>
                <w:rFonts w:ascii="Arial" w:cs="Arial" w:eastAsia="Arial" w:hAnsi="Arial"/>
                <w:sz w:val="16"/>
                <w:szCs w:val="16"/>
                <w:b w:val="1"/>
                <w:bCs w:val="1"/>
                <w:color w:val="FFFFFF"/>
              </w:rPr>
              <w:t>Name and Address of</w:t>
            </w:r>
          </w:p>
        </w:tc>
        <w:tc>
          <w:tcPr>
            <w:tcW w:w="10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Ordinary</w:t>
            </w:r>
          </w:p>
        </w:tc>
        <w:tc>
          <w:tcPr>
            <w:tcW w:w="10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of Ordinary</w:t>
            </w:r>
          </w:p>
        </w:tc>
        <w:tc>
          <w:tcPr>
            <w:tcW w:w="100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Restricted</w:t>
            </w:r>
          </w:p>
        </w:tc>
        <w:tc>
          <w:tcPr>
            <w:tcW w:w="100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Restricted</w:t>
            </w:r>
          </w:p>
        </w:tc>
        <w:tc>
          <w:tcPr>
            <w:tcW w:w="10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Beneficially</w:t>
            </w:r>
          </w:p>
        </w:tc>
        <w:tc>
          <w:tcPr>
            <w:tcW w:w="10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of Voting</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shd w:val="clear" w:color="auto" w:fill="7F7F7F"/>
          </w:tcPr>
          <w:p>
            <w:pPr>
              <w:spacing w:after="0"/>
              <w:rPr>
                <w:sz w:val="20"/>
                <w:szCs w:val="20"/>
                <w:color w:val="auto"/>
              </w:rPr>
            </w:pPr>
            <w:r>
              <w:rPr>
                <w:rFonts w:ascii="Arial" w:cs="Arial" w:eastAsia="Arial" w:hAnsi="Arial"/>
                <w:sz w:val="16"/>
                <w:szCs w:val="16"/>
                <w:b w:val="1"/>
                <w:bCs w:val="1"/>
                <w:color w:val="FFFFFF"/>
              </w:rPr>
              <w:t>Beneficial Owner</w:t>
            </w:r>
          </w:p>
        </w:tc>
        <w:tc>
          <w:tcPr>
            <w:tcW w:w="102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Shares</w:t>
            </w:r>
          </w:p>
        </w:tc>
        <w:tc>
          <w:tcPr>
            <w:tcW w:w="10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Shares</w:t>
            </w:r>
          </w:p>
        </w:tc>
        <w:tc>
          <w:tcPr>
            <w:tcW w:w="100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Units</w:t>
            </w:r>
          </w:p>
        </w:tc>
        <w:tc>
          <w:tcPr>
            <w:tcW w:w="100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w w:val="99"/>
              </w:rPr>
              <w:t>Units</w:t>
            </w:r>
          </w:p>
        </w:tc>
        <w:tc>
          <w:tcPr>
            <w:tcW w:w="1040" w:type="dxa"/>
            <w:vAlign w:val="bottom"/>
            <w:shd w:val="clear" w:color="auto" w:fill="7F7F7F"/>
          </w:tcPr>
          <w:p>
            <w:pPr>
              <w:jc w:val="center"/>
              <w:spacing w:after="0"/>
              <w:rPr>
                <w:sz w:val="20"/>
                <w:szCs w:val="20"/>
                <w:color w:val="auto"/>
              </w:rPr>
            </w:pPr>
            <w:r>
              <w:rPr>
                <w:rFonts w:ascii="Arial" w:cs="Arial" w:eastAsia="Arial" w:hAnsi="Arial"/>
                <w:sz w:val="16"/>
                <w:szCs w:val="16"/>
                <w:b w:val="1"/>
                <w:bCs w:val="1"/>
                <w:color w:val="FFFFFF"/>
              </w:rPr>
              <w:t>Owned</w:t>
            </w:r>
          </w:p>
        </w:tc>
        <w:tc>
          <w:tcPr>
            <w:tcW w:w="1020" w:type="dxa"/>
            <w:vAlign w:val="bottom"/>
            <w:shd w:val="clear" w:color="auto" w:fill="7F7F7F"/>
          </w:tcPr>
          <w:p>
            <w:pPr>
              <w:jc w:val="center"/>
              <w:spacing w:after="0" w:line="221" w:lineRule="exact"/>
              <w:rPr>
                <w:sz w:val="20"/>
                <w:szCs w:val="20"/>
                <w:color w:val="auto"/>
              </w:rPr>
            </w:pPr>
            <w:r>
              <w:rPr>
                <w:rFonts w:ascii="Arial" w:cs="Arial" w:eastAsia="Arial" w:hAnsi="Arial"/>
                <w:sz w:val="15"/>
                <w:szCs w:val="15"/>
                <w:b w:val="1"/>
                <w:bCs w:val="1"/>
                <w:color w:val="FFFFFF"/>
              </w:rPr>
              <w:t>Power</w:t>
            </w:r>
            <w:r>
              <w:rPr>
                <w:rFonts w:ascii="Arial" w:cs="Arial" w:eastAsia="Arial" w:hAnsi="Arial"/>
                <w:sz w:val="25"/>
                <w:szCs w:val="25"/>
                <w:b w:val="1"/>
                <w:bCs w:val="1"/>
                <w:color w:val="FFFFFF"/>
                <w:vertAlign w:val="superscript"/>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6"/>
                <w:szCs w:val="16"/>
                <w:b w:val="1"/>
                <w:bCs w:val="1"/>
                <w:color w:val="auto"/>
              </w:rPr>
              <w:t>5% Shareholders:</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00" w:type="dxa"/>
            <w:vAlign w:val="bottom"/>
            <w:shd w:val="clear" w:color="auto" w:fill="BFBFBF"/>
          </w:tcPr>
          <w:p>
            <w:pPr>
              <w:spacing w:after="0" w:line="189" w:lineRule="exact"/>
              <w:rPr>
                <w:sz w:val="20"/>
                <w:szCs w:val="20"/>
                <w:color w:val="auto"/>
              </w:rPr>
            </w:pPr>
            <w:r>
              <w:rPr>
                <w:rFonts w:ascii="Arial" w:cs="Arial" w:eastAsia="Arial" w:hAnsi="Arial"/>
                <w:sz w:val="13"/>
                <w:szCs w:val="13"/>
                <w:color w:val="auto"/>
              </w:rPr>
              <w:t>Capital World Investors</w:t>
            </w:r>
            <w:r>
              <w:rPr>
                <w:rFonts w:ascii="Arial" w:cs="Arial" w:eastAsia="Arial" w:hAnsi="Arial"/>
                <w:sz w:val="21"/>
                <w:szCs w:val="21"/>
                <w:b w:val="1"/>
                <w:bCs w:val="1"/>
                <w:color w:val="auto"/>
                <w:vertAlign w:val="superscript"/>
              </w:rPr>
              <w:t>(3)</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43,340,719</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10.6%</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43,340,719</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BFBFBF"/>
          </w:tcPr>
          <w:p>
            <w:pPr>
              <w:ind w:left="140"/>
              <w:spacing w:after="0"/>
              <w:rPr>
                <w:sz w:val="20"/>
                <w:szCs w:val="20"/>
                <w:color w:val="auto"/>
              </w:rPr>
            </w:pPr>
            <w:r>
              <w:rPr>
                <w:rFonts w:ascii="Arial" w:cs="Arial" w:eastAsia="Arial" w:hAnsi="Arial"/>
                <w:sz w:val="16"/>
                <w:szCs w:val="16"/>
                <w:color w:val="auto"/>
              </w:rPr>
              <w:t>333 South Hope Street</w:t>
            </w:r>
          </w:p>
        </w:tc>
        <w:tc>
          <w:tcPr>
            <w:tcW w:w="102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1000" w:type="dxa"/>
            <w:vAlign w:val="bottom"/>
            <w:shd w:val="clear" w:color="auto" w:fill="BFBFBF"/>
          </w:tcPr>
          <w:p>
            <w:pPr>
              <w:spacing w:after="0"/>
              <w:rPr>
                <w:sz w:val="16"/>
                <w:szCs w:val="16"/>
                <w:color w:val="auto"/>
              </w:rPr>
            </w:pPr>
          </w:p>
        </w:tc>
        <w:tc>
          <w:tcPr>
            <w:tcW w:w="100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102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BFBFBF"/>
            </w:tcBorders>
            <w:shd w:val="clear" w:color="auto" w:fill="BFBFBF"/>
          </w:tcPr>
          <w:p>
            <w:pPr>
              <w:ind w:left="140"/>
              <w:spacing w:after="0"/>
              <w:rPr>
                <w:sz w:val="20"/>
                <w:szCs w:val="20"/>
                <w:color w:val="auto"/>
              </w:rPr>
            </w:pPr>
            <w:r>
              <w:rPr>
                <w:rFonts w:ascii="Arial" w:cs="Arial" w:eastAsia="Arial" w:hAnsi="Arial"/>
                <w:sz w:val="16"/>
                <w:szCs w:val="16"/>
                <w:color w:val="auto"/>
              </w:rPr>
              <w:t>Los Angeles, CA 90071</w:t>
            </w:r>
          </w:p>
        </w:tc>
        <w:tc>
          <w:tcPr>
            <w:tcW w:w="1020" w:type="dxa"/>
            <w:vAlign w:val="bottom"/>
            <w:tcBorders>
              <w:bottom w:val="single" w:sz="8" w:color="BFBFBF"/>
            </w:tcBorders>
            <w:shd w:val="clear" w:color="auto" w:fill="BFBFBF"/>
          </w:tcPr>
          <w:p>
            <w:pPr>
              <w:spacing w:after="0"/>
              <w:rPr>
                <w:sz w:val="19"/>
                <w:szCs w:val="19"/>
                <w:color w:val="auto"/>
              </w:rPr>
            </w:pPr>
          </w:p>
        </w:tc>
        <w:tc>
          <w:tcPr>
            <w:tcW w:w="1040" w:type="dxa"/>
            <w:vAlign w:val="bottom"/>
            <w:tcBorders>
              <w:bottom w:val="single" w:sz="8" w:color="BFBFBF"/>
            </w:tcBorders>
            <w:shd w:val="clear" w:color="auto" w:fill="BFBFBF"/>
          </w:tcPr>
          <w:p>
            <w:pPr>
              <w:spacing w:after="0"/>
              <w:rPr>
                <w:sz w:val="19"/>
                <w:szCs w:val="19"/>
                <w:color w:val="auto"/>
              </w:rPr>
            </w:pPr>
          </w:p>
        </w:tc>
        <w:tc>
          <w:tcPr>
            <w:tcW w:w="1000" w:type="dxa"/>
            <w:vAlign w:val="bottom"/>
            <w:tcBorders>
              <w:bottom w:val="single" w:sz="8" w:color="BFBFBF"/>
            </w:tcBorders>
            <w:shd w:val="clear" w:color="auto" w:fill="BFBFBF"/>
          </w:tcPr>
          <w:p>
            <w:pPr>
              <w:spacing w:after="0"/>
              <w:rPr>
                <w:sz w:val="19"/>
                <w:szCs w:val="19"/>
                <w:color w:val="auto"/>
              </w:rPr>
            </w:pPr>
          </w:p>
        </w:tc>
        <w:tc>
          <w:tcPr>
            <w:tcW w:w="1000" w:type="dxa"/>
            <w:vAlign w:val="bottom"/>
            <w:tcBorders>
              <w:bottom w:val="single" w:sz="8" w:color="BFBFBF"/>
            </w:tcBorders>
            <w:shd w:val="clear" w:color="auto" w:fill="BFBFBF"/>
          </w:tcPr>
          <w:p>
            <w:pPr>
              <w:spacing w:after="0"/>
              <w:rPr>
                <w:sz w:val="19"/>
                <w:szCs w:val="19"/>
                <w:color w:val="auto"/>
              </w:rPr>
            </w:pPr>
          </w:p>
        </w:tc>
        <w:tc>
          <w:tcPr>
            <w:tcW w:w="1040" w:type="dxa"/>
            <w:vAlign w:val="bottom"/>
            <w:tcBorders>
              <w:bottom w:val="single" w:sz="8" w:color="BFBFBF"/>
            </w:tcBorders>
            <w:shd w:val="clear" w:color="auto" w:fill="BFBFBF"/>
          </w:tcPr>
          <w:p>
            <w:pPr>
              <w:spacing w:after="0"/>
              <w:rPr>
                <w:sz w:val="19"/>
                <w:szCs w:val="19"/>
                <w:color w:val="auto"/>
              </w:rPr>
            </w:pPr>
          </w:p>
        </w:tc>
        <w:tc>
          <w:tcPr>
            <w:tcW w:w="1020" w:type="dxa"/>
            <w:vAlign w:val="bottom"/>
            <w:tcBorders>
              <w:bottom w:val="single" w:sz="8" w:color="BFBFBF"/>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Arial" w:cs="Arial" w:eastAsia="Arial" w:hAnsi="Arial"/>
                <w:sz w:val="14"/>
                <w:szCs w:val="14"/>
                <w:color w:val="auto"/>
              </w:rPr>
              <w:t>The Vanguard Group</w:t>
            </w:r>
            <w:r>
              <w:rPr>
                <w:rFonts w:ascii="Arial" w:cs="Arial" w:eastAsia="Arial" w:hAnsi="Arial"/>
                <w:sz w:val="22"/>
                <w:szCs w:val="22"/>
                <w:color w:val="auto"/>
                <w:vertAlign w:val="superscript"/>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28,923,720</w:t>
            </w:r>
          </w:p>
        </w:tc>
        <w:tc>
          <w:tcPr>
            <w:tcW w:w="1040" w:type="dxa"/>
            <w:vAlign w:val="bottom"/>
          </w:tcPr>
          <w:p>
            <w:pPr>
              <w:jc w:val="right"/>
              <w:spacing w:after="0"/>
              <w:rPr>
                <w:sz w:val="20"/>
                <w:szCs w:val="20"/>
                <w:color w:val="auto"/>
              </w:rPr>
            </w:pPr>
            <w:r>
              <w:rPr>
                <w:rFonts w:ascii="Arial" w:cs="Arial" w:eastAsia="Arial" w:hAnsi="Arial"/>
                <w:sz w:val="16"/>
                <w:szCs w:val="16"/>
                <w:color w:val="auto"/>
              </w:rPr>
              <w:t>7.0%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28,923,720</w:t>
            </w: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ind w:left="140"/>
              <w:spacing w:after="0"/>
              <w:rPr>
                <w:sz w:val="20"/>
                <w:szCs w:val="20"/>
                <w:color w:val="auto"/>
              </w:rPr>
            </w:pPr>
            <w:r>
              <w:rPr>
                <w:rFonts w:ascii="Arial" w:cs="Arial" w:eastAsia="Arial" w:hAnsi="Arial"/>
                <w:sz w:val="16"/>
                <w:szCs w:val="16"/>
                <w:color w:val="auto"/>
              </w:rPr>
              <w:t>100 Vanguard Blvd.</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00" w:type="dxa"/>
            <w:vAlign w:val="bottom"/>
          </w:tcPr>
          <w:p>
            <w:pPr>
              <w:ind w:left="140"/>
              <w:spacing w:after="0"/>
              <w:rPr>
                <w:sz w:val="20"/>
                <w:szCs w:val="20"/>
                <w:color w:val="auto"/>
              </w:rPr>
            </w:pPr>
            <w:r>
              <w:rPr>
                <w:rFonts w:ascii="Arial" w:cs="Arial" w:eastAsia="Arial" w:hAnsi="Arial"/>
                <w:sz w:val="16"/>
                <w:szCs w:val="16"/>
                <w:color w:val="auto"/>
              </w:rPr>
              <w:t>Malvern, PA 19355</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00" w:type="dxa"/>
            <w:vAlign w:val="bottom"/>
            <w:shd w:val="clear" w:color="auto" w:fill="BFBFBF"/>
          </w:tcPr>
          <w:p>
            <w:pPr>
              <w:spacing w:after="0" w:line="186" w:lineRule="exact"/>
              <w:rPr>
                <w:sz w:val="20"/>
                <w:szCs w:val="20"/>
                <w:color w:val="auto"/>
              </w:rPr>
            </w:pPr>
            <w:r>
              <w:rPr>
                <w:rFonts w:ascii="Arial" w:cs="Arial" w:eastAsia="Arial" w:hAnsi="Arial"/>
                <w:sz w:val="13"/>
                <w:szCs w:val="13"/>
                <w:color w:val="auto"/>
              </w:rPr>
              <w:t xml:space="preserve">BlackRock, Inc. </w:t>
            </w:r>
            <w:r>
              <w:rPr>
                <w:rFonts w:ascii="Arial" w:cs="Arial" w:eastAsia="Arial" w:hAnsi="Arial"/>
                <w:sz w:val="21"/>
                <w:szCs w:val="21"/>
                <w:b w:val="1"/>
                <w:bCs w:val="1"/>
                <w:color w:val="auto"/>
                <w:vertAlign w:val="superscript"/>
              </w:rPr>
              <w:t>(5)</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24,924,721</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6.1%</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24,924,721</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shd w:val="clear" w:color="auto" w:fill="BFBFBF"/>
          </w:tcPr>
          <w:p>
            <w:pPr>
              <w:ind w:left="140"/>
              <w:spacing w:after="0" w:line="192" w:lineRule="exact"/>
              <w:rPr>
                <w:sz w:val="20"/>
                <w:szCs w:val="20"/>
                <w:color w:val="auto"/>
              </w:rPr>
            </w:pPr>
            <w:r>
              <w:rPr>
                <w:rFonts w:ascii="Arial" w:cs="Arial" w:eastAsia="Arial" w:hAnsi="Arial"/>
                <w:sz w:val="14"/>
                <w:szCs w:val="14"/>
                <w:color w:val="auto"/>
              </w:rPr>
              <w:t>55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w:t>
            </w:r>
          </w:p>
        </w:tc>
        <w:tc>
          <w:tcPr>
            <w:tcW w:w="102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1000" w:type="dxa"/>
            <w:vAlign w:val="bottom"/>
            <w:shd w:val="clear" w:color="auto" w:fill="BFBFBF"/>
          </w:tcPr>
          <w:p>
            <w:pPr>
              <w:spacing w:after="0"/>
              <w:rPr>
                <w:sz w:val="16"/>
                <w:szCs w:val="16"/>
                <w:color w:val="auto"/>
              </w:rPr>
            </w:pPr>
          </w:p>
        </w:tc>
        <w:tc>
          <w:tcPr>
            <w:tcW w:w="100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102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BFBFBF"/>
            </w:tcBorders>
            <w:shd w:val="clear" w:color="auto" w:fill="BFBFBF"/>
          </w:tcPr>
          <w:p>
            <w:pPr>
              <w:ind w:left="140"/>
              <w:spacing w:after="0"/>
              <w:rPr>
                <w:sz w:val="20"/>
                <w:szCs w:val="20"/>
                <w:color w:val="auto"/>
              </w:rPr>
            </w:pPr>
            <w:r>
              <w:rPr>
                <w:rFonts w:ascii="Arial" w:cs="Arial" w:eastAsia="Arial" w:hAnsi="Arial"/>
                <w:sz w:val="16"/>
                <w:szCs w:val="16"/>
                <w:color w:val="auto"/>
              </w:rPr>
              <w:t>New York, NY 10055</w:t>
            </w:r>
          </w:p>
        </w:tc>
        <w:tc>
          <w:tcPr>
            <w:tcW w:w="1020" w:type="dxa"/>
            <w:vAlign w:val="bottom"/>
            <w:tcBorders>
              <w:bottom w:val="single" w:sz="8" w:color="BFBFBF"/>
            </w:tcBorders>
            <w:shd w:val="clear" w:color="auto" w:fill="BFBFBF"/>
          </w:tcPr>
          <w:p>
            <w:pPr>
              <w:spacing w:after="0"/>
              <w:rPr>
                <w:sz w:val="19"/>
                <w:szCs w:val="19"/>
                <w:color w:val="auto"/>
              </w:rPr>
            </w:pPr>
          </w:p>
        </w:tc>
        <w:tc>
          <w:tcPr>
            <w:tcW w:w="1040" w:type="dxa"/>
            <w:vAlign w:val="bottom"/>
            <w:tcBorders>
              <w:bottom w:val="single" w:sz="8" w:color="BFBFBF"/>
            </w:tcBorders>
            <w:shd w:val="clear" w:color="auto" w:fill="BFBFBF"/>
          </w:tcPr>
          <w:p>
            <w:pPr>
              <w:spacing w:after="0"/>
              <w:rPr>
                <w:sz w:val="19"/>
                <w:szCs w:val="19"/>
                <w:color w:val="auto"/>
              </w:rPr>
            </w:pPr>
          </w:p>
        </w:tc>
        <w:tc>
          <w:tcPr>
            <w:tcW w:w="1000" w:type="dxa"/>
            <w:vAlign w:val="bottom"/>
            <w:tcBorders>
              <w:bottom w:val="single" w:sz="8" w:color="BFBFBF"/>
            </w:tcBorders>
            <w:shd w:val="clear" w:color="auto" w:fill="BFBFBF"/>
          </w:tcPr>
          <w:p>
            <w:pPr>
              <w:spacing w:after="0"/>
              <w:rPr>
                <w:sz w:val="19"/>
                <w:szCs w:val="19"/>
                <w:color w:val="auto"/>
              </w:rPr>
            </w:pPr>
          </w:p>
        </w:tc>
        <w:tc>
          <w:tcPr>
            <w:tcW w:w="1000" w:type="dxa"/>
            <w:vAlign w:val="bottom"/>
            <w:tcBorders>
              <w:bottom w:val="single" w:sz="8" w:color="BFBFBF"/>
            </w:tcBorders>
            <w:shd w:val="clear" w:color="auto" w:fill="BFBFBF"/>
          </w:tcPr>
          <w:p>
            <w:pPr>
              <w:spacing w:after="0"/>
              <w:rPr>
                <w:sz w:val="19"/>
                <w:szCs w:val="19"/>
                <w:color w:val="auto"/>
              </w:rPr>
            </w:pPr>
          </w:p>
        </w:tc>
        <w:tc>
          <w:tcPr>
            <w:tcW w:w="1040" w:type="dxa"/>
            <w:vAlign w:val="bottom"/>
            <w:tcBorders>
              <w:bottom w:val="single" w:sz="8" w:color="BFBFBF"/>
            </w:tcBorders>
            <w:shd w:val="clear" w:color="auto" w:fill="BFBFBF"/>
          </w:tcPr>
          <w:p>
            <w:pPr>
              <w:spacing w:after="0"/>
              <w:rPr>
                <w:sz w:val="19"/>
                <w:szCs w:val="19"/>
                <w:color w:val="auto"/>
              </w:rPr>
            </w:pPr>
          </w:p>
        </w:tc>
        <w:tc>
          <w:tcPr>
            <w:tcW w:w="1020" w:type="dxa"/>
            <w:vAlign w:val="bottom"/>
            <w:tcBorders>
              <w:bottom w:val="single" w:sz="8" w:color="BFBFBF"/>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Arial" w:cs="Arial" w:eastAsia="Arial" w:hAnsi="Arial"/>
                <w:sz w:val="14"/>
                <w:szCs w:val="14"/>
                <w:color w:val="auto"/>
              </w:rPr>
              <w:t>Capital Research Global Investors</w:t>
            </w:r>
            <w:r>
              <w:rPr>
                <w:rFonts w:ascii="Arial" w:cs="Arial" w:eastAsia="Arial" w:hAnsi="Arial"/>
                <w:sz w:val="22"/>
                <w:szCs w:val="22"/>
                <w:b w:val="1"/>
                <w:bCs w:val="1"/>
                <w:color w:val="auto"/>
                <w:vertAlign w:val="superscript"/>
              </w:rPr>
              <w:t>(6)</w:t>
            </w:r>
          </w:p>
        </w:tc>
        <w:tc>
          <w:tcPr>
            <w:tcW w:w="1020" w:type="dxa"/>
            <w:vAlign w:val="bottom"/>
          </w:tcPr>
          <w:p>
            <w:pPr>
              <w:jc w:val="right"/>
              <w:spacing w:after="0"/>
              <w:rPr>
                <w:sz w:val="20"/>
                <w:szCs w:val="20"/>
                <w:color w:val="auto"/>
              </w:rPr>
            </w:pPr>
            <w:r>
              <w:rPr>
                <w:rFonts w:ascii="Arial" w:cs="Arial" w:eastAsia="Arial" w:hAnsi="Arial"/>
                <w:sz w:val="16"/>
                <w:szCs w:val="16"/>
                <w:color w:val="auto"/>
              </w:rPr>
              <w:t>24,332,311</w:t>
            </w:r>
          </w:p>
        </w:tc>
        <w:tc>
          <w:tcPr>
            <w:tcW w:w="1040" w:type="dxa"/>
            <w:vAlign w:val="bottom"/>
          </w:tcPr>
          <w:p>
            <w:pPr>
              <w:jc w:val="right"/>
              <w:spacing w:after="0"/>
              <w:rPr>
                <w:sz w:val="20"/>
                <w:szCs w:val="20"/>
                <w:color w:val="auto"/>
              </w:rPr>
            </w:pPr>
            <w:r>
              <w:rPr>
                <w:rFonts w:ascii="Arial" w:cs="Arial" w:eastAsia="Arial" w:hAnsi="Arial"/>
                <w:sz w:val="16"/>
                <w:szCs w:val="16"/>
                <w:color w:val="auto"/>
              </w:rPr>
              <w:t>5.9%</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24,332,311</w:t>
            </w:r>
          </w:p>
        </w:tc>
        <w:tc>
          <w:tcPr>
            <w:tcW w:w="102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ind w:left="140"/>
              <w:spacing w:after="0"/>
              <w:rPr>
                <w:sz w:val="20"/>
                <w:szCs w:val="20"/>
                <w:color w:val="auto"/>
              </w:rPr>
            </w:pPr>
            <w:r>
              <w:rPr>
                <w:rFonts w:ascii="Arial" w:cs="Arial" w:eastAsia="Arial" w:hAnsi="Arial"/>
                <w:sz w:val="16"/>
                <w:szCs w:val="16"/>
                <w:color w:val="auto"/>
              </w:rPr>
              <w:t>333 South Hope Street</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00" w:type="dxa"/>
            <w:vAlign w:val="bottom"/>
          </w:tcPr>
          <w:p>
            <w:pPr>
              <w:ind w:left="140"/>
              <w:spacing w:after="0"/>
              <w:rPr>
                <w:sz w:val="20"/>
                <w:szCs w:val="20"/>
                <w:color w:val="auto"/>
              </w:rPr>
            </w:pPr>
            <w:r>
              <w:rPr>
                <w:rFonts w:ascii="Arial" w:cs="Arial" w:eastAsia="Arial" w:hAnsi="Arial"/>
                <w:sz w:val="16"/>
                <w:szCs w:val="16"/>
                <w:color w:val="auto"/>
              </w:rPr>
              <w:t>Los Angeles, CA 90071</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4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00" w:type="dxa"/>
            <w:vAlign w:val="bottom"/>
            <w:shd w:val="clear" w:color="auto" w:fill="BFBFBF"/>
          </w:tcPr>
          <w:p>
            <w:pPr>
              <w:spacing w:after="0" w:line="189" w:lineRule="exact"/>
              <w:rPr>
                <w:sz w:val="20"/>
                <w:szCs w:val="20"/>
                <w:color w:val="auto"/>
              </w:rPr>
            </w:pPr>
            <w:r>
              <w:rPr>
                <w:rFonts w:ascii="Arial" w:cs="Arial" w:eastAsia="Arial" w:hAnsi="Arial"/>
                <w:sz w:val="13"/>
                <w:szCs w:val="13"/>
                <w:color w:val="auto"/>
              </w:rPr>
              <w:t>Henry T. Nicholas III</w:t>
            </w:r>
            <w:r>
              <w:rPr>
                <w:rFonts w:ascii="Arial" w:cs="Arial" w:eastAsia="Arial" w:hAnsi="Arial"/>
                <w:sz w:val="21"/>
                <w:szCs w:val="21"/>
                <w:b w:val="1"/>
                <w:bCs w:val="1"/>
                <w:color w:val="auto"/>
                <w:vertAlign w:val="superscript"/>
              </w:rPr>
              <w:t>(7)</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11,457,605</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51.9%</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11,457,605</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BFBFBF"/>
          </w:tcPr>
          <w:p>
            <w:pPr>
              <w:ind w:left="140"/>
              <w:spacing w:after="0"/>
              <w:rPr>
                <w:sz w:val="20"/>
                <w:szCs w:val="20"/>
                <w:color w:val="auto"/>
              </w:rPr>
            </w:pPr>
            <w:r>
              <w:rPr>
                <w:rFonts w:ascii="Arial" w:cs="Arial" w:eastAsia="Arial" w:hAnsi="Arial"/>
                <w:sz w:val="16"/>
                <w:szCs w:val="16"/>
                <w:color w:val="auto"/>
              </w:rPr>
              <w:t>15 Enterprise Suite 550</w:t>
            </w:r>
          </w:p>
        </w:tc>
        <w:tc>
          <w:tcPr>
            <w:tcW w:w="102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1000" w:type="dxa"/>
            <w:vAlign w:val="bottom"/>
            <w:shd w:val="clear" w:color="auto" w:fill="BFBFBF"/>
          </w:tcPr>
          <w:p>
            <w:pPr>
              <w:spacing w:after="0"/>
              <w:rPr>
                <w:sz w:val="16"/>
                <w:szCs w:val="16"/>
                <w:color w:val="auto"/>
              </w:rPr>
            </w:pPr>
          </w:p>
        </w:tc>
        <w:tc>
          <w:tcPr>
            <w:tcW w:w="100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102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BFBFBF"/>
            </w:tcBorders>
            <w:shd w:val="clear" w:color="auto" w:fill="BFBFBF"/>
          </w:tcPr>
          <w:p>
            <w:pPr>
              <w:ind w:left="140"/>
              <w:spacing w:after="0"/>
              <w:rPr>
                <w:sz w:val="20"/>
                <w:szCs w:val="20"/>
                <w:color w:val="auto"/>
              </w:rPr>
            </w:pPr>
            <w:r>
              <w:rPr>
                <w:rFonts w:ascii="Arial" w:cs="Arial" w:eastAsia="Arial" w:hAnsi="Arial"/>
                <w:sz w:val="16"/>
                <w:szCs w:val="16"/>
                <w:color w:val="auto"/>
              </w:rPr>
              <w:t>Aliso Viejo, CA 92656</w:t>
            </w:r>
          </w:p>
        </w:tc>
        <w:tc>
          <w:tcPr>
            <w:tcW w:w="1020" w:type="dxa"/>
            <w:vAlign w:val="bottom"/>
            <w:tcBorders>
              <w:bottom w:val="single" w:sz="8" w:color="BFBFBF"/>
            </w:tcBorders>
            <w:shd w:val="clear" w:color="auto" w:fill="BFBFBF"/>
          </w:tcPr>
          <w:p>
            <w:pPr>
              <w:spacing w:after="0"/>
              <w:rPr>
                <w:sz w:val="19"/>
                <w:szCs w:val="19"/>
                <w:color w:val="auto"/>
              </w:rPr>
            </w:pPr>
          </w:p>
        </w:tc>
        <w:tc>
          <w:tcPr>
            <w:tcW w:w="1040" w:type="dxa"/>
            <w:vAlign w:val="bottom"/>
            <w:tcBorders>
              <w:bottom w:val="single" w:sz="8" w:color="BFBFBF"/>
            </w:tcBorders>
            <w:shd w:val="clear" w:color="auto" w:fill="BFBFBF"/>
          </w:tcPr>
          <w:p>
            <w:pPr>
              <w:spacing w:after="0"/>
              <w:rPr>
                <w:sz w:val="19"/>
                <w:szCs w:val="19"/>
                <w:color w:val="auto"/>
              </w:rPr>
            </w:pPr>
          </w:p>
        </w:tc>
        <w:tc>
          <w:tcPr>
            <w:tcW w:w="1000" w:type="dxa"/>
            <w:vAlign w:val="bottom"/>
            <w:tcBorders>
              <w:bottom w:val="single" w:sz="8" w:color="BFBFBF"/>
            </w:tcBorders>
            <w:shd w:val="clear" w:color="auto" w:fill="BFBFBF"/>
          </w:tcPr>
          <w:p>
            <w:pPr>
              <w:spacing w:after="0"/>
              <w:rPr>
                <w:sz w:val="19"/>
                <w:szCs w:val="19"/>
                <w:color w:val="auto"/>
              </w:rPr>
            </w:pPr>
          </w:p>
        </w:tc>
        <w:tc>
          <w:tcPr>
            <w:tcW w:w="1000" w:type="dxa"/>
            <w:vAlign w:val="bottom"/>
            <w:tcBorders>
              <w:bottom w:val="single" w:sz="8" w:color="BFBFBF"/>
            </w:tcBorders>
            <w:shd w:val="clear" w:color="auto" w:fill="BFBFBF"/>
          </w:tcPr>
          <w:p>
            <w:pPr>
              <w:spacing w:after="0"/>
              <w:rPr>
                <w:sz w:val="19"/>
                <w:szCs w:val="19"/>
                <w:color w:val="auto"/>
              </w:rPr>
            </w:pPr>
          </w:p>
        </w:tc>
        <w:tc>
          <w:tcPr>
            <w:tcW w:w="1040" w:type="dxa"/>
            <w:vAlign w:val="bottom"/>
            <w:tcBorders>
              <w:bottom w:val="single" w:sz="8" w:color="BFBFBF"/>
            </w:tcBorders>
            <w:shd w:val="clear" w:color="auto" w:fill="BFBFBF"/>
          </w:tcPr>
          <w:p>
            <w:pPr>
              <w:spacing w:after="0"/>
              <w:rPr>
                <w:sz w:val="19"/>
                <w:szCs w:val="19"/>
                <w:color w:val="auto"/>
              </w:rPr>
            </w:pPr>
          </w:p>
        </w:tc>
        <w:tc>
          <w:tcPr>
            <w:tcW w:w="1020" w:type="dxa"/>
            <w:vAlign w:val="bottom"/>
            <w:tcBorders>
              <w:bottom w:val="single" w:sz="8" w:color="BFBFBF"/>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line="171" w:lineRule="exact"/>
              <w:rPr>
                <w:sz w:val="20"/>
                <w:szCs w:val="20"/>
                <w:color w:val="auto"/>
              </w:rPr>
            </w:pPr>
            <w:r>
              <w:rPr>
                <w:rFonts w:ascii="Arial" w:cs="Arial" w:eastAsia="Arial" w:hAnsi="Arial"/>
                <w:sz w:val="16"/>
                <w:szCs w:val="16"/>
                <w:b w:val="1"/>
                <w:bCs w:val="1"/>
                <w:color w:val="auto"/>
              </w:rPr>
              <w:t>Named Executive Officers, Directors</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Arial" w:cs="Arial" w:eastAsia="Arial" w:hAnsi="Arial"/>
                <w:sz w:val="16"/>
                <w:szCs w:val="16"/>
                <w:b w:val="1"/>
                <w:bCs w:val="1"/>
                <w:color w:val="auto"/>
              </w:rPr>
              <w:t>and Nominees:</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BFBFBF"/>
          </w:tcPr>
          <w:p>
            <w:pPr>
              <w:spacing w:after="0" w:line="189" w:lineRule="exact"/>
              <w:rPr>
                <w:sz w:val="20"/>
                <w:szCs w:val="20"/>
                <w:color w:val="auto"/>
              </w:rPr>
            </w:pPr>
            <w:r>
              <w:rPr>
                <w:rFonts w:ascii="Arial" w:cs="Arial" w:eastAsia="Arial" w:hAnsi="Arial"/>
                <w:sz w:val="13"/>
                <w:szCs w:val="13"/>
                <w:color w:val="auto"/>
              </w:rPr>
              <w:t>Hock E. Tan</w:t>
            </w:r>
            <w:r>
              <w:rPr>
                <w:rFonts w:ascii="Arial" w:cs="Arial" w:eastAsia="Arial" w:hAnsi="Arial"/>
                <w:sz w:val="21"/>
                <w:szCs w:val="21"/>
                <w:b w:val="1"/>
                <w:bCs w:val="1"/>
                <w:color w:val="auto"/>
                <w:vertAlign w:val="superscript"/>
              </w:rPr>
              <w:t>(8)</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2,504,493</w:t>
            </w:r>
          </w:p>
        </w:tc>
        <w:tc>
          <w:tcPr>
            <w:tcW w:w="104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5"/>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2,504,493</w:t>
            </w:r>
          </w:p>
        </w:tc>
        <w:tc>
          <w:tcPr>
            <w:tcW w:w="102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Arial" w:cs="Arial" w:eastAsia="Arial" w:hAnsi="Arial"/>
                <w:sz w:val="13"/>
                <w:szCs w:val="13"/>
                <w:color w:val="auto"/>
              </w:rPr>
              <w:t>Thomas H. Krause, Jr.</w:t>
            </w:r>
            <w:r>
              <w:rPr>
                <w:rFonts w:ascii="Arial" w:cs="Arial" w:eastAsia="Arial" w:hAnsi="Arial"/>
                <w:sz w:val="21"/>
                <w:szCs w:val="21"/>
                <w:b w:val="1"/>
                <w:bCs w:val="1"/>
                <w:color w:val="auto"/>
                <w:vertAlign w:val="superscript"/>
              </w:rPr>
              <w:t>(9)</w:t>
            </w:r>
          </w:p>
        </w:tc>
        <w:tc>
          <w:tcPr>
            <w:tcW w:w="1020" w:type="dxa"/>
            <w:vAlign w:val="bottom"/>
          </w:tcPr>
          <w:p>
            <w:pPr>
              <w:jc w:val="right"/>
              <w:spacing w:after="0"/>
              <w:rPr>
                <w:sz w:val="20"/>
                <w:szCs w:val="20"/>
                <w:color w:val="auto"/>
              </w:rPr>
            </w:pPr>
            <w:r>
              <w:rPr>
                <w:rFonts w:ascii="Arial" w:cs="Arial" w:eastAsia="Arial" w:hAnsi="Arial"/>
                <w:sz w:val="16"/>
                <w:szCs w:val="16"/>
                <w:color w:val="auto"/>
              </w:rPr>
              <w:t>57,215</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57,215</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BFBFBF"/>
          </w:tcPr>
          <w:p>
            <w:pPr>
              <w:spacing w:after="0" w:line="189" w:lineRule="exact"/>
              <w:rPr>
                <w:sz w:val="20"/>
                <w:szCs w:val="20"/>
                <w:color w:val="auto"/>
              </w:rPr>
            </w:pPr>
            <w:r>
              <w:rPr>
                <w:rFonts w:ascii="Arial" w:cs="Arial" w:eastAsia="Arial" w:hAnsi="Arial"/>
                <w:sz w:val="13"/>
                <w:szCs w:val="13"/>
                <w:color w:val="auto"/>
              </w:rPr>
              <w:t xml:space="preserve">Charles B. Kawwas, Ph.D. </w:t>
            </w:r>
            <w:r>
              <w:rPr>
                <w:rFonts w:ascii="Arial" w:cs="Arial" w:eastAsia="Arial" w:hAnsi="Arial"/>
                <w:sz w:val="21"/>
                <w:szCs w:val="21"/>
                <w:b w:val="1"/>
                <w:bCs w:val="1"/>
                <w:color w:val="auto"/>
                <w:vertAlign w:val="superscript"/>
              </w:rPr>
              <w:t>(10)</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71,638</w:t>
            </w:r>
          </w:p>
        </w:tc>
        <w:tc>
          <w:tcPr>
            <w:tcW w:w="104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5"/>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71,638</w:t>
            </w:r>
          </w:p>
        </w:tc>
        <w:tc>
          <w:tcPr>
            <w:tcW w:w="102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Arial" w:cs="Arial" w:eastAsia="Arial" w:hAnsi="Arial"/>
                <w:sz w:val="13"/>
                <w:szCs w:val="13"/>
                <w:color w:val="auto"/>
              </w:rPr>
              <w:t>Henry Samueli, Ph.D.</w:t>
            </w:r>
            <w:r>
              <w:rPr>
                <w:rFonts w:ascii="Arial" w:cs="Arial" w:eastAsia="Arial" w:hAnsi="Arial"/>
                <w:sz w:val="21"/>
                <w:szCs w:val="21"/>
                <w:b w:val="1"/>
                <w:bCs w:val="1"/>
                <w:color w:val="auto"/>
                <w:vertAlign w:val="superscript"/>
              </w:rPr>
              <w:t>(11)</w:t>
            </w:r>
          </w:p>
        </w:tc>
        <w:tc>
          <w:tcPr>
            <w:tcW w:w="1020" w:type="dxa"/>
            <w:vAlign w:val="bottom"/>
          </w:tcPr>
          <w:p>
            <w:pPr>
              <w:jc w:val="right"/>
              <w:spacing w:after="0"/>
              <w:rPr>
                <w:sz w:val="20"/>
                <w:szCs w:val="20"/>
                <w:color w:val="auto"/>
              </w:rPr>
            </w:pPr>
            <w:r>
              <w:rPr>
                <w:rFonts w:ascii="Arial" w:cs="Arial" w:eastAsia="Arial" w:hAnsi="Arial"/>
                <w:sz w:val="16"/>
                <w:szCs w:val="16"/>
                <w:color w:val="auto"/>
              </w:rPr>
              <w:t>126,468</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9,514,984</w:t>
            </w:r>
          </w:p>
        </w:tc>
        <w:tc>
          <w:tcPr>
            <w:tcW w:w="1000" w:type="dxa"/>
            <w:vAlign w:val="bottom"/>
          </w:tcPr>
          <w:p>
            <w:pPr>
              <w:jc w:val="right"/>
              <w:spacing w:after="0"/>
              <w:rPr>
                <w:sz w:val="20"/>
                <w:szCs w:val="20"/>
                <w:color w:val="auto"/>
              </w:rPr>
            </w:pPr>
            <w:r>
              <w:rPr>
                <w:rFonts w:ascii="Arial" w:cs="Arial" w:eastAsia="Arial" w:hAnsi="Arial"/>
                <w:sz w:val="16"/>
                <w:szCs w:val="16"/>
                <w:color w:val="auto"/>
              </w:rPr>
              <w:t>43.1%</w:t>
            </w:r>
          </w:p>
        </w:tc>
        <w:tc>
          <w:tcPr>
            <w:tcW w:w="1040" w:type="dxa"/>
            <w:vAlign w:val="bottom"/>
          </w:tcPr>
          <w:p>
            <w:pPr>
              <w:jc w:val="right"/>
              <w:spacing w:after="0"/>
              <w:rPr>
                <w:sz w:val="20"/>
                <w:szCs w:val="20"/>
                <w:color w:val="auto"/>
              </w:rPr>
            </w:pPr>
            <w:r>
              <w:rPr>
                <w:rFonts w:ascii="Arial" w:cs="Arial" w:eastAsia="Arial" w:hAnsi="Arial"/>
                <w:sz w:val="16"/>
                <w:szCs w:val="16"/>
                <w:color w:val="auto"/>
              </w:rPr>
              <w:t>9,641,452</w:t>
            </w:r>
          </w:p>
        </w:tc>
        <w:tc>
          <w:tcPr>
            <w:tcW w:w="1020" w:type="dxa"/>
            <w:vAlign w:val="bottom"/>
          </w:tcPr>
          <w:p>
            <w:pPr>
              <w:jc w:val="center"/>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BFBFBF"/>
          </w:tcPr>
          <w:p>
            <w:pPr>
              <w:spacing w:after="0"/>
              <w:rPr>
                <w:sz w:val="20"/>
                <w:szCs w:val="20"/>
                <w:color w:val="auto"/>
              </w:rPr>
            </w:pPr>
            <w:r>
              <w:rPr>
                <w:rFonts w:ascii="Arial" w:cs="Arial" w:eastAsia="Arial" w:hAnsi="Arial"/>
                <w:sz w:val="16"/>
                <w:szCs w:val="16"/>
                <w:color w:val="auto"/>
              </w:rPr>
              <w:t>Mark D. Brazeal</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BFBFBF"/>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Arial" w:cs="Arial" w:eastAsia="Arial" w:hAnsi="Arial"/>
                <w:sz w:val="13"/>
                <w:szCs w:val="13"/>
                <w:color w:val="auto"/>
              </w:rPr>
              <w:t>Bryan T. Ingram</w:t>
            </w:r>
            <w:r>
              <w:rPr>
                <w:rFonts w:ascii="Arial" w:cs="Arial" w:eastAsia="Arial" w:hAnsi="Arial"/>
                <w:sz w:val="21"/>
                <w:szCs w:val="21"/>
                <w:color w:val="auto"/>
                <w:vertAlign w:val="superscript"/>
              </w:rPr>
              <w:t>(</w:t>
            </w:r>
            <w:r>
              <w:rPr>
                <w:rFonts w:ascii="Arial" w:cs="Arial" w:eastAsia="Arial" w:hAnsi="Arial"/>
                <w:sz w:val="21"/>
                <w:szCs w:val="21"/>
                <w:b w:val="1"/>
                <w:bCs w:val="1"/>
                <w:color w:val="auto"/>
                <w:vertAlign w:val="superscript"/>
              </w:rPr>
              <w:t>12)</w:t>
            </w:r>
          </w:p>
        </w:tc>
        <w:tc>
          <w:tcPr>
            <w:tcW w:w="1020" w:type="dxa"/>
            <w:vAlign w:val="bottom"/>
          </w:tcPr>
          <w:p>
            <w:pPr>
              <w:jc w:val="right"/>
              <w:spacing w:after="0"/>
              <w:rPr>
                <w:sz w:val="20"/>
                <w:szCs w:val="20"/>
                <w:color w:val="auto"/>
              </w:rPr>
            </w:pPr>
            <w:r>
              <w:rPr>
                <w:rFonts w:ascii="Arial" w:cs="Arial" w:eastAsia="Arial" w:hAnsi="Arial"/>
                <w:sz w:val="16"/>
                <w:szCs w:val="16"/>
                <w:color w:val="auto"/>
              </w:rPr>
              <w:t>116,570</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116,570</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BFBFBF"/>
          </w:tcPr>
          <w:p>
            <w:pPr>
              <w:spacing w:after="0"/>
              <w:rPr>
                <w:sz w:val="20"/>
                <w:szCs w:val="20"/>
                <w:color w:val="auto"/>
              </w:rPr>
            </w:pPr>
            <w:r>
              <w:rPr>
                <w:rFonts w:ascii="Arial" w:cs="Arial" w:eastAsia="Arial" w:hAnsi="Arial"/>
                <w:sz w:val="16"/>
                <w:szCs w:val="16"/>
                <w:color w:val="auto"/>
              </w:rPr>
              <w:t>Gayla J. Delly</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BFBFBF"/>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Arial" w:cs="Arial" w:eastAsia="Arial" w:hAnsi="Arial"/>
                <w:sz w:val="13"/>
                <w:szCs w:val="13"/>
                <w:color w:val="auto"/>
              </w:rPr>
              <w:t>James V. Diller</w:t>
            </w:r>
            <w:r>
              <w:rPr>
                <w:rFonts w:ascii="Arial" w:cs="Arial" w:eastAsia="Arial" w:hAnsi="Arial"/>
                <w:sz w:val="21"/>
                <w:szCs w:val="21"/>
                <w:b w:val="1"/>
                <w:bCs w:val="1"/>
                <w:color w:val="auto"/>
                <w:vertAlign w:val="superscript"/>
              </w:rPr>
              <w:t>(13)</w:t>
            </w:r>
          </w:p>
        </w:tc>
        <w:tc>
          <w:tcPr>
            <w:tcW w:w="1020" w:type="dxa"/>
            <w:vAlign w:val="bottom"/>
          </w:tcPr>
          <w:p>
            <w:pPr>
              <w:jc w:val="right"/>
              <w:spacing w:after="0"/>
              <w:rPr>
                <w:sz w:val="20"/>
                <w:szCs w:val="20"/>
                <w:color w:val="auto"/>
              </w:rPr>
            </w:pPr>
            <w:r>
              <w:rPr>
                <w:rFonts w:ascii="Arial" w:cs="Arial" w:eastAsia="Arial" w:hAnsi="Arial"/>
                <w:sz w:val="16"/>
                <w:szCs w:val="16"/>
                <w:color w:val="auto"/>
              </w:rPr>
              <w:t>143,397</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143,397</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BFBFBF"/>
          </w:tcPr>
          <w:p>
            <w:pPr>
              <w:spacing w:after="0" w:line="189" w:lineRule="exact"/>
              <w:rPr>
                <w:sz w:val="20"/>
                <w:szCs w:val="20"/>
                <w:color w:val="auto"/>
              </w:rPr>
            </w:pPr>
            <w:r>
              <w:rPr>
                <w:rFonts w:ascii="Arial" w:cs="Arial" w:eastAsia="Arial" w:hAnsi="Arial"/>
                <w:sz w:val="13"/>
                <w:szCs w:val="13"/>
                <w:color w:val="auto"/>
              </w:rPr>
              <w:t>Lewis C. Eggebrecht</w:t>
            </w:r>
            <w:r>
              <w:rPr>
                <w:rFonts w:ascii="Arial" w:cs="Arial" w:eastAsia="Arial" w:hAnsi="Arial"/>
                <w:sz w:val="21"/>
                <w:szCs w:val="21"/>
                <w:b w:val="1"/>
                <w:bCs w:val="1"/>
                <w:color w:val="auto"/>
                <w:vertAlign w:val="superscript"/>
              </w:rPr>
              <w:t>(14)</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12,647</w:t>
            </w:r>
          </w:p>
        </w:tc>
        <w:tc>
          <w:tcPr>
            <w:tcW w:w="104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5"/>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12,647</w:t>
            </w:r>
          </w:p>
        </w:tc>
        <w:tc>
          <w:tcPr>
            <w:tcW w:w="102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Arial" w:cs="Arial" w:eastAsia="Arial" w:hAnsi="Arial"/>
                <w:sz w:val="13"/>
                <w:szCs w:val="13"/>
                <w:color w:val="auto"/>
              </w:rPr>
              <w:t>Kenneth Y. Hao</w:t>
            </w:r>
            <w:r>
              <w:rPr>
                <w:rFonts w:ascii="Arial" w:cs="Arial" w:eastAsia="Arial" w:hAnsi="Arial"/>
                <w:sz w:val="21"/>
                <w:szCs w:val="21"/>
                <w:b w:val="1"/>
                <w:bCs w:val="1"/>
                <w:color w:val="auto"/>
                <w:vertAlign w:val="superscript"/>
              </w:rPr>
              <w:t>(15)</w:t>
            </w:r>
          </w:p>
        </w:tc>
        <w:tc>
          <w:tcPr>
            <w:tcW w:w="1020" w:type="dxa"/>
            <w:vAlign w:val="bottom"/>
          </w:tcPr>
          <w:p>
            <w:pPr>
              <w:jc w:val="right"/>
              <w:spacing w:after="0"/>
              <w:rPr>
                <w:sz w:val="20"/>
                <w:szCs w:val="20"/>
                <w:color w:val="auto"/>
              </w:rPr>
            </w:pPr>
            <w:r>
              <w:rPr>
                <w:rFonts w:ascii="Arial" w:cs="Arial" w:eastAsia="Arial" w:hAnsi="Arial"/>
                <w:sz w:val="16"/>
                <w:szCs w:val="16"/>
                <w:color w:val="auto"/>
              </w:rPr>
              <w:t>1,708,951</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1,708,951</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BFBFBF"/>
          </w:tcPr>
          <w:p>
            <w:pPr>
              <w:spacing w:after="0" w:line="189" w:lineRule="exact"/>
              <w:rPr>
                <w:sz w:val="20"/>
                <w:szCs w:val="20"/>
                <w:color w:val="auto"/>
              </w:rPr>
            </w:pPr>
            <w:r>
              <w:rPr>
                <w:rFonts w:ascii="Arial" w:cs="Arial" w:eastAsia="Arial" w:hAnsi="Arial"/>
                <w:sz w:val="13"/>
                <w:szCs w:val="13"/>
                <w:color w:val="auto"/>
              </w:rPr>
              <w:t>Eddy W. Hartenstein</w:t>
            </w:r>
            <w:r>
              <w:rPr>
                <w:rFonts w:ascii="Arial" w:cs="Arial" w:eastAsia="Arial" w:hAnsi="Arial"/>
                <w:sz w:val="21"/>
                <w:szCs w:val="21"/>
                <w:b w:val="1"/>
                <w:bCs w:val="1"/>
                <w:color w:val="auto"/>
                <w:vertAlign w:val="superscript"/>
              </w:rPr>
              <w:t>(16)</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34,141</w:t>
            </w:r>
          </w:p>
        </w:tc>
        <w:tc>
          <w:tcPr>
            <w:tcW w:w="104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5"/>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34,141</w:t>
            </w:r>
          </w:p>
        </w:tc>
        <w:tc>
          <w:tcPr>
            <w:tcW w:w="102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Arial" w:cs="Arial" w:eastAsia="Arial" w:hAnsi="Arial"/>
                <w:sz w:val="13"/>
                <w:szCs w:val="13"/>
                <w:color w:val="auto"/>
              </w:rPr>
              <w:t>Check Kian Low</w:t>
            </w:r>
            <w:r>
              <w:rPr>
                <w:rFonts w:ascii="Arial" w:cs="Arial" w:eastAsia="Arial" w:hAnsi="Arial"/>
                <w:sz w:val="21"/>
                <w:szCs w:val="21"/>
                <w:b w:val="1"/>
                <w:bCs w:val="1"/>
                <w:color w:val="auto"/>
                <w:vertAlign w:val="superscript"/>
              </w:rPr>
              <w:t>(17)</w:t>
            </w:r>
          </w:p>
        </w:tc>
        <w:tc>
          <w:tcPr>
            <w:tcW w:w="1020" w:type="dxa"/>
            <w:vAlign w:val="bottom"/>
          </w:tcPr>
          <w:p>
            <w:pPr>
              <w:jc w:val="right"/>
              <w:spacing w:after="0"/>
              <w:rPr>
                <w:sz w:val="20"/>
                <w:szCs w:val="20"/>
                <w:color w:val="auto"/>
              </w:rPr>
            </w:pPr>
            <w:r>
              <w:rPr>
                <w:rFonts w:ascii="Arial" w:cs="Arial" w:eastAsia="Arial" w:hAnsi="Arial"/>
                <w:sz w:val="16"/>
                <w:szCs w:val="16"/>
                <w:color w:val="auto"/>
              </w:rPr>
              <w:t>1,294</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1,294</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BFBFBF"/>
          </w:tcPr>
          <w:p>
            <w:pPr>
              <w:spacing w:after="0" w:line="189" w:lineRule="exact"/>
              <w:rPr>
                <w:sz w:val="20"/>
                <w:szCs w:val="20"/>
                <w:color w:val="auto"/>
              </w:rPr>
            </w:pPr>
            <w:r>
              <w:rPr>
                <w:rFonts w:ascii="Arial" w:cs="Arial" w:eastAsia="Arial" w:hAnsi="Arial"/>
                <w:sz w:val="13"/>
                <w:szCs w:val="13"/>
                <w:color w:val="auto"/>
              </w:rPr>
              <w:t>Donald Macleod</w:t>
            </w:r>
            <w:r>
              <w:rPr>
                <w:rFonts w:ascii="Arial" w:cs="Arial" w:eastAsia="Arial" w:hAnsi="Arial"/>
                <w:sz w:val="21"/>
                <w:szCs w:val="21"/>
                <w:b w:val="1"/>
                <w:bCs w:val="1"/>
                <w:color w:val="auto"/>
                <w:vertAlign w:val="superscript"/>
              </w:rPr>
              <w:t>(18)</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58,981</w:t>
            </w:r>
          </w:p>
        </w:tc>
        <w:tc>
          <w:tcPr>
            <w:tcW w:w="104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5"/>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58,981</w:t>
            </w:r>
          </w:p>
        </w:tc>
        <w:tc>
          <w:tcPr>
            <w:tcW w:w="102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Arial" w:cs="Arial" w:eastAsia="Arial" w:hAnsi="Arial"/>
                <w:sz w:val="13"/>
                <w:szCs w:val="13"/>
                <w:color w:val="auto"/>
              </w:rPr>
              <w:t>Peter J. Marks</w:t>
            </w:r>
            <w:r>
              <w:rPr>
                <w:rFonts w:ascii="Arial" w:cs="Arial" w:eastAsia="Arial" w:hAnsi="Arial"/>
                <w:sz w:val="21"/>
                <w:szCs w:val="21"/>
                <w:b w:val="1"/>
                <w:bCs w:val="1"/>
                <w:color w:val="auto"/>
                <w:vertAlign w:val="superscript"/>
              </w:rPr>
              <w:t>(19)</w:t>
            </w:r>
          </w:p>
        </w:tc>
        <w:tc>
          <w:tcPr>
            <w:tcW w:w="1020" w:type="dxa"/>
            <w:vAlign w:val="bottom"/>
          </w:tcPr>
          <w:p>
            <w:pPr>
              <w:jc w:val="right"/>
              <w:spacing w:after="0"/>
              <w:rPr>
                <w:sz w:val="20"/>
                <w:szCs w:val="20"/>
                <w:color w:val="auto"/>
              </w:rPr>
            </w:pPr>
            <w:r>
              <w:rPr>
                <w:rFonts w:ascii="Arial" w:cs="Arial" w:eastAsia="Arial" w:hAnsi="Arial"/>
                <w:sz w:val="16"/>
                <w:szCs w:val="16"/>
                <w:color w:val="auto"/>
              </w:rPr>
              <w:t>32,205</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32,205</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00" w:type="dxa"/>
            <w:vAlign w:val="bottom"/>
            <w:shd w:val="clear" w:color="auto" w:fill="BFBFBF"/>
          </w:tcPr>
          <w:p>
            <w:pPr>
              <w:spacing w:after="0" w:line="170" w:lineRule="exact"/>
              <w:rPr>
                <w:sz w:val="20"/>
                <w:szCs w:val="20"/>
                <w:color w:val="auto"/>
              </w:rPr>
            </w:pPr>
            <w:r>
              <w:rPr>
                <w:rFonts w:ascii="Arial" w:cs="Arial" w:eastAsia="Arial" w:hAnsi="Arial"/>
                <w:sz w:val="16"/>
                <w:szCs w:val="16"/>
                <w:color w:val="auto"/>
              </w:rPr>
              <w:t>All 15 executive officers and directors as</w:t>
            </w:r>
          </w:p>
        </w:tc>
        <w:tc>
          <w:tcPr>
            <w:tcW w:w="1020" w:type="dxa"/>
            <w:vAlign w:val="bottom"/>
            <w:shd w:val="clear" w:color="auto" w:fill="BFBFBF"/>
          </w:tcPr>
          <w:p>
            <w:pPr>
              <w:spacing w:after="0"/>
              <w:rPr>
                <w:sz w:val="14"/>
                <w:szCs w:val="14"/>
                <w:color w:val="auto"/>
              </w:rPr>
            </w:pPr>
          </w:p>
        </w:tc>
        <w:tc>
          <w:tcPr>
            <w:tcW w:w="1040" w:type="dxa"/>
            <w:vAlign w:val="bottom"/>
            <w:shd w:val="clear" w:color="auto" w:fill="BFBFBF"/>
          </w:tcPr>
          <w:p>
            <w:pPr>
              <w:spacing w:after="0"/>
              <w:rPr>
                <w:sz w:val="14"/>
                <w:szCs w:val="14"/>
                <w:color w:val="auto"/>
              </w:rPr>
            </w:pPr>
          </w:p>
        </w:tc>
        <w:tc>
          <w:tcPr>
            <w:tcW w:w="1000" w:type="dxa"/>
            <w:vAlign w:val="bottom"/>
            <w:shd w:val="clear" w:color="auto" w:fill="BFBFBF"/>
          </w:tcPr>
          <w:p>
            <w:pPr>
              <w:spacing w:after="0"/>
              <w:rPr>
                <w:sz w:val="14"/>
                <w:szCs w:val="14"/>
                <w:color w:val="auto"/>
              </w:rPr>
            </w:pPr>
          </w:p>
        </w:tc>
        <w:tc>
          <w:tcPr>
            <w:tcW w:w="1000" w:type="dxa"/>
            <w:vAlign w:val="bottom"/>
            <w:shd w:val="clear" w:color="auto" w:fill="BFBFBF"/>
          </w:tcPr>
          <w:p>
            <w:pPr>
              <w:spacing w:after="0"/>
              <w:rPr>
                <w:sz w:val="14"/>
                <w:szCs w:val="14"/>
                <w:color w:val="auto"/>
              </w:rPr>
            </w:pPr>
          </w:p>
        </w:tc>
        <w:tc>
          <w:tcPr>
            <w:tcW w:w="1040" w:type="dxa"/>
            <w:vAlign w:val="bottom"/>
            <w:shd w:val="clear" w:color="auto" w:fill="BFBFBF"/>
          </w:tcPr>
          <w:p>
            <w:pPr>
              <w:spacing w:after="0"/>
              <w:rPr>
                <w:sz w:val="14"/>
                <w:szCs w:val="14"/>
                <w:color w:val="auto"/>
              </w:rPr>
            </w:pPr>
          </w:p>
        </w:tc>
        <w:tc>
          <w:tcPr>
            <w:tcW w:w="102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BFBFBF"/>
          </w:tcPr>
          <w:p>
            <w:pPr>
              <w:ind w:left="140"/>
              <w:spacing w:after="0" w:line="209" w:lineRule="exact"/>
              <w:rPr>
                <w:sz w:val="20"/>
                <w:szCs w:val="20"/>
                <w:color w:val="auto"/>
              </w:rPr>
            </w:pPr>
            <w:r>
              <w:rPr>
                <w:rFonts w:ascii="Arial" w:cs="Arial" w:eastAsia="Arial" w:hAnsi="Arial"/>
                <w:sz w:val="15"/>
                <w:szCs w:val="15"/>
                <w:color w:val="auto"/>
              </w:rPr>
              <w:t>a group</w:t>
            </w:r>
            <w:r>
              <w:rPr>
                <w:rFonts w:ascii="Arial" w:cs="Arial" w:eastAsia="Arial" w:hAnsi="Arial"/>
                <w:sz w:val="24"/>
                <w:szCs w:val="24"/>
                <w:b w:val="1"/>
                <w:bCs w:val="1"/>
                <w:color w:val="auto"/>
                <w:vertAlign w:val="superscript"/>
              </w:rPr>
              <w:t>(20)</w:t>
            </w:r>
          </w:p>
        </w:tc>
        <w:tc>
          <w:tcPr>
            <w:tcW w:w="1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4,887,798</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1.2%</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9,514,984</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43.1%</w:t>
            </w:r>
          </w:p>
        </w:tc>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14,402,782</w:t>
            </w:r>
          </w:p>
        </w:tc>
        <w:tc>
          <w:tcPr>
            <w:tcW w:w="1020" w:type="dxa"/>
            <w:vAlign w:val="bottom"/>
            <w:shd w:val="clear" w:color="auto" w:fill="BFBFBF"/>
          </w:tcPr>
          <w:p>
            <w:pPr>
              <w:jc w:val="center"/>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-4775835</wp:posOffset>
            </wp:positionV>
            <wp:extent cx="38760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85725</wp:posOffset>
            </wp:positionV>
            <wp:extent cx="16033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71" w:lineRule="exact"/>
        <w:rPr>
          <w:sz w:val="20"/>
          <w:szCs w:val="20"/>
          <w:color w:val="auto"/>
        </w:rPr>
      </w:pPr>
    </w:p>
    <w:p>
      <w:pPr>
        <w:ind w:left="740" w:hanging="536"/>
        <w:spacing w:after="0"/>
        <w:tabs>
          <w:tab w:leader="none" w:pos="7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beneficial ownership of less than 1%.</w:t>
      </w:r>
    </w:p>
    <w:p>
      <w:pPr>
        <w:spacing w:after="0" w:line="5" w:lineRule="exact"/>
        <w:rPr>
          <w:sz w:val="20"/>
          <w:szCs w:val="20"/>
          <w:color w:val="auto"/>
        </w:rPr>
      </w:pPr>
    </w:p>
    <w:p>
      <w:pPr>
        <w:ind w:left="740" w:right="120" w:hanging="536"/>
        <w:spacing w:after="0" w:line="246" w:lineRule="auto"/>
        <w:tabs>
          <w:tab w:leader="none" w:pos="7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Amounts shown in the table above include securities held in the beneficial owner’s name or jointly with others, or in the name of a bank, nominee or trustee for the beneficial owner’s account.</w:t>
      </w:r>
    </w:p>
    <w:p>
      <w:pPr>
        <w:ind w:left="740" w:right="140" w:hanging="536"/>
        <w:spacing w:after="0" w:line="260" w:lineRule="auto"/>
        <w:tabs>
          <w:tab w:leader="none" w:pos="7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Ordinary shares and Special Voting Shares are entitled to one vote per share and vote as a single class on all matters except any amendment to our Constitution that adversely affects the voting rights of the Special Voting Shares.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740" w:right="280" w:hanging="536"/>
        <w:spacing w:after="0" w:line="246" w:lineRule="auto"/>
        <w:tabs>
          <w:tab w:leader="none" w:pos="7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Number of ordinary shares is based solely on information reported by Capital World Investors on the Schedule 13G/A filed with the SEC on February 14, 2018, reporting ownership as of December 31, 2017. According to such Schedule 13G/A, Capital World Investors has sole voting power and sole dispositive power over these shares. Ownership percentage assumes the shareowner continued to own the number of shares reflected in the table above on February 12, 2018.</w:t>
      </w:r>
    </w:p>
    <w:p>
      <w:pPr>
        <w:spacing w:after="0" w:line="1" w:lineRule="exact"/>
        <w:rPr>
          <w:rFonts w:ascii="Arial" w:cs="Arial" w:eastAsia="Arial" w:hAnsi="Arial"/>
          <w:sz w:val="16"/>
          <w:szCs w:val="16"/>
          <w:color w:val="auto"/>
        </w:rPr>
      </w:pPr>
    </w:p>
    <w:p>
      <w:pPr>
        <w:ind w:left="740" w:hanging="536"/>
        <w:spacing w:after="0" w:line="246" w:lineRule="auto"/>
        <w:tabs>
          <w:tab w:leader="none" w:pos="7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Number of shares is based solely on information reported by The Vanguard Group on the Schedule 13G/A filed with the SEC on February 12, 2018, reporting ownership as of December 31, 2017. According to such Schedule 13G/A, The Vanguard Group has sole voting power over 581,625 of these shares, sole dispositive power over 28,269,362 of these shares, shared voting power over 87,332 of these shares and shared dispositive power over 654,358 of these shares. Ownership percentage assumes the shareowner continued to own the number of shares reflected in the table above on February 12, 2018.</w:t>
      </w:r>
    </w:p>
    <w:p>
      <w:pPr>
        <w:spacing w:after="0" w:line="2" w:lineRule="exact"/>
        <w:rPr>
          <w:rFonts w:ascii="Arial" w:cs="Arial" w:eastAsia="Arial" w:hAnsi="Arial"/>
          <w:sz w:val="16"/>
          <w:szCs w:val="16"/>
          <w:color w:val="auto"/>
        </w:rPr>
      </w:pPr>
    </w:p>
    <w:p>
      <w:pPr>
        <w:ind w:left="740" w:right="100" w:hanging="536"/>
        <w:spacing w:after="0" w:line="246" w:lineRule="auto"/>
        <w:tabs>
          <w:tab w:leader="none" w:pos="7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Number of shares is based solely on information reported by BlackRock, Inc. on the Schedule 13G/A filed with the SEC on January 30, 2018, reporting ownership as of December 31, 2017. According to such Schedule 13G/A, BlackRock, Inc. has sole dispositive power over these shares and sole voting power over 21,260,683 of these shares. Ownership percentage assumes the shareowner continued to own the number of shares reflected in the table above on February 12, 2018.</w:t>
      </w:r>
    </w:p>
    <w:p>
      <w:pPr>
        <w:spacing w:after="0" w:line="1" w:lineRule="exact"/>
        <w:rPr>
          <w:rFonts w:ascii="Arial" w:cs="Arial" w:eastAsia="Arial" w:hAnsi="Arial"/>
          <w:sz w:val="16"/>
          <w:szCs w:val="16"/>
          <w:color w:val="auto"/>
        </w:rPr>
      </w:pPr>
    </w:p>
    <w:p>
      <w:pPr>
        <w:ind w:left="740" w:right="40" w:hanging="536"/>
        <w:spacing w:after="0" w:line="246" w:lineRule="auto"/>
        <w:tabs>
          <w:tab w:leader="none" w:pos="7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Number of shares is based solely on information reported by Capital Research Global Investors on the Schedule 13G/A filed with the SEC on February 14, 2018, reporting ownership as of December 31, 2017. According to such Schedule 13G/A, Capital Research Global Investors has sole voting power and sole dispositive power over these shares. Ownership percentage assumes the shareowner continued to own the number of shares reflected in the table above on February 12, 2018.</w:t>
      </w:r>
    </w:p>
    <w:p>
      <w:pPr>
        <w:spacing w:after="0" w:line="1" w:lineRule="exact"/>
        <w:rPr>
          <w:rFonts w:ascii="Arial" w:cs="Arial" w:eastAsia="Arial" w:hAnsi="Arial"/>
          <w:sz w:val="16"/>
          <w:szCs w:val="16"/>
          <w:color w:val="auto"/>
        </w:rPr>
      </w:pPr>
    </w:p>
    <w:p>
      <w:pPr>
        <w:ind w:left="740" w:hanging="536"/>
        <w:spacing w:after="0"/>
        <w:tabs>
          <w:tab w:leader="none" w:pos="7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Shares in the table represent 11,456,699 Restricted Units held by Nicholas Technology Holding Trust and 302 Restricted Units held by each of</w:t>
      </w:r>
    </w:p>
    <w:p>
      <w:pPr>
        <w:spacing w:after="0" w:line="5"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(i) Henry T. Nicholas III Custodian Robert Brett Nicholas UGMA, (ii) Henry T. Nicholas III Custodian Shelby Vanessa Nicholas UGMA and</w:t>
      </w:r>
    </w:p>
    <w:p>
      <w:pPr>
        <w:spacing w:after="0" w:line="5" w:lineRule="exact"/>
        <w:rPr>
          <w:sz w:val="20"/>
          <w:szCs w:val="20"/>
          <w:color w:val="auto"/>
        </w:rPr>
      </w:pPr>
    </w:p>
    <w:p>
      <w:pPr>
        <w:ind w:left="740" w:right="100"/>
        <w:spacing w:after="0" w:line="246" w:lineRule="auto"/>
        <w:rPr>
          <w:sz w:val="20"/>
          <w:szCs w:val="20"/>
          <w:color w:val="auto"/>
        </w:rPr>
      </w:pPr>
      <w:r>
        <w:rPr>
          <w:rFonts w:ascii="Arial" w:cs="Arial" w:eastAsia="Arial" w:hAnsi="Arial"/>
          <w:sz w:val="16"/>
          <w:szCs w:val="16"/>
          <w:color w:val="auto"/>
        </w:rPr>
        <w:t>(iii) Henry T. Nicholas III Custodian Matthew Carter Nicholas UGMA. Dr. Nicholas has dispositive power over these Restricted Units and power to direct the vote of the Special Voting Shares associated with these Restricted Units pursuant to the Voting Trust.</w:t>
      </w:r>
    </w:p>
    <w:p>
      <w:pPr>
        <w:ind w:left="740" w:right="200" w:hanging="536"/>
        <w:spacing w:after="0" w:line="246" w:lineRule="auto"/>
        <w:tabs>
          <w:tab w:leader="none" w:pos="7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Shares shown in the table above include 2,399,166 shares that Mr. Tan has the right to acquire within 60 days after February 12, 2018 upon the exercise of share options.</w:t>
      </w:r>
    </w:p>
    <w:p>
      <w:pPr>
        <w:ind w:left="740" w:right="160" w:hanging="536"/>
        <w:spacing w:after="0" w:line="246" w:lineRule="auto"/>
        <w:tabs>
          <w:tab w:leader="none" w:pos="7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Shares shown in the table above include 22,500 shares that Mr. Krause has the right to acquire within 60 days after February 12, 2018 upon the exercise of share options and 20,625 shares that he has the right to acquire within 60 days after February 12, 2018 upon the vesting of RSUs. These shares do not include any shares that may be earned pursuant to a PSU award for the performance period ending March 15, 2018.</w:t>
      </w:r>
    </w:p>
    <w:p>
      <w:pPr>
        <w:spacing w:after="0" w:line="1" w:lineRule="exact"/>
        <w:rPr>
          <w:rFonts w:ascii="Arial" w:cs="Arial" w:eastAsia="Arial" w:hAnsi="Arial"/>
          <w:sz w:val="16"/>
          <w:szCs w:val="16"/>
          <w:color w:val="auto"/>
        </w:rPr>
      </w:pPr>
    </w:p>
    <w:p>
      <w:pPr>
        <w:ind w:left="740" w:right="100" w:hanging="536"/>
        <w:spacing w:after="0" w:line="246" w:lineRule="auto"/>
        <w:tabs>
          <w:tab w:leader="none" w:pos="7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Shares shown in the table above include 39,330 shares that Dr. Kawwas has the right to acquire within 60 days after February 12, 2018 upon the exercise of share options and 20,984 shares that he has the right to acquire within 60 days after February 12, 2018 upon the vesting of RSUs. These shares do not include any shares that may be earned pursuant to a PSU award for the performance period ending March 15, 2018.</w:t>
      </w:r>
    </w:p>
    <w:p>
      <w:pPr>
        <w:spacing w:after="0" w:line="1" w:lineRule="exact"/>
        <w:rPr>
          <w:rFonts w:ascii="Arial" w:cs="Arial" w:eastAsia="Arial" w:hAnsi="Arial"/>
          <w:sz w:val="16"/>
          <w:szCs w:val="16"/>
          <w:color w:val="auto"/>
        </w:rPr>
      </w:pPr>
    </w:p>
    <w:p>
      <w:pPr>
        <w:jc w:val="both"/>
        <w:ind w:left="740" w:right="120" w:hanging="536"/>
        <w:spacing w:after="0" w:line="246" w:lineRule="auto"/>
        <w:tabs>
          <w:tab w:leader="none" w:pos="7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shares in the table include 6,519 shares that Dr. Samueli has the right to acquire within 60 days after February 12, 2018 upon the vesting of RSUs, but does not include any shares that may be earned pursuant to a PSU award for the performance period ending March 15, 2018. Shares in the table also include (i) 5,752,978 Restricted Units held by HS Portfolio L.P., (ii) 399,918 Restricted Units held by HS Management, L.P., (iii)</w:t>
      </w:r>
    </w:p>
    <w:p>
      <w:pPr>
        <w:spacing w:after="0" w:line="1" w:lineRule="exact"/>
        <w:rPr>
          <w:rFonts w:ascii="Arial" w:cs="Arial" w:eastAsia="Arial" w:hAnsi="Arial"/>
          <w:sz w:val="16"/>
          <w:szCs w:val="16"/>
          <w:color w:val="auto"/>
        </w:rPr>
      </w:pPr>
    </w:p>
    <w:p>
      <w:pPr>
        <w:ind w:left="740" w:right="120"/>
        <w:spacing w:after="0" w:line="247" w:lineRule="auto"/>
        <w:rPr>
          <w:rFonts w:ascii="Arial" w:cs="Arial" w:eastAsia="Arial" w:hAnsi="Arial"/>
          <w:sz w:val="16"/>
          <w:szCs w:val="16"/>
          <w:color w:val="auto"/>
        </w:rPr>
      </w:pPr>
      <w:r>
        <w:rPr>
          <w:rFonts w:ascii="Arial" w:cs="Arial" w:eastAsia="Arial" w:hAnsi="Arial"/>
          <w:sz w:val="16"/>
          <w:szCs w:val="16"/>
          <w:color w:val="auto"/>
        </w:rPr>
        <w:t>459,690 Restricted Units held by H&amp;S Portfolio II L.P., (iv) 2,722,869 Restricted Units held by H&amp;S Investments I L.P., (v) 62,010 Restricted Units held by HS REU LLC, of which 21,951.54 Restricted Units and 40,058.46 Restricted Units are beneficially owned by H&amp;S Investments I L.P. and the Henry Samueli 2016 GRAT, a trust for the benefit of Dr. Samueli, respectively, through their ownership of membership interests in HS REU LLC, (vi) 62,010 Restricted Units held by SFS REU LLC, of which 21,951.54 Restricted Units and 40,058.46 Restricted Units are beneficially owned by H&amp;S Investments I L.P. and the Susan Faye Samueli 2016 GRAT, a trust for the benefit of Dr. Samueli’s spouse, respectively, through their ownership of membership interests in SFS REU LLC, (vii) 1,860 Restricted Units held by H&amp;S Ventures LLC and (viii) 53,649 Restricted Units held directly by Dr. Samueli. Dr. Samueli disclaims beneficial ownership of the shares held by HS Portfolio L.P. and HS Management, L.P., except to the extent of his pecuniary interest therein. H&amp;S Ventures LLC is the general partner of HS Management, L.P., HS Portfolio L.P., H&amp;S Portfolio II, L.P and H&amp;S Investments I, L.P. (collectively, the “</w:t>
      </w:r>
      <w:r>
        <w:rPr>
          <w:rFonts w:ascii="Arial" w:cs="Arial" w:eastAsia="Arial" w:hAnsi="Arial"/>
          <w:sz w:val="16"/>
          <w:szCs w:val="16"/>
          <w:u w:val="single" w:color="auto"/>
          <w:color w:val="auto"/>
        </w:rPr>
        <w:t>H&amp;S Partnerships</w:t>
      </w:r>
      <w:r>
        <w:rPr>
          <w:rFonts w:ascii="Arial" w:cs="Arial" w:eastAsia="Arial" w:hAnsi="Arial"/>
          <w:sz w:val="16"/>
          <w:szCs w:val="16"/>
          <w:color w:val="auto"/>
        </w:rPr>
        <w:t>”). As the indirect owner of H&amp;S Ventures LLC, Dr. Samueli has sole dispositive power over the Restricted Units held by the H&amp;S Partnerships and H&amp;S Ventures LLC, and sole power to direct the vote of the Special Voting Shares associated with these Restricted Units pursuant to the Voting Trust. Dr. Samueli also has sole dispositive power of the Restricted Units held by the HS REU LLC and SFS REU LLC, and sole power to direct the vote of the Special Voting Shares associated with these Restricted Units pursuant to the Voting Trust.</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740" w:right="140" w:hanging="536"/>
        <w:spacing w:after="0" w:line="246" w:lineRule="auto"/>
        <w:tabs>
          <w:tab w:leader="none" w:pos="7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shown in the table above include 60,000 shares that Mr. Ingram has the right to acquire within 60 days after February 12, 2018 upon the exercise of share options and 40,625 shares that he has the right to acquire within 60 days after February 12, 2018 upon the vesting of RSUs. These shares do not include any shares that may be earned pursuant to a PSU award for the performance period ending March 15, 2018.</w:t>
      </w:r>
    </w:p>
    <w:p>
      <w:pPr>
        <w:spacing w:after="0" w:line="1" w:lineRule="exact"/>
        <w:rPr>
          <w:rFonts w:ascii="Arial" w:cs="Arial" w:eastAsia="Arial" w:hAnsi="Arial"/>
          <w:sz w:val="16"/>
          <w:szCs w:val="16"/>
          <w:color w:val="auto"/>
        </w:rPr>
      </w:pPr>
    </w:p>
    <w:p>
      <w:pPr>
        <w:ind w:left="740" w:right="160" w:hanging="536"/>
        <w:spacing w:after="0" w:line="246" w:lineRule="auto"/>
        <w:tabs>
          <w:tab w:leader="none" w:pos="7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shown in the table above include 119,500 shares held by the James &amp; June Diller Trust UA dated 7/20/77 and 906 shares that Mr. Diller has the right to acquire within 60 days after February 12, 2018 upon the vesting of RSUs.</w:t>
      </w:r>
    </w:p>
    <w:p>
      <w:pPr>
        <w:jc w:val="both"/>
        <w:ind w:left="740" w:right="40" w:hanging="536"/>
        <w:spacing w:after="0" w:line="246" w:lineRule="auto"/>
        <w:tabs>
          <w:tab w:leader="none" w:pos="7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shown in the table above include (i) 1,500 shares held by the Lewis &amp; Rebecca Eggebrecht Trust UA dated 6/21/97, (ii) 5,121 shares that Mr. Eggebrecht has the right to acquire within 60 days after February 12, 2018 upon the exercise of share options and (iii) 906 shares that he has the right to acquire within 60 days after February 12, 2018 upon the vesting of RSUs.</w:t>
      </w:r>
    </w:p>
    <w:p>
      <w:pPr>
        <w:spacing w:after="0" w:line="1" w:lineRule="exact"/>
        <w:rPr>
          <w:rFonts w:ascii="Arial" w:cs="Arial" w:eastAsia="Arial" w:hAnsi="Arial"/>
          <w:sz w:val="16"/>
          <w:szCs w:val="16"/>
          <w:color w:val="auto"/>
        </w:rPr>
      </w:pPr>
    </w:p>
    <w:p>
      <w:pPr>
        <w:ind w:left="740" w:right="460" w:hanging="536"/>
        <w:spacing w:after="0" w:line="260" w:lineRule="auto"/>
        <w:tabs>
          <w:tab w:leader="none" w:pos="7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Amounts disclosed for Mr. Hao include (i) 1,587,737 shares held by SLP Argo I Ltd. (“</w:t>
      </w:r>
      <w:r>
        <w:rPr>
          <w:rFonts w:ascii="Arial" w:cs="Arial" w:eastAsia="Arial" w:hAnsi="Arial"/>
          <w:sz w:val="16"/>
          <w:szCs w:val="16"/>
          <w:u w:val="single" w:color="auto"/>
          <w:color w:val="auto"/>
        </w:rPr>
        <w:t>Argo I</w:t>
      </w:r>
      <w:r>
        <w:rPr>
          <w:rFonts w:ascii="Arial" w:cs="Arial" w:eastAsia="Arial" w:hAnsi="Arial"/>
          <w:sz w:val="16"/>
          <w:szCs w:val="16"/>
          <w:color w:val="auto"/>
        </w:rPr>
        <w:t>”) and (ii) 30,830 shares held by SLP Argo II Ltd (“</w:t>
      </w:r>
      <w:r>
        <w:rPr>
          <w:rFonts w:ascii="Arial" w:cs="Arial" w:eastAsia="Arial" w:hAnsi="Arial"/>
          <w:sz w:val="16"/>
          <w:szCs w:val="16"/>
          <w:u w:val="single" w:color="auto"/>
          <w:color w:val="auto"/>
        </w:rPr>
        <w:t>Argo II</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ind w:left="740"/>
        <w:spacing w:after="0" w:line="249" w:lineRule="auto"/>
        <w:rPr>
          <w:rFonts w:ascii="Arial" w:cs="Arial" w:eastAsia="Arial" w:hAnsi="Arial"/>
          <w:sz w:val="16"/>
          <w:szCs w:val="16"/>
          <w:color w:val="auto"/>
        </w:rPr>
      </w:pPr>
      <w:r>
        <w:rPr>
          <w:rFonts w:ascii="Arial" w:cs="Arial" w:eastAsia="Arial" w:hAnsi="Arial"/>
          <w:sz w:val="16"/>
          <w:szCs w:val="16"/>
          <w:color w:val="auto"/>
        </w:rPr>
        <w:t>Silver Lake Partners IV Cayman (AIV II), L.P. (the “</w:t>
      </w:r>
      <w:r>
        <w:rPr>
          <w:rFonts w:ascii="Arial" w:cs="Arial" w:eastAsia="Arial" w:hAnsi="Arial"/>
          <w:sz w:val="16"/>
          <w:szCs w:val="16"/>
          <w:u w:val="single" w:color="auto"/>
          <w:color w:val="auto"/>
        </w:rPr>
        <w:t>Main Fund</w:t>
      </w:r>
      <w:r>
        <w:rPr>
          <w:rFonts w:ascii="Arial" w:cs="Arial" w:eastAsia="Arial" w:hAnsi="Arial"/>
          <w:sz w:val="16"/>
          <w:szCs w:val="16"/>
          <w:color w:val="auto"/>
        </w:rPr>
        <w:t>”) is the sole shareholder of Argo I. Silver Lake Technology Investors IV Cayman, L.P. (the “</w:t>
      </w:r>
      <w:r>
        <w:rPr>
          <w:rFonts w:ascii="Arial" w:cs="Arial" w:eastAsia="Arial" w:hAnsi="Arial"/>
          <w:sz w:val="16"/>
          <w:szCs w:val="16"/>
          <w:u w:val="single" w:color="auto"/>
          <w:color w:val="auto"/>
        </w:rPr>
        <w:t>Side Fund</w:t>
      </w:r>
      <w:r>
        <w:rPr>
          <w:rFonts w:ascii="Arial" w:cs="Arial" w:eastAsia="Arial" w:hAnsi="Arial"/>
          <w:sz w:val="16"/>
          <w:szCs w:val="16"/>
          <w:color w:val="auto"/>
        </w:rPr>
        <w:t>”) is the sole shareholder of Argo II. Silver Lake Technology Associates IV Cayman, L.P. (the “</w:t>
      </w:r>
      <w:r>
        <w:rPr>
          <w:rFonts w:ascii="Arial" w:cs="Arial" w:eastAsia="Arial" w:hAnsi="Arial"/>
          <w:sz w:val="16"/>
          <w:szCs w:val="16"/>
          <w:u w:val="single" w:color="auto"/>
          <w:color w:val="auto"/>
        </w:rPr>
        <w:t>Lower GP</w:t>
      </w:r>
      <w:r>
        <w:rPr>
          <w:rFonts w:ascii="Arial" w:cs="Arial" w:eastAsia="Arial" w:hAnsi="Arial"/>
          <w:sz w:val="16"/>
          <w:szCs w:val="16"/>
          <w:color w:val="auto"/>
        </w:rPr>
        <w:t>”) is general partner of each of the Main Fund and the Side Fund. Silver Lake (Offshore) AIV GP IV, Ltd. (the “</w:t>
      </w:r>
      <w:r>
        <w:rPr>
          <w:rFonts w:ascii="Arial" w:cs="Arial" w:eastAsia="Arial" w:hAnsi="Arial"/>
          <w:sz w:val="16"/>
          <w:szCs w:val="16"/>
          <w:u w:val="single" w:color="auto"/>
          <w:color w:val="auto"/>
        </w:rPr>
        <w:t>Upper GP</w:t>
      </w:r>
      <w:r>
        <w:rPr>
          <w:rFonts w:ascii="Arial" w:cs="Arial" w:eastAsia="Arial" w:hAnsi="Arial"/>
          <w:sz w:val="16"/>
          <w:szCs w:val="16"/>
          <w:color w:val="auto"/>
        </w:rPr>
        <w:t>”) is the general partner of the Lower GP. Argo I, Argo II, the Main Fund, the Side Fund, the Lower GP and the Upper GP are collectively referred to as the “</w:t>
      </w:r>
      <w:r>
        <w:rPr>
          <w:rFonts w:ascii="Arial" w:cs="Arial" w:eastAsia="Arial" w:hAnsi="Arial"/>
          <w:sz w:val="16"/>
          <w:szCs w:val="16"/>
          <w:u w:val="single" w:color="auto"/>
          <w:color w:val="auto"/>
        </w:rPr>
        <w:t>Silver Lake Entities</w:t>
      </w:r>
      <w:r>
        <w:rPr>
          <w:rFonts w:ascii="Arial" w:cs="Arial" w:eastAsia="Arial" w:hAnsi="Arial"/>
          <w:sz w:val="16"/>
          <w:szCs w:val="16"/>
          <w:color w:val="auto"/>
        </w:rPr>
        <w:t>”. Mr. Hao is a director of the Upper GP. Mr. Hao disclaims beneficial ownership of any shares beneficially owned by the Silver Lake Entities, except to the extent of his pecuniary interest therein.</w:t>
      </w:r>
    </w:p>
    <w:p>
      <w:pPr>
        <w:spacing w:after="0" w:line="110" w:lineRule="exact"/>
        <w:rPr>
          <w:rFonts w:ascii="Arial" w:cs="Arial" w:eastAsia="Arial" w:hAnsi="Arial"/>
          <w:sz w:val="16"/>
          <w:szCs w:val="16"/>
          <w:color w:val="auto"/>
        </w:rPr>
      </w:pPr>
    </w:p>
    <w:p>
      <w:pPr>
        <w:ind w:left="740" w:right="120"/>
        <w:spacing w:after="0" w:line="253" w:lineRule="auto"/>
        <w:rPr>
          <w:rFonts w:ascii="Arial" w:cs="Arial" w:eastAsia="Arial" w:hAnsi="Arial"/>
          <w:sz w:val="16"/>
          <w:szCs w:val="16"/>
          <w:color w:val="auto"/>
        </w:rPr>
      </w:pPr>
      <w:r>
        <w:rPr>
          <w:rFonts w:ascii="Arial" w:cs="Arial" w:eastAsia="Arial" w:hAnsi="Arial"/>
          <w:sz w:val="16"/>
          <w:szCs w:val="16"/>
          <w:color w:val="auto"/>
        </w:rPr>
        <w:t>Shares shown in the table also include (i) 64,816 shares acquired by Mr. Hao upon the exercise of a share option, (ii) 9,567 shares acquired by him upon the vesting of RSUs granted to him, (iii) 15,077 shares that he has the right to acquire within 60 days after February 12, 2018 upon the exercise of share options, and (iv) 906 shares that he has the right to acquire within 60 days after February 12, 2018 upon the vesting of RSUs.</w:t>
      </w:r>
    </w:p>
    <w:p>
      <w:pPr>
        <w:spacing w:after="0" w:line="106" w:lineRule="exact"/>
        <w:rPr>
          <w:rFonts w:ascii="Arial" w:cs="Arial" w:eastAsia="Arial" w:hAnsi="Arial"/>
          <w:sz w:val="16"/>
          <w:szCs w:val="16"/>
          <w:color w:val="auto"/>
        </w:rPr>
      </w:pPr>
    </w:p>
    <w:p>
      <w:pPr>
        <w:ind w:left="740"/>
        <w:spacing w:after="0" w:line="246" w:lineRule="auto"/>
        <w:rPr>
          <w:rFonts w:ascii="Arial" w:cs="Arial" w:eastAsia="Arial" w:hAnsi="Arial"/>
          <w:sz w:val="16"/>
          <w:szCs w:val="16"/>
          <w:color w:val="auto"/>
        </w:rPr>
      </w:pPr>
      <w:r>
        <w:rPr>
          <w:rFonts w:ascii="Arial" w:cs="Arial" w:eastAsia="Arial" w:hAnsi="Arial"/>
          <w:sz w:val="16"/>
          <w:szCs w:val="16"/>
          <w:color w:val="auto"/>
        </w:rPr>
        <w:t>Pursuant to Mr. Hao’s arrangement with Upper GP with respect to director compensation in the form of securities received by him in his capacity as a representative of Upper GP, he is required to remit the proceeds from the sale of such securities to Upper GP. Accordingly, Mr. Hao disclaims beneficial ownership of the shares described above, except to the extent of his pecuniary interest therein, except for 18 shares, which are held by his family limited partnership, and 9,854 shares that he has the right to acquire upon the exercise of a vested share option.</w:t>
      </w:r>
    </w:p>
    <w:p>
      <w:pPr>
        <w:spacing w:after="0" w:line="1" w:lineRule="exact"/>
        <w:rPr>
          <w:rFonts w:ascii="Arial" w:cs="Arial" w:eastAsia="Arial" w:hAnsi="Arial"/>
          <w:sz w:val="16"/>
          <w:szCs w:val="16"/>
          <w:color w:val="auto"/>
        </w:rPr>
      </w:pPr>
    </w:p>
    <w:p>
      <w:pPr>
        <w:ind w:left="740" w:right="40" w:hanging="536"/>
        <w:spacing w:after="0" w:line="246" w:lineRule="auto"/>
        <w:tabs>
          <w:tab w:leader="none" w:pos="7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shown in the table above include 906 shares that Mr. Hartenstein has the right to acquire within 60 days after February 12, 2018 upon the vesting of RSUs.</w:t>
      </w:r>
    </w:p>
    <w:p>
      <w:pPr>
        <w:ind w:left="740" w:right="20" w:hanging="536"/>
        <w:spacing w:after="0" w:line="246" w:lineRule="auto"/>
        <w:tabs>
          <w:tab w:leader="none" w:pos="7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shown in the table above include 906 shares that Mr. Low has the right to acquire within 60 days after February 12, 2018 upon the vesting of RSUs.</w:t>
      </w:r>
    </w:p>
    <w:p>
      <w:pPr>
        <w:ind w:left="740" w:right="120" w:hanging="536"/>
        <w:spacing w:after="0" w:line="246" w:lineRule="auto"/>
        <w:tabs>
          <w:tab w:leader="none" w:pos="7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shown in the table above include 5,223 shares that Mr. Macleod has the right to acquire within 60 days after February 12, 2018 upon the exercise of share options and 906 shares that he has the right to acquire within 60 days after February 12, 2018 upon the vesting of RSUs.</w:t>
      </w:r>
    </w:p>
    <w:p>
      <w:pPr>
        <w:ind w:left="740" w:right="420" w:hanging="536"/>
        <w:spacing w:after="0" w:line="246" w:lineRule="auto"/>
        <w:tabs>
          <w:tab w:leader="none" w:pos="7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shown in the table above include 906 shares that Mr. Marks has the right to acquire within 60 days after February 12, 2018 upon the vesting of RSUs.</w:t>
      </w:r>
    </w:p>
    <w:p>
      <w:pPr>
        <w:ind w:left="740" w:right="60" w:hanging="536"/>
        <w:spacing w:after="0" w:line="251" w:lineRule="auto"/>
        <w:tabs>
          <w:tab w:leader="none" w:pos="7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shown in the table above include 2,554,667 shares that directors and executive officers have the right to acquire within 60 days after February 12, 2018 upon the exercise of share options and 104,994 shares that directors and executive officers have the right to acquire within 60 days after February 12, 2018 upon the vesting of RSUs. These shares do not include any shares that may be earned by our executive officers pursuant to their respective PSU awards for the performance period ending March 15, 2018.</w:t>
      </w:r>
    </w:p>
    <w:p>
      <w:pPr>
        <w:spacing w:after="0" w:line="1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81" w:lineRule="exact"/>
        <w:rPr>
          <w:sz w:val="20"/>
          <w:szCs w:val="20"/>
          <w:color w:val="auto"/>
        </w:rPr>
      </w:pPr>
    </w:p>
    <w:p>
      <w:pPr>
        <w:ind w:left="200" w:right="240" w:firstLine="551"/>
        <w:spacing w:after="0" w:line="251" w:lineRule="auto"/>
        <w:rPr>
          <w:sz w:val="20"/>
          <w:szCs w:val="20"/>
          <w:color w:val="auto"/>
        </w:rPr>
      </w:pPr>
      <w:r>
        <w:rPr>
          <w:rFonts w:ascii="Arial" w:cs="Arial" w:eastAsia="Arial" w:hAnsi="Arial"/>
          <w:sz w:val="18"/>
          <w:szCs w:val="18"/>
          <w:color w:val="auto"/>
        </w:rPr>
        <w:t>Other than compensation and other arrangements described above under “</w:t>
      </w:r>
      <w:r>
        <w:rPr>
          <w:rFonts w:ascii="Arial" w:cs="Arial" w:eastAsia="Arial" w:hAnsi="Arial"/>
          <w:sz w:val="18"/>
          <w:szCs w:val="18"/>
          <w:i w:val="1"/>
          <w:iCs w:val="1"/>
          <w:color w:val="auto"/>
        </w:rPr>
        <w:t>Directors’ Compensation</w:t>
      </w:r>
      <w:r>
        <w:rPr>
          <w:rFonts w:ascii="Arial" w:cs="Arial" w:eastAsia="Arial" w:hAnsi="Arial"/>
          <w:sz w:val="18"/>
          <w:szCs w:val="18"/>
          <w:color w:val="auto"/>
        </w:rPr>
        <w:t>,” “</w:t>
      </w:r>
      <w:r>
        <w:rPr>
          <w:rFonts w:ascii="Arial" w:cs="Arial" w:eastAsia="Arial" w:hAnsi="Arial"/>
          <w:sz w:val="18"/>
          <w:szCs w:val="18"/>
          <w:i w:val="1"/>
          <w:iCs w:val="1"/>
          <w:color w:val="auto"/>
        </w:rPr>
        <w:t>Executive Compensation</w:t>
      </w:r>
      <w:r>
        <w:rPr>
          <w:rFonts w:ascii="Arial" w:cs="Arial" w:eastAsia="Arial" w:hAnsi="Arial"/>
          <w:sz w:val="18"/>
          <w:szCs w:val="18"/>
          <w:color w:val="auto"/>
        </w:rPr>
        <w:t>” and as set forth below, since October 31, 2016, there was not, nor is there currently planned, any transaction or series of similar transactions to which we were or will be a party in which:</w:t>
      </w:r>
    </w:p>
    <w:p>
      <w:pPr>
        <w:spacing w:after="0" w:line="98" w:lineRule="exact"/>
        <w:rPr>
          <w:sz w:val="20"/>
          <w:szCs w:val="20"/>
          <w:color w:val="auto"/>
        </w:rPr>
      </w:pPr>
    </w:p>
    <w:p>
      <w:pPr>
        <w:ind w:left="1280" w:hanging="428"/>
        <w:spacing w:after="0"/>
        <w:tabs>
          <w:tab w:leader="none" w:pos="1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17" w:lineRule="exact"/>
        <w:rPr>
          <w:rFonts w:ascii="Arial" w:cs="Arial" w:eastAsia="Arial" w:hAnsi="Arial"/>
          <w:sz w:val="18"/>
          <w:szCs w:val="18"/>
          <w:color w:val="auto"/>
        </w:rPr>
      </w:pPr>
    </w:p>
    <w:p>
      <w:pPr>
        <w:ind w:left="1280" w:right="720" w:hanging="428"/>
        <w:spacing w:after="0" w:line="246" w:lineRule="auto"/>
        <w:tabs>
          <w:tab w:leader="none" w:pos="1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director, nominee, executive officer, holder of more than 5% of our ordinary shares or the Restricted Units of the Partnership, or any member of their immediate family had or will have a direct or indirect material interest.</w:t>
      </w:r>
    </w:p>
    <w:p>
      <w:pPr>
        <w:spacing w:after="0" w:line="143" w:lineRule="exact"/>
        <w:rPr>
          <w:sz w:val="20"/>
          <w:szCs w:val="20"/>
          <w:color w:val="auto"/>
        </w:rPr>
      </w:pPr>
    </w:p>
    <w:p>
      <w:pPr>
        <w:ind w:left="540" w:right="4900" w:firstLine="220"/>
        <w:spacing w:after="0" w:line="389" w:lineRule="auto"/>
        <w:rPr>
          <w:sz w:val="20"/>
          <w:szCs w:val="20"/>
          <w:color w:val="auto"/>
        </w:rPr>
      </w:pPr>
      <w:r>
        <w:rPr>
          <w:rFonts w:ascii="Arial" w:cs="Arial" w:eastAsia="Arial" w:hAnsi="Arial"/>
          <w:sz w:val="17"/>
          <w:szCs w:val="17"/>
          <w:color w:val="auto"/>
        </w:rPr>
        <w:t xml:space="preserve">We refer to these types of transactions as “related party transactions.” </w:t>
      </w:r>
      <w:r>
        <w:rPr>
          <w:rFonts w:ascii="Arial" w:cs="Arial" w:eastAsia="Arial" w:hAnsi="Arial"/>
          <w:sz w:val="17"/>
          <w:szCs w:val="17"/>
          <w:b w:val="1"/>
          <w:bCs w:val="1"/>
          <w:i w:val="1"/>
          <w:iCs w:val="1"/>
          <w:color w:val="auto"/>
        </w:rPr>
        <w:t>Procedures for Approval of Related Party Transactions</w:t>
      </w:r>
    </w:p>
    <w:p>
      <w:pPr>
        <w:spacing w:after="0" w:line="1"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As provided by our Audit Committee Charter, the Audit Committee must review all related party transactions on an ongoing basis and all such transactions must be approved by the Audit Committee. The Audit Committee may delegate to one or more designated members of the committee the authority to pre-approve related party transactions, provided such approvals are presented to the Audit Committee at its next scheduled meeting. In approving or rejecting the proposed transaction, the Audit Committee considers the relevant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written Code of Ethics and Business Conduct requires that directors, officers and employees make appropriate disclosure of potential conflicts of interest to (i) the Nominating and Corporate Governance Committee or the Audit Committee, in the case of directors and officers, or (ii) to their supervisor, in the case of employees, who will then seek authorization from our compliance officer. Our Board has authority to approve related party transactions in lieu of the Audit Committee.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Note Purchase Agreement with Silver Lake</w:t>
      </w:r>
    </w:p>
    <w:p>
      <w:pPr>
        <w:spacing w:after="0" w:line="126"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In connection with our proposed acquisition of Qualcomm (the “</w:t>
      </w:r>
      <w:r>
        <w:rPr>
          <w:rFonts w:ascii="Arial" w:cs="Arial" w:eastAsia="Arial" w:hAnsi="Arial"/>
          <w:sz w:val="18"/>
          <w:szCs w:val="18"/>
          <w:u w:val="single" w:color="auto"/>
          <w:color w:val="auto"/>
        </w:rPr>
        <w:t>Qualcomm Acquisition</w:t>
      </w:r>
      <w:r>
        <w:rPr>
          <w:rFonts w:ascii="Arial" w:cs="Arial" w:eastAsia="Arial" w:hAnsi="Arial"/>
          <w:sz w:val="18"/>
          <w:szCs w:val="18"/>
          <w:color w:val="auto"/>
        </w:rPr>
        <w:t>”), on February 11, 2018, Broadcom and our newly formed Delaware subsidiary corporation (also named Broadcom Limited and referred to as “</w:t>
      </w:r>
      <w:r>
        <w:rPr>
          <w:rFonts w:ascii="Arial" w:cs="Arial" w:eastAsia="Arial" w:hAnsi="Arial"/>
          <w:sz w:val="18"/>
          <w:szCs w:val="18"/>
          <w:u w:val="single" w:color="auto"/>
          <w:color w:val="auto"/>
        </w:rPr>
        <w:t>Broadcom-Delaware</w:t>
      </w:r>
      <w:r>
        <w:rPr>
          <w:rFonts w:ascii="Arial" w:cs="Arial" w:eastAsia="Arial" w:hAnsi="Arial"/>
          <w:sz w:val="18"/>
          <w:szCs w:val="18"/>
          <w:color w:val="auto"/>
        </w:rPr>
        <w:t>”) entered into a Note Purchase Agreement (“Purchase Agreement”) to sell to Silver Lake Partners V, L.P., an investment fund affiliated with Silver Lake (“</w:t>
      </w:r>
      <w:r>
        <w:rPr>
          <w:rFonts w:ascii="Arial" w:cs="Arial" w:eastAsia="Arial" w:hAnsi="Arial"/>
          <w:sz w:val="18"/>
          <w:szCs w:val="18"/>
          <w:u w:val="single" w:color="auto"/>
          <w:color w:val="auto"/>
        </w:rPr>
        <w:t>SLP Fund</w:t>
      </w:r>
      <w:r>
        <w:rPr>
          <w:rFonts w:ascii="Arial" w:cs="Arial" w:eastAsia="Arial" w:hAnsi="Arial"/>
          <w:sz w:val="18"/>
          <w:szCs w:val="18"/>
          <w:color w:val="auto"/>
        </w:rPr>
        <w:t>”), and the other purchasers named therein $6 billion aggregate principal amount of Broadcom-Delaware’s 3.00% Convertible Senior Notes due seven years from the date of original issuance (the “</w:t>
      </w:r>
      <w:r>
        <w:rPr>
          <w:rFonts w:ascii="Arial" w:cs="Arial" w:eastAsia="Arial" w:hAnsi="Arial"/>
          <w:sz w:val="18"/>
          <w:szCs w:val="18"/>
          <w:u w:val="single" w:color="auto"/>
          <w:color w:val="auto"/>
        </w:rPr>
        <w:t>Convertible Notes</w:t>
      </w:r>
      <w:r>
        <w:rPr>
          <w:rFonts w:ascii="Arial" w:cs="Arial" w:eastAsia="Arial" w:hAnsi="Arial"/>
          <w:sz w:val="18"/>
          <w:szCs w:val="18"/>
          <w:color w:val="auto"/>
        </w:rPr>
        <w:t>”), with $3.5 billion principal amount of the Convertible Notes being issuable to the SLP Fund. Mr. Hao is a Managing Director of Silver Lake. The proceeds from the issuance of the Convertible Notes will be used to fund a portion of the Qualcomm Acquisition.</w:t>
      </w:r>
    </w:p>
    <w:p>
      <w:pPr>
        <w:spacing w:after="0" w:line="203"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The issuance and sale of the Convertible Notes is contingent on the consummation of the Qualcomm Acquisition and related debt financing as well as the satisfaction or waiver of customary closing conditions (the “</w:t>
      </w:r>
      <w:r>
        <w:rPr>
          <w:rFonts w:ascii="Arial" w:cs="Arial" w:eastAsia="Arial" w:hAnsi="Arial"/>
          <w:sz w:val="18"/>
          <w:szCs w:val="18"/>
          <w:u w:val="single" w:color="auto"/>
          <w:color w:val="auto"/>
        </w:rPr>
        <w:t>Convertible Notes Closing</w:t>
      </w:r>
      <w:r>
        <w:rPr>
          <w:rFonts w:ascii="Arial" w:cs="Arial" w:eastAsia="Arial" w:hAnsi="Arial"/>
          <w:sz w:val="18"/>
          <w:szCs w:val="18"/>
          <w:color w:val="auto"/>
        </w:rPr>
        <w:t>”) as set forth in the Purchase Agreement. The Convertible Notes will bear interest at a rate of 3.0% per annum payable semiannually in cash. The initial conversion rate is 3.5415 shares of Broadcom-Delaware common stock per $1,000 principal amount of Convertible Notes, which is equivalent to an initial conversion price of approximately $282.37 per share of Broadcom-Delaware common stock. The conversion rate will be subject to adjustment from time to time upon the occurrence of certain events. Holders may surrender their Convertible Notes for conversion under limited circumstances prior to the date that is three months prior to the maturity date of the Convertible Notes.</w:t>
      </w:r>
    </w:p>
    <w:p>
      <w:pPr>
        <w:spacing w:after="0" w:line="203"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Broadcom-Delaware and the other investors, including the SLP Fund, will also enter into a Registration Rights Agreement pursuant to which the investors will have certain registration rights with respect to the Convertible Notes and the shares of Broadcom-Delaware common stock issuable upon conversion of the Convertible Notes.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80" w:firstLine="551"/>
        <w:spacing w:after="0"/>
        <w:rPr>
          <w:sz w:val="20"/>
          <w:szCs w:val="20"/>
          <w:color w:val="auto"/>
        </w:rPr>
      </w:pPr>
      <w:r>
        <w:rPr>
          <w:rFonts w:ascii="Arial" w:cs="Arial" w:eastAsia="Arial" w:hAnsi="Arial"/>
          <w:sz w:val="18"/>
          <w:szCs w:val="18"/>
          <w:color w:val="auto"/>
        </w:rPr>
        <w:t>The issuance of the Convertible Notes, and the terms thereof, and entry into the Purchase Agreement, Registration Rights Agreement and all other agreements relating to the issuance of the Convertible Notes to the investors, including the SLP Fund, were reviewed and approved by our Board with Mr. Hao recused from such review and approval.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From time to time in the ordinary course of business, on an arm’s length basis, we purchase from, and/or sell to, certain entities</w:t>
      </w:r>
    </w:p>
    <w:p>
      <w:pPr>
        <w:ind w:left="200"/>
        <w:spacing w:after="0" w:line="234" w:lineRule="auto"/>
        <w:rPr>
          <w:sz w:val="20"/>
          <w:szCs w:val="20"/>
          <w:color w:val="auto"/>
        </w:rPr>
      </w:pPr>
      <w:r>
        <w:rPr>
          <w:rFonts w:ascii="Arial" w:cs="Arial" w:eastAsia="Arial" w:hAnsi="Arial"/>
          <w:sz w:val="18"/>
          <w:szCs w:val="18"/>
          <w:color w:val="auto"/>
        </w:rPr>
        <w:t>where one of our directors also serves or served as a director of that entity. During Fiscal Year 2017 these entities were (i) Benchmark, on</w:t>
      </w:r>
    </w:p>
    <w:p>
      <w:pPr>
        <w:ind w:left="200"/>
        <w:spacing w:after="0" w:line="235" w:lineRule="auto"/>
        <w:rPr>
          <w:sz w:val="20"/>
          <w:szCs w:val="20"/>
          <w:color w:val="auto"/>
        </w:rPr>
      </w:pPr>
      <w:r>
        <w:rPr>
          <w:rFonts w:ascii="Arial" w:cs="Arial" w:eastAsia="Arial" w:hAnsi="Arial"/>
          <w:sz w:val="18"/>
          <w:szCs w:val="18"/>
          <w:color w:val="auto"/>
        </w:rPr>
        <w:t>whose board of directors Ms. Delly served as a director until September 2016, (ii) Symantec Corporation, on whose board of directors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Mr. Hao serves as a director, and (iii) TiVo Corporation and SIRUS XM Holdings, Inc., on whose boards of directors Mr. Hartenstein serves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a director.</w:t>
      </w:r>
    </w:p>
    <w:p>
      <w:pPr>
        <w:spacing w:after="0" w:line="158"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From time to time, at our request, representatives of Silver Lake, where Mr. Hao is a Managing Partner and Managing Director, have provided advice and assistance to us in connection with obtaining debt financing for acquisition transactions, given their extensive experience with debt financings of this nature. Silver Lake did not receive any compensation for the provision of such services.</w:t>
      </w:r>
    </w:p>
    <w:p>
      <w:pPr>
        <w:spacing w:after="0" w:line="149" w:lineRule="exact"/>
        <w:rPr>
          <w:sz w:val="20"/>
          <w:szCs w:val="20"/>
          <w:color w:val="auto"/>
        </w:rPr>
      </w:pPr>
    </w:p>
    <w:p>
      <w:pPr>
        <w:jc w:val="both"/>
        <w:ind w:left="200" w:right="140" w:firstLine="551"/>
        <w:spacing w:after="0"/>
        <w:rPr>
          <w:sz w:val="20"/>
          <w:szCs w:val="20"/>
          <w:color w:val="auto"/>
        </w:rPr>
      </w:pPr>
      <w:r>
        <w:rPr>
          <w:rFonts w:ascii="Arial" w:cs="Arial" w:eastAsia="Arial" w:hAnsi="Arial"/>
          <w:sz w:val="18"/>
          <w:szCs w:val="18"/>
          <w:color w:val="auto"/>
        </w:rPr>
        <w:t>In addition, Silver Lake portfolio companies, such as Dell Inc., have from time to time entered into, and may continue to enter into, arrangements with us to purchase our products or to sell products to us in the ordinary course of their and our business, and on an arms’ length basis and such purchases may be substantial.</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0"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Under the securities laws of the United States, our directors, executive officers and any persons holding more than 10 percent of our ordinary shares (“</w:t>
      </w:r>
      <w:r>
        <w:rPr>
          <w:rFonts w:ascii="Arial" w:cs="Arial" w:eastAsia="Arial" w:hAnsi="Arial"/>
          <w:sz w:val="18"/>
          <w:szCs w:val="18"/>
          <w:u w:val="single" w:color="auto"/>
          <w:color w:val="auto"/>
        </w:rPr>
        <w:t>Reporting Persons</w:t>
      </w:r>
      <w:r>
        <w:rPr>
          <w:rFonts w:ascii="Arial" w:cs="Arial" w:eastAsia="Arial" w:hAnsi="Arial"/>
          <w:sz w:val="18"/>
          <w:szCs w:val="18"/>
          <w:color w:val="auto"/>
        </w:rPr>
        <w:t>”) are required to report, to the SEC and to Nasdaq, their initial ownership of our ordinary shares and other equity securities and any subsequent changes in that ownership, and to furnish us with copies of all these reports they file. As a matter of practice, we assist our executive officers and directors in preparing initial ownership reports and reporting ownership changes, and typically file these reports on their behalf.</w:t>
      </w:r>
    </w:p>
    <w:p>
      <w:pPr>
        <w:spacing w:after="0" w:line="149"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Based solely on our review of the copies of such reports received by us or written representations from the Reporting Persons, we believe that during Fiscal Year 2017, all Reporting Persons complied with all applicable filing requirements except, due to administrative oversight, a Form 4 for Mr. Hao was not timely filed reflecting ordinary shares issued to Mr. Hao upon exercise of share options. Once the omission was discovered, the filing was promptly made to reflect this transaction.</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HOUSEHOLDING OF PROXY MATERIALS</w:t>
      </w:r>
    </w:p>
    <w:p>
      <w:pPr>
        <w:spacing w:after="0" w:line="180" w:lineRule="exact"/>
        <w:rPr>
          <w:sz w:val="20"/>
          <w:szCs w:val="20"/>
          <w:color w:val="auto"/>
        </w:rPr>
      </w:pPr>
    </w:p>
    <w:p>
      <w:pPr>
        <w:ind w:left="200" w:right="60" w:firstLine="551"/>
        <w:spacing w:after="0" w:line="253" w:lineRule="auto"/>
        <w:rPr>
          <w:sz w:val="20"/>
          <w:szCs w:val="20"/>
          <w:color w:val="auto"/>
        </w:rPr>
      </w:pPr>
      <w:r>
        <w:rPr>
          <w:rFonts w:ascii="Arial" w:cs="Arial" w:eastAsia="Arial" w:hAnsi="Arial"/>
          <w:sz w:val="17"/>
          <w:szCs w:val="17"/>
          <w:color w:val="auto"/>
        </w:rPr>
        <w:t>Some banks, brokers and other nominee may be participating in the practice of “householding” proxy statements and annual reports. This means that only one copy of our proxy materials and our 2017 Form 10-K may have been sent to multiple shareholders in your household, unless we have received contrary instructions from one or more shareholders in your household. We will promptly deliver a separate copy of either document to you if you request one by writing or calling as follows: Broadcom Limited, Attn: Investor Relations, 1320 Ridder Park Drive, San Jose, California 95131, U.S.A., Telephone: +1 (408) 433-8000. If you want to receive separate copies of our proxy materials or annual reports in the future, or if you are receiving multiple copies and would like to receive only one copy for your household, you should contact your bank, broker or other nominee, or you may contact us at the above address and phone number.</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SHAREHOLDER PROPOSALS FOR THE 2019 ANNUAL GENERAL MEETING</w:t>
      </w:r>
    </w:p>
    <w:p>
      <w:pPr>
        <w:spacing w:after="0" w:line="180"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Pursuant to Rule 14a-8 under the Exchange Act, some shareholder proposals may be eligible for inclusion in our 2019 proxy statement. Any such shareholder proposal must be submitted, along with proof of ownership of our ordinary shares in accordance with Rule 14a-8(b)(2), to us at Broadcom Limited, Attention: Chief Legal Officer, 1320 Ridder Park Drive, San Jose, California 95131, U.S.A. We must receive all submissions no later than October 19, 2018. We strongly encourage any shareholder interested in submitting a proposal to contact our Chief Legal Officer in advance of this deadline to discuss the proposal, and shareholders may want to consult legal counsel with regard to the detailed requirements of submitting a shareholder proposal under applicable securities laws. Submitting a shareholder proposal does not guarantee that we will include it in our proxy statement. Our Board will review any shareholder proposals. These shareholder proposals may be included in our proxy statement for the 2019 AGM so long as they are provided to us on a timely basis and satisfy the other conditions set forth in our Constitution and applicable rules and regulations promulgated by the SEC. Shareholder proposals are also currently subject to the requirements of the Singapore Companies Act, as described in the following paragraph. The proxies designated by us will have discretionary authority to vote on any matter properly presented by a shareholder for consideration at the 2019 AGM unless notice of such proposal is received by the applicable deadlines prescribed by the Singapore Companies Act.</w:t>
      </w:r>
    </w:p>
    <w:p>
      <w:pPr>
        <w:spacing w:after="0" w:line="150"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addition, under Section 183 of the Singapore Companies Act, only registered shareholders representing not less than 5% of the total voting rights or registered shareholders representing not fewer than 100 registered shareholders having an average paid up sum of at least $500 Singapore Dollars each may, at their expense, request that we include and give notice of their proposal for the 2019 AGM. Subject to satisfaction of the requirements of Section 183 of the Singapore Companies Act, any such requisition must be signed by all the shareholders making the request and be deposited at our registered office in Singapore, 1 Yishun Avenue 7, Singapore 768923, at least six weeks prior to the date of the 2019 AGM in the case of a request requiring notice of a resolution, or at least one week prior to the date of the 2019 AGM in the case of any other request.</w:t>
      </w:r>
    </w:p>
    <w:p>
      <w:pPr>
        <w:spacing w:after="0" w:line="149"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Under our Constitution, no person is eligible for appointment as a director at any general meeting of shareholders (including an incumbent director), without the recommendation of our Board for election, except for persons proposed by (a) a shareholder or shareholders who in aggregate hold(s) more than 50% of the total number of our issued and paid-up shares (excluding treasury shares), which shareholder or shareholders, not less than 10 days before, or (b) a shareholder or shareholders who in aggregate hold(s) more than five percent of the total number of our issued and paid-up shares (excluding treasury shares), which shareholder or shareholders, not less than 120 days before, the date of the notice provided to shareholders in connection with the general meeting, lodges at our registered office in Singapore a written notice signed by such shareholder or shareholders (other than the person to be proposed for appointment), who (i) are qualified to attend and vote at the meeting for which such notice is given, and (ii) have held shares representing the prescribed threshold in (a) or (b) above for a continuous period of at least one year prior to the date on which such notice is given. Such a notice must also include the consent to serve as a director of the person nominated.</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Redomiciliation</w:t>
      </w:r>
    </w:p>
    <w:p>
      <w:pPr>
        <w:spacing w:after="0" w:line="99"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As we previously announced in November 2017, we have decided to restructure our corporate group to cause the parent company of the group to be a Delaware corporation. We are seeking our shareholders’ approval at a special meeting of a Scheme of Arrangement under Singapore law pursuant to which, upon effectiveness, Broadcom-Delaware will become the publicly traded parent of the Broadcom corporate group, thereby effecting this restructuring. A separate proxy statement will be mailed to shareholders in connection with that special meeting. The Scheme of Arrangement provides for the exchange of shareholders’ ordinary shares for shares of common stock of Broadcom-Delaware on a one-for-one basis. Broadcom-Delaware will be the successor to our Company for SEC and financial reporting purposes under the Exchange Act following this restructuring.</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presently expect to complete our restructuring after the date of the 2018 AGM and prior to the date of our 2019 AGM. In such</w:t>
      </w:r>
    </w:p>
    <w:p>
      <w:pPr>
        <w:ind w:left="200"/>
        <w:spacing w:after="0"/>
        <w:rPr>
          <w:sz w:val="20"/>
          <w:szCs w:val="20"/>
          <w:color w:val="auto"/>
        </w:rPr>
      </w:pPr>
      <w:r>
        <w:rPr>
          <w:rFonts w:ascii="Arial" w:cs="Arial" w:eastAsia="Arial" w:hAnsi="Arial"/>
          <w:sz w:val="18"/>
          <w:szCs w:val="18"/>
          <w:color w:val="auto"/>
        </w:rPr>
        <w:t>event:</w:t>
      </w:r>
    </w:p>
    <w:p>
      <w:pPr>
        <w:spacing w:after="0" w:line="77" w:lineRule="exact"/>
        <w:rPr>
          <w:sz w:val="20"/>
          <w:szCs w:val="20"/>
          <w:color w:val="auto"/>
        </w:rPr>
      </w:pPr>
    </w:p>
    <w:p>
      <w:pPr>
        <w:ind w:left="1280" w:right="380" w:hanging="428"/>
        <w:spacing w:after="0" w:line="246" w:lineRule="auto"/>
        <w:tabs>
          <w:tab w:leader="none" w:pos="12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Broadcom-Delaware will provide notice of its 2019 annual stockholder meeting in accordance with Rule 14a-8 under the Exchange Act and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left="1280" w:right="320" w:hanging="428"/>
        <w:spacing w:after="0"/>
        <w:tabs>
          <w:tab w:leader="none" w:pos="12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Broadcom-Delaware stockholders will be entitled to present proposals for consideration at future Broadcom-Delaware stockholders’ meetings provided that they comply with the proxy rules promulgated by the SEC, the Broadcom-Delaware certificate of incorporation and bylaws and the DGCL; and</w:t>
      </w:r>
    </w:p>
    <w:p>
      <w:pPr>
        <w:spacing w:after="0" w:line="67" w:lineRule="exact"/>
        <w:rPr>
          <w:rFonts w:ascii="Arial" w:cs="Arial" w:eastAsia="Arial" w:hAnsi="Arial"/>
          <w:sz w:val="18"/>
          <w:szCs w:val="18"/>
          <w:color w:val="auto"/>
        </w:rPr>
      </w:pPr>
    </w:p>
    <w:p>
      <w:pPr>
        <w:ind w:left="1180" w:right="40" w:hanging="436"/>
        <w:spacing w:after="0" w:line="239"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deadline for submission of all stockholder proposals to be considered for inclusion in Broadcom-Delaware’s proxy statement for its 2019 annual meeting is expected to be October 19, 2018, the same as set forth above for our Company, and the procedures and time periods with respect to the submission of proposals required by Broadcom-Delaware’s bylaws and the DGCL will apply.</w:t>
      </w:r>
    </w:p>
    <w:p>
      <w:pPr>
        <w:spacing w:after="0" w:line="126" w:lineRule="exact"/>
        <w:rPr>
          <w:sz w:val="20"/>
          <w:szCs w:val="20"/>
          <w:color w:val="auto"/>
        </w:rPr>
      </w:pPr>
    </w:p>
    <w:p>
      <w:pPr>
        <w:ind w:left="760" w:right="2800" w:firstLine="2297"/>
        <w:spacing w:after="0" w:line="388" w:lineRule="auto"/>
        <w:rPr>
          <w:sz w:val="20"/>
          <w:szCs w:val="20"/>
          <w:color w:val="auto"/>
        </w:rPr>
      </w:pPr>
      <w:r>
        <w:rPr>
          <w:rFonts w:ascii="Arial" w:cs="Arial" w:eastAsia="Arial" w:hAnsi="Arial"/>
          <w:sz w:val="18"/>
          <w:szCs w:val="18"/>
          <w:b w:val="1"/>
          <w:bCs w:val="1"/>
          <w:color w:val="auto"/>
        </w:rPr>
        <w:t xml:space="preserve">INCORPORATION OF CERTAIN DOCUMENTS BY REFERENCE </w:t>
      </w:r>
      <w:r>
        <w:rPr>
          <w:rFonts w:ascii="Arial" w:cs="Arial" w:eastAsia="Arial" w:hAnsi="Arial"/>
          <w:sz w:val="18"/>
          <w:szCs w:val="18"/>
          <w:color w:val="auto"/>
        </w:rPr>
        <w:t>We incorporate by reference the following sections of our 2017 Form 10-K:</w:t>
      </w:r>
    </w:p>
    <w:p>
      <w:pPr>
        <w:spacing w:after="0" w:line="1" w:lineRule="exact"/>
        <w:rPr>
          <w:sz w:val="20"/>
          <w:szCs w:val="20"/>
          <w:color w:val="auto"/>
        </w:rPr>
      </w:pPr>
    </w:p>
    <w:p>
      <w:pPr>
        <w:ind w:left="1280" w:hanging="428"/>
        <w:spacing w:after="0"/>
        <w:tabs>
          <w:tab w:leader="none" w:pos="1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Item 7, “Management’s Discussion and Analysis of Financial Condition and Results of Operations”;</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Item 7A, “Quantitative and Qualitative Disclosures About Market Risk”; and</w:t>
      </w:r>
    </w:p>
    <w:p>
      <w:pPr>
        <w:spacing w:after="0" w:line="76" w:lineRule="exact"/>
        <w:rPr>
          <w:rFonts w:ascii="Arial" w:cs="Arial" w:eastAsia="Arial" w:hAnsi="Arial"/>
          <w:sz w:val="18"/>
          <w:szCs w:val="18"/>
          <w:color w:val="auto"/>
        </w:rPr>
      </w:pPr>
    </w:p>
    <w:p>
      <w:pPr>
        <w:ind w:left="1280" w:hanging="428"/>
        <w:spacing w:after="0"/>
        <w:tabs>
          <w:tab w:leader="none" w:pos="1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Item 8, “Financial Statements and Supplementary Data.”</w:t>
      </w:r>
    </w:p>
    <w:p>
      <w:pPr>
        <w:spacing w:after="0" w:line="140" w:lineRule="exact"/>
        <w:rPr>
          <w:sz w:val="20"/>
          <w:szCs w:val="20"/>
          <w:color w:val="auto"/>
        </w:rPr>
      </w:pPr>
    </w:p>
    <w:p>
      <w:pPr>
        <w:ind w:left="200" w:right="120" w:firstLine="551"/>
        <w:spacing w:after="0" w:line="245" w:lineRule="auto"/>
        <w:rPr>
          <w:sz w:val="20"/>
          <w:szCs w:val="20"/>
          <w:color w:val="auto"/>
        </w:rPr>
      </w:pPr>
      <w:r>
        <w:rPr>
          <w:rFonts w:ascii="Arial" w:cs="Arial" w:eastAsia="Arial" w:hAnsi="Arial"/>
          <w:sz w:val="18"/>
          <w:szCs w:val="18"/>
          <w:color w:val="auto"/>
        </w:rPr>
        <w:t>The information contained under the captions “</w:t>
      </w:r>
      <w:r>
        <w:rPr>
          <w:rFonts w:ascii="Arial" w:cs="Arial" w:eastAsia="Arial" w:hAnsi="Arial"/>
          <w:sz w:val="18"/>
          <w:szCs w:val="18"/>
          <w:i w:val="1"/>
          <w:iCs w:val="1"/>
          <w:color w:val="auto"/>
        </w:rPr>
        <w:t>Compensation Committee Report</w:t>
      </w:r>
      <w:r>
        <w:rPr>
          <w:rFonts w:ascii="Arial" w:cs="Arial" w:eastAsia="Arial" w:hAnsi="Arial"/>
          <w:sz w:val="18"/>
          <w:szCs w:val="18"/>
          <w:color w:val="auto"/>
        </w:rPr>
        <w:t>” and “</w:t>
      </w:r>
      <w:r>
        <w:rPr>
          <w:rFonts w:ascii="Arial" w:cs="Arial" w:eastAsia="Arial" w:hAnsi="Arial"/>
          <w:sz w:val="18"/>
          <w:szCs w:val="18"/>
          <w:i w:val="1"/>
          <w:iCs w:val="1"/>
          <w:color w:val="auto"/>
        </w:rPr>
        <w:t>Audit Committee Report</w:t>
      </w:r>
      <w:r>
        <w:rPr>
          <w:rFonts w:ascii="Arial" w:cs="Arial" w:eastAsia="Arial" w:hAnsi="Arial"/>
          <w:sz w:val="18"/>
          <w:szCs w:val="18"/>
          <w:color w:val="auto"/>
        </w:rPr>
        <w:t>” in this Proxy Statement shall not be deemed to be “soliciting material” or to be “filed” with the SEC, nor shall such information be incorporated by reference into any filings under the U.S. Securities Act of 1933, as amended, or under the Exchange Act, or be subject to the liabilities of Section 18 of the Exchange Act, except to the extent that we specifically incorporate this information by reference into any such filing.</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SINGAPORE STATUTORY FINANCIAL STATEMENTS</w:t>
      </w:r>
    </w:p>
    <w:p>
      <w:pPr>
        <w:spacing w:after="0" w:line="180"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Our Singapore audited financial statements for our fiscal year ended October 29, 2017, prepared in conformity with the provisions of the laws of the Singapore Companies Act and the Singapore Financial Reporting Standards, together with the accompanying directors’ statement (together, the “</w:t>
      </w:r>
      <w:r>
        <w:rPr>
          <w:rFonts w:ascii="Arial" w:cs="Arial" w:eastAsia="Arial" w:hAnsi="Arial"/>
          <w:sz w:val="18"/>
          <w:szCs w:val="18"/>
          <w:u w:val="single" w:color="auto"/>
          <w:color w:val="auto"/>
        </w:rPr>
        <w:t>Singapore Statutory Financial Statements</w:t>
      </w:r>
      <w:r>
        <w:rPr>
          <w:rFonts w:ascii="Arial" w:cs="Arial" w:eastAsia="Arial" w:hAnsi="Arial"/>
          <w:sz w:val="18"/>
          <w:szCs w:val="18"/>
          <w:color w:val="auto"/>
        </w:rPr>
        <w:t>”), and the auditors’ report thereon are required under Singapore law to be provided to shareholders for discussion (but not approval) at the 2018 AGM, and have therefore been provided as Appendix A to this Proxy Statement solely to satisfy this requirement.</w:t>
      </w:r>
    </w:p>
    <w:p>
      <w:pPr>
        <w:spacing w:after="0" w:line="149"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Neither the Singapore Statutory Financial Statements nor the auditors’ report thereon shall be deemed to be “soliciting material” or to be “filed” with the SEC, nor shall such information be incorporated by reference into any filings under the U.S. Securities Act of 1933, as amended, or under the Exchange Act, or be subject to the liabilities of Section 18 of the Exchange Act, except to the extent that we specifically incorporate this information by reference into any such filing.</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OTHER MATTERS</w:t>
      </w:r>
    </w:p>
    <w:p>
      <w:pPr>
        <w:spacing w:after="0" w:line="180" w:lineRule="exact"/>
        <w:rPr>
          <w:sz w:val="20"/>
          <w:szCs w:val="20"/>
          <w:color w:val="auto"/>
        </w:rPr>
      </w:pPr>
    </w:p>
    <w:p>
      <w:pPr>
        <w:ind w:left="200" w:right="380" w:firstLine="551"/>
        <w:spacing w:after="0"/>
        <w:rPr>
          <w:sz w:val="20"/>
          <w:szCs w:val="20"/>
          <w:color w:val="auto"/>
        </w:rPr>
      </w:pPr>
      <w:r>
        <w:rPr>
          <w:rFonts w:ascii="Arial" w:cs="Arial" w:eastAsia="Arial" w:hAnsi="Arial"/>
          <w:sz w:val="18"/>
          <w:szCs w:val="18"/>
          <w:color w:val="auto"/>
        </w:rPr>
        <w:t>Our management does not know of any matters to be presented at the 2018 AGM other than those set forth herein and in the Notice accompanying this Proxy Statement. If any other matters are properly presented for a vote, the enclosed proxy confers discretionary authority to the individuals named as proxies to vote the shares represented by proxy, as to those matters.</w:t>
      </w:r>
    </w:p>
    <w:p>
      <w:pPr>
        <w:spacing w:after="0" w:line="149"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Accompanying this Proxy Statement is our 2017 Form 10-K. Copies of this Proxy Statement and the 2017 Form 10-K, as filed with the SEC, are also available free of charge on our website at www.broadcom.com or you can request a copy free of charge by calling Investor Relations at +1 (408) 433-8000.</w:t>
      </w:r>
    </w:p>
    <w:p>
      <w:pPr>
        <w:spacing w:after="0" w:line="127" w:lineRule="exact"/>
        <w:rPr>
          <w:sz w:val="20"/>
          <w:szCs w:val="20"/>
          <w:color w:val="auto"/>
        </w:rPr>
      </w:pPr>
    </w:p>
    <w:p>
      <w:pPr>
        <w:jc w:val="both"/>
        <w:ind w:left="200" w:right="320" w:firstLine="551"/>
        <w:spacing w:after="0" w:line="302" w:lineRule="auto"/>
        <w:rPr>
          <w:sz w:val="20"/>
          <w:szCs w:val="20"/>
          <w:color w:val="auto"/>
        </w:rPr>
      </w:pPr>
      <w:r>
        <w:rPr>
          <w:rFonts w:ascii="Arial" w:cs="Arial" w:eastAsia="Arial" w:hAnsi="Arial"/>
          <w:sz w:val="17"/>
          <w:szCs w:val="17"/>
          <w:b w:val="1"/>
          <w:bCs w:val="1"/>
          <w:color w:val="auto"/>
        </w:rPr>
        <w:t>Upon request, we will furnish without charge to each person to whom this Proxy Statement is delivered a copy of any exhibit listed in our 2017 Form 10-K. You may request a copy of this information, at no cost, by writing or telephoning us at:</w:t>
      </w:r>
    </w:p>
    <w:p>
      <w:pPr>
        <w:spacing w:after="0" w:line="7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Broadcom Limited</w:t>
      </w:r>
    </w:p>
    <w:p>
      <w:pPr>
        <w:spacing w:after="0" w:line="1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Attn: Investor Relations</w:t>
      </w:r>
    </w:p>
    <w:p>
      <w:pPr>
        <w:jc w:val="center"/>
        <w:ind w:right="-319"/>
        <w:spacing w:after="0" w:line="234" w:lineRule="auto"/>
        <w:rPr>
          <w:sz w:val="20"/>
          <w:szCs w:val="20"/>
          <w:color w:val="auto"/>
        </w:rPr>
      </w:pPr>
      <w:r>
        <w:rPr>
          <w:rFonts w:ascii="Arial" w:cs="Arial" w:eastAsia="Arial" w:hAnsi="Arial"/>
          <w:sz w:val="18"/>
          <w:szCs w:val="18"/>
          <w:b w:val="1"/>
          <w:bCs w:val="1"/>
          <w:color w:val="auto"/>
        </w:rPr>
        <w:t>1320 Ridder Park Dive</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San Jose, California 95131 U.S.A.</w:t>
      </w:r>
    </w:p>
    <w:p>
      <w:pPr>
        <w:spacing w:after="0" w:line="1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Telephone: +1 (408) 433-8000</w:t>
      </w:r>
    </w:p>
    <w:p>
      <w:pPr>
        <w:spacing w:after="0" w:line="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Email: investor.relations@broadcom.com</w:t>
      </w:r>
    </w:p>
    <w:p>
      <w:pPr>
        <w:spacing w:after="0" w:line="136"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color w:val="auto"/>
        </w:rPr>
        <w:t>To ensure timely delivery of any materials requested prior to the date of the 2018 AGM, you should request such materials no later than March 21, 2018.</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135255</wp:posOffset>
            </wp:positionV>
            <wp:extent cx="1012190" cy="4546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121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Hock E. Tan</w:t>
      </w:r>
    </w:p>
    <w:p>
      <w:pPr>
        <w:ind w:left="200"/>
        <w:spacing w:after="0"/>
        <w:rPr>
          <w:sz w:val="20"/>
          <w:szCs w:val="20"/>
          <w:color w:val="auto"/>
        </w:rPr>
      </w:pPr>
      <w:r>
        <w:rPr>
          <w:rFonts w:ascii="Arial" w:cs="Arial" w:eastAsia="Arial" w:hAnsi="Arial"/>
          <w:sz w:val="18"/>
          <w:szCs w:val="18"/>
          <w:color w:val="auto"/>
        </w:rPr>
        <w:t>Director, Chief Executive Officer and President</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20, 2018</w:t>
      </w:r>
    </w:p>
    <w:p>
      <w:pPr>
        <w:ind w:left="200"/>
        <w:spacing w:after="0"/>
        <w:rPr>
          <w:sz w:val="20"/>
          <w:szCs w:val="20"/>
          <w:color w:val="auto"/>
        </w:rPr>
      </w:pPr>
      <w:r>
        <w:rPr>
          <w:rFonts w:ascii="Arial" w:cs="Arial" w:eastAsia="Arial" w:hAnsi="Arial"/>
          <w:sz w:val="18"/>
          <w:szCs w:val="18"/>
          <w:color w:val="auto"/>
        </w:rPr>
        <w:t>San Jose, California</w:t>
      </w:r>
    </w:p>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240" w:top="459" w:right="5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9040" w:type="dxa"/>
            <w:vAlign w:val="bottom"/>
            <w:gridSpan w:val="1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180" w:type="dxa"/>
            <w:vAlign w:val="bottom"/>
            <w:gridSpan w:val="3"/>
          </w:tcPr>
          <w:p>
            <w:pPr>
              <w:ind w:left="1080"/>
              <w:spacing w:after="0"/>
              <w:rPr>
                <w:sz w:val="20"/>
                <w:szCs w:val="20"/>
                <w:color w:val="auto"/>
              </w:rPr>
            </w:pPr>
            <w:r>
              <w:rPr>
                <w:rFonts w:ascii="Arial" w:cs="Arial" w:eastAsia="Arial" w:hAnsi="Arial"/>
                <w:sz w:val="18"/>
                <w:szCs w:val="18"/>
                <w:b w:val="1"/>
                <w:bCs w:val="1"/>
                <w:color w:val="auto"/>
                <w:w w:val="98"/>
              </w:rPr>
              <w:t>APPENDIX A</w:t>
            </w:r>
          </w:p>
        </w:tc>
      </w:tr>
      <w:tr>
        <w:trPr>
          <w:trHeight w:val="365"/>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20" w:type="dxa"/>
            <w:vAlign w:val="bottom"/>
            <w:gridSpan w:val="3"/>
          </w:tcPr>
          <w:p>
            <w:pPr>
              <w:jc w:val="center"/>
              <w:ind w:right="850"/>
              <w:spacing w:after="0"/>
              <w:rPr>
                <w:sz w:val="20"/>
                <w:szCs w:val="20"/>
                <w:color w:val="auto"/>
              </w:rPr>
            </w:pPr>
            <w:r>
              <w:rPr>
                <w:rFonts w:ascii="Arial" w:cs="Arial" w:eastAsia="Arial" w:hAnsi="Arial"/>
                <w:sz w:val="18"/>
                <w:szCs w:val="18"/>
                <w:b w:val="1"/>
                <w:bCs w:val="1"/>
                <w:color w:val="auto"/>
                <w:w w:val="98"/>
              </w:rPr>
              <w:t>SINGAPORE STATUTORY FINANCIAL STATEMENTS</w:t>
            </w: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8"/>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60" w:type="dxa"/>
            <w:vAlign w:val="bottom"/>
          </w:tcPr>
          <w:p>
            <w:pPr>
              <w:jc w:val="center"/>
              <w:ind w:right="1810"/>
              <w:spacing w:after="0"/>
              <w:rPr>
                <w:sz w:val="20"/>
                <w:szCs w:val="20"/>
                <w:color w:val="auto"/>
              </w:rPr>
            </w:pPr>
            <w:r>
              <w:rPr>
                <w:rFonts w:ascii="Arial" w:cs="Arial" w:eastAsia="Arial" w:hAnsi="Arial"/>
                <w:sz w:val="18"/>
                <w:szCs w:val="18"/>
                <w:b w:val="1"/>
                <w:bCs w:val="1"/>
                <w:color w:val="auto"/>
              </w:rPr>
              <w:t>BROADCOM LIMITED</w:t>
            </w: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9"/>
        </w:trPr>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60" w:type="dxa"/>
            <w:vAlign w:val="bottom"/>
          </w:tcPr>
          <w:p>
            <w:pPr>
              <w:jc w:val="center"/>
              <w:ind w:right="1790"/>
              <w:spacing w:after="0"/>
              <w:rPr>
                <w:sz w:val="20"/>
                <w:szCs w:val="20"/>
                <w:color w:val="auto"/>
              </w:rPr>
            </w:pPr>
            <w:r>
              <w:rPr>
                <w:rFonts w:ascii="Arial" w:cs="Arial" w:eastAsia="Arial" w:hAnsi="Arial"/>
                <w:sz w:val="18"/>
                <w:szCs w:val="18"/>
                <w:b w:val="1"/>
                <w:bCs w:val="1"/>
                <w:color w:val="auto"/>
                <w:w w:val="99"/>
              </w:rPr>
              <w:t>(Incorporated in Singapore)</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8"/>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60" w:type="dxa"/>
            <w:vAlign w:val="bottom"/>
          </w:tcPr>
          <w:p>
            <w:pPr>
              <w:jc w:val="center"/>
              <w:ind w:right="1790"/>
              <w:spacing w:after="0"/>
              <w:rPr>
                <w:sz w:val="20"/>
                <w:szCs w:val="20"/>
                <w:color w:val="auto"/>
              </w:rPr>
            </w:pPr>
            <w:r>
              <w:rPr>
                <w:rFonts w:ascii="Arial" w:cs="Arial" w:eastAsia="Arial" w:hAnsi="Arial"/>
                <w:sz w:val="18"/>
                <w:szCs w:val="18"/>
                <w:b w:val="1"/>
                <w:bCs w:val="1"/>
                <w:color w:val="auto"/>
                <w:w w:val="99"/>
              </w:rPr>
              <w:t>ANNUAL REPORT</w:t>
            </w: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9"/>
        </w:trPr>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2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9"/>
              </w:rPr>
              <w:t>For the financial year ended October 29, 2017</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8"/>
              </w:rPr>
              <w:t>INDEX</w:t>
            </w: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Page</w:t>
            </w:r>
          </w:p>
        </w:tc>
        <w:tc>
          <w:tcPr>
            <w:tcW w:w="40" w:type="dxa"/>
            <w:vAlign w:val="bottom"/>
          </w:tcPr>
          <w:p>
            <w:pPr>
              <w:spacing w:after="0"/>
              <w:rPr>
                <w:sz w:val="24"/>
                <w:szCs w:val="24"/>
                <w:color w:val="auto"/>
              </w:rPr>
            </w:pPr>
          </w:p>
        </w:tc>
      </w:tr>
      <w:tr>
        <w:trPr>
          <w:trHeight w:val="331"/>
        </w:trPr>
        <w:tc>
          <w:tcPr>
            <w:tcW w:w="200" w:type="dxa"/>
            <w:vAlign w:val="bottom"/>
          </w:tcPr>
          <w:p>
            <w:pPr>
              <w:spacing w:after="0"/>
              <w:rPr>
                <w:sz w:val="24"/>
                <w:szCs w:val="24"/>
                <w:color w:val="auto"/>
              </w:rPr>
            </w:pPr>
          </w:p>
        </w:tc>
        <w:tc>
          <w:tcPr>
            <w:tcW w:w="16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Directors’ Statement</w:t>
              </w:r>
            </w:hyperlink>
          </w:p>
        </w:tc>
        <w:tc>
          <w:tcPr>
            <w:tcW w:w="7200" w:type="dxa"/>
            <w:vAlign w:val="bottom"/>
            <w:gridSpan w:val="8"/>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A-2</w:t>
            </w:r>
          </w:p>
        </w:tc>
      </w:tr>
      <w:tr>
        <w:trPr>
          <w:trHeight w:val="358"/>
        </w:trPr>
        <w:tc>
          <w:tcPr>
            <w:tcW w:w="20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Independent Auditor’s Report</w:t>
              </w:r>
            </w:hyperlink>
          </w:p>
        </w:tc>
        <w:tc>
          <w:tcPr>
            <w:tcW w:w="170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A-10</w:t>
            </w:r>
          </w:p>
        </w:tc>
      </w:tr>
      <w:tr>
        <w:trPr>
          <w:trHeight w:val="20"/>
        </w:trPr>
        <w:tc>
          <w:tcPr>
            <w:tcW w:w="20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58"/>
        </w:trPr>
        <w:tc>
          <w:tcPr>
            <w:tcW w:w="200" w:type="dxa"/>
            <w:vAlign w:val="bottom"/>
          </w:tcPr>
          <w:p>
            <w:pPr>
              <w:spacing w:after="0"/>
              <w:rPr>
                <w:sz w:val="24"/>
                <w:szCs w:val="24"/>
                <w:color w:val="auto"/>
              </w:rPr>
            </w:pPr>
          </w:p>
        </w:tc>
        <w:tc>
          <w:tcPr>
            <w:tcW w:w="40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91">
              <w:r>
                <w:rPr>
                  <w:rFonts w:ascii="Arial" w:cs="Arial" w:eastAsia="Arial" w:hAnsi="Arial"/>
                  <w:sz w:val="18"/>
                  <w:szCs w:val="18"/>
                  <w:color w:val="0000EE"/>
                  <w:w w:val="99"/>
                </w:rPr>
                <w:t>Consolidated Statement of Comprehensive Income</w:t>
              </w:r>
            </w:hyperlink>
          </w:p>
        </w:tc>
        <w:tc>
          <w:tcPr>
            <w:tcW w:w="4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A-16</w:t>
            </w:r>
          </w:p>
        </w:tc>
      </w:tr>
      <w:tr>
        <w:trPr>
          <w:trHeight w:val="358"/>
        </w:trPr>
        <w:tc>
          <w:tcPr>
            <w:tcW w:w="200" w:type="dxa"/>
            <w:vAlign w:val="bottom"/>
          </w:tcPr>
          <w:p>
            <w:pPr>
              <w:spacing w:after="0"/>
              <w:rPr>
                <w:sz w:val="24"/>
                <w:szCs w:val="24"/>
                <w:color w:val="auto"/>
              </w:rPr>
            </w:pPr>
          </w:p>
        </w:tc>
        <w:tc>
          <w:tcPr>
            <w:tcW w:w="188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93">
              <w:r>
                <w:rPr>
                  <w:rFonts w:ascii="Arial" w:cs="Arial" w:eastAsia="Arial" w:hAnsi="Arial"/>
                  <w:sz w:val="18"/>
                  <w:szCs w:val="18"/>
                  <w:color w:val="0000EE"/>
                  <w:w w:val="99"/>
                </w:rPr>
                <w:t>Balance Sheet – Group</w:t>
              </w:r>
            </w:hyperlink>
          </w:p>
        </w:tc>
        <w:tc>
          <w:tcPr>
            <w:tcW w:w="6960" w:type="dxa"/>
            <w:vAlign w:val="bottom"/>
            <w:gridSpan w:val="7"/>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A-18</w:t>
            </w:r>
          </w:p>
        </w:tc>
      </w:tr>
      <w:tr>
        <w:trPr>
          <w:trHeight w:val="358"/>
        </w:trPr>
        <w:tc>
          <w:tcPr>
            <w:tcW w:w="20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Balance Sheet – Company</w:t>
              </w:r>
            </w:hyperlink>
          </w:p>
        </w:tc>
        <w:tc>
          <w:tcPr>
            <w:tcW w:w="170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A-19</w:t>
            </w:r>
          </w:p>
        </w:tc>
      </w:tr>
      <w:tr>
        <w:trPr>
          <w:trHeight w:val="20"/>
        </w:trPr>
        <w:tc>
          <w:tcPr>
            <w:tcW w:w="200" w:type="dxa"/>
            <w:vAlign w:val="bottom"/>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58"/>
        </w:trPr>
        <w:tc>
          <w:tcPr>
            <w:tcW w:w="200" w:type="dxa"/>
            <w:vAlign w:val="bottom"/>
          </w:tcPr>
          <w:p>
            <w:pPr>
              <w:spacing w:after="0"/>
              <w:rPr>
                <w:sz w:val="24"/>
                <w:szCs w:val="24"/>
                <w:color w:val="auto"/>
              </w:rPr>
            </w:pPr>
          </w:p>
        </w:tc>
        <w:tc>
          <w:tcPr>
            <w:tcW w:w="364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95">
              <w:r>
                <w:rPr>
                  <w:rFonts w:ascii="Arial" w:cs="Arial" w:eastAsia="Arial" w:hAnsi="Arial"/>
                  <w:sz w:val="18"/>
                  <w:szCs w:val="18"/>
                  <w:color w:val="0000EE"/>
                  <w:w w:val="99"/>
                </w:rPr>
                <w:t>Consolidated Statement of Changes in Equity</w:t>
              </w:r>
            </w:hyperlink>
          </w:p>
        </w:tc>
        <w:tc>
          <w:tcPr>
            <w:tcW w:w="520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A-20</w:t>
            </w:r>
          </w:p>
        </w:tc>
      </w:tr>
      <w:tr>
        <w:trPr>
          <w:trHeight w:val="358"/>
        </w:trPr>
        <w:tc>
          <w:tcPr>
            <w:tcW w:w="200" w:type="dxa"/>
            <w:vAlign w:val="bottom"/>
          </w:tcPr>
          <w:p>
            <w:pPr>
              <w:spacing w:after="0"/>
              <w:rPr>
                <w:sz w:val="24"/>
                <w:szCs w:val="24"/>
                <w:color w:val="auto"/>
              </w:rPr>
            </w:pPr>
          </w:p>
        </w:tc>
        <w:tc>
          <w:tcPr>
            <w:tcW w:w="312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97">
              <w:r>
                <w:rPr>
                  <w:rFonts w:ascii="Arial" w:cs="Arial" w:eastAsia="Arial" w:hAnsi="Arial"/>
                  <w:sz w:val="18"/>
                  <w:szCs w:val="18"/>
                  <w:color w:val="0000EE"/>
                  <w:w w:val="99"/>
                </w:rPr>
                <w:t>Consolidated Statement of Cash Flows</w:t>
              </w:r>
            </w:hyperlink>
          </w:p>
        </w:tc>
        <w:tc>
          <w:tcPr>
            <w:tcW w:w="5720" w:type="dxa"/>
            <w:vAlign w:val="bottom"/>
            <w:gridSpan w:val="3"/>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A-22</w:t>
            </w:r>
          </w:p>
        </w:tc>
      </w:tr>
      <w:tr>
        <w:trPr>
          <w:trHeight w:val="358"/>
        </w:trPr>
        <w:tc>
          <w:tcPr>
            <w:tcW w:w="20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Notes to the Financial Statements</w:t>
              </w:r>
            </w:hyperlink>
          </w:p>
        </w:tc>
        <w:tc>
          <w:tcPr>
            <w:tcW w:w="170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A-23</w:t>
            </w:r>
          </w:p>
        </w:tc>
      </w:tr>
      <w:tr>
        <w:trPr>
          <w:trHeight w:val="372"/>
        </w:trPr>
        <w:tc>
          <w:tcPr>
            <w:tcW w:w="20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60" w:type="dxa"/>
            <w:vAlign w:val="bottom"/>
          </w:tcPr>
          <w:p>
            <w:pPr>
              <w:jc w:val="center"/>
              <w:ind w:right="1790"/>
              <w:spacing w:after="0"/>
              <w:rPr>
                <w:sz w:val="20"/>
                <w:szCs w:val="20"/>
                <w:color w:val="auto"/>
              </w:rPr>
            </w:pPr>
            <w:r>
              <w:rPr>
                <w:rFonts w:ascii="Arial" w:cs="Arial" w:eastAsia="Arial" w:hAnsi="Arial"/>
                <w:sz w:val="18"/>
                <w:szCs w:val="18"/>
                <w:color w:val="auto"/>
                <w:w w:val="99"/>
              </w:rPr>
              <w:t>A-1</w:t>
            </w: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20"/>
          </w:cols>
          <w:pgMar w:left="24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STATEMENT</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directors present their statement to the members together with the audited consolidated financial statements of Broadcom Limited and its subsidiaries (the “Group”) for the financial year ended 29 October 2017 and the unconsolidated balance sheet of Broadcom Limited (the “Company” or “Broadcom”) as of 29 October 2017. Broadcom Limited is the successor to Avago Technologies Limited (“Avago”) from and after 1 February 2016. Information contained in this statement for the period prior to 1 February 2016, relates to our predecessor, Avago.</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opinion of the directors,</w:t>
      </w:r>
    </w:p>
    <w:p>
      <w:pPr>
        <w:spacing w:after="0" w:line="239" w:lineRule="exact"/>
        <w:rPr>
          <w:sz w:val="20"/>
          <w:szCs w:val="20"/>
          <w:color w:val="auto"/>
        </w:rPr>
      </w:pPr>
    </w:p>
    <w:p>
      <w:pPr>
        <w:jc w:val="both"/>
        <w:ind w:left="980" w:hanging="776"/>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balance sheet of the Company and the consolidated financial statements of the Group are drawn up so as to give a true and fair view of the financial positions of the Company and of the Group as of 29 October 2017 and of the results of the business, changes in equity and cash flows of the Group for the financial year then ended; and</w:t>
      </w:r>
    </w:p>
    <w:p>
      <w:pPr>
        <w:spacing w:after="0" w:line="229" w:lineRule="exact"/>
        <w:rPr>
          <w:rFonts w:ascii="Arial" w:cs="Arial" w:eastAsia="Arial" w:hAnsi="Arial"/>
          <w:sz w:val="18"/>
          <w:szCs w:val="18"/>
          <w:color w:val="auto"/>
        </w:rPr>
      </w:pPr>
    </w:p>
    <w:p>
      <w:pPr>
        <w:ind w:left="980" w:hanging="776"/>
        <w:spacing w:after="0" w:line="246"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the date of this statement, there are reasonable grounds to believe that the Company will be able to pay its debts as and when they fall due.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directors of the Company in office at the date of this report are as follows.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Gayla J. Delly (appointed on 4 December 2017)</w:t>
      </w:r>
    </w:p>
    <w:p>
      <w:pPr>
        <w:ind w:left="200"/>
        <w:spacing w:after="0" w:line="234" w:lineRule="auto"/>
        <w:rPr>
          <w:sz w:val="20"/>
          <w:szCs w:val="20"/>
          <w:color w:val="auto"/>
        </w:rPr>
      </w:pPr>
      <w:r>
        <w:rPr>
          <w:rFonts w:ascii="Arial" w:cs="Arial" w:eastAsia="Arial" w:hAnsi="Arial"/>
          <w:sz w:val="18"/>
          <w:szCs w:val="18"/>
          <w:color w:val="auto"/>
        </w:rPr>
        <w:t>James V. Diller</w:t>
      </w:r>
    </w:p>
    <w:p>
      <w:pPr>
        <w:ind w:left="200"/>
        <w:spacing w:after="0" w:line="235" w:lineRule="auto"/>
        <w:rPr>
          <w:sz w:val="20"/>
          <w:szCs w:val="20"/>
          <w:color w:val="auto"/>
        </w:rPr>
      </w:pPr>
      <w:r>
        <w:rPr>
          <w:rFonts w:ascii="Arial" w:cs="Arial" w:eastAsia="Arial" w:hAnsi="Arial"/>
          <w:sz w:val="18"/>
          <w:szCs w:val="18"/>
          <w:color w:val="auto"/>
        </w:rPr>
        <w:t>Lewis C. Eggebrecht</w:t>
      </w:r>
    </w:p>
    <w:p>
      <w:pPr>
        <w:ind w:left="200"/>
        <w:spacing w:after="0" w:line="235" w:lineRule="auto"/>
        <w:rPr>
          <w:sz w:val="20"/>
          <w:szCs w:val="20"/>
          <w:color w:val="auto"/>
        </w:rPr>
      </w:pPr>
      <w:r>
        <w:rPr>
          <w:rFonts w:ascii="Arial" w:cs="Arial" w:eastAsia="Arial" w:hAnsi="Arial"/>
          <w:sz w:val="18"/>
          <w:szCs w:val="18"/>
          <w:color w:val="auto"/>
        </w:rPr>
        <w:t>Kenneth Y. Hao</w:t>
      </w:r>
    </w:p>
    <w:p>
      <w:pPr>
        <w:ind w:left="200"/>
        <w:spacing w:after="0" w:line="235" w:lineRule="auto"/>
        <w:rPr>
          <w:sz w:val="20"/>
          <w:szCs w:val="20"/>
          <w:color w:val="auto"/>
        </w:rPr>
      </w:pPr>
      <w:r>
        <w:rPr>
          <w:rFonts w:ascii="Arial" w:cs="Arial" w:eastAsia="Arial" w:hAnsi="Arial"/>
          <w:sz w:val="18"/>
          <w:szCs w:val="18"/>
          <w:color w:val="auto"/>
        </w:rPr>
        <w:t>Eddy W. Hartenstein</w:t>
      </w:r>
    </w:p>
    <w:p>
      <w:pPr>
        <w:ind w:left="200"/>
        <w:spacing w:after="0" w:line="235" w:lineRule="auto"/>
        <w:rPr>
          <w:sz w:val="20"/>
          <w:szCs w:val="20"/>
          <w:color w:val="auto"/>
        </w:rPr>
      </w:pPr>
      <w:r>
        <w:rPr>
          <w:rFonts w:ascii="Arial" w:cs="Arial" w:eastAsia="Arial" w:hAnsi="Arial"/>
          <w:sz w:val="18"/>
          <w:szCs w:val="18"/>
          <w:color w:val="auto"/>
        </w:rPr>
        <w:t>Check Kian Low</w:t>
      </w:r>
    </w:p>
    <w:p>
      <w:pPr>
        <w:ind w:left="200"/>
        <w:spacing w:after="0" w:line="235" w:lineRule="auto"/>
        <w:rPr>
          <w:sz w:val="20"/>
          <w:szCs w:val="20"/>
          <w:color w:val="auto"/>
        </w:rPr>
      </w:pPr>
      <w:r>
        <w:rPr>
          <w:rFonts w:ascii="Arial" w:cs="Arial" w:eastAsia="Arial" w:hAnsi="Arial"/>
          <w:sz w:val="18"/>
          <w:szCs w:val="18"/>
          <w:color w:val="auto"/>
        </w:rPr>
        <w:t>Donald Macleod</w:t>
      </w:r>
    </w:p>
    <w:p>
      <w:pPr>
        <w:ind w:left="200"/>
        <w:spacing w:after="0" w:line="235" w:lineRule="auto"/>
        <w:rPr>
          <w:sz w:val="20"/>
          <w:szCs w:val="20"/>
          <w:color w:val="auto"/>
        </w:rPr>
      </w:pPr>
      <w:r>
        <w:rPr>
          <w:rFonts w:ascii="Arial" w:cs="Arial" w:eastAsia="Arial" w:hAnsi="Arial"/>
          <w:sz w:val="18"/>
          <w:szCs w:val="18"/>
          <w:color w:val="auto"/>
        </w:rPr>
        <w:t>Peter J. Marks</w:t>
      </w:r>
    </w:p>
    <w:p>
      <w:pPr>
        <w:ind w:left="200"/>
        <w:spacing w:after="0" w:line="235" w:lineRule="auto"/>
        <w:rPr>
          <w:sz w:val="20"/>
          <w:szCs w:val="20"/>
          <w:color w:val="auto"/>
        </w:rPr>
      </w:pPr>
      <w:r>
        <w:rPr>
          <w:rFonts w:ascii="Arial" w:cs="Arial" w:eastAsia="Arial" w:hAnsi="Arial"/>
          <w:sz w:val="18"/>
          <w:szCs w:val="18"/>
          <w:color w:val="auto"/>
        </w:rPr>
        <w:t>Henry Samueli, Ph.D.</w:t>
      </w:r>
    </w:p>
    <w:p>
      <w:pPr>
        <w:ind w:left="200"/>
        <w:spacing w:after="0"/>
        <w:rPr>
          <w:sz w:val="20"/>
          <w:szCs w:val="20"/>
          <w:color w:val="auto"/>
        </w:rPr>
      </w:pPr>
      <w:r>
        <w:rPr>
          <w:rFonts w:ascii="Arial" w:cs="Arial" w:eastAsia="Arial" w:hAnsi="Arial"/>
          <w:sz w:val="18"/>
          <w:szCs w:val="18"/>
          <w:color w:val="auto"/>
        </w:rPr>
        <w:t>Hock E. Tan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Arrangements to Enable Directors to Acquire Shares and Debentures</w:t>
      </w:r>
    </w:p>
    <w:p>
      <w:pPr>
        <w:spacing w:after="0" w:line="234"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Neither at the end of, nor at any time during, the financial year was the Company a party to any arrangement whose object was to enable the directors of the Company to acquire benefits by means of the acquisition of shares in, or debentures of, the Company or any other body corporate, other than as disclosed under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STATEMENT</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Interests in Shares or Debentures</w:t>
      </w:r>
    </w:p>
    <w:p>
      <w:pPr>
        <w:spacing w:after="0" w:line="261" w:lineRule="exact"/>
        <w:rPr>
          <w:sz w:val="20"/>
          <w:szCs w:val="20"/>
          <w:color w:val="auto"/>
        </w:rPr>
      </w:pPr>
    </w:p>
    <w:p>
      <w:pPr>
        <w:ind w:left="980" w:right="20" w:hanging="776"/>
        <w:spacing w:after="0" w:line="246"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According to the register of directors’ shareholdings, none of the directors holding office at the end of the financial year had any interest in the shares or debentures of the Company or its related corporations, except as follows:</w:t>
      </w:r>
    </w:p>
    <w:p>
      <w:pPr>
        <w:spacing w:after="0" w:line="227" w:lineRule="exact"/>
        <w:rPr>
          <w:sz w:val="20"/>
          <w:szCs w:val="20"/>
          <w:color w:val="auto"/>
        </w:rPr>
      </w:pPr>
    </w:p>
    <w:tbl>
      <w:tblPr>
        <w:tblLayout w:type="fixed"/>
        <w:tblInd w:w="98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gridSpan w:val="3"/>
          </w:tcPr>
          <w:p>
            <w:pPr>
              <w:jc w:val="center"/>
              <w:ind w:right="665"/>
              <w:spacing w:after="0"/>
              <w:rPr>
                <w:sz w:val="20"/>
                <w:szCs w:val="20"/>
                <w:color w:val="auto"/>
              </w:rPr>
            </w:pPr>
            <w:r>
              <w:rPr>
                <w:rFonts w:ascii="Arial" w:cs="Arial" w:eastAsia="Arial" w:hAnsi="Arial"/>
                <w:sz w:val="19"/>
                <w:szCs w:val="19"/>
                <w:color w:val="auto"/>
                <w:w w:val="98"/>
              </w:rPr>
              <w:t>Holdings in which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480" w:type="dxa"/>
            <w:vAlign w:val="bottom"/>
            <w:gridSpan w:val="4"/>
          </w:tcPr>
          <w:p>
            <w:pPr>
              <w:jc w:val="center"/>
              <w:ind w:left="1325"/>
              <w:spacing w:after="0" w:line="216" w:lineRule="exact"/>
              <w:rPr>
                <w:sz w:val="20"/>
                <w:szCs w:val="20"/>
                <w:color w:val="auto"/>
              </w:rPr>
            </w:pPr>
            <w:r>
              <w:rPr>
                <w:rFonts w:ascii="Arial" w:cs="Arial" w:eastAsia="Arial" w:hAnsi="Arial"/>
                <w:sz w:val="19"/>
                <w:szCs w:val="19"/>
                <w:color w:val="auto"/>
                <w:w w:val="98"/>
              </w:rPr>
              <w:t>director is deemed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480" w:type="dxa"/>
            <w:vAlign w:val="bottom"/>
            <w:gridSpan w:val="4"/>
          </w:tcPr>
          <w:p>
            <w:pPr>
              <w:jc w:val="center"/>
              <w:ind w:left="1325"/>
              <w:spacing w:after="0" w:line="212" w:lineRule="exact"/>
              <w:rPr>
                <w:sz w:val="20"/>
                <w:szCs w:val="20"/>
                <w:color w:val="auto"/>
              </w:rPr>
            </w:pPr>
            <w:r>
              <w:rPr>
                <w:rFonts w:ascii="Arial" w:cs="Arial" w:eastAsia="Arial" w:hAnsi="Arial"/>
                <w:sz w:val="19"/>
                <w:szCs w:val="19"/>
                <w:color w:val="auto"/>
              </w:rPr>
              <w:t>to have an Interest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gridSpan w:val="2"/>
          </w:tcPr>
          <w:p>
            <w:pPr>
              <w:jc w:val="center"/>
              <w:ind w:left="105"/>
              <w:spacing w:after="0" w:line="201" w:lineRule="exact"/>
              <w:rPr>
                <w:sz w:val="20"/>
                <w:szCs w:val="20"/>
                <w:color w:val="auto"/>
              </w:rPr>
            </w:pPr>
            <w:r>
              <w:rPr>
                <w:rFonts w:ascii="Arial" w:cs="Arial" w:eastAsia="Arial" w:hAnsi="Arial"/>
                <w:sz w:val="19"/>
                <w:szCs w:val="19"/>
                <w:color w:val="auto"/>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2"/>
          </w:tcPr>
          <w:p>
            <w:pPr>
              <w:jc w:val="center"/>
              <w:ind w:left="125"/>
              <w:spacing w:after="0" w:line="216" w:lineRule="exact"/>
              <w:rPr>
                <w:sz w:val="20"/>
                <w:szCs w:val="20"/>
                <w:color w:val="auto"/>
              </w:rPr>
            </w:pPr>
            <w:r>
              <w:rPr>
                <w:rFonts w:ascii="Arial" w:cs="Arial" w:eastAsia="Arial" w:hAnsi="Arial"/>
                <w:sz w:val="19"/>
                <w:szCs w:val="19"/>
                <w:color w:val="auto"/>
                <w:w w:val="99"/>
              </w:rPr>
              <w:t>30 October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40" w:type="dxa"/>
            <w:vAlign w:val="bottom"/>
            <w:gridSpan w:val="2"/>
            <w:vMerge w:val="restart"/>
          </w:tcPr>
          <w:p>
            <w:pPr>
              <w:jc w:val="center"/>
              <w:ind w:left="845"/>
              <w:spacing w:after="0"/>
              <w:rPr>
                <w:sz w:val="20"/>
                <w:szCs w:val="20"/>
                <w:color w:val="auto"/>
              </w:rPr>
            </w:pPr>
            <w:r>
              <w:rPr>
                <w:rFonts w:ascii="Arial" w:cs="Arial" w:eastAsia="Arial" w:hAnsi="Arial"/>
                <w:sz w:val="19"/>
                <w:szCs w:val="19"/>
                <w:b w:val="1"/>
                <w:bCs w:val="1"/>
                <w:color w:val="auto"/>
                <w:w w:val="96"/>
              </w:rPr>
              <w:t>As of</w:t>
            </w:r>
          </w:p>
        </w:tc>
        <w:tc>
          <w:tcPr>
            <w:tcW w:w="1440" w:type="dxa"/>
            <w:vAlign w:val="bottom"/>
            <w:gridSpan w:val="2"/>
          </w:tcPr>
          <w:p>
            <w:pPr>
              <w:jc w:val="center"/>
              <w:ind w:left="125"/>
              <w:spacing w:after="0" w:line="216" w:lineRule="exact"/>
              <w:rPr>
                <w:sz w:val="20"/>
                <w:szCs w:val="20"/>
                <w:color w:val="auto"/>
              </w:rPr>
            </w:pPr>
            <w:r>
              <w:rPr>
                <w:rFonts w:ascii="Arial" w:cs="Arial" w:eastAsia="Arial" w:hAnsi="Arial"/>
                <w:sz w:val="19"/>
                <w:szCs w:val="19"/>
                <w:color w:val="auto"/>
                <w:w w:val="99"/>
              </w:rPr>
              <w:t>2016 or date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jc w:val="center"/>
              <w:ind w:right="405"/>
              <w:spacing w:after="0" w:line="192" w:lineRule="exact"/>
              <w:rPr>
                <w:sz w:val="20"/>
                <w:szCs w:val="20"/>
                <w:color w:val="auto"/>
              </w:rPr>
            </w:pPr>
            <w:r>
              <w:rPr>
                <w:rFonts w:ascii="Arial" w:cs="Arial" w:eastAsia="Arial" w:hAnsi="Arial"/>
                <w:sz w:val="19"/>
                <w:szCs w:val="19"/>
                <w:color w:val="auto"/>
              </w:rPr>
              <w:t>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40" w:type="dxa"/>
            <w:vAlign w:val="bottom"/>
            <w:gridSpan w:val="2"/>
          </w:tcPr>
          <w:p>
            <w:pPr>
              <w:jc w:val="center"/>
              <w:ind w:left="845"/>
              <w:spacing w:after="0" w:line="216" w:lineRule="exact"/>
              <w:rPr>
                <w:sz w:val="20"/>
                <w:szCs w:val="20"/>
                <w:color w:val="auto"/>
              </w:rPr>
            </w:pPr>
            <w:r>
              <w:rPr>
                <w:rFonts w:ascii="Arial" w:cs="Arial" w:eastAsia="Arial" w:hAnsi="Arial"/>
                <w:sz w:val="19"/>
                <w:szCs w:val="19"/>
                <w:b w:val="1"/>
                <w:bCs w:val="1"/>
                <w:color w:val="auto"/>
                <w:w w:val="98"/>
              </w:rPr>
              <w:t>29 October</w:t>
            </w:r>
          </w:p>
        </w:tc>
        <w:tc>
          <w:tcPr>
            <w:tcW w:w="1440" w:type="dxa"/>
            <w:vAlign w:val="bottom"/>
            <w:gridSpan w:val="2"/>
          </w:tcPr>
          <w:p>
            <w:pPr>
              <w:jc w:val="center"/>
              <w:ind w:left="105"/>
              <w:spacing w:after="0" w:line="216" w:lineRule="exact"/>
              <w:rPr>
                <w:sz w:val="20"/>
                <w:szCs w:val="20"/>
                <w:color w:val="auto"/>
              </w:rPr>
            </w:pPr>
            <w:r>
              <w:rPr>
                <w:rFonts w:ascii="Arial" w:cs="Arial" w:eastAsia="Arial" w:hAnsi="Arial"/>
                <w:sz w:val="19"/>
                <w:szCs w:val="19"/>
                <w:color w:val="auto"/>
                <w:w w:val="98"/>
              </w:rPr>
              <w:t>appointment,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3040" w:type="dxa"/>
            <w:vAlign w:val="bottom"/>
            <w:gridSpan w:val="2"/>
          </w:tcPr>
          <w:p>
            <w:pPr>
              <w:jc w:val="center"/>
              <w:ind w:left="845"/>
              <w:spacing w:after="0"/>
              <w:rPr>
                <w:sz w:val="20"/>
                <w:szCs w:val="20"/>
                <w:color w:val="auto"/>
              </w:rPr>
            </w:pPr>
            <w:r>
              <w:rPr>
                <w:rFonts w:ascii="Arial" w:cs="Arial" w:eastAsia="Arial" w:hAnsi="Arial"/>
                <w:sz w:val="19"/>
                <w:szCs w:val="19"/>
                <w:b w:val="1"/>
                <w:bCs w:val="1"/>
                <w:color w:val="auto"/>
                <w:w w:val="99"/>
              </w:rPr>
              <w:t>2017</w:t>
            </w:r>
          </w:p>
        </w:tc>
        <w:tc>
          <w:tcPr>
            <w:tcW w:w="1440" w:type="dxa"/>
            <w:vAlign w:val="bottom"/>
            <w:gridSpan w:val="2"/>
          </w:tcPr>
          <w:p>
            <w:pPr>
              <w:jc w:val="center"/>
              <w:ind w:left="105"/>
              <w:spacing w:after="0"/>
              <w:rPr>
                <w:sz w:val="20"/>
                <w:szCs w:val="20"/>
                <w:color w:val="auto"/>
              </w:rPr>
            </w:pPr>
            <w:r>
              <w:rPr>
                <w:rFonts w:ascii="Arial" w:cs="Arial" w:eastAsia="Arial" w:hAnsi="Arial"/>
                <w:sz w:val="19"/>
                <w:szCs w:val="19"/>
                <w:color w:val="auto"/>
              </w:rPr>
              <w:t>if later</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5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line="216" w:lineRule="exact"/>
              <w:rPr>
                <w:sz w:val="20"/>
                <w:szCs w:val="20"/>
                <w:color w:val="auto"/>
              </w:rPr>
            </w:pPr>
            <w:r>
              <w:rPr>
                <w:rFonts w:ascii="Arial" w:cs="Arial" w:eastAsia="Arial" w:hAnsi="Arial"/>
                <w:sz w:val="19"/>
                <w:szCs w:val="19"/>
                <w:b w:val="1"/>
                <w:bCs w:val="1"/>
                <w:color w:val="auto"/>
              </w:rPr>
              <w:t>Broadcom Limited</w:t>
            </w:r>
          </w:p>
        </w:tc>
        <w:tc>
          <w:tcPr>
            <w:tcW w:w="2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line="216" w:lineRule="exact"/>
              <w:rPr>
                <w:sz w:val="20"/>
                <w:szCs w:val="20"/>
                <w:color w:val="auto"/>
              </w:rPr>
            </w:pPr>
            <w:r>
              <w:rPr>
                <w:rFonts w:ascii="Arial" w:cs="Arial" w:eastAsia="Arial" w:hAnsi="Arial"/>
                <w:sz w:val="19"/>
                <w:szCs w:val="19"/>
                <w:color w:val="auto"/>
              </w:rPr>
              <w:t>(No. of Ordinary Shares)</w:t>
            </w: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James V. Diller</w:t>
            </w:r>
          </w:p>
        </w:tc>
        <w:tc>
          <w:tcPr>
            <w:tcW w:w="3040" w:type="dxa"/>
            <w:vAlign w:val="bottom"/>
            <w:gridSpan w:val="2"/>
            <w:shd w:val="clear" w:color="auto" w:fill="CCEEFF"/>
          </w:tcPr>
          <w:p>
            <w:pPr>
              <w:jc w:val="right"/>
              <w:ind w:right="265"/>
              <w:spacing w:after="0" w:line="216" w:lineRule="exact"/>
              <w:rPr>
                <w:sz w:val="20"/>
                <w:szCs w:val="20"/>
                <w:color w:val="auto"/>
              </w:rPr>
            </w:pPr>
            <w:r>
              <w:rPr>
                <w:rFonts w:ascii="Arial" w:cs="Arial" w:eastAsia="Arial" w:hAnsi="Arial"/>
                <w:sz w:val="19"/>
                <w:szCs w:val="19"/>
                <w:b w:val="1"/>
                <w:bCs w:val="1"/>
                <w:color w:val="auto"/>
              </w:rPr>
              <w:t>127,414</w:t>
            </w:r>
            <w:r>
              <w:rPr>
                <w:rFonts w:ascii="Arial" w:cs="Arial" w:eastAsia="Arial" w:hAnsi="Arial"/>
                <w:sz w:val="16"/>
                <w:szCs w:val="16"/>
                <w:b w:val="1"/>
                <w:bCs w:val="1"/>
                <w:color w:val="auto"/>
              </w:rPr>
              <w:t>(1)</w:t>
            </w:r>
          </w:p>
        </w:tc>
        <w:tc>
          <w:tcPr>
            <w:tcW w:w="14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126,589</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line="216" w:lineRule="exact"/>
              <w:rPr>
                <w:sz w:val="20"/>
                <w:szCs w:val="20"/>
                <w:color w:val="auto"/>
              </w:rPr>
            </w:pPr>
            <w:r>
              <w:rPr>
                <w:rFonts w:ascii="Arial" w:cs="Arial" w:eastAsia="Arial" w:hAnsi="Arial"/>
                <w:sz w:val="19"/>
                <w:szCs w:val="19"/>
                <w:color w:val="auto"/>
              </w:rPr>
              <w:t>Lewis C. Eggebrecht</w:t>
            </w:r>
          </w:p>
        </w:tc>
        <w:tc>
          <w:tcPr>
            <w:tcW w:w="3040" w:type="dxa"/>
            <w:vAlign w:val="bottom"/>
            <w:gridSpan w:val="2"/>
          </w:tcPr>
          <w:p>
            <w:pPr>
              <w:jc w:val="right"/>
              <w:ind w:right="265"/>
              <w:spacing w:after="0" w:line="216" w:lineRule="exact"/>
              <w:rPr>
                <w:sz w:val="20"/>
                <w:szCs w:val="20"/>
                <w:color w:val="auto"/>
              </w:rPr>
            </w:pPr>
            <w:r>
              <w:rPr>
                <w:rFonts w:ascii="Arial" w:cs="Arial" w:eastAsia="Arial" w:hAnsi="Arial"/>
                <w:sz w:val="19"/>
                <w:szCs w:val="19"/>
                <w:b w:val="1"/>
                <w:bCs w:val="1"/>
                <w:color w:val="auto"/>
              </w:rPr>
              <w:t>6,620</w:t>
            </w:r>
            <w:r>
              <w:rPr>
                <w:rFonts w:ascii="Arial" w:cs="Arial" w:eastAsia="Arial" w:hAnsi="Arial"/>
                <w:sz w:val="16"/>
                <w:szCs w:val="16"/>
                <w:b w:val="1"/>
                <w:bCs w:val="1"/>
                <w:color w:val="auto"/>
              </w:rPr>
              <w:t>(2)</w:t>
            </w:r>
          </w:p>
        </w:tc>
        <w:tc>
          <w:tcPr>
            <w:tcW w:w="144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Kenneth Y. Hao</w:t>
            </w:r>
          </w:p>
        </w:tc>
        <w:tc>
          <w:tcPr>
            <w:tcW w:w="3040" w:type="dxa"/>
            <w:vAlign w:val="bottom"/>
            <w:gridSpan w:val="2"/>
            <w:shd w:val="clear" w:color="auto" w:fill="CCEEFF"/>
          </w:tcPr>
          <w:p>
            <w:pPr>
              <w:jc w:val="right"/>
              <w:ind w:right="265"/>
              <w:spacing w:after="0" w:line="216" w:lineRule="exact"/>
              <w:rPr>
                <w:sz w:val="20"/>
                <w:szCs w:val="20"/>
                <w:color w:val="auto"/>
              </w:rPr>
            </w:pPr>
            <w:r>
              <w:rPr>
                <w:rFonts w:ascii="Arial" w:cs="Arial" w:eastAsia="Arial" w:hAnsi="Arial"/>
                <w:sz w:val="19"/>
                <w:szCs w:val="19"/>
                <w:b w:val="1"/>
                <w:bCs w:val="1"/>
                <w:color w:val="auto"/>
              </w:rPr>
              <w:t>1,692,968</w:t>
            </w:r>
            <w:r>
              <w:rPr>
                <w:rFonts w:ascii="Arial" w:cs="Arial" w:eastAsia="Arial" w:hAnsi="Arial"/>
                <w:sz w:val="16"/>
                <w:szCs w:val="16"/>
                <w:b w:val="1"/>
                <w:bCs w:val="1"/>
                <w:color w:val="auto"/>
              </w:rPr>
              <w:t>(3)</w:t>
            </w:r>
          </w:p>
        </w:tc>
        <w:tc>
          <w:tcPr>
            <w:tcW w:w="14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10,713,355</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line="216" w:lineRule="exact"/>
              <w:rPr>
                <w:sz w:val="20"/>
                <w:szCs w:val="20"/>
                <w:color w:val="auto"/>
              </w:rPr>
            </w:pPr>
            <w:r>
              <w:rPr>
                <w:rFonts w:ascii="Arial" w:cs="Arial" w:eastAsia="Arial" w:hAnsi="Arial"/>
                <w:sz w:val="19"/>
                <w:szCs w:val="19"/>
                <w:color w:val="auto"/>
              </w:rPr>
              <w:t>Eddy W. Hartenstein</w:t>
            </w:r>
          </w:p>
        </w:tc>
        <w:tc>
          <w:tcPr>
            <w:tcW w:w="3040" w:type="dxa"/>
            <w:vAlign w:val="bottom"/>
            <w:gridSpan w:val="2"/>
          </w:tcPr>
          <w:p>
            <w:pPr>
              <w:jc w:val="right"/>
              <w:ind w:right="445"/>
              <w:spacing w:after="0" w:line="216" w:lineRule="exact"/>
              <w:rPr>
                <w:sz w:val="20"/>
                <w:szCs w:val="20"/>
                <w:color w:val="auto"/>
              </w:rPr>
            </w:pPr>
            <w:r>
              <w:rPr>
                <w:rFonts w:ascii="Arial" w:cs="Arial" w:eastAsia="Arial" w:hAnsi="Arial"/>
                <w:sz w:val="19"/>
                <w:szCs w:val="19"/>
                <w:b w:val="1"/>
                <w:bCs w:val="1"/>
                <w:color w:val="auto"/>
              </w:rPr>
              <w:t>33,235</w:t>
            </w:r>
          </w:p>
        </w:tc>
        <w:tc>
          <w:tcPr>
            <w:tcW w:w="144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31,648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Donald Macleod</w:t>
            </w:r>
          </w:p>
        </w:tc>
        <w:tc>
          <w:tcPr>
            <w:tcW w:w="3040" w:type="dxa"/>
            <w:vAlign w:val="bottom"/>
            <w:gridSpan w:val="2"/>
            <w:shd w:val="clear" w:color="auto" w:fill="CCEEFF"/>
          </w:tcPr>
          <w:p>
            <w:pPr>
              <w:jc w:val="right"/>
              <w:ind w:right="445"/>
              <w:spacing w:after="0" w:line="216" w:lineRule="exact"/>
              <w:rPr>
                <w:sz w:val="20"/>
                <w:szCs w:val="20"/>
                <w:color w:val="auto"/>
              </w:rPr>
            </w:pPr>
            <w:r>
              <w:rPr>
                <w:rFonts w:ascii="Arial" w:cs="Arial" w:eastAsia="Arial" w:hAnsi="Arial"/>
                <w:sz w:val="19"/>
                <w:szCs w:val="19"/>
                <w:b w:val="1"/>
                <w:bCs w:val="1"/>
                <w:color w:val="auto"/>
              </w:rPr>
              <w:t>52,852</w:t>
            </w:r>
          </w:p>
        </w:tc>
        <w:tc>
          <w:tcPr>
            <w:tcW w:w="14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51,527</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line="216" w:lineRule="exact"/>
              <w:rPr>
                <w:sz w:val="20"/>
                <w:szCs w:val="20"/>
                <w:color w:val="auto"/>
              </w:rPr>
            </w:pPr>
            <w:r>
              <w:rPr>
                <w:rFonts w:ascii="Arial" w:cs="Arial" w:eastAsia="Arial" w:hAnsi="Arial"/>
                <w:sz w:val="19"/>
                <w:szCs w:val="19"/>
                <w:color w:val="auto"/>
              </w:rPr>
              <w:t>Peter J. Marks</w:t>
            </w:r>
          </w:p>
        </w:tc>
        <w:tc>
          <w:tcPr>
            <w:tcW w:w="3040" w:type="dxa"/>
            <w:vAlign w:val="bottom"/>
            <w:gridSpan w:val="2"/>
          </w:tcPr>
          <w:p>
            <w:pPr>
              <w:jc w:val="right"/>
              <w:ind w:right="445"/>
              <w:spacing w:after="0" w:line="216" w:lineRule="exact"/>
              <w:rPr>
                <w:sz w:val="20"/>
                <w:szCs w:val="20"/>
                <w:color w:val="auto"/>
              </w:rPr>
            </w:pPr>
            <w:r>
              <w:rPr>
                <w:rFonts w:ascii="Arial" w:cs="Arial" w:eastAsia="Arial" w:hAnsi="Arial"/>
                <w:sz w:val="19"/>
                <w:szCs w:val="19"/>
                <w:b w:val="1"/>
                <w:bCs w:val="1"/>
                <w:color w:val="auto"/>
              </w:rPr>
              <w:t>7,825</w:t>
            </w:r>
          </w:p>
        </w:tc>
        <w:tc>
          <w:tcPr>
            <w:tcW w:w="144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Henry Samueli, Ph.D.</w:t>
            </w:r>
          </w:p>
        </w:tc>
        <w:tc>
          <w:tcPr>
            <w:tcW w:w="3040" w:type="dxa"/>
            <w:vAlign w:val="bottom"/>
            <w:gridSpan w:val="2"/>
            <w:shd w:val="clear" w:color="auto" w:fill="CCEEFF"/>
          </w:tcPr>
          <w:p>
            <w:pPr>
              <w:jc w:val="right"/>
              <w:ind w:right="445"/>
              <w:spacing w:after="0" w:line="216" w:lineRule="exact"/>
              <w:rPr>
                <w:sz w:val="20"/>
                <w:szCs w:val="20"/>
                <w:color w:val="auto"/>
              </w:rPr>
            </w:pPr>
            <w:r>
              <w:rPr>
                <w:rFonts w:ascii="Arial" w:cs="Arial" w:eastAsia="Arial" w:hAnsi="Arial"/>
                <w:sz w:val="19"/>
                <w:szCs w:val="19"/>
                <w:b w:val="1"/>
                <w:bCs w:val="1"/>
                <w:color w:val="auto"/>
              </w:rPr>
              <w:t>86,783</w:t>
            </w:r>
          </w:p>
        </w:tc>
        <w:tc>
          <w:tcPr>
            <w:tcW w:w="14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30,163</w:t>
            </w:r>
          </w:p>
        </w:tc>
        <w:tc>
          <w:tcPr>
            <w:tcW w:w="0" w:type="dxa"/>
            <w:vAlign w:val="bottom"/>
          </w:tcPr>
          <w:p>
            <w:pPr>
              <w:spacing w:after="0"/>
              <w:rPr>
                <w:sz w:val="1"/>
                <w:szCs w:val="1"/>
                <w:color w:val="auto"/>
              </w:rPr>
            </w:pPr>
          </w:p>
        </w:tc>
      </w:tr>
      <w:tr>
        <w:trPr>
          <w:trHeight w:val="251"/>
        </w:trPr>
        <w:tc>
          <w:tcPr>
            <w:tcW w:w="5780" w:type="dxa"/>
            <w:vAlign w:val="bottom"/>
            <w:gridSpan w:val="2"/>
          </w:tcPr>
          <w:p>
            <w:pPr>
              <w:spacing w:after="0"/>
              <w:rPr>
                <w:sz w:val="20"/>
                <w:szCs w:val="20"/>
                <w:color w:val="auto"/>
              </w:rPr>
            </w:pPr>
            <w:r>
              <w:rPr>
                <w:rFonts w:ascii="Arial" w:cs="Arial" w:eastAsia="Arial" w:hAnsi="Arial"/>
                <w:sz w:val="19"/>
                <w:szCs w:val="19"/>
                <w:color w:val="auto"/>
              </w:rPr>
              <w:t>Hock E. Tan</w:t>
            </w:r>
          </w:p>
        </w:tc>
        <w:tc>
          <w:tcPr>
            <w:tcW w:w="3040" w:type="dxa"/>
            <w:vAlign w:val="bottom"/>
            <w:gridSpan w:val="2"/>
          </w:tcPr>
          <w:p>
            <w:pPr>
              <w:jc w:val="right"/>
              <w:ind w:right="445"/>
              <w:spacing w:after="0"/>
              <w:rPr>
                <w:sz w:val="20"/>
                <w:szCs w:val="20"/>
                <w:color w:val="auto"/>
              </w:rPr>
            </w:pPr>
            <w:r>
              <w:rPr>
                <w:rFonts w:ascii="Arial" w:cs="Arial" w:eastAsia="Arial" w:hAnsi="Arial"/>
                <w:sz w:val="19"/>
                <w:szCs w:val="19"/>
                <w:b w:val="1"/>
                <w:bCs w:val="1"/>
                <w:color w:val="auto"/>
              </w:rPr>
              <w:t>104,613</w:t>
            </w:r>
          </w:p>
        </w:tc>
        <w:tc>
          <w:tcPr>
            <w:tcW w:w="1440" w:type="dxa"/>
            <w:vAlign w:val="bottom"/>
            <w:gridSpan w:val="2"/>
          </w:tcPr>
          <w:p>
            <w:pPr>
              <w:jc w:val="right"/>
              <w:spacing w:after="0"/>
              <w:rPr>
                <w:sz w:val="20"/>
                <w:szCs w:val="20"/>
                <w:color w:val="auto"/>
              </w:rPr>
            </w:pPr>
            <w:r>
              <w:rPr>
                <w:rFonts w:ascii="Arial" w:cs="Arial" w:eastAsia="Arial" w:hAnsi="Arial"/>
                <w:sz w:val="19"/>
                <w:szCs w:val="19"/>
                <w:color w:val="auto"/>
              </w:rPr>
              <w:t>106,625</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7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line="216" w:lineRule="exact"/>
              <w:rPr>
                <w:sz w:val="20"/>
                <w:szCs w:val="20"/>
                <w:color w:val="auto"/>
              </w:rPr>
            </w:pPr>
            <w:r>
              <w:rPr>
                <w:rFonts w:ascii="Arial" w:cs="Arial" w:eastAsia="Arial" w:hAnsi="Arial"/>
                <w:sz w:val="19"/>
                <w:szCs w:val="19"/>
                <w:b w:val="1"/>
                <w:bCs w:val="1"/>
                <w:color w:val="auto"/>
              </w:rPr>
              <w:t>Broadcom Limited</w:t>
            </w:r>
          </w:p>
        </w:tc>
        <w:tc>
          <w:tcPr>
            <w:tcW w:w="2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line="216" w:lineRule="exact"/>
              <w:rPr>
                <w:sz w:val="20"/>
                <w:szCs w:val="20"/>
                <w:color w:val="auto"/>
              </w:rPr>
            </w:pPr>
            <w:r>
              <w:rPr>
                <w:rFonts w:ascii="Arial" w:cs="Arial" w:eastAsia="Arial" w:hAnsi="Arial"/>
                <w:sz w:val="19"/>
                <w:szCs w:val="19"/>
                <w:color w:val="auto"/>
              </w:rPr>
              <w:t>(Share Options, RSUs* and Convertible Securities)</w:t>
            </w: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James V. Diller</w:t>
            </w:r>
          </w:p>
        </w:tc>
        <w:tc>
          <w:tcPr>
            <w:tcW w:w="3040" w:type="dxa"/>
            <w:vAlign w:val="bottom"/>
            <w:gridSpan w:val="2"/>
            <w:shd w:val="clear" w:color="auto" w:fill="CCEEFF"/>
          </w:tcPr>
          <w:p>
            <w:pPr>
              <w:jc w:val="right"/>
              <w:ind w:right="265"/>
              <w:spacing w:after="0" w:line="216" w:lineRule="exact"/>
              <w:rPr>
                <w:sz w:val="20"/>
                <w:szCs w:val="20"/>
                <w:color w:val="auto"/>
              </w:rPr>
            </w:pPr>
            <w:r>
              <w:rPr>
                <w:rFonts w:ascii="Arial" w:cs="Arial" w:eastAsia="Arial" w:hAnsi="Arial"/>
                <w:sz w:val="19"/>
                <w:szCs w:val="19"/>
                <w:b w:val="1"/>
                <w:bCs w:val="1"/>
                <w:color w:val="auto"/>
              </w:rPr>
              <w:t>15,983</w:t>
            </w:r>
            <w:r>
              <w:rPr>
                <w:rFonts w:ascii="Arial" w:cs="Arial" w:eastAsia="Arial" w:hAnsi="Arial"/>
                <w:sz w:val="16"/>
                <w:szCs w:val="16"/>
                <w:b w:val="1"/>
                <w:bCs w:val="1"/>
                <w:color w:val="auto"/>
              </w:rPr>
              <w:t>(4)</w:t>
            </w:r>
          </w:p>
        </w:tc>
        <w:tc>
          <w:tcPr>
            <w:tcW w:w="14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16,402</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line="216" w:lineRule="exact"/>
              <w:rPr>
                <w:sz w:val="20"/>
                <w:szCs w:val="20"/>
                <w:color w:val="auto"/>
              </w:rPr>
            </w:pPr>
            <w:r>
              <w:rPr>
                <w:rFonts w:ascii="Arial" w:cs="Arial" w:eastAsia="Arial" w:hAnsi="Arial"/>
                <w:sz w:val="19"/>
                <w:szCs w:val="19"/>
                <w:color w:val="auto"/>
              </w:rPr>
              <w:t>Lewis C. Eggebrecht</w:t>
            </w:r>
          </w:p>
        </w:tc>
        <w:tc>
          <w:tcPr>
            <w:tcW w:w="3040" w:type="dxa"/>
            <w:vAlign w:val="bottom"/>
            <w:gridSpan w:val="2"/>
          </w:tcPr>
          <w:p>
            <w:pPr>
              <w:jc w:val="right"/>
              <w:ind w:right="265"/>
              <w:spacing w:after="0" w:line="216" w:lineRule="exact"/>
              <w:rPr>
                <w:sz w:val="20"/>
                <w:szCs w:val="20"/>
                <w:color w:val="auto"/>
              </w:rPr>
            </w:pPr>
            <w:r>
              <w:rPr>
                <w:rFonts w:ascii="Arial" w:cs="Arial" w:eastAsia="Arial" w:hAnsi="Arial"/>
                <w:sz w:val="19"/>
                <w:szCs w:val="19"/>
                <w:b w:val="1"/>
                <w:bCs w:val="1"/>
                <w:color w:val="auto"/>
              </w:rPr>
              <w:t>6,027</w:t>
            </w:r>
            <w:r>
              <w:rPr>
                <w:rFonts w:ascii="Arial" w:cs="Arial" w:eastAsia="Arial" w:hAnsi="Arial"/>
                <w:sz w:val="16"/>
                <w:szCs w:val="16"/>
                <w:b w:val="1"/>
                <w:bCs w:val="1"/>
                <w:color w:val="auto"/>
              </w:rPr>
              <w:t>(5)</w:t>
            </w:r>
          </w:p>
        </w:tc>
        <w:tc>
          <w:tcPr>
            <w:tcW w:w="144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11,948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Kenneth Y. Hao</w:t>
            </w:r>
          </w:p>
        </w:tc>
        <w:tc>
          <w:tcPr>
            <w:tcW w:w="3040" w:type="dxa"/>
            <w:vAlign w:val="bottom"/>
            <w:gridSpan w:val="2"/>
            <w:shd w:val="clear" w:color="auto" w:fill="CCEEFF"/>
          </w:tcPr>
          <w:p>
            <w:pPr>
              <w:jc w:val="right"/>
              <w:ind w:right="265"/>
              <w:spacing w:after="0" w:line="216" w:lineRule="exact"/>
              <w:rPr>
                <w:sz w:val="20"/>
                <w:szCs w:val="20"/>
                <w:color w:val="auto"/>
              </w:rPr>
            </w:pPr>
            <w:r>
              <w:rPr>
                <w:rFonts w:ascii="Arial" w:cs="Arial" w:eastAsia="Arial" w:hAnsi="Arial"/>
                <w:sz w:val="19"/>
                <w:szCs w:val="19"/>
                <w:b w:val="1"/>
                <w:bCs w:val="1"/>
                <w:color w:val="auto"/>
              </w:rPr>
              <w:t>15,983</w:t>
            </w:r>
            <w:r>
              <w:rPr>
                <w:rFonts w:ascii="Arial" w:cs="Arial" w:eastAsia="Arial" w:hAnsi="Arial"/>
                <w:sz w:val="16"/>
                <w:szCs w:val="16"/>
                <w:b w:val="1"/>
                <w:bCs w:val="1"/>
                <w:color w:val="auto"/>
              </w:rPr>
              <w:t>(6)</w:t>
            </w:r>
          </w:p>
        </w:tc>
        <w:tc>
          <w:tcPr>
            <w:tcW w:w="14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24,032</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line="216" w:lineRule="exact"/>
              <w:rPr>
                <w:sz w:val="20"/>
                <w:szCs w:val="20"/>
                <w:color w:val="auto"/>
              </w:rPr>
            </w:pPr>
            <w:r>
              <w:rPr>
                <w:rFonts w:ascii="Arial" w:cs="Arial" w:eastAsia="Arial" w:hAnsi="Arial"/>
                <w:sz w:val="19"/>
                <w:szCs w:val="19"/>
                <w:color w:val="auto"/>
              </w:rPr>
              <w:t>Eddy W. Hartenstein</w:t>
            </w:r>
          </w:p>
        </w:tc>
        <w:tc>
          <w:tcPr>
            <w:tcW w:w="3040" w:type="dxa"/>
            <w:vAlign w:val="bottom"/>
            <w:gridSpan w:val="2"/>
          </w:tcPr>
          <w:p>
            <w:pPr>
              <w:jc w:val="right"/>
              <w:ind w:right="445"/>
              <w:spacing w:after="0" w:line="216" w:lineRule="exact"/>
              <w:rPr>
                <w:sz w:val="20"/>
                <w:szCs w:val="20"/>
                <w:color w:val="auto"/>
              </w:rPr>
            </w:pPr>
            <w:r>
              <w:rPr>
                <w:rFonts w:ascii="Arial" w:cs="Arial" w:eastAsia="Arial" w:hAnsi="Arial"/>
                <w:sz w:val="19"/>
                <w:szCs w:val="19"/>
                <w:b w:val="1"/>
                <w:bCs w:val="1"/>
                <w:color w:val="auto"/>
              </w:rPr>
              <w:t>906</w:t>
            </w:r>
          </w:p>
        </w:tc>
        <w:tc>
          <w:tcPr>
            <w:tcW w:w="144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Check Kian Low</w:t>
            </w:r>
          </w:p>
        </w:tc>
        <w:tc>
          <w:tcPr>
            <w:tcW w:w="3040" w:type="dxa"/>
            <w:vAlign w:val="bottom"/>
            <w:gridSpan w:val="2"/>
            <w:shd w:val="clear" w:color="auto" w:fill="CCEEFF"/>
          </w:tcPr>
          <w:p>
            <w:pPr>
              <w:jc w:val="right"/>
              <w:ind w:right="265"/>
              <w:spacing w:after="0" w:line="216" w:lineRule="exact"/>
              <w:rPr>
                <w:sz w:val="20"/>
                <w:szCs w:val="20"/>
                <w:color w:val="auto"/>
              </w:rPr>
            </w:pPr>
            <w:r>
              <w:rPr>
                <w:rFonts w:ascii="Arial" w:cs="Arial" w:eastAsia="Arial" w:hAnsi="Arial"/>
                <w:sz w:val="19"/>
                <w:szCs w:val="19"/>
                <w:b w:val="1"/>
                <w:bCs w:val="1"/>
                <w:color w:val="auto"/>
              </w:rPr>
              <w:t>1,294</w:t>
            </w:r>
            <w:r>
              <w:rPr>
                <w:rFonts w:ascii="Arial" w:cs="Arial" w:eastAsia="Arial" w:hAnsi="Arial"/>
                <w:sz w:val="16"/>
                <w:szCs w:val="16"/>
                <w:b w:val="1"/>
                <w:bCs w:val="1"/>
                <w:color w:val="auto"/>
              </w:rPr>
              <w:t>(7)</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line="216" w:lineRule="exact"/>
              <w:rPr>
                <w:sz w:val="20"/>
                <w:szCs w:val="20"/>
                <w:color w:val="auto"/>
              </w:rPr>
            </w:pPr>
            <w:r>
              <w:rPr>
                <w:rFonts w:ascii="Arial" w:cs="Arial" w:eastAsia="Arial" w:hAnsi="Arial"/>
                <w:sz w:val="19"/>
                <w:szCs w:val="19"/>
                <w:color w:val="auto"/>
              </w:rPr>
              <w:t>Donald Macleod</w:t>
            </w:r>
          </w:p>
        </w:tc>
        <w:tc>
          <w:tcPr>
            <w:tcW w:w="3040" w:type="dxa"/>
            <w:vAlign w:val="bottom"/>
            <w:gridSpan w:val="2"/>
          </w:tcPr>
          <w:p>
            <w:pPr>
              <w:jc w:val="right"/>
              <w:ind w:right="265"/>
              <w:spacing w:after="0" w:line="216" w:lineRule="exact"/>
              <w:rPr>
                <w:sz w:val="20"/>
                <w:szCs w:val="20"/>
                <w:color w:val="auto"/>
              </w:rPr>
            </w:pPr>
            <w:r>
              <w:rPr>
                <w:rFonts w:ascii="Arial" w:cs="Arial" w:eastAsia="Arial" w:hAnsi="Arial"/>
                <w:sz w:val="19"/>
                <w:szCs w:val="19"/>
                <w:b w:val="1"/>
                <w:bCs w:val="1"/>
                <w:color w:val="auto"/>
              </w:rPr>
              <w:t>6,129</w:t>
            </w:r>
            <w:r>
              <w:rPr>
                <w:rFonts w:ascii="Arial" w:cs="Arial" w:eastAsia="Arial" w:hAnsi="Arial"/>
                <w:sz w:val="16"/>
                <w:szCs w:val="16"/>
                <w:b w:val="1"/>
                <w:bCs w:val="1"/>
                <w:color w:val="auto"/>
              </w:rPr>
              <w:t>(8)</w:t>
            </w:r>
          </w:p>
        </w:tc>
        <w:tc>
          <w:tcPr>
            <w:tcW w:w="144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Peter J. Marks</w:t>
            </w:r>
          </w:p>
        </w:tc>
        <w:tc>
          <w:tcPr>
            <w:tcW w:w="3040" w:type="dxa"/>
            <w:vAlign w:val="bottom"/>
            <w:gridSpan w:val="2"/>
            <w:shd w:val="clear" w:color="auto" w:fill="CCEEFF"/>
          </w:tcPr>
          <w:p>
            <w:pPr>
              <w:jc w:val="right"/>
              <w:ind w:right="265"/>
              <w:spacing w:after="0" w:line="216" w:lineRule="exact"/>
              <w:rPr>
                <w:sz w:val="20"/>
                <w:szCs w:val="20"/>
                <w:color w:val="auto"/>
              </w:rPr>
            </w:pPr>
            <w:r>
              <w:rPr>
                <w:rFonts w:ascii="Arial" w:cs="Arial" w:eastAsia="Arial" w:hAnsi="Arial"/>
                <w:sz w:val="19"/>
                <w:szCs w:val="19"/>
                <w:b w:val="1"/>
                <w:bCs w:val="1"/>
                <w:color w:val="auto"/>
              </w:rPr>
              <w:t>24,380</w:t>
            </w:r>
            <w:r>
              <w:rPr>
                <w:rFonts w:ascii="Arial" w:cs="Arial" w:eastAsia="Arial" w:hAnsi="Arial"/>
                <w:sz w:val="16"/>
                <w:szCs w:val="16"/>
                <w:b w:val="1"/>
                <w:bCs w:val="1"/>
                <w:color w:val="auto"/>
              </w:rPr>
              <w:t>(9)</w:t>
            </w:r>
          </w:p>
        </w:tc>
        <w:tc>
          <w:tcPr>
            <w:tcW w:w="14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26,083</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line="216" w:lineRule="exact"/>
              <w:rPr>
                <w:sz w:val="20"/>
                <w:szCs w:val="20"/>
                <w:color w:val="auto"/>
              </w:rPr>
            </w:pPr>
            <w:r>
              <w:rPr>
                <w:rFonts w:ascii="Arial" w:cs="Arial" w:eastAsia="Arial" w:hAnsi="Arial"/>
                <w:sz w:val="19"/>
                <w:szCs w:val="19"/>
                <w:color w:val="auto"/>
              </w:rPr>
              <w:t>Henry Samueli, Ph.D.</w:t>
            </w:r>
          </w:p>
        </w:tc>
        <w:tc>
          <w:tcPr>
            <w:tcW w:w="3040" w:type="dxa"/>
            <w:vAlign w:val="bottom"/>
            <w:gridSpan w:val="2"/>
          </w:tcPr>
          <w:p>
            <w:pPr>
              <w:jc w:val="right"/>
              <w:ind w:right="165"/>
              <w:spacing w:after="0" w:line="216" w:lineRule="exact"/>
              <w:rPr>
                <w:sz w:val="20"/>
                <w:szCs w:val="20"/>
                <w:color w:val="auto"/>
              </w:rPr>
            </w:pPr>
            <w:r>
              <w:rPr>
                <w:rFonts w:ascii="Arial" w:cs="Arial" w:eastAsia="Arial" w:hAnsi="Arial"/>
                <w:sz w:val="19"/>
                <w:szCs w:val="19"/>
                <w:b w:val="1"/>
                <w:bCs w:val="1"/>
                <w:color w:val="auto"/>
              </w:rPr>
              <w:t>9,637,759</w:t>
            </w:r>
            <w:r>
              <w:rPr>
                <w:rFonts w:ascii="Arial" w:cs="Arial" w:eastAsia="Arial" w:hAnsi="Arial"/>
                <w:sz w:val="16"/>
                <w:szCs w:val="16"/>
                <w:b w:val="1"/>
                <w:bCs w:val="1"/>
                <w:color w:val="auto"/>
              </w:rPr>
              <w:t>(10)</w:t>
            </w:r>
          </w:p>
        </w:tc>
        <w:tc>
          <w:tcPr>
            <w:tcW w:w="144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9,714,600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Hock E. Tan</w:t>
            </w:r>
          </w:p>
        </w:tc>
        <w:tc>
          <w:tcPr>
            <w:tcW w:w="3040" w:type="dxa"/>
            <w:vAlign w:val="bottom"/>
            <w:gridSpan w:val="2"/>
            <w:shd w:val="clear" w:color="auto" w:fill="CCEEFF"/>
          </w:tcPr>
          <w:p>
            <w:pPr>
              <w:jc w:val="right"/>
              <w:ind w:right="165"/>
              <w:spacing w:after="0" w:line="216" w:lineRule="exact"/>
              <w:rPr>
                <w:sz w:val="20"/>
                <w:szCs w:val="20"/>
                <w:color w:val="auto"/>
              </w:rPr>
            </w:pPr>
            <w:r>
              <w:rPr>
                <w:rFonts w:ascii="Arial" w:cs="Arial" w:eastAsia="Arial" w:hAnsi="Arial"/>
                <w:sz w:val="19"/>
                <w:szCs w:val="19"/>
                <w:b w:val="1"/>
                <w:bCs w:val="1"/>
                <w:color w:val="auto"/>
              </w:rPr>
              <w:t>3,461,176</w:t>
            </w:r>
            <w:r>
              <w:rPr>
                <w:rFonts w:ascii="Arial" w:cs="Arial" w:eastAsia="Arial" w:hAnsi="Arial"/>
                <w:sz w:val="16"/>
                <w:szCs w:val="16"/>
                <w:b w:val="1"/>
                <w:bCs w:val="1"/>
                <w:color w:val="auto"/>
              </w:rPr>
              <w:t>(11)</w:t>
            </w:r>
          </w:p>
        </w:tc>
        <w:tc>
          <w:tcPr>
            <w:tcW w:w="14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2,889,999</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400" w:hanging="426"/>
        <w:spacing w:after="0"/>
        <w:tabs>
          <w:tab w:leader="none" w:pos="14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Restricted Share Units</w:t>
      </w:r>
    </w:p>
    <w:p>
      <w:pPr>
        <w:spacing w:after="0" w:line="1" w:lineRule="exact"/>
        <w:rPr>
          <w:rFonts w:ascii="Arial" w:cs="Arial" w:eastAsia="Arial" w:hAnsi="Arial"/>
          <w:sz w:val="17"/>
          <w:szCs w:val="17"/>
          <w:color w:val="auto"/>
        </w:rPr>
      </w:pPr>
    </w:p>
    <w:p>
      <w:pPr>
        <w:ind w:left="1560" w:hanging="573"/>
        <w:spacing w:after="0"/>
        <w:tabs>
          <w:tab w:leader="none" w:pos="1560" w:val="left"/>
        </w:tabs>
        <w:numPr>
          <w:ilvl w:val="1"/>
          <w:numId w:val="89"/>
        </w:numPr>
        <w:rPr>
          <w:rFonts w:ascii="Arial" w:cs="Arial" w:eastAsia="Arial" w:hAnsi="Arial"/>
          <w:sz w:val="15"/>
          <w:szCs w:val="15"/>
          <w:color w:val="auto"/>
        </w:rPr>
      </w:pPr>
      <w:r>
        <w:rPr>
          <w:rFonts w:ascii="Arial" w:cs="Arial" w:eastAsia="Arial" w:hAnsi="Arial"/>
          <w:sz w:val="16"/>
          <w:szCs w:val="16"/>
          <w:color w:val="auto"/>
        </w:rPr>
        <w:t>Includes 119,500 shares held in family trusts of which Mr. Diller is a trustee</w:t>
      </w:r>
    </w:p>
    <w:p>
      <w:pPr>
        <w:spacing w:after="0" w:line="5" w:lineRule="exact"/>
        <w:rPr>
          <w:rFonts w:ascii="Arial" w:cs="Arial" w:eastAsia="Arial" w:hAnsi="Arial"/>
          <w:sz w:val="15"/>
          <w:szCs w:val="15"/>
          <w:color w:val="auto"/>
        </w:rPr>
      </w:pPr>
    </w:p>
    <w:p>
      <w:pPr>
        <w:ind w:left="1560" w:hanging="573"/>
        <w:spacing w:after="0"/>
        <w:tabs>
          <w:tab w:leader="none" w:pos="1560" w:val="left"/>
        </w:tabs>
        <w:numPr>
          <w:ilvl w:val="1"/>
          <w:numId w:val="89"/>
        </w:numPr>
        <w:rPr>
          <w:rFonts w:ascii="Arial" w:cs="Arial" w:eastAsia="Arial" w:hAnsi="Arial"/>
          <w:sz w:val="15"/>
          <w:szCs w:val="15"/>
          <w:color w:val="auto"/>
        </w:rPr>
      </w:pPr>
      <w:r>
        <w:rPr>
          <w:rFonts w:ascii="Arial" w:cs="Arial" w:eastAsia="Arial" w:hAnsi="Arial"/>
          <w:sz w:val="16"/>
          <w:szCs w:val="16"/>
          <w:color w:val="auto"/>
        </w:rPr>
        <w:t>Includes 1,500 shares held in a family trust of which Mr. Eggebrecht is a trustee.</w:t>
      </w:r>
    </w:p>
    <w:p>
      <w:pPr>
        <w:jc w:val="both"/>
        <w:ind w:left="1560" w:right="20" w:hanging="850"/>
        <w:spacing w:after="0"/>
        <w:tabs>
          <w:tab w:leader="none" w:pos="1540" w:val="left"/>
        </w:tabs>
        <w:rPr>
          <w:sz w:val="20"/>
          <w:szCs w:val="20"/>
          <w:color w:val="auto"/>
        </w:rPr>
      </w:pPr>
      <w:r>
        <w:rPr>
          <w:rFonts w:ascii="Arial" w:cs="Arial" w:eastAsia="Arial" w:hAnsi="Arial"/>
          <w:sz w:val="15"/>
          <w:szCs w:val="15"/>
          <w:color w:val="auto"/>
        </w:rPr>
        <w:t>(3)</w:t>
      </w:r>
      <w:r>
        <w:rPr>
          <w:sz w:val="20"/>
          <w:szCs w:val="20"/>
          <w:color w:val="auto"/>
        </w:rPr>
        <w:tab/>
      </w:r>
      <w:r>
        <w:rPr>
          <w:rFonts w:ascii="Arial" w:cs="Arial" w:eastAsia="Arial" w:hAnsi="Arial"/>
          <w:sz w:val="28"/>
          <w:szCs w:val="28"/>
          <w:color w:val="auto"/>
          <w:vertAlign w:val="superscript"/>
        </w:rPr>
        <w:t xml:space="preserve">(i) </w:t>
      </w:r>
      <w:r>
        <w:rPr>
          <w:rFonts w:ascii="Arial" w:cs="Arial" w:eastAsia="Arial" w:hAnsi="Arial"/>
          <w:sz w:val="16"/>
          <w:szCs w:val="16"/>
          <w:color w:val="auto"/>
        </w:rPr>
        <w:t>Pursuant to Mr. Hao’s arrangement with Silver Lake Partners with respect to director compensation, upon the sale of shares</w:t>
      </w:r>
      <w:r>
        <w:rPr>
          <w:rFonts w:ascii="Arial" w:cs="Arial" w:eastAsia="Arial" w:hAnsi="Arial"/>
          <w:sz w:val="28"/>
          <w:szCs w:val="28"/>
          <w:color w:val="auto"/>
        </w:rPr>
        <w:t xml:space="preserve"> </w:t>
      </w:r>
      <w:r>
        <w:rPr>
          <w:rFonts w:ascii="Arial" w:cs="Arial" w:eastAsia="Arial" w:hAnsi="Arial"/>
          <w:sz w:val="16"/>
          <w:szCs w:val="16"/>
          <w:color w:val="auto"/>
        </w:rPr>
        <w:t>received by him from the exercise of options or the vesting of RSUs, the proceeds of such sale are expected to be remitted to Silver Lake. Accordingly, Mr. Hao disclaims beneficial ownership of such shares, except for 18 shares held by Mr. Hao’s family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147320</wp:posOffset>
            </wp:positionV>
            <wp:extent cx="6997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STATEMENT</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Directors’ Interests in Shares or Debentures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(continued)</w:t>
      </w:r>
    </w:p>
    <w:p>
      <w:pPr>
        <w:spacing w:after="0" w:line="146" w:lineRule="exact"/>
        <w:rPr>
          <w:rFonts w:ascii="Arial" w:cs="Arial" w:eastAsia="Arial" w:hAnsi="Arial"/>
          <w:sz w:val="18"/>
          <w:szCs w:val="18"/>
          <w:color w:val="auto"/>
        </w:rPr>
      </w:pPr>
    </w:p>
    <w:p>
      <w:pPr>
        <w:jc w:val="both"/>
        <w:ind w:left="1840" w:hanging="272"/>
        <w:spacing w:after="0" w:line="230" w:lineRule="auto"/>
        <w:tabs>
          <w:tab w:leader="none" w:pos="1859" w:val="left"/>
        </w:tabs>
        <w:numPr>
          <w:ilvl w:val="3"/>
          <w:numId w:val="90"/>
        </w:numPr>
        <w:rPr>
          <w:rFonts w:ascii="Arial" w:cs="Arial" w:eastAsia="Arial" w:hAnsi="Arial"/>
          <w:sz w:val="28"/>
          <w:szCs w:val="28"/>
          <w:color w:val="auto"/>
          <w:vertAlign w:val="superscript"/>
        </w:rPr>
      </w:pPr>
      <w:r>
        <w:rPr>
          <w:rFonts w:ascii="Arial" w:cs="Arial" w:eastAsia="Arial" w:hAnsi="Arial"/>
          <w:sz w:val="16"/>
          <w:szCs w:val="16"/>
          <w:color w:val="auto"/>
        </w:rPr>
        <w:t>Also includes (x) 1,587,737 shares issued held by SLP Argo I Ltd. (“Argo I”) and (y) 30,830 shares held by SLP Argo II Ltd. (“Argo II” and together with Argo I, the “Silver Lake Entities”). The Silver Lake Entities are affiliates of Silver Lake Partners, of which Mr. Hao is a Managing Partner and Managing Director. Silver Lake Partners IV Cayman (AIV II), L.P. (or the “Main Fund”) is the sole shareholder of Argo I. Silver Lake Technology Investors IV Cayman, L.P. (or the “Side Fund”) is the sole shareholder of Argo II. Silver Lake Technology Associates IV Cayman, L.P. (or the “Lower GP”) is general partner of each of the Main Fund and the Side Fund. Silver Lake (Offshore) AIV GP IV, Ltd. (or the “Upper GP”) is the general partner of the Lower GP. Michael Bingle, James Davidson, Sahil Desai, Mark Gillett, Kenneth Hao, Yolande Jun, Karen King, Gregory Mondre, Joseph Osnoss, Andrew Schader and Andrew Wagner are directors of the Upper GP. Each of them, and each of the Main Fund, the Side Fund, the Lower GP and the Upper GP, disclaims beneficial ownership of the shares, except to the extent of their respective pecuniary interest therein. Mr. Hao disclaims beneficial ownership of any shares beneficially owned by the Silver Lake Entities, except to the extent of his pecuniary interest therein.</w:t>
      </w:r>
    </w:p>
    <w:p>
      <w:pPr>
        <w:spacing w:after="0" w:line="8" w:lineRule="exact"/>
        <w:rPr>
          <w:rFonts w:ascii="Arial" w:cs="Arial" w:eastAsia="Arial" w:hAnsi="Arial"/>
          <w:sz w:val="28"/>
          <w:szCs w:val="28"/>
          <w:color w:val="auto"/>
          <w:vertAlign w:val="superscript"/>
        </w:rPr>
      </w:pPr>
    </w:p>
    <w:p>
      <w:pPr>
        <w:ind w:left="1560" w:hanging="573"/>
        <w:spacing w:after="0"/>
        <w:tabs>
          <w:tab w:leader="none" w:pos="1560" w:val="left"/>
        </w:tabs>
        <w:numPr>
          <w:ilvl w:val="2"/>
          <w:numId w:val="90"/>
        </w:numPr>
        <w:rPr>
          <w:rFonts w:ascii="Arial" w:cs="Arial" w:eastAsia="Arial" w:hAnsi="Arial"/>
          <w:sz w:val="15"/>
          <w:szCs w:val="15"/>
          <w:color w:val="auto"/>
        </w:rPr>
      </w:pPr>
      <w:r>
        <w:rPr>
          <w:rFonts w:ascii="Arial" w:cs="Arial" w:eastAsia="Arial" w:hAnsi="Arial"/>
          <w:sz w:val="16"/>
          <w:szCs w:val="16"/>
          <w:color w:val="auto"/>
        </w:rPr>
        <w:t>Mr. Diller has the right to acquire 15,077 of these shares as of 29 October 2017 upon the exercise of share options.</w:t>
      </w:r>
    </w:p>
    <w:p>
      <w:pPr>
        <w:spacing w:after="0" w:line="5" w:lineRule="exact"/>
        <w:rPr>
          <w:rFonts w:ascii="Arial" w:cs="Arial" w:eastAsia="Arial" w:hAnsi="Arial"/>
          <w:sz w:val="15"/>
          <w:szCs w:val="15"/>
          <w:color w:val="auto"/>
        </w:rPr>
      </w:pPr>
    </w:p>
    <w:p>
      <w:pPr>
        <w:ind w:left="1520" w:hanging="546"/>
        <w:spacing w:after="0" w:line="187" w:lineRule="auto"/>
        <w:tabs>
          <w:tab w:leader="none" w:pos="1520" w:val="left"/>
        </w:tabs>
        <w:numPr>
          <w:ilvl w:val="1"/>
          <w:numId w:val="90"/>
        </w:numPr>
        <w:rPr>
          <w:rFonts w:ascii="Arial" w:cs="Arial" w:eastAsia="Arial" w:hAnsi="Arial"/>
          <w:sz w:val="21"/>
          <w:szCs w:val="21"/>
          <w:color w:val="auto"/>
          <w:vertAlign w:val="superscript"/>
        </w:rPr>
      </w:pPr>
      <w:r>
        <w:rPr>
          <w:rFonts w:ascii="Arial" w:cs="Arial" w:eastAsia="Arial" w:hAnsi="Arial"/>
          <w:sz w:val="13"/>
          <w:szCs w:val="13"/>
          <w:color w:val="auto"/>
        </w:rPr>
        <w:t>Mr. Eggebrecht has the right to acquire 5,121 of these shares as of 29 October 2017 upon the exercise of share options.</w:t>
      </w:r>
    </w:p>
    <w:p>
      <w:pPr>
        <w:jc w:val="both"/>
        <w:ind w:left="1520" w:hanging="546"/>
        <w:spacing w:after="0" w:line="207" w:lineRule="auto"/>
        <w:tabs>
          <w:tab w:leader="none" w:pos="1520" w:val="left"/>
        </w:tabs>
        <w:numPr>
          <w:ilvl w:val="1"/>
          <w:numId w:val="90"/>
        </w:numPr>
        <w:rPr>
          <w:rFonts w:ascii="Arial" w:cs="Arial" w:eastAsia="Arial" w:hAnsi="Arial"/>
          <w:sz w:val="28"/>
          <w:szCs w:val="28"/>
          <w:color w:val="auto"/>
          <w:vertAlign w:val="superscript"/>
        </w:rPr>
      </w:pPr>
      <w:r>
        <w:rPr>
          <w:rFonts w:ascii="Arial" w:cs="Arial" w:eastAsia="Arial" w:hAnsi="Arial"/>
          <w:sz w:val="16"/>
          <w:szCs w:val="16"/>
          <w:color w:val="auto"/>
        </w:rPr>
        <w:t>Includes 15,077 shares Mr. Hao has the right to acquire as of 29 October 2017 upon the exercise of share options. Pursuant to Mr. Hao’s arrangement with Silver Lake with respect to director compensation in the form of securities received by him in his capacity as a representative of Silver Lake, he is required to remit the proceeds from the sale of such securities to Silver Lake. Accordingly, Mr. Hao disclaims beneficial ownership of all but 9,854 of these shares.</w:t>
      </w:r>
    </w:p>
    <w:p>
      <w:pPr>
        <w:spacing w:after="0" w:line="2" w:lineRule="exact"/>
        <w:rPr>
          <w:rFonts w:ascii="Arial" w:cs="Arial" w:eastAsia="Arial" w:hAnsi="Arial"/>
          <w:sz w:val="28"/>
          <w:szCs w:val="28"/>
          <w:color w:val="auto"/>
          <w:vertAlign w:val="superscript"/>
        </w:rPr>
      </w:pPr>
    </w:p>
    <w:p>
      <w:pPr>
        <w:ind w:left="1520" w:hanging="546"/>
        <w:spacing w:after="0" w:line="187" w:lineRule="auto"/>
        <w:tabs>
          <w:tab w:leader="none" w:pos="1520" w:val="left"/>
        </w:tabs>
        <w:numPr>
          <w:ilvl w:val="1"/>
          <w:numId w:val="90"/>
        </w:numPr>
        <w:rPr>
          <w:rFonts w:ascii="Arial" w:cs="Arial" w:eastAsia="Arial" w:hAnsi="Arial"/>
          <w:sz w:val="21"/>
          <w:szCs w:val="21"/>
          <w:color w:val="auto"/>
          <w:vertAlign w:val="superscript"/>
        </w:rPr>
      </w:pPr>
      <w:r>
        <w:rPr>
          <w:rFonts w:ascii="Arial" w:cs="Arial" w:eastAsia="Arial" w:hAnsi="Arial"/>
          <w:sz w:val="13"/>
          <w:szCs w:val="13"/>
          <w:color w:val="auto"/>
        </w:rPr>
        <w:t>Mr. Low has the right to acquire 388 of these shares upon the vesting of RSUs within 60 days after 29 October 2017.</w:t>
      </w:r>
    </w:p>
    <w:p>
      <w:pPr>
        <w:ind w:left="1520" w:hanging="546"/>
        <w:spacing w:after="0" w:line="187" w:lineRule="auto"/>
        <w:tabs>
          <w:tab w:leader="none" w:pos="1520" w:val="left"/>
        </w:tabs>
        <w:numPr>
          <w:ilvl w:val="1"/>
          <w:numId w:val="90"/>
        </w:numPr>
        <w:rPr>
          <w:rFonts w:ascii="Arial" w:cs="Arial" w:eastAsia="Arial" w:hAnsi="Arial"/>
          <w:sz w:val="21"/>
          <w:szCs w:val="21"/>
          <w:color w:val="auto"/>
          <w:vertAlign w:val="superscript"/>
        </w:rPr>
      </w:pPr>
      <w:r>
        <w:rPr>
          <w:rFonts w:ascii="Arial" w:cs="Arial" w:eastAsia="Arial" w:hAnsi="Arial"/>
          <w:sz w:val="13"/>
          <w:szCs w:val="13"/>
          <w:color w:val="auto"/>
        </w:rPr>
        <w:t>Mr. Macleod has the right to acquire 5,223 of these shares as of 29 October 2017 upon the exercise of share options.</w:t>
      </w:r>
    </w:p>
    <w:p>
      <w:pPr>
        <w:ind w:left="1520" w:hanging="546"/>
        <w:spacing w:after="0" w:line="182" w:lineRule="auto"/>
        <w:tabs>
          <w:tab w:leader="none" w:pos="1520" w:val="left"/>
        </w:tabs>
        <w:numPr>
          <w:ilvl w:val="1"/>
          <w:numId w:val="90"/>
        </w:numPr>
        <w:rPr>
          <w:rFonts w:ascii="Arial" w:cs="Arial" w:eastAsia="Arial" w:hAnsi="Arial"/>
          <w:sz w:val="21"/>
          <w:szCs w:val="21"/>
          <w:color w:val="auto"/>
          <w:vertAlign w:val="superscript"/>
        </w:rPr>
      </w:pPr>
      <w:r>
        <w:rPr>
          <w:rFonts w:ascii="Arial" w:cs="Arial" w:eastAsia="Arial" w:hAnsi="Arial"/>
          <w:sz w:val="13"/>
          <w:szCs w:val="13"/>
          <w:color w:val="auto"/>
        </w:rPr>
        <w:t>Mr. Marks has the right to acquire 23,474 of these shares as of 29 October 2017 upon the exercise of share options.</w:t>
      </w:r>
    </w:p>
    <w:p>
      <w:pPr>
        <w:ind w:left="980"/>
        <w:spacing w:after="0"/>
        <w:tabs>
          <w:tab w:leader="none" w:pos="1540" w:val="left"/>
          <w:tab w:leader="none" w:pos="1820" w:val="left"/>
        </w:tabs>
        <w:rPr>
          <w:sz w:val="20"/>
          <w:szCs w:val="20"/>
          <w:color w:val="auto"/>
        </w:rPr>
      </w:pPr>
      <w:r>
        <w:rPr>
          <w:rFonts w:ascii="Arial" w:cs="Arial" w:eastAsia="Arial" w:hAnsi="Arial"/>
          <w:sz w:val="13"/>
          <w:szCs w:val="13"/>
          <w:color w:val="auto"/>
        </w:rPr>
        <w:t>(10)</w:t>
      </w:r>
      <w:r>
        <w:rPr>
          <w:sz w:val="20"/>
          <w:szCs w:val="20"/>
          <w:color w:val="auto"/>
        </w:rPr>
        <w:tab/>
      </w:r>
      <w:r>
        <w:rPr>
          <w:rFonts w:ascii="Arial" w:cs="Arial" w:eastAsia="Arial" w:hAnsi="Arial"/>
          <w:sz w:val="21"/>
          <w:szCs w:val="21"/>
          <w:color w:val="auto"/>
          <w:vertAlign w:val="superscript"/>
        </w:rPr>
        <w:t>(i)</w:t>
      </w:r>
      <w:r>
        <w:rPr>
          <w:sz w:val="20"/>
          <w:szCs w:val="20"/>
          <w:color w:val="auto"/>
        </w:rPr>
        <w:tab/>
      </w:r>
      <w:r>
        <w:rPr>
          <w:rFonts w:ascii="Arial" w:cs="Arial" w:eastAsia="Arial" w:hAnsi="Arial"/>
          <w:sz w:val="16"/>
          <w:szCs w:val="16"/>
          <w:color w:val="auto"/>
        </w:rPr>
        <w:t>Dr. Samueli has the right to acquire 16,582 of these shares upon the vesting of RSUs within 60 days after 29 October 2017.</w:t>
      </w:r>
    </w:p>
    <w:p>
      <w:pPr>
        <w:spacing w:after="0" w:line="6" w:lineRule="exact"/>
        <w:rPr>
          <w:sz w:val="20"/>
          <w:szCs w:val="20"/>
          <w:color w:val="auto"/>
        </w:rPr>
      </w:pPr>
    </w:p>
    <w:p>
      <w:pPr>
        <w:jc w:val="both"/>
        <w:ind w:left="1820" w:hanging="266"/>
        <w:spacing w:after="0"/>
        <w:tabs>
          <w:tab w:leader="none" w:pos="1826" w:val="left"/>
        </w:tabs>
        <w:numPr>
          <w:ilvl w:val="0"/>
          <w:numId w:val="91"/>
        </w:numPr>
        <w:rPr>
          <w:rFonts w:ascii="Arial" w:cs="Arial" w:eastAsia="Arial" w:hAnsi="Arial"/>
          <w:sz w:val="28"/>
          <w:szCs w:val="28"/>
          <w:color w:val="auto"/>
          <w:vertAlign w:val="superscript"/>
        </w:rPr>
      </w:pPr>
      <w:r>
        <w:rPr>
          <w:rFonts w:ascii="Arial" w:cs="Arial" w:eastAsia="Arial" w:hAnsi="Arial"/>
          <w:sz w:val="16"/>
          <w:szCs w:val="16"/>
          <w:color w:val="auto"/>
        </w:rPr>
        <w:t>Also includes (a) 5,752,978 shares that may be issued upon exchange of restricted exchangeable partnership units in Broadcom Cayman L.P., a subsidiary of the Company (“REUs”), held by HS Portfolio L.P., (b) 399,918 shares that may be issued upon exchange of REUs held by HS Management L.P., (c) 459,690 shares that may be issued upon exchange of REUs held by H&amp;S Portfolio II L.P., (d) 2,722,869 shares that may be issued upon exchange of REUs held by H&amp;S Investments I L.P., (e) 62,010 shares that may be issued upon exchange of REUs held by HS REU LLC, of which 21,951.54 shares and 40,058.46 shares are beneficially owned by H&amp;S Investments I L.P. and the Henry Samueli 2016 GRAT, respectively, through their ownership of membership interests in HS REU LLC, (f) 62,010 shares that may be issued upon exchange of REUs held by SFS REU LLC, of which 21,951.54 shares and 40,058.46 shares are beneficially owned by H&amp;S Investments I L.P. and the Susan Faye Samueli 2016 GRAT, respectively, through their ownership of membership interests in SFS REU LLC, (g) 1,860 shares that may be issued upon exchange of REUs held by H&amp;S Ventures LLC and (h) 53,649 shares that may be issued upon exchange of REUs held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166370</wp:posOffset>
            </wp:positionV>
            <wp:extent cx="6997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STATEMENT</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Directors’ Interests in Shares or Debentures </w:t>
      </w:r>
      <w:r>
        <w:rPr>
          <w:rFonts w:ascii="Arial" w:cs="Arial" w:eastAsia="Arial" w:hAnsi="Arial"/>
          <w:sz w:val="20"/>
          <w:szCs w:val="20"/>
          <w:color w:val="auto"/>
        </w:rPr>
        <w:t>(continued)</w:t>
      </w:r>
    </w:p>
    <w:p>
      <w:pPr>
        <w:spacing w:after="0" w:line="161" w:lineRule="exact"/>
        <w:rPr>
          <w:sz w:val="20"/>
          <w:szCs w:val="20"/>
          <w:color w:val="auto"/>
        </w:rPr>
      </w:pPr>
    </w:p>
    <w:p>
      <w:pPr>
        <w:ind w:left="980" w:hanging="776"/>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(continued)</w:t>
      </w:r>
    </w:p>
    <w:p>
      <w:pPr>
        <w:spacing w:after="0" w:line="146" w:lineRule="exact"/>
        <w:rPr>
          <w:rFonts w:ascii="Arial" w:cs="Arial" w:eastAsia="Arial" w:hAnsi="Arial"/>
          <w:sz w:val="18"/>
          <w:szCs w:val="18"/>
          <w:color w:val="auto"/>
        </w:rPr>
      </w:pPr>
    </w:p>
    <w:p>
      <w:pPr>
        <w:ind w:left="1520" w:right="20" w:hanging="546"/>
        <w:spacing w:after="0" w:line="182" w:lineRule="auto"/>
        <w:tabs>
          <w:tab w:leader="none" w:pos="1520" w:val="left"/>
        </w:tabs>
        <w:numPr>
          <w:ilvl w:val="1"/>
          <w:numId w:val="92"/>
        </w:numPr>
        <w:rPr>
          <w:rFonts w:ascii="Arial" w:cs="Arial" w:eastAsia="Arial" w:hAnsi="Arial"/>
          <w:sz w:val="28"/>
          <w:szCs w:val="28"/>
          <w:color w:val="auto"/>
          <w:vertAlign w:val="superscript"/>
        </w:rPr>
      </w:pPr>
      <w:r>
        <w:rPr>
          <w:rFonts w:ascii="Arial" w:cs="Arial" w:eastAsia="Arial" w:hAnsi="Arial"/>
          <w:sz w:val="16"/>
          <w:szCs w:val="16"/>
          <w:color w:val="auto"/>
        </w:rPr>
        <w:t>Mr. Tan has the right to acquire 2,271,666 of these shares as of 29 October 2017 upon the exercise of share options and 1,503 of these shares upon the vesting of RSUs within 60 days after 29 October 2017.</w:t>
      </w:r>
    </w:p>
    <w:p>
      <w:pPr>
        <w:spacing w:after="0" w:line="194" w:lineRule="exact"/>
        <w:rPr>
          <w:rFonts w:ascii="Arial" w:cs="Arial" w:eastAsia="Arial" w:hAnsi="Arial"/>
          <w:sz w:val="28"/>
          <w:szCs w:val="28"/>
          <w:color w:val="auto"/>
          <w:vertAlign w:val="superscript"/>
        </w:rPr>
      </w:pPr>
    </w:p>
    <w:p>
      <w:pPr>
        <w:jc w:val="both"/>
        <w:ind w:left="980" w:right="20" w:hanging="776"/>
        <w:spacing w:after="0" w:line="238"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According to the register of directors’ shareholdings, directors holding office at the end of the financial year had interests in options and RSUs to subscribe for ordinary shares of the Company (as set forth under “Directors’ Interests in Shares or Debentures” in (a) above) granted pursuant to the Avago Technologies Limited 2009 Equity Incentive Plan (the “2009 Plan”) or the Broadcom Corporation (“BRCM”) 2012 Stock Incentive Plan (the “2012 Plan”), as set out below under the caption “Equity Awards”. Unless otherwise noted, options and RSUs were granted under the 2009 Plan.</w:t>
      </w:r>
    </w:p>
    <w:p>
      <w:pPr>
        <w:spacing w:after="0" w:line="202" w:lineRule="exact"/>
        <w:rPr>
          <w:rFonts w:ascii="Arial" w:cs="Arial" w:eastAsia="Arial" w:hAnsi="Arial"/>
          <w:sz w:val="18"/>
          <w:szCs w:val="18"/>
          <w:color w:val="auto"/>
        </w:rPr>
      </w:pPr>
    </w:p>
    <w:p>
      <w:pPr>
        <w:ind w:left="980" w:right="20"/>
        <w:spacing w:after="0" w:line="246" w:lineRule="auto"/>
        <w:rPr>
          <w:rFonts w:ascii="Arial" w:cs="Arial" w:eastAsia="Arial" w:hAnsi="Arial"/>
          <w:sz w:val="18"/>
          <w:szCs w:val="18"/>
          <w:color w:val="auto"/>
        </w:rPr>
      </w:pPr>
      <w:r>
        <w:rPr>
          <w:rFonts w:ascii="Arial" w:cs="Arial" w:eastAsia="Arial" w:hAnsi="Arial"/>
          <w:sz w:val="18"/>
          <w:szCs w:val="18"/>
          <w:color w:val="auto"/>
        </w:rPr>
        <w:t>The following table shows for the financial year ended 29 October 2017, certain information regarding options and RSUs granted to, and held at the end of the financial year by the Company’s directors.</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Individual Grant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27"/>
        </w:trPr>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0" w:type="dxa"/>
            <w:vAlign w:val="bottom"/>
            <w:gridSpan w:val="2"/>
          </w:tcPr>
          <w:p>
            <w:pPr>
              <w:jc w:val="center"/>
              <w:ind w:right="760"/>
              <w:spacing w:after="0"/>
              <w:rPr>
                <w:sz w:val="20"/>
                <w:szCs w:val="20"/>
                <w:color w:val="auto"/>
              </w:rPr>
            </w:pPr>
            <w:r>
              <w:rPr>
                <w:rFonts w:ascii="Arial" w:cs="Arial" w:eastAsia="Arial" w:hAnsi="Arial"/>
                <w:sz w:val="16"/>
                <w:szCs w:val="16"/>
                <w:b w:val="1"/>
                <w:bCs w:val="1"/>
                <w:color w:val="auto"/>
                <w:w w:val="99"/>
              </w:rPr>
              <w:t>Number of</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9"/>
        </w:trPr>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0" w:type="dxa"/>
            <w:vAlign w:val="bottom"/>
            <w:gridSpan w:val="2"/>
          </w:tcPr>
          <w:p>
            <w:pPr>
              <w:jc w:val="center"/>
              <w:ind w:right="760"/>
              <w:spacing w:after="0"/>
              <w:rPr>
                <w:sz w:val="20"/>
                <w:szCs w:val="20"/>
                <w:color w:val="auto"/>
              </w:rPr>
            </w:pPr>
            <w:r>
              <w:rPr>
                <w:rFonts w:ascii="Arial" w:cs="Arial" w:eastAsia="Arial" w:hAnsi="Arial"/>
                <w:sz w:val="16"/>
                <w:szCs w:val="16"/>
                <w:b w:val="1"/>
                <w:bCs w:val="1"/>
                <w:color w:val="auto"/>
                <w:w w:val="99"/>
              </w:rPr>
              <w:t>remaining</w:t>
            </w:r>
          </w:p>
        </w:tc>
        <w:tc>
          <w:tcPr>
            <w:tcW w:w="320" w:type="dxa"/>
            <w:vAlign w:val="bottom"/>
          </w:tcPr>
          <w:p>
            <w:pPr>
              <w:spacing w:after="0"/>
              <w:rPr>
                <w:sz w:val="16"/>
                <w:szCs w:val="16"/>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9"/>
              </w:rPr>
              <w:t>% of Total</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89"/>
        </w:trPr>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640" w:type="dxa"/>
            <w:vAlign w:val="bottom"/>
            <w:gridSpan w:val="3"/>
          </w:tcPr>
          <w:p>
            <w:pPr>
              <w:jc w:val="center"/>
              <w:ind w:left="10"/>
              <w:spacing w:after="0"/>
              <w:rPr>
                <w:sz w:val="20"/>
                <w:szCs w:val="20"/>
                <w:color w:val="auto"/>
              </w:rPr>
            </w:pPr>
            <w:r>
              <w:rPr>
                <w:rFonts w:ascii="Arial" w:cs="Arial" w:eastAsia="Arial" w:hAnsi="Arial"/>
                <w:sz w:val="16"/>
                <w:szCs w:val="16"/>
                <w:b w:val="1"/>
                <w:bCs w:val="1"/>
                <w:color w:val="auto"/>
              </w:rPr>
              <w:t>securities underlying</w:t>
            </w:r>
          </w:p>
        </w:tc>
        <w:tc>
          <w:tcPr>
            <w:tcW w:w="176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equity awards</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89"/>
        </w:trPr>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640" w:type="dxa"/>
            <w:vAlign w:val="bottom"/>
            <w:gridSpan w:val="3"/>
          </w:tcPr>
          <w:p>
            <w:pPr>
              <w:jc w:val="center"/>
              <w:ind w:left="10"/>
              <w:spacing w:after="0"/>
              <w:rPr>
                <w:sz w:val="20"/>
                <w:szCs w:val="20"/>
                <w:color w:val="auto"/>
              </w:rPr>
            </w:pPr>
            <w:r>
              <w:rPr>
                <w:rFonts w:ascii="Arial" w:cs="Arial" w:eastAsia="Arial" w:hAnsi="Arial"/>
                <w:sz w:val="16"/>
                <w:szCs w:val="16"/>
                <w:b w:val="1"/>
                <w:bCs w:val="1"/>
                <w:color w:val="auto"/>
              </w:rPr>
              <w:t>Options outstanding</w:t>
            </w:r>
          </w:p>
        </w:tc>
        <w:tc>
          <w:tcPr>
            <w:tcW w:w="320" w:type="dxa"/>
            <w:vAlign w:val="bottom"/>
          </w:tcPr>
          <w:p>
            <w:pPr>
              <w:spacing w:after="0"/>
              <w:rPr>
                <w:sz w:val="16"/>
                <w:szCs w:val="16"/>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outstanding</w:t>
            </w:r>
          </w:p>
        </w:tc>
        <w:tc>
          <w:tcPr>
            <w:tcW w:w="14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Exercise or</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89"/>
        </w:trPr>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auto"/>
              </w:rPr>
              <w:t>as at end of</w:t>
            </w:r>
          </w:p>
        </w:tc>
        <w:tc>
          <w:tcPr>
            <w:tcW w:w="320" w:type="dxa"/>
            <w:vAlign w:val="bottom"/>
          </w:tcPr>
          <w:p>
            <w:pPr>
              <w:spacing w:after="0"/>
              <w:rPr>
                <w:sz w:val="16"/>
                <w:szCs w:val="16"/>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as of end of</w:t>
            </w:r>
          </w:p>
        </w:tc>
        <w:tc>
          <w:tcPr>
            <w:tcW w:w="14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base price</w:t>
            </w:r>
          </w:p>
        </w:tc>
        <w:tc>
          <w:tcPr>
            <w:tcW w:w="12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Expiration</w:t>
            </w:r>
          </w:p>
        </w:tc>
      </w:tr>
      <w:tr>
        <w:trPr>
          <w:trHeight w:val="207"/>
        </w:trPr>
        <w:tc>
          <w:tcPr>
            <w:tcW w:w="3940" w:type="dxa"/>
            <w:vAlign w:val="bottom"/>
            <w:gridSpan w:val="3"/>
          </w:tcPr>
          <w:p>
            <w:pPr>
              <w:ind w:left="760"/>
              <w:spacing w:after="0"/>
              <w:rPr>
                <w:sz w:val="20"/>
                <w:szCs w:val="20"/>
                <w:color w:val="auto"/>
              </w:rPr>
            </w:pPr>
            <w:r>
              <w:rPr>
                <w:rFonts w:ascii="Arial" w:cs="Arial" w:eastAsia="Arial" w:hAnsi="Arial"/>
                <w:sz w:val="16"/>
                <w:szCs w:val="16"/>
                <w:b w:val="1"/>
                <w:bCs w:val="1"/>
                <w:color w:val="auto"/>
              </w:rPr>
              <w:t>Name</w:t>
            </w:r>
          </w:p>
        </w:tc>
        <w:tc>
          <w:tcPr>
            <w:tcW w:w="2640" w:type="dxa"/>
            <w:vAlign w:val="bottom"/>
            <w:gridSpan w:val="3"/>
          </w:tcPr>
          <w:p>
            <w:pPr>
              <w:jc w:val="center"/>
              <w:ind w:left="10"/>
              <w:spacing w:after="0"/>
              <w:rPr>
                <w:sz w:val="20"/>
                <w:szCs w:val="20"/>
                <w:color w:val="auto"/>
              </w:rPr>
            </w:pPr>
            <w:r>
              <w:rPr>
                <w:rFonts w:ascii="Arial" w:cs="Arial" w:eastAsia="Arial" w:hAnsi="Arial"/>
                <w:sz w:val="16"/>
                <w:szCs w:val="16"/>
                <w:b w:val="1"/>
                <w:bCs w:val="1"/>
                <w:color w:val="auto"/>
              </w:rPr>
              <w:t>financial year</w:t>
            </w:r>
          </w:p>
        </w:tc>
        <w:tc>
          <w:tcPr>
            <w:tcW w:w="176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financial year</w:t>
            </w:r>
          </w:p>
        </w:tc>
        <w:tc>
          <w:tcPr>
            <w:tcW w:w="1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per share</w:t>
            </w:r>
          </w:p>
        </w:tc>
        <w:tc>
          <w:tcPr>
            <w:tcW w:w="12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date</w:t>
            </w:r>
          </w:p>
        </w:tc>
      </w:tr>
      <w:tr>
        <w:trPr>
          <w:trHeight w:val="208"/>
        </w:trPr>
        <w:tc>
          <w:tcPr>
            <w:tcW w:w="7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US$</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r>
      <w:tr>
        <w:trPr>
          <w:trHeight w:val="136"/>
        </w:trPr>
        <w:tc>
          <w:tcPr>
            <w:tcW w:w="1200" w:type="dxa"/>
            <w:vAlign w:val="bottom"/>
            <w:gridSpan w:val="2"/>
          </w:tcPr>
          <w:p>
            <w:pPr>
              <w:spacing w:after="0"/>
              <w:rPr>
                <w:sz w:val="11"/>
                <w:szCs w:val="11"/>
                <w:color w:val="auto"/>
              </w:rPr>
            </w:pPr>
          </w:p>
        </w:tc>
        <w:tc>
          <w:tcPr>
            <w:tcW w:w="2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86"/>
        </w:trPr>
        <w:tc>
          <w:tcPr>
            <w:tcW w:w="780" w:type="dxa"/>
            <w:vAlign w:val="bottom"/>
          </w:tcPr>
          <w:p>
            <w:pPr>
              <w:spacing w:after="0"/>
              <w:rPr>
                <w:sz w:val="16"/>
                <w:szCs w:val="16"/>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James V. Diller</w:t>
            </w:r>
          </w:p>
        </w:tc>
        <w:tc>
          <w:tcPr>
            <w:tcW w:w="2640" w:type="dxa"/>
            <w:vAlign w:val="bottom"/>
            <w:gridSpan w:val="3"/>
            <w:shd w:val="clear" w:color="auto" w:fill="CCEEFF"/>
          </w:tcPr>
          <w:p>
            <w:pPr>
              <w:jc w:val="right"/>
              <w:ind w:right="300"/>
              <w:spacing w:after="0" w:line="186" w:lineRule="exact"/>
              <w:rPr>
                <w:sz w:val="20"/>
                <w:szCs w:val="20"/>
                <w:color w:val="auto"/>
              </w:rPr>
            </w:pPr>
            <w:r>
              <w:rPr>
                <w:rFonts w:ascii="Arial" w:cs="Arial" w:eastAsia="Arial" w:hAnsi="Arial"/>
                <w:sz w:val="13"/>
                <w:szCs w:val="13"/>
                <w:color w:val="auto"/>
              </w:rPr>
              <w:t>9,854</w:t>
            </w:r>
            <w:r>
              <w:rPr>
                <w:rFonts w:ascii="Arial" w:cs="Arial" w:eastAsia="Arial" w:hAnsi="Arial"/>
                <w:sz w:val="21"/>
                <w:szCs w:val="21"/>
                <w:color w:val="auto"/>
                <w:vertAlign w:val="superscript"/>
              </w:rPr>
              <w:t>(1)</w:t>
            </w:r>
          </w:p>
        </w:tc>
        <w:tc>
          <w:tcPr>
            <w:tcW w:w="176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0.03</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35.38</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04/09/2018</w:t>
            </w:r>
          </w:p>
        </w:tc>
      </w:tr>
      <w:tr>
        <w:trPr>
          <w:trHeight w:val="192"/>
        </w:trPr>
        <w:tc>
          <w:tcPr>
            <w:tcW w:w="78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640" w:type="dxa"/>
            <w:vAlign w:val="bottom"/>
            <w:gridSpan w:val="3"/>
            <w:shd w:val="clear" w:color="auto" w:fill="CCEEFF"/>
          </w:tcPr>
          <w:p>
            <w:pPr>
              <w:jc w:val="right"/>
              <w:ind w:right="300"/>
              <w:spacing w:after="0" w:line="192" w:lineRule="exact"/>
              <w:rPr>
                <w:sz w:val="20"/>
                <w:szCs w:val="20"/>
                <w:color w:val="auto"/>
              </w:rPr>
            </w:pPr>
            <w:r>
              <w:rPr>
                <w:rFonts w:ascii="Arial" w:cs="Arial" w:eastAsia="Arial" w:hAnsi="Arial"/>
                <w:sz w:val="14"/>
                <w:szCs w:val="14"/>
                <w:color w:val="auto"/>
              </w:rPr>
              <w:t>5,223</w:t>
            </w:r>
            <w:r>
              <w:rPr>
                <w:rFonts w:ascii="Arial" w:cs="Arial" w:eastAsia="Arial" w:hAnsi="Arial"/>
                <w:sz w:val="22"/>
                <w:szCs w:val="22"/>
                <w:color w:val="auto"/>
                <w:vertAlign w:val="superscript"/>
              </w:rPr>
              <w:t>(1)</w:t>
            </w:r>
          </w:p>
        </w:tc>
        <w:tc>
          <w:tcPr>
            <w:tcW w:w="176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0.02</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62.47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04/08/2019</w:t>
            </w:r>
          </w:p>
        </w:tc>
      </w:tr>
      <w:tr>
        <w:trPr>
          <w:trHeight w:val="189"/>
        </w:trPr>
        <w:tc>
          <w:tcPr>
            <w:tcW w:w="3940" w:type="dxa"/>
            <w:vAlign w:val="bottom"/>
            <w:gridSpan w:val="3"/>
          </w:tcPr>
          <w:p>
            <w:pPr>
              <w:ind w:left="760"/>
              <w:spacing w:after="0"/>
              <w:rPr>
                <w:sz w:val="20"/>
                <w:szCs w:val="20"/>
                <w:color w:val="auto"/>
              </w:rPr>
            </w:pPr>
            <w:r>
              <w:rPr>
                <w:rFonts w:ascii="Arial" w:cs="Arial" w:eastAsia="Arial" w:hAnsi="Arial"/>
                <w:sz w:val="16"/>
                <w:szCs w:val="16"/>
                <w:color w:val="auto"/>
              </w:rPr>
              <w:t>Lewis C. Eggebrecht</w:t>
            </w:r>
          </w:p>
        </w:tc>
        <w:tc>
          <w:tcPr>
            <w:tcW w:w="2640" w:type="dxa"/>
            <w:vAlign w:val="bottom"/>
            <w:gridSpan w:val="3"/>
          </w:tcPr>
          <w:p>
            <w:pPr>
              <w:jc w:val="right"/>
              <w:ind w:right="300"/>
              <w:spacing w:after="0" w:line="189" w:lineRule="exact"/>
              <w:rPr>
                <w:sz w:val="20"/>
                <w:szCs w:val="20"/>
                <w:color w:val="auto"/>
              </w:rPr>
            </w:pPr>
            <w:r>
              <w:rPr>
                <w:rFonts w:ascii="Arial" w:cs="Arial" w:eastAsia="Arial" w:hAnsi="Arial"/>
                <w:sz w:val="13"/>
                <w:szCs w:val="13"/>
                <w:color w:val="auto"/>
              </w:rPr>
              <w:t>5,121</w:t>
            </w:r>
            <w:r>
              <w:rPr>
                <w:rFonts w:ascii="Arial" w:cs="Arial" w:eastAsia="Arial" w:hAnsi="Arial"/>
                <w:sz w:val="21"/>
                <w:szCs w:val="21"/>
                <w:color w:val="auto"/>
                <w:vertAlign w:val="superscript"/>
              </w:rPr>
              <w:t>(1)</w:t>
            </w:r>
          </w:p>
        </w:tc>
        <w:tc>
          <w:tcPr>
            <w:tcW w:w="1760" w:type="dxa"/>
            <w:vAlign w:val="bottom"/>
            <w:gridSpan w:val="4"/>
          </w:tcPr>
          <w:p>
            <w:pPr>
              <w:jc w:val="right"/>
              <w:ind w:right="380"/>
              <w:spacing w:after="0"/>
              <w:rPr>
                <w:sz w:val="20"/>
                <w:szCs w:val="20"/>
                <w:color w:val="auto"/>
              </w:rPr>
            </w:pPr>
            <w:r>
              <w:rPr>
                <w:rFonts w:ascii="Arial" w:cs="Arial" w:eastAsia="Arial" w:hAnsi="Arial"/>
                <w:sz w:val="16"/>
                <w:szCs w:val="16"/>
                <w:color w:val="auto"/>
              </w:rPr>
              <w:t>0.02</w:t>
            </w:r>
          </w:p>
        </w:tc>
        <w:tc>
          <w:tcPr>
            <w:tcW w:w="1440" w:type="dxa"/>
            <w:vAlign w:val="bottom"/>
            <w:gridSpan w:val="3"/>
          </w:tcPr>
          <w:p>
            <w:pPr>
              <w:jc w:val="right"/>
              <w:ind w:right="320"/>
              <w:spacing w:after="0"/>
              <w:rPr>
                <w:sz w:val="20"/>
                <w:szCs w:val="20"/>
                <w:color w:val="auto"/>
              </w:rPr>
            </w:pPr>
            <w:r>
              <w:rPr>
                <w:rFonts w:ascii="Arial" w:cs="Arial" w:eastAsia="Arial" w:hAnsi="Arial"/>
                <w:sz w:val="16"/>
                <w:szCs w:val="16"/>
                <w:color w:val="auto"/>
              </w:rPr>
              <w:t>62.47</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04/08/2019</w:t>
            </w:r>
          </w:p>
        </w:tc>
      </w:tr>
      <w:tr>
        <w:trPr>
          <w:trHeight w:val="186"/>
        </w:trPr>
        <w:tc>
          <w:tcPr>
            <w:tcW w:w="780" w:type="dxa"/>
            <w:vAlign w:val="bottom"/>
          </w:tcPr>
          <w:p>
            <w:pPr>
              <w:spacing w:after="0"/>
              <w:rPr>
                <w:sz w:val="16"/>
                <w:szCs w:val="16"/>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Kenneth Y. Hao</w:t>
            </w:r>
          </w:p>
        </w:tc>
        <w:tc>
          <w:tcPr>
            <w:tcW w:w="2640" w:type="dxa"/>
            <w:vAlign w:val="bottom"/>
            <w:gridSpan w:val="3"/>
            <w:shd w:val="clear" w:color="auto" w:fill="CCEEFF"/>
          </w:tcPr>
          <w:p>
            <w:pPr>
              <w:jc w:val="right"/>
              <w:ind w:right="300"/>
              <w:spacing w:after="0" w:line="186" w:lineRule="exact"/>
              <w:rPr>
                <w:sz w:val="20"/>
                <w:szCs w:val="20"/>
                <w:color w:val="auto"/>
              </w:rPr>
            </w:pPr>
            <w:r>
              <w:rPr>
                <w:rFonts w:ascii="Arial" w:cs="Arial" w:eastAsia="Arial" w:hAnsi="Arial"/>
                <w:sz w:val="13"/>
                <w:szCs w:val="13"/>
                <w:color w:val="auto"/>
              </w:rPr>
              <w:t>9,854</w:t>
            </w:r>
            <w:r>
              <w:rPr>
                <w:rFonts w:ascii="Arial" w:cs="Arial" w:eastAsia="Arial" w:hAnsi="Arial"/>
                <w:sz w:val="21"/>
                <w:szCs w:val="21"/>
                <w:color w:val="auto"/>
                <w:vertAlign w:val="superscript"/>
              </w:rPr>
              <w:t>(1)</w:t>
            </w:r>
          </w:p>
        </w:tc>
        <w:tc>
          <w:tcPr>
            <w:tcW w:w="176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0.03</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35.38</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04/09/2018</w:t>
            </w:r>
          </w:p>
        </w:tc>
      </w:tr>
      <w:tr>
        <w:trPr>
          <w:trHeight w:val="192"/>
        </w:trPr>
        <w:tc>
          <w:tcPr>
            <w:tcW w:w="78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640" w:type="dxa"/>
            <w:vAlign w:val="bottom"/>
            <w:gridSpan w:val="3"/>
            <w:shd w:val="clear" w:color="auto" w:fill="CCEEFF"/>
          </w:tcPr>
          <w:p>
            <w:pPr>
              <w:jc w:val="right"/>
              <w:ind w:right="300"/>
              <w:spacing w:after="0" w:line="192" w:lineRule="exact"/>
              <w:rPr>
                <w:sz w:val="20"/>
                <w:szCs w:val="20"/>
                <w:color w:val="auto"/>
              </w:rPr>
            </w:pPr>
            <w:r>
              <w:rPr>
                <w:rFonts w:ascii="Arial" w:cs="Arial" w:eastAsia="Arial" w:hAnsi="Arial"/>
                <w:sz w:val="14"/>
                <w:szCs w:val="14"/>
                <w:color w:val="auto"/>
              </w:rPr>
              <w:t>5,223</w:t>
            </w:r>
            <w:r>
              <w:rPr>
                <w:rFonts w:ascii="Arial" w:cs="Arial" w:eastAsia="Arial" w:hAnsi="Arial"/>
                <w:sz w:val="22"/>
                <w:szCs w:val="22"/>
                <w:color w:val="auto"/>
                <w:vertAlign w:val="superscript"/>
              </w:rPr>
              <w:t>(1)</w:t>
            </w:r>
          </w:p>
        </w:tc>
        <w:tc>
          <w:tcPr>
            <w:tcW w:w="176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0.02</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62.47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04/08/2019</w:t>
            </w:r>
          </w:p>
        </w:tc>
      </w:tr>
      <w:tr>
        <w:trPr>
          <w:trHeight w:val="189"/>
        </w:trPr>
        <w:tc>
          <w:tcPr>
            <w:tcW w:w="3940" w:type="dxa"/>
            <w:vAlign w:val="bottom"/>
            <w:gridSpan w:val="3"/>
          </w:tcPr>
          <w:p>
            <w:pPr>
              <w:ind w:left="760"/>
              <w:spacing w:after="0"/>
              <w:rPr>
                <w:sz w:val="20"/>
                <w:szCs w:val="20"/>
                <w:color w:val="auto"/>
              </w:rPr>
            </w:pPr>
            <w:r>
              <w:rPr>
                <w:rFonts w:ascii="Arial" w:cs="Arial" w:eastAsia="Arial" w:hAnsi="Arial"/>
                <w:sz w:val="16"/>
                <w:szCs w:val="16"/>
                <w:color w:val="auto"/>
              </w:rPr>
              <w:t>Donald Macleod</w:t>
            </w:r>
          </w:p>
        </w:tc>
        <w:tc>
          <w:tcPr>
            <w:tcW w:w="2640" w:type="dxa"/>
            <w:vAlign w:val="bottom"/>
            <w:gridSpan w:val="3"/>
          </w:tcPr>
          <w:p>
            <w:pPr>
              <w:jc w:val="right"/>
              <w:ind w:right="300"/>
              <w:spacing w:after="0" w:line="189" w:lineRule="exact"/>
              <w:rPr>
                <w:sz w:val="20"/>
                <w:szCs w:val="20"/>
                <w:color w:val="auto"/>
              </w:rPr>
            </w:pPr>
            <w:r>
              <w:rPr>
                <w:rFonts w:ascii="Arial" w:cs="Arial" w:eastAsia="Arial" w:hAnsi="Arial"/>
                <w:sz w:val="13"/>
                <w:szCs w:val="13"/>
                <w:color w:val="auto"/>
              </w:rPr>
              <w:t>5,223</w:t>
            </w:r>
            <w:r>
              <w:rPr>
                <w:rFonts w:ascii="Arial" w:cs="Arial" w:eastAsia="Arial" w:hAnsi="Arial"/>
                <w:sz w:val="21"/>
                <w:szCs w:val="21"/>
                <w:color w:val="auto"/>
                <w:vertAlign w:val="superscript"/>
              </w:rPr>
              <w:t>(1)</w:t>
            </w:r>
          </w:p>
        </w:tc>
        <w:tc>
          <w:tcPr>
            <w:tcW w:w="1760" w:type="dxa"/>
            <w:vAlign w:val="bottom"/>
            <w:gridSpan w:val="4"/>
          </w:tcPr>
          <w:p>
            <w:pPr>
              <w:jc w:val="right"/>
              <w:ind w:right="380"/>
              <w:spacing w:after="0"/>
              <w:rPr>
                <w:sz w:val="20"/>
                <w:szCs w:val="20"/>
                <w:color w:val="auto"/>
              </w:rPr>
            </w:pPr>
            <w:r>
              <w:rPr>
                <w:rFonts w:ascii="Arial" w:cs="Arial" w:eastAsia="Arial" w:hAnsi="Arial"/>
                <w:sz w:val="16"/>
                <w:szCs w:val="16"/>
                <w:color w:val="auto"/>
              </w:rPr>
              <w:t>0.02</w:t>
            </w:r>
          </w:p>
        </w:tc>
        <w:tc>
          <w:tcPr>
            <w:tcW w:w="1440" w:type="dxa"/>
            <w:vAlign w:val="bottom"/>
            <w:gridSpan w:val="3"/>
          </w:tcPr>
          <w:p>
            <w:pPr>
              <w:jc w:val="right"/>
              <w:ind w:right="320"/>
              <w:spacing w:after="0"/>
              <w:rPr>
                <w:sz w:val="20"/>
                <w:szCs w:val="20"/>
                <w:color w:val="auto"/>
              </w:rPr>
            </w:pPr>
            <w:r>
              <w:rPr>
                <w:rFonts w:ascii="Arial" w:cs="Arial" w:eastAsia="Arial" w:hAnsi="Arial"/>
                <w:sz w:val="16"/>
                <w:szCs w:val="16"/>
                <w:color w:val="auto"/>
              </w:rPr>
              <w:t>62.47</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04/08/2019</w:t>
            </w:r>
          </w:p>
        </w:tc>
      </w:tr>
      <w:tr>
        <w:trPr>
          <w:trHeight w:val="189"/>
        </w:trPr>
        <w:tc>
          <w:tcPr>
            <w:tcW w:w="780" w:type="dxa"/>
            <w:vAlign w:val="bottom"/>
          </w:tcPr>
          <w:p>
            <w:pPr>
              <w:spacing w:after="0"/>
              <w:rPr>
                <w:sz w:val="16"/>
                <w:szCs w:val="16"/>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Peter J. Marks</w:t>
            </w:r>
          </w:p>
        </w:tc>
        <w:tc>
          <w:tcPr>
            <w:tcW w:w="264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3"/>
                <w:szCs w:val="13"/>
                <w:color w:val="auto"/>
              </w:rPr>
              <w:t>23,474</w:t>
            </w:r>
            <w:r>
              <w:rPr>
                <w:rFonts w:ascii="Arial" w:cs="Arial" w:eastAsia="Arial" w:hAnsi="Arial"/>
                <w:sz w:val="21"/>
                <w:szCs w:val="21"/>
                <w:color w:val="auto"/>
                <w:vertAlign w:val="superscript"/>
              </w:rPr>
              <w:t>(1)</w:t>
            </w:r>
          </w:p>
        </w:tc>
        <w:tc>
          <w:tcPr>
            <w:tcW w:w="176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0.08</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46.60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12/09/2018</w:t>
            </w:r>
          </w:p>
        </w:tc>
      </w:tr>
      <w:tr>
        <w:trPr>
          <w:trHeight w:val="189"/>
        </w:trPr>
        <w:tc>
          <w:tcPr>
            <w:tcW w:w="3940" w:type="dxa"/>
            <w:vAlign w:val="bottom"/>
            <w:gridSpan w:val="3"/>
          </w:tcPr>
          <w:p>
            <w:pPr>
              <w:ind w:left="760"/>
              <w:spacing w:after="0"/>
              <w:rPr>
                <w:sz w:val="20"/>
                <w:szCs w:val="20"/>
                <w:color w:val="auto"/>
              </w:rPr>
            </w:pPr>
            <w:r>
              <w:rPr>
                <w:rFonts w:ascii="Arial" w:cs="Arial" w:eastAsia="Arial" w:hAnsi="Arial"/>
                <w:sz w:val="16"/>
                <w:szCs w:val="16"/>
                <w:color w:val="auto"/>
              </w:rPr>
              <w:t>Hock E. Tan</w:t>
            </w:r>
          </w:p>
        </w:tc>
        <w:tc>
          <w:tcPr>
            <w:tcW w:w="2640" w:type="dxa"/>
            <w:vAlign w:val="bottom"/>
            <w:gridSpan w:val="3"/>
          </w:tcPr>
          <w:p>
            <w:pPr>
              <w:jc w:val="right"/>
              <w:ind w:right="300"/>
              <w:spacing w:after="0" w:line="189" w:lineRule="exact"/>
              <w:rPr>
                <w:sz w:val="20"/>
                <w:szCs w:val="20"/>
                <w:color w:val="auto"/>
              </w:rPr>
            </w:pPr>
            <w:r>
              <w:rPr>
                <w:rFonts w:ascii="Arial" w:cs="Arial" w:eastAsia="Arial" w:hAnsi="Arial"/>
                <w:sz w:val="13"/>
                <w:szCs w:val="13"/>
                <w:color w:val="auto"/>
              </w:rPr>
              <w:t>30,000</w:t>
            </w:r>
            <w:r>
              <w:rPr>
                <w:rFonts w:ascii="Arial" w:cs="Arial" w:eastAsia="Arial" w:hAnsi="Arial"/>
                <w:sz w:val="21"/>
                <w:szCs w:val="21"/>
                <w:color w:val="auto"/>
                <w:vertAlign w:val="superscript"/>
              </w:rPr>
              <w:t>(1)</w:t>
            </w:r>
          </w:p>
        </w:tc>
        <w:tc>
          <w:tcPr>
            <w:tcW w:w="1760" w:type="dxa"/>
            <w:vAlign w:val="bottom"/>
            <w:gridSpan w:val="4"/>
          </w:tcPr>
          <w:p>
            <w:pPr>
              <w:jc w:val="right"/>
              <w:ind w:right="380"/>
              <w:spacing w:after="0"/>
              <w:rPr>
                <w:sz w:val="20"/>
                <w:szCs w:val="20"/>
                <w:color w:val="auto"/>
              </w:rPr>
            </w:pPr>
            <w:r>
              <w:rPr>
                <w:rFonts w:ascii="Arial" w:cs="Arial" w:eastAsia="Arial" w:hAnsi="Arial"/>
                <w:sz w:val="16"/>
                <w:szCs w:val="16"/>
                <w:color w:val="auto"/>
              </w:rPr>
              <w:t>0.11</w:t>
            </w:r>
          </w:p>
        </w:tc>
        <w:tc>
          <w:tcPr>
            <w:tcW w:w="1440" w:type="dxa"/>
            <w:vAlign w:val="bottom"/>
            <w:gridSpan w:val="3"/>
          </w:tcPr>
          <w:p>
            <w:pPr>
              <w:jc w:val="right"/>
              <w:ind w:right="320"/>
              <w:spacing w:after="0"/>
              <w:rPr>
                <w:sz w:val="20"/>
                <w:szCs w:val="20"/>
                <w:color w:val="auto"/>
              </w:rPr>
            </w:pPr>
            <w:r>
              <w:rPr>
                <w:rFonts w:ascii="Arial" w:cs="Arial" w:eastAsia="Arial" w:hAnsi="Arial"/>
                <w:sz w:val="16"/>
                <w:szCs w:val="16"/>
                <w:color w:val="auto"/>
              </w:rPr>
              <w:t>32.39</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03/07/2018</w:t>
            </w:r>
          </w:p>
        </w:tc>
      </w:tr>
      <w:tr>
        <w:trPr>
          <w:trHeight w:val="189"/>
        </w:trPr>
        <w:tc>
          <w:tcPr>
            <w:tcW w:w="78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64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3"/>
                <w:szCs w:val="13"/>
                <w:color w:val="auto"/>
              </w:rPr>
              <w:t>131,250</w:t>
            </w:r>
            <w:r>
              <w:rPr>
                <w:rFonts w:ascii="Arial" w:cs="Arial" w:eastAsia="Arial" w:hAnsi="Arial"/>
                <w:sz w:val="21"/>
                <w:szCs w:val="21"/>
                <w:color w:val="auto"/>
                <w:vertAlign w:val="superscript"/>
              </w:rPr>
              <w:t>(2)</w:t>
            </w:r>
          </w:p>
        </w:tc>
        <w:tc>
          <w:tcPr>
            <w:tcW w:w="176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0.46</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35.45</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03/11/2020</w:t>
            </w:r>
          </w:p>
        </w:tc>
      </w:tr>
      <w:tr>
        <w:trPr>
          <w:trHeight w:val="189"/>
        </w:trPr>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640" w:type="dxa"/>
            <w:vAlign w:val="bottom"/>
            <w:gridSpan w:val="3"/>
          </w:tcPr>
          <w:p>
            <w:pPr>
              <w:jc w:val="right"/>
              <w:ind w:right="300"/>
              <w:spacing w:after="0" w:line="189" w:lineRule="exact"/>
              <w:rPr>
                <w:sz w:val="20"/>
                <w:szCs w:val="20"/>
                <w:color w:val="auto"/>
              </w:rPr>
            </w:pPr>
            <w:r>
              <w:rPr>
                <w:rFonts w:ascii="Arial" w:cs="Arial" w:eastAsia="Arial" w:hAnsi="Arial"/>
                <w:sz w:val="13"/>
                <w:szCs w:val="13"/>
                <w:color w:val="auto"/>
              </w:rPr>
              <w:t>1,547,916</w:t>
            </w:r>
            <w:r>
              <w:rPr>
                <w:rFonts w:ascii="Arial" w:cs="Arial" w:eastAsia="Arial" w:hAnsi="Arial"/>
                <w:sz w:val="21"/>
                <w:szCs w:val="21"/>
                <w:color w:val="auto"/>
                <w:vertAlign w:val="superscript"/>
              </w:rPr>
              <w:t>(3)</w:t>
            </w:r>
          </w:p>
        </w:tc>
        <w:tc>
          <w:tcPr>
            <w:tcW w:w="1760" w:type="dxa"/>
            <w:vAlign w:val="bottom"/>
            <w:gridSpan w:val="4"/>
          </w:tcPr>
          <w:p>
            <w:pPr>
              <w:jc w:val="right"/>
              <w:ind w:right="380"/>
              <w:spacing w:after="0"/>
              <w:rPr>
                <w:sz w:val="20"/>
                <w:szCs w:val="20"/>
                <w:color w:val="auto"/>
              </w:rPr>
            </w:pPr>
            <w:r>
              <w:rPr>
                <w:rFonts w:ascii="Arial" w:cs="Arial" w:eastAsia="Arial" w:hAnsi="Arial"/>
                <w:sz w:val="16"/>
                <w:szCs w:val="16"/>
                <w:color w:val="auto"/>
              </w:rPr>
              <w:t>5.44</w:t>
            </w:r>
          </w:p>
        </w:tc>
        <w:tc>
          <w:tcPr>
            <w:tcW w:w="1440" w:type="dxa"/>
            <w:vAlign w:val="bottom"/>
            <w:gridSpan w:val="3"/>
          </w:tcPr>
          <w:p>
            <w:pPr>
              <w:jc w:val="right"/>
              <w:ind w:right="320"/>
              <w:spacing w:after="0"/>
              <w:rPr>
                <w:sz w:val="20"/>
                <w:szCs w:val="20"/>
                <w:color w:val="auto"/>
              </w:rPr>
            </w:pPr>
            <w:r>
              <w:rPr>
                <w:rFonts w:ascii="Arial" w:cs="Arial" w:eastAsia="Arial" w:hAnsi="Arial"/>
                <w:sz w:val="16"/>
                <w:szCs w:val="16"/>
                <w:color w:val="auto"/>
              </w:rPr>
              <w:t>38.99</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09/12/2020</w:t>
            </w:r>
          </w:p>
        </w:tc>
      </w:tr>
      <w:tr>
        <w:trPr>
          <w:trHeight w:val="189"/>
        </w:trPr>
        <w:tc>
          <w:tcPr>
            <w:tcW w:w="78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64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3"/>
                <w:szCs w:val="13"/>
                <w:color w:val="auto"/>
              </w:rPr>
              <w:t>750,000</w:t>
            </w:r>
            <w:r>
              <w:rPr>
                <w:rFonts w:ascii="Arial" w:cs="Arial" w:eastAsia="Arial" w:hAnsi="Arial"/>
                <w:sz w:val="21"/>
                <w:szCs w:val="21"/>
                <w:color w:val="auto"/>
                <w:vertAlign w:val="superscript"/>
              </w:rPr>
              <w:t>(3)</w:t>
            </w:r>
          </w:p>
        </w:tc>
        <w:tc>
          <w:tcPr>
            <w:tcW w:w="176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2.64</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52.65</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01/01/2021</w:t>
            </w:r>
          </w:p>
        </w:tc>
      </w:tr>
      <w:tr>
        <w:trPr>
          <w:trHeight w:val="162"/>
        </w:trPr>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r>
    </w:tbl>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STATEMENT</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Directors’ Interests in Shares or Debentures </w:t>
      </w:r>
      <w:r>
        <w:rPr>
          <w:rFonts w:ascii="Arial" w:cs="Arial" w:eastAsia="Arial" w:hAnsi="Arial"/>
          <w:sz w:val="20"/>
          <w:szCs w:val="20"/>
          <w:color w:val="auto"/>
        </w:rPr>
        <w:t>(continued)</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3220" w:type="dxa"/>
            <w:vAlign w:val="bottom"/>
            <w:gridSpan w:val="4"/>
          </w:tcPr>
          <w:p>
            <w:pPr>
              <w:ind w:left="280"/>
              <w:spacing w:after="0"/>
              <w:rPr>
                <w:sz w:val="20"/>
                <w:szCs w:val="20"/>
                <w:color w:val="auto"/>
              </w:rPr>
            </w:pPr>
            <w:r>
              <w:rPr>
                <w:rFonts w:ascii="Arial" w:cs="Arial" w:eastAsia="Arial" w:hAnsi="Arial"/>
                <w:sz w:val="18"/>
                <w:szCs w:val="18"/>
                <w:color w:val="auto"/>
              </w:rPr>
              <w:t>(continued)</w:t>
            </w: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06"/>
        </w:trPr>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6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w w:val="99"/>
              </w:rPr>
              <w:t>Number of</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securities underlying</w:t>
            </w:r>
          </w:p>
        </w:tc>
        <w:tc>
          <w:tcPr>
            <w:tcW w:w="1920" w:type="dxa"/>
            <w:vAlign w:val="bottom"/>
            <w:gridSpan w:val="3"/>
          </w:tcPr>
          <w:p>
            <w:pPr>
              <w:jc w:val="center"/>
              <w:ind w:left="279"/>
              <w:spacing w:after="0"/>
              <w:rPr>
                <w:sz w:val="20"/>
                <w:szCs w:val="20"/>
                <w:color w:val="auto"/>
              </w:rPr>
            </w:pPr>
            <w:r>
              <w:rPr>
                <w:rFonts w:ascii="Arial" w:cs="Arial" w:eastAsia="Arial" w:hAnsi="Arial"/>
                <w:sz w:val="16"/>
                <w:szCs w:val="16"/>
                <w:b w:val="1"/>
                <w:bCs w:val="1"/>
                <w:color w:val="auto"/>
                <w:w w:val="99"/>
              </w:rPr>
              <w:t>% of Total equity</w:t>
            </w: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6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rPr>
              <w:t>RSUs</w:t>
            </w:r>
          </w:p>
        </w:tc>
        <w:tc>
          <w:tcPr>
            <w:tcW w:w="1920" w:type="dxa"/>
            <w:vAlign w:val="bottom"/>
            <w:gridSpan w:val="3"/>
          </w:tcPr>
          <w:p>
            <w:pPr>
              <w:jc w:val="center"/>
              <w:ind w:left="259"/>
              <w:spacing w:after="0"/>
              <w:rPr>
                <w:sz w:val="20"/>
                <w:szCs w:val="20"/>
                <w:color w:val="auto"/>
              </w:rPr>
            </w:pPr>
            <w:r>
              <w:rPr>
                <w:rFonts w:ascii="Arial" w:cs="Arial" w:eastAsia="Arial" w:hAnsi="Arial"/>
                <w:sz w:val="16"/>
                <w:szCs w:val="16"/>
                <w:b w:val="1"/>
                <w:bCs w:val="1"/>
                <w:color w:val="auto"/>
              </w:rPr>
              <w:t>awards outstanding</w:t>
            </w: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outstanding as at end</w:t>
            </w:r>
          </w:p>
        </w:tc>
        <w:tc>
          <w:tcPr>
            <w:tcW w:w="62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 at end of</w:t>
            </w:r>
          </w:p>
        </w:tc>
      </w:tr>
      <w:tr>
        <w:trPr>
          <w:trHeight w:val="187"/>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3"/>
          </w:tcPr>
          <w:p>
            <w:pPr>
              <w:spacing w:after="0" w:line="160" w:lineRule="exact"/>
              <w:rPr>
                <w:sz w:val="20"/>
                <w:szCs w:val="20"/>
                <w:color w:val="auto"/>
              </w:rPr>
            </w:pPr>
            <w:r>
              <w:rPr>
                <w:rFonts w:ascii="Arial" w:cs="Arial" w:eastAsia="Arial" w:hAnsi="Arial"/>
                <w:sz w:val="16"/>
                <w:szCs w:val="16"/>
                <w:b w:val="1"/>
                <w:bCs w:val="1"/>
                <w:color w:val="auto"/>
              </w:rPr>
              <w:t>Name</w:t>
            </w:r>
          </w:p>
        </w:tc>
        <w:tc>
          <w:tcPr>
            <w:tcW w:w="2680" w:type="dxa"/>
            <w:vAlign w:val="bottom"/>
            <w:gridSpan w:val="3"/>
          </w:tcPr>
          <w:p>
            <w:pPr>
              <w:jc w:val="right"/>
              <w:ind w:right="480"/>
              <w:spacing w:after="0" w:line="160" w:lineRule="exact"/>
              <w:rPr>
                <w:sz w:val="20"/>
                <w:szCs w:val="20"/>
                <w:color w:val="auto"/>
              </w:rPr>
            </w:pPr>
            <w:r>
              <w:rPr>
                <w:rFonts w:ascii="Arial" w:cs="Arial" w:eastAsia="Arial" w:hAnsi="Arial"/>
                <w:sz w:val="16"/>
                <w:szCs w:val="16"/>
                <w:b w:val="1"/>
                <w:bCs w:val="1"/>
                <w:color w:val="auto"/>
              </w:rPr>
              <w:t>Grant date</w:t>
            </w:r>
          </w:p>
        </w:tc>
        <w:tc>
          <w:tcPr>
            <w:tcW w:w="660" w:type="dxa"/>
            <w:vAlign w:val="bottom"/>
          </w:tcPr>
          <w:p>
            <w:pPr>
              <w:spacing w:after="0"/>
              <w:rPr>
                <w:sz w:val="16"/>
                <w:szCs w:val="16"/>
                <w:color w:val="auto"/>
              </w:rPr>
            </w:pPr>
          </w:p>
        </w:tc>
        <w:tc>
          <w:tcPr>
            <w:tcW w:w="2060" w:type="dxa"/>
            <w:vAlign w:val="bottom"/>
            <w:gridSpan w:val="2"/>
          </w:tcPr>
          <w:p>
            <w:pPr>
              <w:jc w:val="center"/>
              <w:ind w:right="820"/>
              <w:spacing w:after="0" w:line="160" w:lineRule="exact"/>
              <w:rPr>
                <w:sz w:val="20"/>
                <w:szCs w:val="20"/>
                <w:color w:val="auto"/>
              </w:rPr>
            </w:pPr>
            <w:r>
              <w:rPr>
                <w:rFonts w:ascii="Arial" w:cs="Arial" w:eastAsia="Arial" w:hAnsi="Arial"/>
                <w:sz w:val="16"/>
                <w:szCs w:val="16"/>
                <w:b w:val="1"/>
                <w:bCs w:val="1"/>
                <w:color w:val="auto"/>
              </w:rPr>
              <w:t>of financial year</w:t>
            </w:r>
          </w:p>
        </w:tc>
        <w:tc>
          <w:tcPr>
            <w:tcW w:w="1920" w:type="dxa"/>
            <w:vAlign w:val="bottom"/>
            <w:gridSpan w:val="3"/>
          </w:tcPr>
          <w:p>
            <w:pPr>
              <w:jc w:val="center"/>
              <w:ind w:left="279"/>
              <w:spacing w:after="0" w:line="160" w:lineRule="exact"/>
              <w:rPr>
                <w:sz w:val="20"/>
                <w:szCs w:val="20"/>
                <w:color w:val="auto"/>
              </w:rPr>
            </w:pPr>
            <w:r>
              <w:rPr>
                <w:rFonts w:ascii="Arial" w:cs="Arial" w:eastAsia="Arial" w:hAnsi="Arial"/>
                <w:sz w:val="16"/>
                <w:szCs w:val="16"/>
                <w:b w:val="1"/>
                <w:bCs w:val="1"/>
                <w:color w:val="auto"/>
              </w:rPr>
              <w:t>financial year</w:t>
            </w: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James V. Diller</w:t>
            </w:r>
          </w:p>
        </w:tc>
        <w:tc>
          <w:tcPr>
            <w:tcW w:w="26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04/05/2017</w:t>
            </w:r>
          </w:p>
        </w:tc>
        <w:tc>
          <w:tcPr>
            <w:tcW w:w="27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906</w:t>
            </w:r>
            <w:r>
              <w:rPr>
                <w:rFonts w:ascii="Arial" w:cs="Arial" w:eastAsia="Arial" w:hAnsi="Arial"/>
                <w:sz w:val="13"/>
                <w:szCs w:val="13"/>
                <w:color w:val="auto"/>
              </w:rPr>
              <w:t>(4)</w:t>
            </w:r>
          </w:p>
        </w:tc>
        <w:tc>
          <w:tcPr>
            <w:tcW w:w="166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color w:val="auto"/>
              </w:rPr>
              <w:t>0.00</w:t>
            </w:r>
          </w:p>
        </w:tc>
        <w:tc>
          <w:tcPr>
            <w:tcW w:w="260" w:type="dxa"/>
            <w:vAlign w:val="bottom"/>
            <w:shd w:val="clear" w:color="auto" w:fill="CCEEFF"/>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3"/>
          </w:tcPr>
          <w:p>
            <w:pPr>
              <w:spacing w:after="0"/>
              <w:rPr>
                <w:sz w:val="20"/>
                <w:szCs w:val="20"/>
                <w:color w:val="auto"/>
              </w:rPr>
            </w:pPr>
            <w:r>
              <w:rPr>
                <w:rFonts w:ascii="Arial" w:cs="Arial" w:eastAsia="Arial" w:hAnsi="Arial"/>
                <w:sz w:val="16"/>
                <w:szCs w:val="16"/>
                <w:color w:val="auto"/>
              </w:rPr>
              <w:t>Lewis C. Eggebrecht</w:t>
            </w:r>
          </w:p>
        </w:tc>
        <w:tc>
          <w:tcPr>
            <w:tcW w:w="2680" w:type="dxa"/>
            <w:vAlign w:val="bottom"/>
            <w:gridSpan w:val="3"/>
          </w:tcPr>
          <w:p>
            <w:pPr>
              <w:jc w:val="right"/>
              <w:ind w:right="460"/>
              <w:spacing w:after="0"/>
              <w:rPr>
                <w:sz w:val="20"/>
                <w:szCs w:val="20"/>
                <w:color w:val="auto"/>
              </w:rPr>
            </w:pPr>
            <w:r>
              <w:rPr>
                <w:rFonts w:ascii="Arial" w:cs="Arial" w:eastAsia="Arial" w:hAnsi="Arial"/>
                <w:sz w:val="16"/>
                <w:szCs w:val="16"/>
                <w:color w:val="auto"/>
              </w:rPr>
              <w:t>04/05/2017</w:t>
            </w:r>
          </w:p>
        </w:tc>
        <w:tc>
          <w:tcPr>
            <w:tcW w:w="2720" w:type="dxa"/>
            <w:vAlign w:val="bottom"/>
            <w:gridSpan w:val="3"/>
          </w:tcPr>
          <w:p>
            <w:pPr>
              <w:jc w:val="right"/>
              <w:ind w:right="420"/>
              <w:spacing w:after="0" w:line="189" w:lineRule="exact"/>
              <w:rPr>
                <w:sz w:val="20"/>
                <w:szCs w:val="20"/>
                <w:color w:val="auto"/>
              </w:rPr>
            </w:pPr>
            <w:r>
              <w:rPr>
                <w:rFonts w:ascii="Arial" w:cs="Arial" w:eastAsia="Arial" w:hAnsi="Arial"/>
                <w:sz w:val="13"/>
                <w:szCs w:val="13"/>
                <w:color w:val="auto"/>
              </w:rPr>
              <w:t>906</w:t>
            </w:r>
            <w:r>
              <w:rPr>
                <w:rFonts w:ascii="Arial" w:cs="Arial" w:eastAsia="Arial" w:hAnsi="Arial"/>
                <w:sz w:val="21"/>
                <w:szCs w:val="21"/>
                <w:color w:val="auto"/>
                <w:vertAlign w:val="superscript"/>
              </w:rPr>
              <w:t>(4)</w:t>
            </w:r>
          </w:p>
        </w:tc>
        <w:tc>
          <w:tcPr>
            <w:tcW w:w="1660" w:type="dxa"/>
            <w:vAlign w:val="bottom"/>
            <w:gridSpan w:val="2"/>
          </w:tcPr>
          <w:p>
            <w:pPr>
              <w:jc w:val="center"/>
              <w:ind w:left="539"/>
              <w:spacing w:after="0"/>
              <w:rPr>
                <w:sz w:val="20"/>
                <w:szCs w:val="20"/>
                <w:color w:val="auto"/>
              </w:rPr>
            </w:pPr>
            <w:r>
              <w:rPr>
                <w:rFonts w:ascii="Arial" w:cs="Arial" w:eastAsia="Arial" w:hAnsi="Arial"/>
                <w:sz w:val="16"/>
                <w:szCs w:val="16"/>
                <w:color w:val="auto"/>
              </w:rPr>
              <w:t>0.00</w:t>
            </w:r>
          </w:p>
        </w:tc>
        <w:tc>
          <w:tcPr>
            <w:tcW w:w="260" w:type="dxa"/>
            <w:vAlign w:val="bottom"/>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Kenneth Y. Hao</w:t>
            </w:r>
          </w:p>
        </w:tc>
        <w:tc>
          <w:tcPr>
            <w:tcW w:w="26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04/05/2017</w:t>
            </w:r>
          </w:p>
        </w:tc>
        <w:tc>
          <w:tcPr>
            <w:tcW w:w="272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3"/>
                <w:szCs w:val="13"/>
                <w:color w:val="auto"/>
              </w:rPr>
              <w:t>906</w:t>
            </w:r>
            <w:r>
              <w:rPr>
                <w:rFonts w:ascii="Arial" w:cs="Arial" w:eastAsia="Arial" w:hAnsi="Arial"/>
                <w:sz w:val="21"/>
                <w:szCs w:val="21"/>
                <w:color w:val="auto"/>
                <w:vertAlign w:val="superscript"/>
              </w:rPr>
              <w:t>(4)</w:t>
            </w:r>
          </w:p>
        </w:tc>
        <w:tc>
          <w:tcPr>
            <w:tcW w:w="166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color w:val="auto"/>
              </w:rPr>
              <w:t>0.00</w:t>
            </w:r>
          </w:p>
        </w:tc>
        <w:tc>
          <w:tcPr>
            <w:tcW w:w="260" w:type="dxa"/>
            <w:vAlign w:val="bottom"/>
            <w:shd w:val="clear" w:color="auto" w:fill="CCEEFF"/>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3"/>
          </w:tcPr>
          <w:p>
            <w:pPr>
              <w:spacing w:after="0"/>
              <w:rPr>
                <w:sz w:val="20"/>
                <w:szCs w:val="20"/>
                <w:color w:val="auto"/>
              </w:rPr>
            </w:pPr>
            <w:r>
              <w:rPr>
                <w:rFonts w:ascii="Arial" w:cs="Arial" w:eastAsia="Arial" w:hAnsi="Arial"/>
                <w:sz w:val="16"/>
                <w:szCs w:val="16"/>
                <w:color w:val="auto"/>
              </w:rPr>
              <w:t>Eddy W. Hartenstein</w:t>
            </w:r>
          </w:p>
        </w:tc>
        <w:tc>
          <w:tcPr>
            <w:tcW w:w="2680" w:type="dxa"/>
            <w:vAlign w:val="bottom"/>
            <w:gridSpan w:val="3"/>
          </w:tcPr>
          <w:p>
            <w:pPr>
              <w:jc w:val="right"/>
              <w:ind w:right="460"/>
              <w:spacing w:after="0"/>
              <w:rPr>
                <w:sz w:val="20"/>
                <w:szCs w:val="20"/>
                <w:color w:val="auto"/>
              </w:rPr>
            </w:pPr>
            <w:r>
              <w:rPr>
                <w:rFonts w:ascii="Arial" w:cs="Arial" w:eastAsia="Arial" w:hAnsi="Arial"/>
                <w:sz w:val="16"/>
                <w:szCs w:val="16"/>
                <w:color w:val="auto"/>
              </w:rPr>
              <w:t>04/05/2017</w:t>
            </w:r>
          </w:p>
        </w:tc>
        <w:tc>
          <w:tcPr>
            <w:tcW w:w="2720" w:type="dxa"/>
            <w:vAlign w:val="bottom"/>
            <w:gridSpan w:val="3"/>
          </w:tcPr>
          <w:p>
            <w:pPr>
              <w:jc w:val="right"/>
              <w:ind w:right="420"/>
              <w:spacing w:after="0"/>
              <w:rPr>
                <w:sz w:val="20"/>
                <w:szCs w:val="20"/>
                <w:color w:val="auto"/>
              </w:rPr>
            </w:pPr>
            <w:r>
              <w:rPr>
                <w:rFonts w:ascii="Arial" w:cs="Arial" w:eastAsia="Arial" w:hAnsi="Arial"/>
                <w:sz w:val="16"/>
                <w:szCs w:val="16"/>
                <w:color w:val="auto"/>
              </w:rPr>
              <w:t>906</w:t>
            </w:r>
            <w:r>
              <w:rPr>
                <w:rFonts w:ascii="Arial" w:cs="Arial" w:eastAsia="Arial" w:hAnsi="Arial"/>
                <w:sz w:val="13"/>
                <w:szCs w:val="13"/>
                <w:color w:val="auto"/>
              </w:rPr>
              <w:t>(4)</w:t>
            </w:r>
          </w:p>
        </w:tc>
        <w:tc>
          <w:tcPr>
            <w:tcW w:w="1660" w:type="dxa"/>
            <w:vAlign w:val="bottom"/>
            <w:gridSpan w:val="2"/>
          </w:tcPr>
          <w:p>
            <w:pPr>
              <w:jc w:val="center"/>
              <w:ind w:left="539"/>
              <w:spacing w:after="0"/>
              <w:rPr>
                <w:sz w:val="20"/>
                <w:szCs w:val="20"/>
                <w:color w:val="auto"/>
              </w:rPr>
            </w:pPr>
            <w:r>
              <w:rPr>
                <w:rFonts w:ascii="Arial" w:cs="Arial" w:eastAsia="Arial" w:hAnsi="Arial"/>
                <w:sz w:val="16"/>
                <w:szCs w:val="16"/>
                <w:color w:val="auto"/>
              </w:rPr>
              <w:t>0.00</w:t>
            </w:r>
          </w:p>
        </w:tc>
        <w:tc>
          <w:tcPr>
            <w:tcW w:w="260" w:type="dxa"/>
            <w:vAlign w:val="bottom"/>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Check Kian Low</w:t>
            </w:r>
          </w:p>
        </w:tc>
        <w:tc>
          <w:tcPr>
            <w:tcW w:w="26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12/15/2016</w:t>
            </w:r>
          </w:p>
        </w:tc>
        <w:tc>
          <w:tcPr>
            <w:tcW w:w="272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3"/>
                <w:szCs w:val="13"/>
                <w:color w:val="auto"/>
              </w:rPr>
              <w:t>388</w:t>
            </w:r>
            <w:r>
              <w:rPr>
                <w:rFonts w:ascii="Arial" w:cs="Arial" w:eastAsia="Arial" w:hAnsi="Arial"/>
                <w:sz w:val="21"/>
                <w:szCs w:val="21"/>
                <w:color w:val="auto"/>
                <w:vertAlign w:val="superscript"/>
              </w:rPr>
              <w:t>(5)</w:t>
            </w:r>
          </w:p>
        </w:tc>
        <w:tc>
          <w:tcPr>
            <w:tcW w:w="166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color w:val="auto"/>
              </w:rPr>
              <w:t>0.00</w:t>
            </w:r>
          </w:p>
        </w:tc>
        <w:tc>
          <w:tcPr>
            <w:tcW w:w="260" w:type="dxa"/>
            <w:vAlign w:val="bottom"/>
            <w:shd w:val="clear" w:color="auto" w:fill="CCEEFF"/>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80" w:type="dxa"/>
            <w:vAlign w:val="bottom"/>
            <w:gridSpan w:val="3"/>
          </w:tcPr>
          <w:p>
            <w:pPr>
              <w:jc w:val="right"/>
              <w:ind w:right="460"/>
              <w:spacing w:after="0"/>
              <w:rPr>
                <w:sz w:val="20"/>
                <w:szCs w:val="20"/>
                <w:color w:val="auto"/>
              </w:rPr>
            </w:pPr>
            <w:r>
              <w:rPr>
                <w:rFonts w:ascii="Arial" w:cs="Arial" w:eastAsia="Arial" w:hAnsi="Arial"/>
                <w:sz w:val="16"/>
                <w:szCs w:val="16"/>
                <w:color w:val="auto"/>
              </w:rPr>
              <w:t>04/05/2017</w:t>
            </w:r>
          </w:p>
        </w:tc>
        <w:tc>
          <w:tcPr>
            <w:tcW w:w="2720" w:type="dxa"/>
            <w:vAlign w:val="bottom"/>
            <w:gridSpan w:val="3"/>
          </w:tcPr>
          <w:p>
            <w:pPr>
              <w:jc w:val="right"/>
              <w:ind w:right="420"/>
              <w:spacing w:after="0"/>
              <w:rPr>
                <w:sz w:val="20"/>
                <w:szCs w:val="20"/>
                <w:color w:val="auto"/>
              </w:rPr>
            </w:pPr>
            <w:r>
              <w:rPr>
                <w:rFonts w:ascii="Arial" w:cs="Arial" w:eastAsia="Arial" w:hAnsi="Arial"/>
                <w:sz w:val="16"/>
                <w:szCs w:val="16"/>
                <w:color w:val="auto"/>
              </w:rPr>
              <w:t>906</w:t>
            </w:r>
            <w:r>
              <w:rPr>
                <w:rFonts w:ascii="Arial" w:cs="Arial" w:eastAsia="Arial" w:hAnsi="Arial"/>
                <w:sz w:val="13"/>
                <w:szCs w:val="13"/>
                <w:color w:val="auto"/>
              </w:rPr>
              <w:t>(4)</w:t>
            </w:r>
          </w:p>
        </w:tc>
        <w:tc>
          <w:tcPr>
            <w:tcW w:w="1660" w:type="dxa"/>
            <w:vAlign w:val="bottom"/>
            <w:gridSpan w:val="2"/>
          </w:tcPr>
          <w:p>
            <w:pPr>
              <w:jc w:val="center"/>
              <w:ind w:left="539"/>
              <w:spacing w:after="0"/>
              <w:rPr>
                <w:sz w:val="20"/>
                <w:szCs w:val="20"/>
                <w:color w:val="auto"/>
              </w:rPr>
            </w:pPr>
            <w:r>
              <w:rPr>
                <w:rFonts w:ascii="Arial" w:cs="Arial" w:eastAsia="Arial" w:hAnsi="Arial"/>
                <w:sz w:val="16"/>
                <w:szCs w:val="16"/>
                <w:color w:val="auto"/>
              </w:rPr>
              <w:t>0.00</w:t>
            </w:r>
          </w:p>
        </w:tc>
        <w:tc>
          <w:tcPr>
            <w:tcW w:w="260" w:type="dxa"/>
            <w:vAlign w:val="bottom"/>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Donald Macleod</w:t>
            </w:r>
          </w:p>
        </w:tc>
        <w:tc>
          <w:tcPr>
            <w:tcW w:w="26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04/05/2017</w:t>
            </w:r>
          </w:p>
        </w:tc>
        <w:tc>
          <w:tcPr>
            <w:tcW w:w="27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906</w:t>
            </w:r>
            <w:r>
              <w:rPr>
                <w:rFonts w:ascii="Arial" w:cs="Arial" w:eastAsia="Arial" w:hAnsi="Arial"/>
                <w:sz w:val="13"/>
                <w:szCs w:val="13"/>
                <w:color w:val="auto"/>
              </w:rPr>
              <w:t>(4)</w:t>
            </w:r>
          </w:p>
        </w:tc>
        <w:tc>
          <w:tcPr>
            <w:tcW w:w="166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color w:val="auto"/>
              </w:rPr>
              <w:t>0.00</w:t>
            </w:r>
          </w:p>
        </w:tc>
        <w:tc>
          <w:tcPr>
            <w:tcW w:w="260" w:type="dxa"/>
            <w:vAlign w:val="bottom"/>
            <w:shd w:val="clear" w:color="auto" w:fill="CCEEFF"/>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3"/>
          </w:tcPr>
          <w:p>
            <w:pPr>
              <w:spacing w:after="0"/>
              <w:rPr>
                <w:sz w:val="20"/>
                <w:szCs w:val="20"/>
                <w:color w:val="auto"/>
              </w:rPr>
            </w:pPr>
            <w:r>
              <w:rPr>
                <w:rFonts w:ascii="Arial" w:cs="Arial" w:eastAsia="Arial" w:hAnsi="Arial"/>
                <w:sz w:val="16"/>
                <w:szCs w:val="16"/>
                <w:color w:val="auto"/>
              </w:rPr>
              <w:t>Peter J. Mark</w:t>
            </w:r>
          </w:p>
        </w:tc>
        <w:tc>
          <w:tcPr>
            <w:tcW w:w="2680" w:type="dxa"/>
            <w:vAlign w:val="bottom"/>
            <w:gridSpan w:val="3"/>
          </w:tcPr>
          <w:p>
            <w:pPr>
              <w:jc w:val="right"/>
              <w:ind w:right="460"/>
              <w:spacing w:after="0"/>
              <w:rPr>
                <w:sz w:val="20"/>
                <w:szCs w:val="20"/>
                <w:color w:val="auto"/>
              </w:rPr>
            </w:pPr>
            <w:r>
              <w:rPr>
                <w:rFonts w:ascii="Arial" w:cs="Arial" w:eastAsia="Arial" w:hAnsi="Arial"/>
                <w:sz w:val="16"/>
                <w:szCs w:val="16"/>
                <w:color w:val="auto"/>
              </w:rPr>
              <w:t>04/05/2017</w:t>
            </w:r>
          </w:p>
        </w:tc>
        <w:tc>
          <w:tcPr>
            <w:tcW w:w="2720" w:type="dxa"/>
            <w:vAlign w:val="bottom"/>
            <w:gridSpan w:val="3"/>
          </w:tcPr>
          <w:p>
            <w:pPr>
              <w:jc w:val="right"/>
              <w:ind w:right="420"/>
              <w:spacing w:after="0" w:line="189" w:lineRule="exact"/>
              <w:rPr>
                <w:sz w:val="20"/>
                <w:szCs w:val="20"/>
                <w:color w:val="auto"/>
              </w:rPr>
            </w:pPr>
            <w:r>
              <w:rPr>
                <w:rFonts w:ascii="Arial" w:cs="Arial" w:eastAsia="Arial" w:hAnsi="Arial"/>
                <w:sz w:val="13"/>
                <w:szCs w:val="13"/>
                <w:color w:val="auto"/>
              </w:rPr>
              <w:t>906</w:t>
            </w:r>
            <w:r>
              <w:rPr>
                <w:rFonts w:ascii="Arial" w:cs="Arial" w:eastAsia="Arial" w:hAnsi="Arial"/>
                <w:sz w:val="21"/>
                <w:szCs w:val="21"/>
                <w:color w:val="auto"/>
                <w:vertAlign w:val="superscript"/>
              </w:rPr>
              <w:t>(4)</w:t>
            </w:r>
          </w:p>
        </w:tc>
        <w:tc>
          <w:tcPr>
            <w:tcW w:w="1660" w:type="dxa"/>
            <w:vAlign w:val="bottom"/>
            <w:gridSpan w:val="2"/>
          </w:tcPr>
          <w:p>
            <w:pPr>
              <w:jc w:val="center"/>
              <w:ind w:left="539"/>
              <w:spacing w:after="0"/>
              <w:rPr>
                <w:sz w:val="20"/>
                <w:szCs w:val="20"/>
                <w:color w:val="auto"/>
              </w:rPr>
            </w:pPr>
            <w:r>
              <w:rPr>
                <w:rFonts w:ascii="Arial" w:cs="Arial" w:eastAsia="Arial" w:hAnsi="Arial"/>
                <w:sz w:val="16"/>
                <w:szCs w:val="16"/>
                <w:color w:val="auto"/>
              </w:rPr>
              <w:t>0.00</w:t>
            </w:r>
          </w:p>
        </w:tc>
        <w:tc>
          <w:tcPr>
            <w:tcW w:w="260" w:type="dxa"/>
            <w:vAlign w:val="bottom"/>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Henry Samueli, Ph.D.</w:t>
            </w:r>
          </w:p>
        </w:tc>
        <w:tc>
          <w:tcPr>
            <w:tcW w:w="26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02/20/2014</w:t>
            </w:r>
          </w:p>
        </w:tc>
        <w:tc>
          <w:tcPr>
            <w:tcW w:w="272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3"/>
                <w:szCs w:val="13"/>
                <w:color w:val="auto"/>
              </w:rPr>
              <w:t>11,609</w:t>
            </w:r>
            <w:r>
              <w:rPr>
                <w:rFonts w:ascii="Arial" w:cs="Arial" w:eastAsia="Arial" w:hAnsi="Arial"/>
                <w:sz w:val="21"/>
                <w:szCs w:val="21"/>
                <w:color w:val="auto"/>
                <w:vertAlign w:val="superscript"/>
              </w:rPr>
              <w:t>(6)</w:t>
            </w:r>
          </w:p>
        </w:tc>
        <w:tc>
          <w:tcPr>
            <w:tcW w:w="166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color w:val="auto"/>
              </w:rPr>
              <w:t>0.04</w:t>
            </w:r>
          </w:p>
        </w:tc>
        <w:tc>
          <w:tcPr>
            <w:tcW w:w="260" w:type="dxa"/>
            <w:vAlign w:val="bottom"/>
            <w:shd w:val="clear" w:color="auto" w:fill="CCEEFF"/>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80" w:type="dxa"/>
            <w:vAlign w:val="bottom"/>
            <w:gridSpan w:val="3"/>
          </w:tcPr>
          <w:p>
            <w:pPr>
              <w:jc w:val="right"/>
              <w:ind w:right="460"/>
              <w:spacing w:after="0"/>
              <w:rPr>
                <w:sz w:val="20"/>
                <w:szCs w:val="20"/>
                <w:color w:val="auto"/>
              </w:rPr>
            </w:pPr>
            <w:r>
              <w:rPr>
                <w:rFonts w:ascii="Arial" w:cs="Arial" w:eastAsia="Arial" w:hAnsi="Arial"/>
                <w:sz w:val="16"/>
                <w:szCs w:val="16"/>
                <w:color w:val="auto"/>
              </w:rPr>
              <w:t>02/19/2015</w:t>
            </w:r>
          </w:p>
        </w:tc>
        <w:tc>
          <w:tcPr>
            <w:tcW w:w="2720" w:type="dxa"/>
            <w:vAlign w:val="bottom"/>
            <w:gridSpan w:val="3"/>
          </w:tcPr>
          <w:p>
            <w:pPr>
              <w:jc w:val="right"/>
              <w:ind w:right="420"/>
              <w:spacing w:after="0" w:line="189" w:lineRule="exact"/>
              <w:rPr>
                <w:sz w:val="20"/>
                <w:szCs w:val="20"/>
                <w:color w:val="auto"/>
              </w:rPr>
            </w:pPr>
            <w:r>
              <w:rPr>
                <w:rFonts w:ascii="Arial" w:cs="Arial" w:eastAsia="Arial" w:hAnsi="Arial"/>
                <w:sz w:val="13"/>
                <w:szCs w:val="13"/>
                <w:color w:val="auto"/>
              </w:rPr>
              <w:t>36,812</w:t>
            </w:r>
            <w:r>
              <w:rPr>
                <w:rFonts w:ascii="Arial" w:cs="Arial" w:eastAsia="Arial" w:hAnsi="Arial"/>
                <w:sz w:val="21"/>
                <w:szCs w:val="21"/>
                <w:color w:val="auto"/>
                <w:vertAlign w:val="superscript"/>
              </w:rPr>
              <w:t>(7)</w:t>
            </w:r>
          </w:p>
        </w:tc>
        <w:tc>
          <w:tcPr>
            <w:tcW w:w="1660" w:type="dxa"/>
            <w:vAlign w:val="bottom"/>
            <w:gridSpan w:val="2"/>
          </w:tcPr>
          <w:p>
            <w:pPr>
              <w:jc w:val="center"/>
              <w:ind w:left="539"/>
              <w:spacing w:after="0"/>
              <w:rPr>
                <w:sz w:val="20"/>
                <w:szCs w:val="20"/>
                <w:color w:val="auto"/>
              </w:rPr>
            </w:pPr>
            <w:r>
              <w:rPr>
                <w:rFonts w:ascii="Arial" w:cs="Arial" w:eastAsia="Arial" w:hAnsi="Arial"/>
                <w:sz w:val="16"/>
                <w:szCs w:val="16"/>
                <w:color w:val="auto"/>
              </w:rPr>
              <w:t>0.13</w:t>
            </w:r>
          </w:p>
        </w:tc>
        <w:tc>
          <w:tcPr>
            <w:tcW w:w="260" w:type="dxa"/>
            <w:vAlign w:val="bottom"/>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6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01/25/2016</w:t>
            </w:r>
          </w:p>
        </w:tc>
        <w:tc>
          <w:tcPr>
            <w:tcW w:w="272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3"/>
                <w:szCs w:val="13"/>
                <w:color w:val="auto"/>
              </w:rPr>
              <w:t>41,864</w:t>
            </w:r>
            <w:r>
              <w:rPr>
                <w:rFonts w:ascii="Arial" w:cs="Arial" w:eastAsia="Arial" w:hAnsi="Arial"/>
                <w:sz w:val="21"/>
                <w:szCs w:val="21"/>
                <w:color w:val="auto"/>
                <w:vertAlign w:val="superscript"/>
              </w:rPr>
              <w:t>(8)</w:t>
            </w:r>
          </w:p>
        </w:tc>
        <w:tc>
          <w:tcPr>
            <w:tcW w:w="166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color w:val="auto"/>
              </w:rPr>
              <w:t>0.15</w:t>
            </w:r>
          </w:p>
        </w:tc>
        <w:tc>
          <w:tcPr>
            <w:tcW w:w="260" w:type="dxa"/>
            <w:vAlign w:val="bottom"/>
            <w:shd w:val="clear" w:color="auto" w:fill="CCEEFF"/>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80" w:type="dxa"/>
            <w:vAlign w:val="bottom"/>
            <w:gridSpan w:val="3"/>
          </w:tcPr>
          <w:p>
            <w:pPr>
              <w:jc w:val="right"/>
              <w:ind w:right="460"/>
              <w:spacing w:after="0"/>
              <w:rPr>
                <w:sz w:val="20"/>
                <w:szCs w:val="20"/>
                <w:color w:val="auto"/>
              </w:rPr>
            </w:pPr>
            <w:r>
              <w:rPr>
                <w:rFonts w:ascii="Arial" w:cs="Arial" w:eastAsia="Arial" w:hAnsi="Arial"/>
                <w:sz w:val="16"/>
                <w:szCs w:val="16"/>
                <w:color w:val="auto"/>
              </w:rPr>
              <w:t>01/25/2016</w:t>
            </w:r>
          </w:p>
        </w:tc>
        <w:tc>
          <w:tcPr>
            <w:tcW w:w="2720" w:type="dxa"/>
            <w:vAlign w:val="bottom"/>
            <w:gridSpan w:val="3"/>
          </w:tcPr>
          <w:p>
            <w:pPr>
              <w:jc w:val="right"/>
              <w:ind w:right="420"/>
              <w:spacing w:after="0" w:line="189" w:lineRule="exact"/>
              <w:rPr>
                <w:sz w:val="20"/>
                <w:szCs w:val="20"/>
                <w:color w:val="auto"/>
              </w:rPr>
            </w:pPr>
            <w:r>
              <w:rPr>
                <w:rFonts w:ascii="Arial" w:cs="Arial" w:eastAsia="Arial" w:hAnsi="Arial"/>
                <w:sz w:val="13"/>
                <w:szCs w:val="13"/>
                <w:color w:val="auto"/>
              </w:rPr>
              <w:t>6,408</w:t>
            </w:r>
            <w:r>
              <w:rPr>
                <w:rFonts w:ascii="Arial" w:cs="Arial" w:eastAsia="Arial" w:hAnsi="Arial"/>
                <w:sz w:val="21"/>
                <w:szCs w:val="21"/>
                <w:color w:val="auto"/>
                <w:vertAlign w:val="superscript"/>
              </w:rPr>
              <w:t>(9)</w:t>
            </w:r>
          </w:p>
        </w:tc>
        <w:tc>
          <w:tcPr>
            <w:tcW w:w="1660" w:type="dxa"/>
            <w:vAlign w:val="bottom"/>
            <w:gridSpan w:val="2"/>
          </w:tcPr>
          <w:p>
            <w:pPr>
              <w:jc w:val="center"/>
              <w:ind w:left="539"/>
              <w:spacing w:after="0"/>
              <w:rPr>
                <w:sz w:val="20"/>
                <w:szCs w:val="20"/>
                <w:color w:val="auto"/>
              </w:rPr>
            </w:pPr>
            <w:r>
              <w:rPr>
                <w:rFonts w:ascii="Arial" w:cs="Arial" w:eastAsia="Arial" w:hAnsi="Arial"/>
                <w:sz w:val="16"/>
                <w:szCs w:val="16"/>
                <w:color w:val="auto"/>
              </w:rPr>
              <w:t>0.02</w:t>
            </w:r>
          </w:p>
        </w:tc>
        <w:tc>
          <w:tcPr>
            <w:tcW w:w="260" w:type="dxa"/>
            <w:vAlign w:val="bottom"/>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6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03/15/2016</w:t>
            </w:r>
          </w:p>
        </w:tc>
        <w:tc>
          <w:tcPr>
            <w:tcW w:w="272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3"/>
                <w:szCs w:val="13"/>
                <w:color w:val="auto"/>
              </w:rPr>
              <w:t>8,691</w:t>
            </w:r>
            <w:r>
              <w:rPr>
                <w:rFonts w:ascii="Arial" w:cs="Arial" w:eastAsia="Arial" w:hAnsi="Arial"/>
                <w:sz w:val="21"/>
                <w:szCs w:val="21"/>
                <w:color w:val="auto"/>
                <w:vertAlign w:val="superscript"/>
              </w:rPr>
              <w:t>(10)</w:t>
            </w:r>
          </w:p>
        </w:tc>
        <w:tc>
          <w:tcPr>
            <w:tcW w:w="166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color w:val="auto"/>
              </w:rPr>
              <w:t>0.03</w:t>
            </w:r>
          </w:p>
        </w:tc>
        <w:tc>
          <w:tcPr>
            <w:tcW w:w="260" w:type="dxa"/>
            <w:vAlign w:val="bottom"/>
            <w:shd w:val="clear" w:color="auto" w:fill="CCEEFF"/>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80" w:type="dxa"/>
            <w:vAlign w:val="bottom"/>
            <w:gridSpan w:val="3"/>
          </w:tcPr>
          <w:p>
            <w:pPr>
              <w:jc w:val="right"/>
              <w:ind w:right="460"/>
              <w:spacing w:after="0"/>
              <w:rPr>
                <w:sz w:val="20"/>
                <w:szCs w:val="20"/>
                <w:color w:val="auto"/>
              </w:rPr>
            </w:pPr>
            <w:r>
              <w:rPr>
                <w:rFonts w:ascii="Arial" w:cs="Arial" w:eastAsia="Arial" w:hAnsi="Arial"/>
                <w:sz w:val="16"/>
                <w:szCs w:val="16"/>
                <w:color w:val="auto"/>
              </w:rPr>
              <w:t>03/15/2016</w:t>
            </w:r>
          </w:p>
        </w:tc>
        <w:tc>
          <w:tcPr>
            <w:tcW w:w="2720" w:type="dxa"/>
            <w:vAlign w:val="bottom"/>
            <w:gridSpan w:val="3"/>
          </w:tcPr>
          <w:p>
            <w:pPr>
              <w:jc w:val="right"/>
              <w:ind w:right="340"/>
              <w:spacing w:after="0" w:line="189" w:lineRule="exact"/>
              <w:rPr>
                <w:sz w:val="20"/>
                <w:szCs w:val="20"/>
                <w:color w:val="auto"/>
              </w:rPr>
            </w:pPr>
            <w:r>
              <w:rPr>
                <w:rFonts w:ascii="Arial" w:cs="Arial" w:eastAsia="Arial" w:hAnsi="Arial"/>
                <w:sz w:val="13"/>
                <w:szCs w:val="13"/>
                <w:color w:val="auto"/>
              </w:rPr>
              <w:t>8,691</w:t>
            </w:r>
            <w:r>
              <w:rPr>
                <w:rFonts w:ascii="Arial" w:cs="Arial" w:eastAsia="Arial" w:hAnsi="Arial"/>
                <w:sz w:val="21"/>
                <w:szCs w:val="21"/>
                <w:color w:val="auto"/>
                <w:vertAlign w:val="superscript"/>
              </w:rPr>
              <w:t>(11)</w:t>
            </w:r>
          </w:p>
        </w:tc>
        <w:tc>
          <w:tcPr>
            <w:tcW w:w="1660" w:type="dxa"/>
            <w:vAlign w:val="bottom"/>
            <w:gridSpan w:val="2"/>
          </w:tcPr>
          <w:p>
            <w:pPr>
              <w:jc w:val="center"/>
              <w:ind w:left="539"/>
              <w:spacing w:after="0"/>
              <w:rPr>
                <w:sz w:val="20"/>
                <w:szCs w:val="20"/>
                <w:color w:val="auto"/>
              </w:rPr>
            </w:pPr>
            <w:r>
              <w:rPr>
                <w:rFonts w:ascii="Arial" w:cs="Arial" w:eastAsia="Arial" w:hAnsi="Arial"/>
                <w:sz w:val="16"/>
                <w:szCs w:val="16"/>
                <w:color w:val="auto"/>
              </w:rPr>
              <w:t>0.03</w:t>
            </w:r>
          </w:p>
        </w:tc>
        <w:tc>
          <w:tcPr>
            <w:tcW w:w="260" w:type="dxa"/>
            <w:vAlign w:val="bottom"/>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6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03/15/2017</w:t>
            </w:r>
          </w:p>
        </w:tc>
        <w:tc>
          <w:tcPr>
            <w:tcW w:w="272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3"/>
                <w:szCs w:val="13"/>
                <w:color w:val="auto"/>
              </w:rPr>
              <w:t>5,800</w:t>
            </w:r>
            <w:r>
              <w:rPr>
                <w:rFonts w:ascii="Arial" w:cs="Arial" w:eastAsia="Arial" w:hAnsi="Arial"/>
                <w:sz w:val="21"/>
                <w:szCs w:val="21"/>
                <w:color w:val="auto"/>
                <w:vertAlign w:val="superscript"/>
              </w:rPr>
              <w:t>(12)</w:t>
            </w:r>
          </w:p>
        </w:tc>
        <w:tc>
          <w:tcPr>
            <w:tcW w:w="166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color w:val="auto"/>
              </w:rPr>
              <w:t>0.02</w:t>
            </w:r>
          </w:p>
        </w:tc>
        <w:tc>
          <w:tcPr>
            <w:tcW w:w="260" w:type="dxa"/>
            <w:vAlign w:val="bottom"/>
            <w:shd w:val="clear" w:color="auto" w:fill="CCEEFF"/>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80" w:type="dxa"/>
            <w:vAlign w:val="bottom"/>
            <w:gridSpan w:val="3"/>
          </w:tcPr>
          <w:p>
            <w:pPr>
              <w:jc w:val="right"/>
              <w:ind w:right="460"/>
              <w:spacing w:after="0"/>
              <w:rPr>
                <w:sz w:val="20"/>
                <w:szCs w:val="20"/>
                <w:color w:val="auto"/>
              </w:rPr>
            </w:pPr>
            <w:r>
              <w:rPr>
                <w:rFonts w:ascii="Arial" w:cs="Arial" w:eastAsia="Arial" w:hAnsi="Arial"/>
                <w:sz w:val="16"/>
                <w:szCs w:val="16"/>
                <w:color w:val="auto"/>
              </w:rPr>
              <w:t>03/15/2017</w:t>
            </w:r>
          </w:p>
        </w:tc>
        <w:tc>
          <w:tcPr>
            <w:tcW w:w="2720" w:type="dxa"/>
            <w:vAlign w:val="bottom"/>
            <w:gridSpan w:val="3"/>
          </w:tcPr>
          <w:p>
            <w:pPr>
              <w:jc w:val="right"/>
              <w:ind w:right="340"/>
              <w:spacing w:after="0" w:line="189" w:lineRule="exact"/>
              <w:rPr>
                <w:sz w:val="20"/>
                <w:szCs w:val="20"/>
                <w:color w:val="auto"/>
              </w:rPr>
            </w:pPr>
            <w:r>
              <w:rPr>
                <w:rFonts w:ascii="Arial" w:cs="Arial" w:eastAsia="Arial" w:hAnsi="Arial"/>
                <w:sz w:val="13"/>
                <w:szCs w:val="13"/>
                <w:color w:val="auto"/>
              </w:rPr>
              <w:t>2,900</w:t>
            </w:r>
            <w:r>
              <w:rPr>
                <w:rFonts w:ascii="Arial" w:cs="Arial" w:eastAsia="Arial" w:hAnsi="Arial"/>
                <w:sz w:val="21"/>
                <w:szCs w:val="21"/>
                <w:color w:val="auto"/>
                <w:vertAlign w:val="superscript"/>
              </w:rPr>
              <w:t>(10)</w:t>
            </w:r>
          </w:p>
        </w:tc>
        <w:tc>
          <w:tcPr>
            <w:tcW w:w="1660" w:type="dxa"/>
            <w:vAlign w:val="bottom"/>
            <w:gridSpan w:val="2"/>
          </w:tcPr>
          <w:p>
            <w:pPr>
              <w:jc w:val="center"/>
              <w:ind w:left="539"/>
              <w:spacing w:after="0"/>
              <w:rPr>
                <w:sz w:val="20"/>
                <w:szCs w:val="20"/>
                <w:color w:val="auto"/>
              </w:rPr>
            </w:pPr>
            <w:r>
              <w:rPr>
                <w:rFonts w:ascii="Arial" w:cs="Arial" w:eastAsia="Arial" w:hAnsi="Arial"/>
                <w:sz w:val="16"/>
                <w:szCs w:val="16"/>
                <w:color w:val="auto"/>
              </w:rPr>
              <w:t>0.01</w:t>
            </w:r>
          </w:p>
        </w:tc>
        <w:tc>
          <w:tcPr>
            <w:tcW w:w="260" w:type="dxa"/>
            <w:vAlign w:val="bottom"/>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Hock E. Tan</w:t>
            </w:r>
          </w:p>
        </w:tc>
        <w:tc>
          <w:tcPr>
            <w:tcW w:w="26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06/15/2016</w:t>
            </w:r>
          </w:p>
        </w:tc>
        <w:tc>
          <w:tcPr>
            <w:tcW w:w="272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3"/>
                <w:szCs w:val="13"/>
                <w:color w:val="auto"/>
              </w:rPr>
              <w:t>240,000</w:t>
            </w:r>
            <w:r>
              <w:rPr>
                <w:rFonts w:ascii="Arial" w:cs="Arial" w:eastAsia="Arial" w:hAnsi="Arial"/>
                <w:sz w:val="21"/>
                <w:szCs w:val="21"/>
                <w:color w:val="auto"/>
                <w:vertAlign w:val="superscript"/>
              </w:rPr>
              <w:t>(13)</w:t>
            </w:r>
          </w:p>
        </w:tc>
        <w:tc>
          <w:tcPr>
            <w:tcW w:w="166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color w:val="auto"/>
              </w:rPr>
              <w:t>0.84</w:t>
            </w:r>
          </w:p>
        </w:tc>
        <w:tc>
          <w:tcPr>
            <w:tcW w:w="260" w:type="dxa"/>
            <w:vAlign w:val="bottom"/>
            <w:shd w:val="clear" w:color="auto" w:fill="CCEEFF"/>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80" w:type="dxa"/>
            <w:vAlign w:val="bottom"/>
            <w:gridSpan w:val="3"/>
          </w:tcPr>
          <w:p>
            <w:pPr>
              <w:jc w:val="right"/>
              <w:ind w:right="460"/>
              <w:spacing w:after="0"/>
              <w:rPr>
                <w:sz w:val="20"/>
                <w:szCs w:val="20"/>
                <w:color w:val="auto"/>
              </w:rPr>
            </w:pPr>
            <w:r>
              <w:rPr>
                <w:rFonts w:ascii="Arial" w:cs="Arial" w:eastAsia="Arial" w:hAnsi="Arial"/>
                <w:sz w:val="16"/>
                <w:szCs w:val="16"/>
                <w:color w:val="auto"/>
              </w:rPr>
              <w:t>12/15/2016</w:t>
            </w:r>
          </w:p>
        </w:tc>
        <w:tc>
          <w:tcPr>
            <w:tcW w:w="2720" w:type="dxa"/>
            <w:vAlign w:val="bottom"/>
            <w:gridSpan w:val="3"/>
          </w:tcPr>
          <w:p>
            <w:pPr>
              <w:jc w:val="right"/>
              <w:ind w:right="340"/>
              <w:spacing w:after="0" w:line="189" w:lineRule="exact"/>
              <w:rPr>
                <w:sz w:val="20"/>
                <w:szCs w:val="20"/>
                <w:color w:val="auto"/>
              </w:rPr>
            </w:pPr>
            <w:r>
              <w:rPr>
                <w:rFonts w:ascii="Arial" w:cs="Arial" w:eastAsia="Arial" w:hAnsi="Arial"/>
                <w:sz w:val="13"/>
                <w:szCs w:val="13"/>
                <w:color w:val="auto"/>
              </w:rPr>
              <w:t>6,010</w:t>
            </w:r>
            <w:r>
              <w:rPr>
                <w:rFonts w:ascii="Arial" w:cs="Arial" w:eastAsia="Arial" w:hAnsi="Arial"/>
                <w:sz w:val="21"/>
                <w:szCs w:val="21"/>
                <w:color w:val="auto"/>
                <w:vertAlign w:val="superscript"/>
              </w:rPr>
              <w:t>(10)</w:t>
            </w:r>
          </w:p>
        </w:tc>
        <w:tc>
          <w:tcPr>
            <w:tcW w:w="1660" w:type="dxa"/>
            <w:vAlign w:val="bottom"/>
            <w:gridSpan w:val="2"/>
          </w:tcPr>
          <w:p>
            <w:pPr>
              <w:jc w:val="center"/>
              <w:ind w:left="539"/>
              <w:spacing w:after="0"/>
              <w:rPr>
                <w:sz w:val="20"/>
                <w:szCs w:val="20"/>
                <w:color w:val="auto"/>
              </w:rPr>
            </w:pPr>
            <w:r>
              <w:rPr>
                <w:rFonts w:ascii="Arial" w:cs="Arial" w:eastAsia="Arial" w:hAnsi="Arial"/>
                <w:sz w:val="16"/>
                <w:szCs w:val="16"/>
                <w:color w:val="auto"/>
              </w:rPr>
              <w:t>0.02</w:t>
            </w:r>
          </w:p>
        </w:tc>
        <w:tc>
          <w:tcPr>
            <w:tcW w:w="260" w:type="dxa"/>
            <w:vAlign w:val="bottom"/>
          </w:tcPr>
          <w:p>
            <w:pPr>
              <w:spacing w:after="0"/>
              <w:rPr>
                <w:sz w:val="16"/>
                <w:szCs w:val="16"/>
                <w:color w:val="auto"/>
              </w:rPr>
            </w:pPr>
          </w:p>
        </w:tc>
      </w:tr>
      <w:tr>
        <w:trPr>
          <w:trHeight w:val="189"/>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6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06/15/2017</w:t>
            </w:r>
          </w:p>
        </w:tc>
        <w:tc>
          <w:tcPr>
            <w:tcW w:w="272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3"/>
                <w:szCs w:val="13"/>
                <w:color w:val="auto"/>
              </w:rPr>
              <w:t>756,000</w:t>
            </w:r>
            <w:r>
              <w:rPr>
                <w:rFonts w:ascii="Arial" w:cs="Arial" w:eastAsia="Arial" w:hAnsi="Arial"/>
                <w:sz w:val="21"/>
                <w:szCs w:val="21"/>
                <w:color w:val="auto"/>
                <w:vertAlign w:val="superscript"/>
              </w:rPr>
              <w:t>(14)</w:t>
            </w:r>
          </w:p>
        </w:tc>
        <w:tc>
          <w:tcPr>
            <w:tcW w:w="166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color w:val="auto"/>
              </w:rPr>
              <w:t>2.66</w:t>
            </w:r>
          </w:p>
        </w:tc>
        <w:tc>
          <w:tcPr>
            <w:tcW w:w="260" w:type="dxa"/>
            <w:vAlign w:val="bottom"/>
            <w:shd w:val="clear" w:color="auto" w:fill="CCEEFF"/>
          </w:tcPr>
          <w:p>
            <w:pPr>
              <w:spacing w:after="0"/>
              <w:rPr>
                <w:sz w:val="16"/>
                <w:szCs w:val="16"/>
                <w:color w:val="auto"/>
              </w:rPr>
            </w:pPr>
          </w:p>
        </w:tc>
      </w:tr>
    </w:tbl>
    <w:p>
      <w:pPr>
        <w:ind w:left="1520" w:hanging="546"/>
        <w:spacing w:after="0" w:line="232" w:lineRule="auto"/>
        <w:tabs>
          <w:tab w:leader="none" w:pos="1520" w:val="left"/>
        </w:tabs>
        <w:numPr>
          <w:ilvl w:val="0"/>
          <w:numId w:val="93"/>
        </w:numPr>
        <w:rPr>
          <w:rFonts w:ascii="Arial" w:cs="Arial" w:eastAsia="Arial" w:hAnsi="Arial"/>
          <w:sz w:val="28"/>
          <w:szCs w:val="28"/>
          <w:color w:val="auto"/>
          <w:vertAlign w:val="superscript"/>
        </w:rPr>
      </w:pPr>
      <w:r>
        <w:rPr>
          <w:rFonts w:ascii="Arial" w:cs="Arial" w:eastAsia="Arial" w:hAnsi="Arial"/>
          <w:sz w:val="16"/>
          <w:szCs w:val="16"/>
          <w:color w:val="auto"/>
        </w:rPr>
        <w:t>Options vested and exercisable as of 29 October 2017</w:t>
      </w:r>
    </w:p>
    <w:p>
      <w:pPr>
        <w:spacing w:after="0" w:line="1" w:lineRule="exact"/>
        <w:rPr>
          <w:rFonts w:ascii="Arial" w:cs="Arial" w:eastAsia="Arial" w:hAnsi="Arial"/>
          <w:sz w:val="28"/>
          <w:szCs w:val="28"/>
          <w:color w:val="auto"/>
          <w:vertAlign w:val="superscript"/>
        </w:rPr>
      </w:pPr>
    </w:p>
    <w:p>
      <w:pPr>
        <w:jc w:val="both"/>
        <w:ind w:left="1520" w:right="20" w:hanging="546"/>
        <w:spacing w:after="0" w:line="207" w:lineRule="auto"/>
        <w:tabs>
          <w:tab w:leader="none" w:pos="1520" w:val="left"/>
        </w:tabs>
        <w:numPr>
          <w:ilvl w:val="0"/>
          <w:numId w:val="93"/>
        </w:numPr>
        <w:rPr>
          <w:rFonts w:ascii="Arial" w:cs="Arial" w:eastAsia="Arial" w:hAnsi="Arial"/>
          <w:sz w:val="28"/>
          <w:szCs w:val="28"/>
          <w:color w:val="auto"/>
          <w:vertAlign w:val="superscript"/>
        </w:rPr>
      </w:pPr>
      <w:r>
        <w:rPr>
          <w:rFonts w:ascii="Arial" w:cs="Arial" w:eastAsia="Arial" w:hAnsi="Arial"/>
          <w:sz w:val="16"/>
          <w:szCs w:val="16"/>
          <w:color w:val="auto"/>
        </w:rPr>
        <w:t>This performance-based option vested over four years, with 25% vesting on each anniversary of the date of grant, subject to Mr. Tan’s continued employment with the Group; however, the option only became exercisable when the date on which the average of the closing prices of the Company’s ordinary shares (as reported on the Nasdaq), over a 10 consecutive trading day period equals or exceeds 120% of the exercise price of the option. The exercisability condition for this option has been met.</w:t>
      </w:r>
    </w:p>
    <w:p>
      <w:pPr>
        <w:spacing w:after="0" w:line="2" w:lineRule="exact"/>
        <w:rPr>
          <w:rFonts w:ascii="Arial" w:cs="Arial" w:eastAsia="Arial" w:hAnsi="Arial"/>
          <w:sz w:val="28"/>
          <w:szCs w:val="28"/>
          <w:color w:val="auto"/>
          <w:vertAlign w:val="superscript"/>
        </w:rPr>
      </w:pPr>
    </w:p>
    <w:p>
      <w:pPr>
        <w:jc w:val="both"/>
        <w:ind w:left="1520" w:right="20" w:hanging="546"/>
        <w:spacing w:after="0"/>
        <w:tabs>
          <w:tab w:leader="none" w:pos="1520" w:val="left"/>
        </w:tabs>
        <w:numPr>
          <w:ilvl w:val="0"/>
          <w:numId w:val="93"/>
        </w:numPr>
        <w:rPr>
          <w:rFonts w:ascii="Arial" w:cs="Arial" w:eastAsia="Arial" w:hAnsi="Arial"/>
          <w:sz w:val="28"/>
          <w:szCs w:val="28"/>
          <w:color w:val="auto"/>
          <w:vertAlign w:val="superscript"/>
        </w:rPr>
      </w:pPr>
      <w:r>
        <w:rPr>
          <w:rFonts w:ascii="Arial" w:cs="Arial" w:eastAsia="Arial" w:hAnsi="Arial"/>
          <w:sz w:val="16"/>
          <w:szCs w:val="16"/>
          <w:color w:val="auto"/>
        </w:rPr>
        <w:t>This performance-based option vests at the rate of 25% the shares subject thereto on each anniversary of the grant date, subject to the executive’s continued employment with the Company. This performance share option only became exercisable as to any tranche of 20% of the shares covered by the option if the price target applicable to that target was met. In order for a price target to be met, the average of the closing prices of the Company’s ordinary shares, over a 30 consecutive trading day period equal or exceed the applicable share price target. The price targets range from US$50.00 per share to US$75.00 per share. All price targets for this option have been met.</w:t>
      </w:r>
    </w:p>
    <w:p>
      <w:pPr>
        <w:spacing w:after="0" w:line="76" w:lineRule="exact"/>
        <w:rPr>
          <w:rFonts w:ascii="Arial" w:cs="Arial" w:eastAsia="Arial" w:hAnsi="Arial"/>
          <w:sz w:val="28"/>
          <w:szCs w:val="28"/>
          <w:color w:val="auto"/>
          <w:vertAlign w:val="superscript"/>
        </w:rPr>
      </w:pPr>
    </w:p>
    <w:p>
      <w:pPr>
        <w:jc w:val="both"/>
        <w:ind w:left="1520" w:right="20" w:hanging="546"/>
        <w:spacing w:after="0" w:line="197" w:lineRule="auto"/>
        <w:tabs>
          <w:tab w:leader="none" w:pos="1520" w:val="left"/>
        </w:tabs>
        <w:numPr>
          <w:ilvl w:val="0"/>
          <w:numId w:val="93"/>
        </w:numPr>
        <w:rPr>
          <w:rFonts w:ascii="Arial" w:cs="Arial" w:eastAsia="Arial" w:hAnsi="Arial"/>
          <w:sz w:val="28"/>
          <w:szCs w:val="28"/>
          <w:color w:val="auto"/>
          <w:vertAlign w:val="superscript"/>
        </w:rPr>
      </w:pPr>
      <w:r>
        <w:rPr>
          <w:rFonts w:ascii="Arial" w:cs="Arial" w:eastAsia="Arial" w:hAnsi="Arial"/>
          <w:sz w:val="16"/>
          <w:szCs w:val="16"/>
          <w:color w:val="auto"/>
        </w:rPr>
        <w:t>Granted during the financial year ended 29 October 2017 and vest in full on the earlier of (i) the first anniversary of the grant date or (ii) the date on which the annual general meeting of shareholders immediately following the grant date is held, subject to the director’s continued service with the Company on the vesting date.</w:t>
      </w:r>
    </w:p>
    <w:p>
      <w:pPr>
        <w:ind w:left="1520" w:right="20" w:hanging="546"/>
        <w:spacing w:after="0" w:line="187" w:lineRule="auto"/>
        <w:tabs>
          <w:tab w:leader="none" w:pos="1520" w:val="left"/>
        </w:tabs>
        <w:numPr>
          <w:ilvl w:val="0"/>
          <w:numId w:val="93"/>
        </w:numPr>
        <w:rPr>
          <w:rFonts w:ascii="Arial" w:cs="Arial" w:eastAsia="Arial" w:hAnsi="Arial"/>
          <w:sz w:val="26"/>
          <w:szCs w:val="26"/>
          <w:color w:val="auto"/>
          <w:vertAlign w:val="superscript"/>
        </w:rPr>
      </w:pPr>
      <w:r>
        <w:rPr>
          <w:rFonts w:ascii="Arial" w:cs="Arial" w:eastAsia="Arial" w:hAnsi="Arial"/>
          <w:sz w:val="16"/>
          <w:szCs w:val="16"/>
          <w:color w:val="auto"/>
        </w:rPr>
        <w:t>Granted during the financial year ended 29 October 2017 and vest in full on the first anniversary of the grant date, subject to the director’s continued service with the Company on the vesting date.</w:t>
      </w:r>
    </w:p>
    <w:p>
      <w:pPr>
        <w:spacing w:after="0" w:line="1" w:lineRule="exact"/>
        <w:rPr>
          <w:rFonts w:ascii="Arial" w:cs="Arial" w:eastAsia="Arial" w:hAnsi="Arial"/>
          <w:sz w:val="26"/>
          <w:szCs w:val="26"/>
          <w:color w:val="auto"/>
          <w:vertAlign w:val="superscript"/>
        </w:rPr>
      </w:pPr>
    </w:p>
    <w:p>
      <w:pPr>
        <w:ind w:left="1520" w:right="20" w:hanging="546"/>
        <w:spacing w:after="0" w:line="182" w:lineRule="auto"/>
        <w:tabs>
          <w:tab w:leader="none" w:pos="1520" w:val="left"/>
        </w:tabs>
        <w:numPr>
          <w:ilvl w:val="0"/>
          <w:numId w:val="93"/>
        </w:numPr>
        <w:rPr>
          <w:rFonts w:ascii="Arial" w:cs="Arial" w:eastAsia="Arial" w:hAnsi="Arial"/>
          <w:sz w:val="28"/>
          <w:szCs w:val="28"/>
          <w:color w:val="auto"/>
          <w:vertAlign w:val="superscript"/>
        </w:rPr>
      </w:pPr>
      <w:r>
        <w:rPr>
          <w:rFonts w:ascii="Arial" w:cs="Arial" w:eastAsia="Arial" w:hAnsi="Arial"/>
          <w:sz w:val="16"/>
          <w:szCs w:val="16"/>
          <w:color w:val="auto"/>
        </w:rPr>
        <w:t>This RSU was assumed in connection with the acquisition of BRCM on 2/1/2016 and was issued under the 2012 Plan. This RSU vests in equal quarterly instalments and such that the RSU vests in full on February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98425</wp:posOffset>
            </wp:positionV>
            <wp:extent cx="6997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STATEMENT</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Directors’ Interests in Shares or Debentures </w:t>
      </w:r>
      <w:r>
        <w:rPr>
          <w:rFonts w:ascii="Arial" w:cs="Arial" w:eastAsia="Arial" w:hAnsi="Arial"/>
          <w:sz w:val="20"/>
          <w:szCs w:val="20"/>
          <w:color w:val="auto"/>
        </w:rPr>
        <w:t>(continued)</w:t>
      </w:r>
    </w:p>
    <w:p>
      <w:pPr>
        <w:spacing w:after="0" w:line="161" w:lineRule="exact"/>
        <w:rPr>
          <w:sz w:val="20"/>
          <w:szCs w:val="20"/>
          <w:color w:val="auto"/>
        </w:rPr>
      </w:pPr>
    </w:p>
    <w:p>
      <w:pPr>
        <w:ind w:left="980" w:hanging="776"/>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(continued)</w:t>
      </w:r>
    </w:p>
    <w:p>
      <w:pPr>
        <w:spacing w:after="0" w:line="146" w:lineRule="exact"/>
        <w:rPr>
          <w:rFonts w:ascii="Arial" w:cs="Arial" w:eastAsia="Arial" w:hAnsi="Arial"/>
          <w:sz w:val="18"/>
          <w:szCs w:val="18"/>
          <w:color w:val="auto"/>
        </w:rPr>
      </w:pPr>
    </w:p>
    <w:p>
      <w:pPr>
        <w:jc w:val="both"/>
        <w:ind w:left="1520" w:hanging="546"/>
        <w:spacing w:after="0" w:line="197" w:lineRule="auto"/>
        <w:tabs>
          <w:tab w:leader="none" w:pos="1520" w:val="left"/>
        </w:tabs>
        <w:numPr>
          <w:ilvl w:val="1"/>
          <w:numId w:val="94"/>
        </w:numPr>
        <w:rPr>
          <w:rFonts w:ascii="Arial" w:cs="Arial" w:eastAsia="Arial" w:hAnsi="Arial"/>
          <w:sz w:val="28"/>
          <w:szCs w:val="28"/>
          <w:color w:val="auto"/>
          <w:vertAlign w:val="superscript"/>
        </w:rPr>
      </w:pPr>
      <w:r>
        <w:rPr>
          <w:rFonts w:ascii="Arial" w:cs="Arial" w:eastAsia="Arial" w:hAnsi="Arial"/>
          <w:sz w:val="16"/>
          <w:szCs w:val="16"/>
          <w:color w:val="auto"/>
        </w:rPr>
        <w:t>This RSU was assumed in connection with the acquisition of BRCM on 2/1/2016 and was issued under the 2012 Plan. This RSU vests in equal quarterly instalments and such that the RSU vests in full on February 5, 2019, subject to the executive’s continued employment with us.</w:t>
      </w:r>
    </w:p>
    <w:p>
      <w:pPr>
        <w:jc w:val="both"/>
        <w:ind w:left="1520" w:hanging="546"/>
        <w:spacing w:after="0" w:line="197" w:lineRule="auto"/>
        <w:tabs>
          <w:tab w:leader="none" w:pos="1520" w:val="left"/>
        </w:tabs>
        <w:numPr>
          <w:ilvl w:val="1"/>
          <w:numId w:val="94"/>
        </w:numPr>
        <w:rPr>
          <w:rFonts w:ascii="Arial" w:cs="Arial" w:eastAsia="Arial" w:hAnsi="Arial"/>
          <w:sz w:val="28"/>
          <w:szCs w:val="28"/>
          <w:color w:val="auto"/>
          <w:vertAlign w:val="superscript"/>
        </w:rPr>
      </w:pPr>
      <w:r>
        <w:rPr>
          <w:rFonts w:ascii="Arial" w:cs="Arial" w:eastAsia="Arial" w:hAnsi="Arial"/>
          <w:sz w:val="16"/>
          <w:szCs w:val="16"/>
          <w:color w:val="auto"/>
        </w:rPr>
        <w:t>This RSU was assumed in connection with the acquisition of BRCM on 2/1/2016 and was issued under the 2012 Plan. This RSU vests in equal quarterly instalments and such that the RSU vests in full on February 5, 2020, subject to the executive’s continued employment with us.</w:t>
      </w:r>
    </w:p>
    <w:p>
      <w:pPr>
        <w:jc w:val="both"/>
        <w:ind w:left="1520" w:hanging="546"/>
        <w:spacing w:after="0" w:line="197" w:lineRule="auto"/>
        <w:tabs>
          <w:tab w:leader="none" w:pos="1520" w:val="left"/>
        </w:tabs>
        <w:numPr>
          <w:ilvl w:val="1"/>
          <w:numId w:val="94"/>
        </w:numPr>
        <w:rPr>
          <w:rFonts w:ascii="Arial" w:cs="Arial" w:eastAsia="Arial" w:hAnsi="Arial"/>
          <w:sz w:val="28"/>
          <w:szCs w:val="28"/>
          <w:color w:val="auto"/>
          <w:vertAlign w:val="superscript"/>
        </w:rPr>
      </w:pPr>
      <w:r>
        <w:rPr>
          <w:rFonts w:ascii="Arial" w:cs="Arial" w:eastAsia="Arial" w:hAnsi="Arial"/>
          <w:sz w:val="16"/>
          <w:szCs w:val="16"/>
          <w:color w:val="auto"/>
        </w:rPr>
        <w:t>This RSU was assumed in connection with the acquisition of BRCM on 2/1/2016 and was issued under the 2012 Plan. This RSU vests in equal quarterly instalments and such that the RSU vests in full on February 5, 2021, subject to the executive’s continued employment with us.</w:t>
      </w:r>
    </w:p>
    <w:p>
      <w:pPr>
        <w:ind w:left="1520" w:hanging="546"/>
        <w:spacing w:after="0" w:line="185" w:lineRule="auto"/>
        <w:tabs>
          <w:tab w:leader="none" w:pos="1520" w:val="left"/>
        </w:tabs>
        <w:numPr>
          <w:ilvl w:val="1"/>
          <w:numId w:val="94"/>
        </w:numPr>
        <w:rPr>
          <w:rFonts w:ascii="Arial" w:cs="Arial" w:eastAsia="Arial" w:hAnsi="Arial"/>
          <w:sz w:val="26"/>
          <w:szCs w:val="26"/>
          <w:color w:val="auto"/>
          <w:vertAlign w:val="superscript"/>
        </w:rPr>
      </w:pPr>
      <w:r>
        <w:rPr>
          <w:rFonts w:ascii="Arial" w:cs="Arial" w:eastAsia="Arial" w:hAnsi="Arial"/>
          <w:sz w:val="16"/>
          <w:szCs w:val="16"/>
          <w:color w:val="auto"/>
        </w:rPr>
        <w:t>This RSU vests in four annual instalments of 25% each on the anniversary of the grant date, subject to the executive’s continued employment with the Company.</w:t>
      </w:r>
    </w:p>
    <w:p>
      <w:pPr>
        <w:spacing w:after="0" w:line="5" w:lineRule="exact"/>
        <w:rPr>
          <w:rFonts w:ascii="Arial" w:cs="Arial" w:eastAsia="Arial" w:hAnsi="Arial"/>
          <w:sz w:val="26"/>
          <w:szCs w:val="26"/>
          <w:color w:val="auto"/>
          <w:vertAlign w:val="superscript"/>
        </w:rPr>
      </w:pPr>
    </w:p>
    <w:p>
      <w:pPr>
        <w:jc w:val="both"/>
        <w:ind w:left="1520" w:hanging="546"/>
        <w:spacing w:after="0" w:line="213" w:lineRule="auto"/>
        <w:tabs>
          <w:tab w:leader="none" w:pos="1520" w:val="left"/>
        </w:tabs>
        <w:numPr>
          <w:ilvl w:val="1"/>
          <w:numId w:val="94"/>
        </w:numPr>
        <w:rPr>
          <w:rFonts w:ascii="Arial" w:cs="Arial" w:eastAsia="Arial" w:hAnsi="Arial"/>
          <w:sz w:val="28"/>
          <w:szCs w:val="28"/>
          <w:color w:val="auto"/>
          <w:vertAlign w:val="superscript"/>
        </w:rPr>
      </w:pPr>
      <w:r>
        <w:rPr>
          <w:rFonts w:ascii="Arial" w:cs="Arial" w:eastAsia="Arial" w:hAnsi="Arial"/>
          <w:sz w:val="16"/>
          <w:szCs w:val="16"/>
          <w:color w:val="auto"/>
        </w:rPr>
        <w:t>This performance-based RSU is scheduled to vest at a rate of 25% a year on each anniversary of the grant date, subject to the executive’s continued employment with us and satisfaction of a share price contingency (set at the grant date). No shares will vest until the average closing price per share of our ordinary shares over a 20 consecutive trading day period is equal to or greater than 120% of the fair market value of an ordinary share on the grant date. The share price contingency was met prior to the fourth anniversary of the grant date and therefore all of the shares subject to the RSU have the potential to vest (assuming continued service).</w:t>
      </w:r>
    </w:p>
    <w:p>
      <w:pPr>
        <w:spacing w:after="0" w:line="6" w:lineRule="exact"/>
        <w:rPr>
          <w:rFonts w:ascii="Arial" w:cs="Arial" w:eastAsia="Arial" w:hAnsi="Arial"/>
          <w:sz w:val="28"/>
          <w:szCs w:val="28"/>
          <w:color w:val="auto"/>
          <w:vertAlign w:val="superscript"/>
        </w:rPr>
      </w:pPr>
    </w:p>
    <w:p>
      <w:pPr>
        <w:jc w:val="both"/>
        <w:ind w:left="1520" w:hanging="546"/>
        <w:spacing w:after="0" w:line="229" w:lineRule="auto"/>
        <w:tabs>
          <w:tab w:leader="none" w:pos="1520" w:val="left"/>
        </w:tabs>
        <w:numPr>
          <w:ilvl w:val="1"/>
          <w:numId w:val="94"/>
        </w:numPr>
        <w:rPr>
          <w:rFonts w:ascii="Arial" w:cs="Arial" w:eastAsia="Arial" w:hAnsi="Arial"/>
          <w:sz w:val="28"/>
          <w:szCs w:val="28"/>
          <w:color w:val="auto"/>
          <w:vertAlign w:val="superscript"/>
        </w:rPr>
      </w:pPr>
      <w:r>
        <w:rPr>
          <w:rFonts w:ascii="Arial" w:cs="Arial" w:eastAsia="Arial" w:hAnsi="Arial"/>
          <w:sz w:val="16"/>
          <w:szCs w:val="16"/>
          <w:color w:val="auto"/>
        </w:rPr>
        <w:t>This performance-based RSU will vest at a rate of 25% per year on the later of (i) each anniversary of the grant date and (ii) the last day of the performance period, subject to the executives continued employment with us through the relevant vesting date and subject to the achievement of specified performance goals over each performance period, as determined by the Compensation Committee within 60 days following the end of each performance period. The performance criteria is based on our total shareholder return (“TSR”) relative to the S&amp;P 500 Index (“Relative TSR”) over four overlapping performance periods beginning on the grant date and ending on each of March 14 of 2018, 2019, 2020 and 2021. The number of ordinary shares that may be earned is capped at one-quarter of the target number of ordinary shares for each of the first three performance periods. In the aggregate, the executive may earn up to 200% of the total target number of ordinary shares subject to the performance-based RSU, if during the fourth performance period our Relative TSR is at or above the 75th percentile of the S&amp;P 500 Index and our absolute TSR is not negative. If the minimum performance criterion is not met, no ordinary shares will be issued and this award will be cancelled.</w:t>
      </w:r>
    </w:p>
    <w:p>
      <w:pPr>
        <w:spacing w:after="0" w:line="3" w:lineRule="exact"/>
        <w:rPr>
          <w:rFonts w:ascii="Arial" w:cs="Arial" w:eastAsia="Arial" w:hAnsi="Arial"/>
          <w:sz w:val="28"/>
          <w:szCs w:val="28"/>
          <w:color w:val="auto"/>
          <w:vertAlign w:val="superscript"/>
        </w:rPr>
      </w:pPr>
    </w:p>
    <w:p>
      <w:pPr>
        <w:jc w:val="both"/>
        <w:ind w:left="1520" w:hanging="546"/>
        <w:spacing w:after="0" w:line="222" w:lineRule="auto"/>
        <w:tabs>
          <w:tab w:leader="none" w:pos="1520" w:val="left"/>
        </w:tabs>
        <w:numPr>
          <w:ilvl w:val="1"/>
          <w:numId w:val="94"/>
        </w:numPr>
        <w:rPr>
          <w:rFonts w:ascii="Arial" w:cs="Arial" w:eastAsia="Arial" w:hAnsi="Arial"/>
          <w:sz w:val="28"/>
          <w:szCs w:val="28"/>
          <w:color w:val="auto"/>
          <w:vertAlign w:val="superscript"/>
        </w:rPr>
      </w:pPr>
      <w:r>
        <w:rPr>
          <w:rFonts w:ascii="Arial" w:cs="Arial" w:eastAsia="Arial" w:hAnsi="Arial"/>
          <w:sz w:val="16"/>
          <w:szCs w:val="16"/>
          <w:color w:val="auto"/>
        </w:rPr>
        <w:t>This performance-based RSUs vests in full upon completion of the three-year performance period, subject to continued employment with us and achievement of specified performance goals over the performance period, as determined by the independent members of the Board within 60 days following the end of performance period. The independent members of the Board will determine the achievement of two factors (i) the Relative TSR over the performance period and (ii) our share price growth over the performance period, based on 90-day trailing average prices at the start and end of the performance period. Based upon the level of performance achieved, a maximum of 240,000 shares may be earned under this award. If the minimum performance goals are not met, no shares will be issued under this award and it will be cancelled.</w:t>
      </w:r>
    </w:p>
    <w:p>
      <w:pPr>
        <w:spacing w:after="0" w:line="4" w:lineRule="exact"/>
        <w:rPr>
          <w:rFonts w:ascii="Arial" w:cs="Arial" w:eastAsia="Arial" w:hAnsi="Arial"/>
          <w:sz w:val="28"/>
          <w:szCs w:val="28"/>
          <w:color w:val="auto"/>
          <w:vertAlign w:val="superscript"/>
        </w:rPr>
      </w:pPr>
    </w:p>
    <w:p>
      <w:pPr>
        <w:jc w:val="both"/>
        <w:ind w:left="1520" w:hanging="546"/>
        <w:spacing w:after="0" w:line="228" w:lineRule="auto"/>
        <w:tabs>
          <w:tab w:leader="none" w:pos="1520" w:val="left"/>
        </w:tabs>
        <w:numPr>
          <w:ilvl w:val="1"/>
          <w:numId w:val="94"/>
        </w:numPr>
        <w:rPr>
          <w:rFonts w:ascii="Arial" w:cs="Arial" w:eastAsia="Arial" w:hAnsi="Arial"/>
          <w:sz w:val="28"/>
          <w:szCs w:val="28"/>
          <w:color w:val="auto"/>
          <w:vertAlign w:val="superscript"/>
        </w:rPr>
      </w:pPr>
      <w:r>
        <w:rPr>
          <w:rFonts w:ascii="Arial" w:cs="Arial" w:eastAsia="Arial" w:hAnsi="Arial"/>
          <w:sz w:val="16"/>
          <w:szCs w:val="16"/>
          <w:color w:val="auto"/>
        </w:rPr>
        <w:t>This performance-based RSU vests in two overlapping performance periods, one over a three-year performance period ending in 2020 (“Performance Period #1”) and one four-year performance period ending in 2021 (“Performance Period #2”, together with Performance Period 1, the “Performance Periods”), with each commencing on June 15, 2017. The shares earned at the end of each Performance Period will be fully vested on the last day of each Performance Period, subject to Mr. Tan’s continued employment with us through each such date. The number of ordinary shares earned during a Performance Period will depend on the level of performance achieved based on our Relative TSR and our absolute TSR over the Performance Periods, as determined by the independent members of the Board within 60 days following the end of each Performance Period. Based upon the level of performance achieved, a maximum of 756,000 shares may be earned under this performance-based RSU. If the minimum performance goals are not met, no shares will be issued under this award and its will be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STATEMENT</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Equity Awards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award activities under all of the Company’s equity incentive plans is as set out below:</w:t>
      </w:r>
    </w:p>
    <w:p>
      <w:pPr>
        <w:spacing w:after="0" w:line="220"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60" w:type="dxa"/>
            <w:vAlign w:val="bottom"/>
            <w:gridSpan w:val="10"/>
          </w:tcPr>
          <w:p>
            <w:pPr>
              <w:jc w:val="right"/>
              <w:ind w:right="720"/>
              <w:spacing w:after="0"/>
              <w:rPr>
                <w:sz w:val="20"/>
                <w:szCs w:val="20"/>
                <w:color w:val="auto"/>
              </w:rPr>
            </w:pPr>
            <w:r>
              <w:rPr>
                <w:rFonts w:ascii="Arial" w:cs="Arial" w:eastAsia="Arial" w:hAnsi="Arial"/>
                <w:sz w:val="17"/>
                <w:szCs w:val="17"/>
                <w:color w:val="auto"/>
              </w:rPr>
              <w:t>Ordinary Shares Underlying Awards Outstanding</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3"/>
          </w:tcPr>
          <w:p>
            <w:pPr>
              <w:jc w:val="center"/>
              <w:ind w:left="181"/>
              <w:spacing w:after="0" w:line="220" w:lineRule="exact"/>
              <w:rPr>
                <w:sz w:val="20"/>
                <w:szCs w:val="20"/>
                <w:color w:val="auto"/>
              </w:rPr>
            </w:pPr>
            <w:r>
              <w:rPr>
                <w:rFonts w:ascii="Arial" w:cs="Arial" w:eastAsia="Arial" w:hAnsi="Arial"/>
                <w:sz w:val="20"/>
                <w:szCs w:val="20"/>
                <w:color w:val="auto"/>
                <w:w w:val="98"/>
              </w:rPr>
              <w:t>Weighted-</w:t>
            </w:r>
          </w:p>
        </w:tc>
        <w:tc>
          <w:tcPr>
            <w:tcW w:w="10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center"/>
              <w:ind w:right="280"/>
              <w:spacing w:after="0" w:line="216" w:lineRule="exact"/>
              <w:rPr>
                <w:sz w:val="20"/>
                <w:szCs w:val="20"/>
                <w:color w:val="auto"/>
              </w:rPr>
            </w:pPr>
            <w:r>
              <w:rPr>
                <w:rFonts w:ascii="Arial" w:cs="Arial" w:eastAsia="Arial" w:hAnsi="Arial"/>
                <w:sz w:val="20"/>
                <w:szCs w:val="20"/>
                <w:color w:val="auto"/>
                <w:w w:val="99"/>
              </w:rPr>
              <w:t>average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3"/>
          </w:tcPr>
          <w:p>
            <w:pPr>
              <w:jc w:val="center"/>
              <w:ind w:right="420"/>
              <w:spacing w:after="0" w:line="216" w:lineRule="exact"/>
              <w:rPr>
                <w:sz w:val="20"/>
                <w:szCs w:val="20"/>
                <w:color w:val="auto"/>
              </w:rPr>
            </w:pPr>
            <w:r>
              <w:rPr>
                <w:rFonts w:ascii="Arial" w:cs="Arial" w:eastAsia="Arial" w:hAnsi="Arial"/>
                <w:sz w:val="20"/>
                <w:szCs w:val="20"/>
                <w:color w:val="auto"/>
                <w:w w:val="98"/>
              </w:rPr>
              <w:t>Number</w:t>
            </w:r>
          </w:p>
        </w:tc>
        <w:tc>
          <w:tcPr>
            <w:tcW w:w="1660" w:type="dxa"/>
            <w:vAlign w:val="bottom"/>
            <w:gridSpan w:val="3"/>
          </w:tcPr>
          <w:p>
            <w:pPr>
              <w:jc w:val="right"/>
              <w:ind w:right="80"/>
              <w:spacing w:after="0" w:line="216" w:lineRule="exact"/>
              <w:rPr>
                <w:sz w:val="20"/>
                <w:szCs w:val="20"/>
                <w:color w:val="auto"/>
              </w:rPr>
            </w:pPr>
            <w:r>
              <w:rPr>
                <w:rFonts w:ascii="Arial" w:cs="Arial" w:eastAsia="Arial" w:hAnsi="Arial"/>
                <w:sz w:val="20"/>
                <w:szCs w:val="20"/>
                <w:color w:val="auto"/>
              </w:rPr>
              <w:t>exercise price</w:t>
            </w:r>
          </w:p>
        </w:tc>
        <w:tc>
          <w:tcPr>
            <w:tcW w:w="1960" w:type="dxa"/>
            <w:vAlign w:val="bottom"/>
            <w:gridSpan w:val="4"/>
          </w:tcPr>
          <w:p>
            <w:pPr>
              <w:jc w:val="right"/>
              <w:ind w:right="260"/>
              <w:spacing w:after="0" w:line="216" w:lineRule="exact"/>
              <w:rPr>
                <w:sz w:val="20"/>
                <w:szCs w:val="20"/>
                <w:color w:val="auto"/>
              </w:rPr>
            </w:pPr>
            <w:r>
              <w:rPr>
                <w:rFonts w:ascii="Arial" w:cs="Arial" w:eastAsia="Arial" w:hAnsi="Arial"/>
                <w:sz w:val="20"/>
                <w:szCs w:val="20"/>
                <w:color w:val="auto"/>
              </w:rPr>
              <w:t>Expiration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100" w:type="dxa"/>
            <w:vAlign w:val="bottom"/>
            <w:gridSpan w:val="4"/>
          </w:tcPr>
          <w:p>
            <w:pPr>
              <w:jc w:val="center"/>
              <w:ind w:left="141"/>
              <w:spacing w:after="0" w:line="220" w:lineRule="exact"/>
              <w:rPr>
                <w:sz w:val="20"/>
                <w:szCs w:val="20"/>
                <w:color w:val="auto"/>
              </w:rPr>
            </w:pPr>
            <w:r>
              <w:rPr>
                <w:rFonts w:ascii="Arial" w:cs="Arial" w:eastAsia="Arial" w:hAnsi="Arial"/>
                <w:sz w:val="20"/>
                <w:szCs w:val="20"/>
                <w:color w:val="auto"/>
                <w:w w:val="98"/>
              </w:rPr>
              <w:t>outstanding</w:t>
            </w:r>
          </w:p>
        </w:tc>
        <w:tc>
          <w:tcPr>
            <w:tcW w:w="540" w:type="dxa"/>
            <w:vAlign w:val="bottom"/>
          </w:tcPr>
          <w:p>
            <w:pPr>
              <w:spacing w:after="0"/>
              <w:rPr>
                <w:sz w:val="19"/>
                <w:szCs w:val="19"/>
                <w:color w:val="auto"/>
              </w:rPr>
            </w:pPr>
          </w:p>
        </w:tc>
        <w:tc>
          <w:tcPr>
            <w:tcW w:w="1120" w:type="dxa"/>
            <w:vAlign w:val="bottom"/>
            <w:gridSpan w:val="2"/>
          </w:tcPr>
          <w:p>
            <w:pPr>
              <w:jc w:val="center"/>
              <w:ind w:right="280"/>
              <w:spacing w:after="0" w:line="220" w:lineRule="exact"/>
              <w:rPr>
                <w:sz w:val="20"/>
                <w:szCs w:val="20"/>
                <w:color w:val="auto"/>
              </w:rPr>
            </w:pPr>
            <w:r>
              <w:rPr>
                <w:rFonts w:ascii="Arial" w:cs="Arial" w:eastAsia="Arial" w:hAnsi="Arial"/>
                <w:sz w:val="20"/>
                <w:szCs w:val="20"/>
                <w:color w:val="auto"/>
                <w:w w:val="99"/>
              </w:rPr>
              <w:t>per share</w:t>
            </w:r>
          </w:p>
        </w:tc>
        <w:tc>
          <w:tcPr>
            <w:tcW w:w="1960" w:type="dxa"/>
            <w:vAlign w:val="bottom"/>
            <w:gridSpan w:val="4"/>
          </w:tcPr>
          <w:p>
            <w:pPr>
              <w:jc w:val="right"/>
              <w:ind w:right="500"/>
              <w:spacing w:after="0" w:line="220" w:lineRule="exact"/>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Borders>
              <w:top w:val="single" w:sz="8" w:color="auto"/>
            </w:tcBorders>
            <w:gridSpan w:val="2"/>
          </w:tcPr>
          <w:p>
            <w:pPr>
              <w:jc w:val="center"/>
              <w:ind w:right="20"/>
              <w:spacing w:after="0" w:line="196" w:lineRule="exact"/>
              <w:rPr>
                <w:sz w:val="20"/>
                <w:szCs w:val="20"/>
                <w:color w:val="auto"/>
              </w:rPr>
            </w:pPr>
            <w:r>
              <w:rPr>
                <w:rFonts w:ascii="Arial" w:cs="Arial" w:eastAsia="Arial" w:hAnsi="Arial"/>
                <w:sz w:val="20"/>
                <w:szCs w:val="20"/>
                <w:color w:val="auto"/>
                <w:w w:val="98"/>
              </w:rPr>
              <w:t>(in millions)</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20"/>
                <w:szCs w:val="20"/>
                <w:color w:val="auto"/>
                <w:w w:val="99"/>
              </w:rPr>
              <w:t>(US$)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Balance as of 31 October 2016</w:t>
            </w:r>
          </w:p>
        </w:tc>
        <w:tc>
          <w:tcPr>
            <w:tcW w:w="2100" w:type="dxa"/>
            <w:vAlign w:val="bottom"/>
            <w:gridSpan w:val="4"/>
            <w:shd w:val="clear" w:color="auto" w:fill="CCEEFF"/>
          </w:tcPr>
          <w:p>
            <w:pPr>
              <w:jc w:val="right"/>
              <w:ind w:right="420"/>
              <w:spacing w:after="0" w:line="216" w:lineRule="exact"/>
              <w:rPr>
                <w:sz w:val="20"/>
                <w:szCs w:val="20"/>
                <w:color w:val="auto"/>
              </w:rPr>
            </w:pPr>
            <w:r>
              <w:rPr>
                <w:rFonts w:ascii="Arial" w:cs="Arial" w:eastAsia="Arial" w:hAnsi="Arial"/>
                <w:sz w:val="20"/>
                <w:szCs w:val="20"/>
                <w:color w:val="auto"/>
              </w:rPr>
              <w:t>15</w:t>
            </w:r>
          </w:p>
        </w:tc>
        <w:tc>
          <w:tcPr>
            <w:tcW w:w="166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48.77</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line="216" w:lineRule="exact"/>
              <w:rPr>
                <w:sz w:val="20"/>
                <w:szCs w:val="20"/>
                <w:color w:val="auto"/>
              </w:rPr>
            </w:pPr>
            <w:r>
              <w:rPr>
                <w:rFonts w:ascii="Arial" w:cs="Arial" w:eastAsia="Arial" w:hAnsi="Arial"/>
                <w:sz w:val="20"/>
                <w:szCs w:val="20"/>
                <w:color w:val="auto"/>
              </w:rPr>
              <w:t>Exercised</w:t>
            </w:r>
          </w:p>
        </w:tc>
        <w:tc>
          <w:tcPr>
            <w:tcW w:w="2100" w:type="dxa"/>
            <w:vAlign w:val="bottom"/>
            <w:gridSpan w:val="4"/>
          </w:tcPr>
          <w:p>
            <w:pPr>
              <w:jc w:val="right"/>
              <w:ind w:right="360"/>
              <w:spacing w:after="0" w:line="216" w:lineRule="exact"/>
              <w:rPr>
                <w:sz w:val="20"/>
                <w:szCs w:val="20"/>
                <w:color w:val="auto"/>
              </w:rPr>
            </w:pPr>
            <w:r>
              <w:rPr>
                <w:rFonts w:ascii="Arial" w:cs="Arial" w:eastAsia="Arial" w:hAnsi="Arial"/>
                <w:sz w:val="20"/>
                <w:szCs w:val="20"/>
                <w:color w:val="auto"/>
              </w:rPr>
              <w:t>(4)</w:t>
            </w:r>
          </w:p>
        </w:tc>
        <w:tc>
          <w:tcPr>
            <w:tcW w:w="1660" w:type="dxa"/>
            <w:vAlign w:val="bottom"/>
            <w:gridSpan w:val="3"/>
          </w:tcPr>
          <w:p>
            <w:pPr>
              <w:jc w:val="right"/>
              <w:ind w:right="80"/>
              <w:spacing w:after="0" w:line="216" w:lineRule="exact"/>
              <w:rPr>
                <w:sz w:val="20"/>
                <w:szCs w:val="20"/>
                <w:color w:val="auto"/>
              </w:rPr>
            </w:pPr>
            <w:r>
              <w:rPr>
                <w:rFonts w:ascii="Arial" w:cs="Arial" w:eastAsia="Arial" w:hAnsi="Arial"/>
                <w:sz w:val="20"/>
                <w:szCs w:val="20"/>
                <w:color w:val="auto"/>
              </w:rPr>
              <w:t>45.48</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Cancelled</w:t>
            </w:r>
          </w:p>
        </w:tc>
        <w:tc>
          <w:tcPr>
            <w:tcW w:w="2100" w:type="dxa"/>
            <w:vAlign w:val="bottom"/>
            <w:gridSpan w:val="4"/>
            <w:shd w:val="clear" w:color="auto" w:fill="CCEEFF"/>
          </w:tcPr>
          <w:p>
            <w:pPr>
              <w:jc w:val="right"/>
              <w:ind w:right="360"/>
              <w:spacing w:after="0" w:line="216" w:lineRule="exact"/>
              <w:rPr>
                <w:sz w:val="20"/>
                <w:szCs w:val="20"/>
                <w:color w:val="auto"/>
              </w:rPr>
            </w:pPr>
            <w:r>
              <w:rPr>
                <w:rFonts w:ascii="Arial" w:cs="Arial" w:eastAsia="Arial" w:hAnsi="Arial"/>
                <w:sz w:val="20"/>
                <w:szCs w:val="20"/>
                <w:color w:val="auto"/>
              </w:rPr>
              <w:t>(1)</w:t>
            </w:r>
          </w:p>
        </w:tc>
        <w:tc>
          <w:tcPr>
            <w:tcW w:w="166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66.08</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gridSpan w:val="4"/>
            <w:vMerge w:val="restart"/>
          </w:tcPr>
          <w:p>
            <w:pPr>
              <w:jc w:val="right"/>
              <w:ind w:right="80"/>
              <w:spacing w:after="0" w:line="226" w:lineRule="exact"/>
              <w:rPr>
                <w:sz w:val="20"/>
                <w:szCs w:val="20"/>
                <w:color w:val="auto"/>
              </w:rPr>
            </w:pPr>
            <w:r>
              <w:rPr>
                <w:rFonts w:ascii="Arial" w:cs="Arial" w:eastAsia="Arial" w:hAnsi="Arial"/>
                <w:sz w:val="20"/>
                <w:szCs w:val="20"/>
                <w:color w:val="auto"/>
              </w:rPr>
              <w:t>06/12/2017 –</w:t>
            </w: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100" w:type="dxa"/>
            <w:vAlign w:val="bottom"/>
            <w:gridSpan w:val="4"/>
            <w:vMerge w:val="restart"/>
          </w:tcPr>
          <w:p>
            <w:pPr>
              <w:jc w:val="right"/>
              <w:ind w:right="420"/>
              <w:spacing w:after="0"/>
              <w:rPr>
                <w:sz w:val="20"/>
                <w:szCs w:val="20"/>
                <w:color w:val="auto"/>
              </w:rPr>
            </w:pPr>
            <w:r>
              <w:rPr>
                <w:rFonts w:ascii="Arial" w:cs="Arial" w:eastAsia="Arial" w:hAnsi="Arial"/>
                <w:sz w:val="20"/>
                <w:szCs w:val="20"/>
                <w:b w:val="1"/>
                <w:bCs w:val="1"/>
                <w:color w:val="auto"/>
              </w:rPr>
              <w:t>10</w:t>
            </w:r>
          </w:p>
        </w:tc>
        <w:tc>
          <w:tcPr>
            <w:tcW w:w="1660" w:type="dxa"/>
            <w:vAlign w:val="bottom"/>
            <w:gridSpan w:val="3"/>
            <w:vMerge w:val="restart"/>
          </w:tcPr>
          <w:p>
            <w:pPr>
              <w:jc w:val="right"/>
              <w:ind w:right="80"/>
              <w:spacing w:after="0"/>
              <w:rPr>
                <w:sz w:val="20"/>
                <w:szCs w:val="20"/>
                <w:color w:val="auto"/>
              </w:rPr>
            </w:pPr>
            <w:r>
              <w:rPr>
                <w:rFonts w:ascii="Arial" w:cs="Arial" w:eastAsia="Arial" w:hAnsi="Arial"/>
                <w:sz w:val="20"/>
                <w:szCs w:val="20"/>
                <w:b w:val="1"/>
                <w:bCs w:val="1"/>
                <w:color w:val="auto"/>
              </w:rPr>
              <w:t>49.54</w:t>
            </w:r>
          </w:p>
        </w:tc>
        <w:tc>
          <w:tcPr>
            <w:tcW w:w="19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540" w:type="dxa"/>
            <w:vAlign w:val="bottom"/>
            <w:gridSpan w:val="2"/>
          </w:tcPr>
          <w:p>
            <w:pPr>
              <w:spacing w:after="0"/>
              <w:rPr>
                <w:sz w:val="20"/>
                <w:szCs w:val="20"/>
                <w:color w:val="auto"/>
              </w:rPr>
            </w:pPr>
            <w:r>
              <w:rPr>
                <w:rFonts w:ascii="Arial" w:cs="Arial" w:eastAsia="Arial" w:hAnsi="Arial"/>
                <w:sz w:val="20"/>
                <w:szCs w:val="20"/>
                <w:color w:val="auto"/>
              </w:rPr>
              <w:t>Balance as of 29 October 2017</w:t>
            </w:r>
          </w:p>
        </w:tc>
        <w:tc>
          <w:tcPr>
            <w:tcW w:w="2100" w:type="dxa"/>
            <w:vAlign w:val="bottom"/>
            <w:tcBorders>
              <w:bottom w:val="single" w:sz="8" w:color="auto"/>
            </w:tcBorders>
            <w:gridSpan w:val="4"/>
            <w:vMerge w:val="continue"/>
          </w:tcPr>
          <w:p>
            <w:pPr>
              <w:spacing w:after="0"/>
              <w:rPr>
                <w:sz w:val="20"/>
                <w:szCs w:val="20"/>
                <w:color w:val="auto"/>
              </w:rPr>
            </w:pPr>
          </w:p>
        </w:tc>
        <w:tc>
          <w:tcPr>
            <w:tcW w:w="1660" w:type="dxa"/>
            <w:vAlign w:val="bottom"/>
            <w:tcBorders>
              <w:bottom w:val="single" w:sz="8" w:color="auto"/>
            </w:tcBorders>
            <w:gridSpan w:val="3"/>
            <w:vMerge w:val="continue"/>
          </w:tcPr>
          <w:p>
            <w:pPr>
              <w:spacing w:after="0"/>
              <w:rPr>
                <w:sz w:val="20"/>
                <w:szCs w:val="20"/>
                <w:color w:val="auto"/>
              </w:rPr>
            </w:pPr>
          </w:p>
        </w:tc>
        <w:tc>
          <w:tcPr>
            <w:tcW w:w="1960" w:type="dxa"/>
            <w:vAlign w:val="bottom"/>
            <w:gridSpan w:val="4"/>
          </w:tcPr>
          <w:p>
            <w:pPr>
              <w:jc w:val="right"/>
              <w:ind w:right="80"/>
              <w:spacing w:after="0"/>
              <w:rPr>
                <w:sz w:val="20"/>
                <w:szCs w:val="20"/>
                <w:color w:val="auto"/>
              </w:rPr>
            </w:pPr>
            <w:r>
              <w:rPr>
                <w:rFonts w:ascii="Arial" w:cs="Arial" w:eastAsia="Arial" w:hAnsi="Arial"/>
                <w:sz w:val="20"/>
                <w:szCs w:val="20"/>
                <w:color w:val="auto"/>
              </w:rPr>
              <w:t>14/03/2022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Balance as of 2 November 2015</w:t>
            </w:r>
          </w:p>
        </w:tc>
        <w:tc>
          <w:tcPr>
            <w:tcW w:w="2100" w:type="dxa"/>
            <w:vAlign w:val="bottom"/>
            <w:gridSpan w:val="4"/>
            <w:shd w:val="clear" w:color="auto" w:fill="CCEEFF"/>
          </w:tcPr>
          <w:p>
            <w:pPr>
              <w:jc w:val="right"/>
              <w:ind w:right="420"/>
              <w:spacing w:after="0" w:line="216" w:lineRule="exact"/>
              <w:rPr>
                <w:sz w:val="20"/>
                <w:szCs w:val="20"/>
                <w:color w:val="auto"/>
              </w:rPr>
            </w:pPr>
            <w:r>
              <w:rPr>
                <w:rFonts w:ascii="Arial" w:cs="Arial" w:eastAsia="Arial" w:hAnsi="Arial"/>
                <w:sz w:val="20"/>
                <w:szCs w:val="20"/>
                <w:color w:val="auto"/>
              </w:rPr>
              <w:t>21</w:t>
            </w:r>
          </w:p>
        </w:tc>
        <w:tc>
          <w:tcPr>
            <w:tcW w:w="166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47.92</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line="216" w:lineRule="exact"/>
              <w:rPr>
                <w:sz w:val="20"/>
                <w:szCs w:val="20"/>
                <w:color w:val="auto"/>
              </w:rPr>
            </w:pPr>
            <w:r>
              <w:rPr>
                <w:rFonts w:ascii="Arial" w:cs="Arial" w:eastAsia="Arial" w:hAnsi="Arial"/>
                <w:sz w:val="20"/>
                <w:szCs w:val="20"/>
                <w:color w:val="auto"/>
              </w:rPr>
              <w:t>Exercised</w:t>
            </w:r>
          </w:p>
        </w:tc>
        <w:tc>
          <w:tcPr>
            <w:tcW w:w="2100" w:type="dxa"/>
            <w:vAlign w:val="bottom"/>
            <w:gridSpan w:val="4"/>
          </w:tcPr>
          <w:p>
            <w:pPr>
              <w:jc w:val="right"/>
              <w:ind w:right="360"/>
              <w:spacing w:after="0" w:line="216" w:lineRule="exact"/>
              <w:rPr>
                <w:sz w:val="20"/>
                <w:szCs w:val="20"/>
                <w:color w:val="auto"/>
              </w:rPr>
            </w:pPr>
            <w:r>
              <w:rPr>
                <w:rFonts w:ascii="Arial" w:cs="Arial" w:eastAsia="Arial" w:hAnsi="Arial"/>
                <w:sz w:val="20"/>
                <w:szCs w:val="20"/>
                <w:color w:val="auto"/>
              </w:rPr>
              <w:t>(5)</w:t>
            </w:r>
          </w:p>
        </w:tc>
        <w:tc>
          <w:tcPr>
            <w:tcW w:w="1660" w:type="dxa"/>
            <w:vAlign w:val="bottom"/>
            <w:gridSpan w:val="3"/>
          </w:tcPr>
          <w:p>
            <w:pPr>
              <w:jc w:val="right"/>
              <w:ind w:right="80"/>
              <w:spacing w:after="0" w:line="216" w:lineRule="exact"/>
              <w:rPr>
                <w:sz w:val="20"/>
                <w:szCs w:val="20"/>
                <w:color w:val="auto"/>
              </w:rPr>
            </w:pPr>
            <w:r>
              <w:rPr>
                <w:rFonts w:ascii="Arial" w:cs="Arial" w:eastAsia="Arial" w:hAnsi="Arial"/>
                <w:sz w:val="20"/>
                <w:szCs w:val="20"/>
                <w:color w:val="auto"/>
              </w:rPr>
              <w:t>44.35</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Cancelled</w:t>
            </w:r>
          </w:p>
        </w:tc>
        <w:tc>
          <w:tcPr>
            <w:tcW w:w="2100" w:type="dxa"/>
            <w:vAlign w:val="bottom"/>
            <w:gridSpan w:val="4"/>
            <w:shd w:val="clear" w:color="auto" w:fill="CCEEFF"/>
          </w:tcPr>
          <w:p>
            <w:pPr>
              <w:jc w:val="right"/>
              <w:ind w:right="360"/>
              <w:spacing w:after="0" w:line="216" w:lineRule="exact"/>
              <w:rPr>
                <w:sz w:val="20"/>
                <w:szCs w:val="20"/>
                <w:color w:val="auto"/>
              </w:rPr>
            </w:pPr>
            <w:r>
              <w:rPr>
                <w:rFonts w:ascii="Arial" w:cs="Arial" w:eastAsia="Arial" w:hAnsi="Arial"/>
                <w:sz w:val="20"/>
                <w:szCs w:val="20"/>
                <w:color w:val="auto"/>
              </w:rPr>
              <w:t>(1)</w:t>
            </w:r>
          </w:p>
        </w:tc>
        <w:tc>
          <w:tcPr>
            <w:tcW w:w="166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53.56</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gridSpan w:val="4"/>
            <w:vMerge w:val="restart"/>
          </w:tcPr>
          <w:p>
            <w:pPr>
              <w:jc w:val="right"/>
              <w:ind w:right="80"/>
              <w:spacing w:after="0" w:line="226" w:lineRule="exact"/>
              <w:rPr>
                <w:sz w:val="20"/>
                <w:szCs w:val="20"/>
                <w:color w:val="auto"/>
              </w:rPr>
            </w:pPr>
            <w:r>
              <w:rPr>
                <w:rFonts w:ascii="Arial" w:cs="Arial" w:eastAsia="Arial" w:hAnsi="Arial"/>
                <w:sz w:val="20"/>
                <w:szCs w:val="20"/>
                <w:color w:val="auto"/>
              </w:rPr>
              <w:t>19/11/2017 –</w:t>
            </w: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100" w:type="dxa"/>
            <w:vAlign w:val="bottom"/>
            <w:gridSpan w:val="4"/>
            <w:vMerge w:val="restart"/>
          </w:tcPr>
          <w:p>
            <w:pPr>
              <w:jc w:val="right"/>
              <w:ind w:right="420"/>
              <w:spacing w:after="0"/>
              <w:rPr>
                <w:sz w:val="20"/>
                <w:szCs w:val="20"/>
                <w:color w:val="auto"/>
              </w:rPr>
            </w:pPr>
            <w:r>
              <w:rPr>
                <w:rFonts w:ascii="Arial" w:cs="Arial" w:eastAsia="Arial" w:hAnsi="Arial"/>
                <w:sz w:val="20"/>
                <w:szCs w:val="20"/>
                <w:b w:val="1"/>
                <w:bCs w:val="1"/>
                <w:color w:val="auto"/>
              </w:rPr>
              <w:t>15</w:t>
            </w:r>
          </w:p>
        </w:tc>
        <w:tc>
          <w:tcPr>
            <w:tcW w:w="1660" w:type="dxa"/>
            <w:vAlign w:val="bottom"/>
            <w:gridSpan w:val="3"/>
            <w:vMerge w:val="restart"/>
          </w:tcPr>
          <w:p>
            <w:pPr>
              <w:jc w:val="right"/>
              <w:ind w:right="80"/>
              <w:spacing w:after="0"/>
              <w:rPr>
                <w:sz w:val="20"/>
                <w:szCs w:val="20"/>
                <w:color w:val="auto"/>
              </w:rPr>
            </w:pPr>
            <w:r>
              <w:rPr>
                <w:rFonts w:ascii="Arial" w:cs="Arial" w:eastAsia="Arial" w:hAnsi="Arial"/>
                <w:sz w:val="20"/>
                <w:szCs w:val="20"/>
                <w:b w:val="1"/>
                <w:bCs w:val="1"/>
                <w:color w:val="auto"/>
              </w:rPr>
              <w:t>48.77</w:t>
            </w:r>
          </w:p>
        </w:tc>
        <w:tc>
          <w:tcPr>
            <w:tcW w:w="19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540" w:type="dxa"/>
            <w:vAlign w:val="bottom"/>
            <w:gridSpan w:val="2"/>
          </w:tcPr>
          <w:p>
            <w:pPr>
              <w:spacing w:after="0"/>
              <w:rPr>
                <w:sz w:val="20"/>
                <w:szCs w:val="20"/>
                <w:color w:val="auto"/>
              </w:rPr>
            </w:pPr>
            <w:r>
              <w:rPr>
                <w:rFonts w:ascii="Arial" w:cs="Arial" w:eastAsia="Arial" w:hAnsi="Arial"/>
                <w:sz w:val="20"/>
                <w:szCs w:val="20"/>
                <w:color w:val="auto"/>
              </w:rPr>
              <w:t>Balance as of 30 October 2016</w:t>
            </w:r>
          </w:p>
        </w:tc>
        <w:tc>
          <w:tcPr>
            <w:tcW w:w="2100" w:type="dxa"/>
            <w:vAlign w:val="bottom"/>
            <w:tcBorders>
              <w:bottom w:val="single" w:sz="8" w:color="auto"/>
            </w:tcBorders>
            <w:gridSpan w:val="4"/>
            <w:vMerge w:val="continue"/>
          </w:tcPr>
          <w:p>
            <w:pPr>
              <w:spacing w:after="0"/>
              <w:rPr>
                <w:sz w:val="20"/>
                <w:szCs w:val="20"/>
                <w:color w:val="auto"/>
              </w:rPr>
            </w:pPr>
          </w:p>
        </w:tc>
        <w:tc>
          <w:tcPr>
            <w:tcW w:w="1660" w:type="dxa"/>
            <w:vAlign w:val="bottom"/>
            <w:tcBorders>
              <w:bottom w:val="single" w:sz="8" w:color="auto"/>
            </w:tcBorders>
            <w:gridSpan w:val="3"/>
            <w:vMerge w:val="continue"/>
          </w:tcPr>
          <w:p>
            <w:pPr>
              <w:spacing w:after="0"/>
              <w:rPr>
                <w:sz w:val="20"/>
                <w:szCs w:val="20"/>
                <w:color w:val="auto"/>
              </w:rPr>
            </w:pPr>
          </w:p>
        </w:tc>
        <w:tc>
          <w:tcPr>
            <w:tcW w:w="1960" w:type="dxa"/>
            <w:vAlign w:val="bottom"/>
            <w:gridSpan w:val="4"/>
          </w:tcPr>
          <w:p>
            <w:pPr>
              <w:jc w:val="right"/>
              <w:ind w:right="80"/>
              <w:spacing w:after="0"/>
              <w:rPr>
                <w:sz w:val="20"/>
                <w:szCs w:val="20"/>
                <w:color w:val="auto"/>
              </w:rPr>
            </w:pPr>
            <w:r>
              <w:rPr>
                <w:rFonts w:ascii="Arial" w:cs="Arial" w:eastAsia="Arial" w:hAnsi="Arial"/>
                <w:sz w:val="20"/>
                <w:szCs w:val="20"/>
                <w:color w:val="auto"/>
              </w:rPr>
              <w:t>14/03/2022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RSU activity related to our equity incentive plans for the financial year ended 29 October 2017 is as follows:</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20"/>
                <w:szCs w:val="20"/>
                <w:color w:val="auto"/>
                <w:w w:val="97"/>
              </w:rPr>
              <w:t>Group</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60" w:type="dxa"/>
            <w:vAlign w:val="bottom"/>
            <w:tcBorders>
              <w:bottom w:val="single" w:sz="8" w:color="auto"/>
            </w:tcBorders>
            <w:gridSpan w:val="9"/>
          </w:tcPr>
          <w:p>
            <w:pPr>
              <w:jc w:val="right"/>
              <w:spacing w:after="0" w:line="196" w:lineRule="exact"/>
              <w:rPr>
                <w:sz w:val="20"/>
                <w:szCs w:val="20"/>
                <w:color w:val="auto"/>
              </w:rPr>
            </w:pPr>
            <w:r>
              <w:rPr>
                <w:rFonts w:ascii="Arial" w:cs="Arial" w:eastAsia="Arial" w:hAnsi="Arial"/>
                <w:sz w:val="20"/>
                <w:szCs w:val="20"/>
                <w:color w:val="auto"/>
                <w:w w:val="98"/>
              </w:rPr>
              <w:t>RSU Awards Outstanding</w:t>
            </w:r>
          </w:p>
        </w:tc>
        <w:tc>
          <w:tcPr>
            <w:tcW w:w="6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8"/>
          </w:tcPr>
          <w:p>
            <w:pPr>
              <w:jc w:val="center"/>
              <w:ind w:right="740"/>
              <w:spacing w:after="0"/>
              <w:rPr>
                <w:sz w:val="20"/>
                <w:szCs w:val="20"/>
                <w:color w:val="auto"/>
              </w:rPr>
            </w:pPr>
            <w:r>
              <w:rPr>
                <w:rFonts w:ascii="Arial" w:cs="Arial" w:eastAsia="Arial" w:hAnsi="Arial"/>
                <w:sz w:val="20"/>
                <w:szCs w:val="20"/>
                <w:color w:val="auto"/>
                <w:w w:val="98"/>
              </w:rPr>
              <w:t>Weighted-</w:t>
            </w:r>
          </w:p>
        </w:tc>
        <w:tc>
          <w:tcPr>
            <w:tcW w:w="0" w:type="dxa"/>
            <w:vAlign w:val="bottom"/>
          </w:tcPr>
          <w:p>
            <w:pPr>
              <w:spacing w:after="0"/>
              <w:rPr>
                <w:sz w:val="1"/>
                <w:szCs w:val="1"/>
                <w:color w:val="auto"/>
              </w:rPr>
            </w:pPr>
          </w:p>
        </w:tc>
      </w:tr>
      <w:tr>
        <w:trPr>
          <w:trHeight w:val="220"/>
        </w:trPr>
        <w:tc>
          <w:tcPr>
            <w:tcW w:w="7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vMerge w:val="restart"/>
          </w:tcPr>
          <w:p>
            <w:pPr>
              <w:jc w:val="right"/>
              <w:ind w:right="1320"/>
              <w:spacing w:after="0"/>
              <w:rPr>
                <w:sz w:val="20"/>
                <w:szCs w:val="20"/>
                <w:color w:val="auto"/>
              </w:rPr>
            </w:pPr>
            <w:r>
              <w:rPr>
                <w:rFonts w:ascii="Arial" w:cs="Arial" w:eastAsia="Arial" w:hAnsi="Arial"/>
                <w:sz w:val="20"/>
                <w:szCs w:val="20"/>
                <w:color w:val="auto"/>
              </w:rPr>
              <w:t>Number</w:t>
            </w:r>
          </w:p>
        </w:tc>
        <w:tc>
          <w:tcPr>
            <w:tcW w:w="160" w:type="dxa"/>
            <w:vAlign w:val="bottom"/>
          </w:tcPr>
          <w:p>
            <w:pPr>
              <w:spacing w:after="0"/>
              <w:rPr>
                <w:sz w:val="19"/>
                <w:szCs w:val="19"/>
                <w:color w:val="auto"/>
              </w:rPr>
            </w:pPr>
          </w:p>
        </w:tc>
        <w:tc>
          <w:tcPr>
            <w:tcW w:w="2760" w:type="dxa"/>
            <w:vAlign w:val="bottom"/>
            <w:gridSpan w:val="10"/>
          </w:tcPr>
          <w:p>
            <w:pPr>
              <w:jc w:val="center"/>
              <w:ind w:left="21"/>
              <w:spacing w:after="0" w:line="220" w:lineRule="exact"/>
              <w:rPr>
                <w:sz w:val="20"/>
                <w:szCs w:val="20"/>
                <w:color w:val="auto"/>
              </w:rPr>
            </w:pPr>
            <w:r>
              <w:rPr>
                <w:rFonts w:ascii="Arial" w:cs="Arial" w:eastAsia="Arial" w:hAnsi="Arial"/>
                <w:sz w:val="20"/>
                <w:szCs w:val="20"/>
                <w:color w:val="auto"/>
                <w:w w:val="98"/>
              </w:rPr>
              <w:t>Average Grant</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center"/>
              <w:spacing w:after="0" w:line="192" w:lineRule="exact"/>
              <w:rPr>
                <w:sz w:val="20"/>
                <w:szCs w:val="20"/>
                <w:color w:val="auto"/>
              </w:rPr>
            </w:pPr>
            <w:r>
              <w:rPr>
                <w:rFonts w:ascii="Arial" w:cs="Arial" w:eastAsia="Arial" w:hAnsi="Arial"/>
                <w:sz w:val="20"/>
                <w:szCs w:val="20"/>
                <w:color w:val="auto"/>
                <w:w w:val="99"/>
              </w:rPr>
              <w:t>Date Fair</w:t>
            </w:r>
          </w:p>
        </w:tc>
        <w:tc>
          <w:tcPr>
            <w:tcW w:w="220" w:type="dxa"/>
            <w:vAlign w:val="bottom"/>
            <w:tcBorders>
              <w:top w:val="single" w:sz="8" w:color="auto"/>
            </w:tcBorders>
            <w:gridSpan w:val="2"/>
          </w:tcPr>
          <w:p>
            <w:pPr>
              <w:spacing w:after="0"/>
              <w:rPr>
                <w:sz w:val="16"/>
                <w:szCs w:val="16"/>
                <w:color w:val="auto"/>
              </w:rPr>
            </w:pPr>
          </w:p>
        </w:tc>
        <w:tc>
          <w:tcPr>
            <w:tcW w:w="6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80" w:type="dxa"/>
            <w:vAlign w:val="bottom"/>
            <w:gridSpan w:val="3"/>
          </w:tcPr>
          <w:p>
            <w:pPr>
              <w:jc w:val="right"/>
              <w:ind w:right="1140"/>
              <w:spacing w:after="0" w:line="200" w:lineRule="exact"/>
              <w:rPr>
                <w:sz w:val="20"/>
                <w:szCs w:val="20"/>
                <w:color w:val="auto"/>
              </w:rPr>
            </w:pPr>
            <w:r>
              <w:rPr>
                <w:rFonts w:ascii="Arial" w:cs="Arial" w:eastAsia="Arial" w:hAnsi="Arial"/>
                <w:sz w:val="20"/>
                <w:szCs w:val="20"/>
                <w:color w:val="auto"/>
              </w:rPr>
              <w:t>Outstanding</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60" w:type="dxa"/>
            <w:vAlign w:val="bottom"/>
            <w:gridSpan w:val="9"/>
          </w:tcPr>
          <w:p>
            <w:pPr>
              <w:jc w:val="center"/>
              <w:ind w:right="660"/>
              <w:spacing w:after="0" w:line="200" w:lineRule="exact"/>
              <w:rPr>
                <w:sz w:val="20"/>
                <w:szCs w:val="20"/>
                <w:color w:val="auto"/>
              </w:rPr>
            </w:pPr>
            <w:r>
              <w:rPr>
                <w:rFonts w:ascii="Arial" w:cs="Arial" w:eastAsia="Arial" w:hAnsi="Arial"/>
                <w:sz w:val="20"/>
                <w:szCs w:val="20"/>
                <w:color w:val="auto"/>
                <w:w w:val="96"/>
              </w:rPr>
              <w:t>Market Value</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20"/>
                <w:szCs w:val="20"/>
                <w:color w:val="auto"/>
              </w:rPr>
              <w:t>(in millions)</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3"/>
          </w:tcPr>
          <w:p>
            <w:pPr>
              <w:ind w:left="220"/>
              <w:spacing w:after="0" w:line="196" w:lineRule="exact"/>
              <w:rPr>
                <w:sz w:val="20"/>
                <w:szCs w:val="20"/>
                <w:color w:val="auto"/>
              </w:rPr>
            </w:pPr>
            <w:r>
              <w:rPr>
                <w:rFonts w:ascii="Arial" w:cs="Arial" w:eastAsia="Arial" w:hAnsi="Arial"/>
                <w:sz w:val="20"/>
                <w:szCs w:val="20"/>
                <w:color w:val="auto"/>
              </w:rPr>
              <w:t>(US$)</w:t>
            </w:r>
          </w:p>
        </w:tc>
        <w:tc>
          <w:tcPr>
            <w:tcW w:w="7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7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Balance as of 31 October 2016</w:t>
            </w:r>
          </w:p>
        </w:tc>
        <w:tc>
          <w:tcPr>
            <w:tcW w:w="3620" w:type="dxa"/>
            <w:vAlign w:val="bottom"/>
            <w:gridSpan w:val="4"/>
            <w:shd w:val="clear" w:color="auto" w:fill="CCEEFF"/>
          </w:tcPr>
          <w:p>
            <w:pPr>
              <w:jc w:val="right"/>
              <w:ind w:right="1140"/>
              <w:spacing w:after="0" w:line="216" w:lineRule="exact"/>
              <w:rPr>
                <w:sz w:val="20"/>
                <w:szCs w:val="20"/>
                <w:color w:val="auto"/>
              </w:rPr>
            </w:pPr>
            <w:r>
              <w:rPr>
                <w:rFonts w:ascii="Arial" w:cs="Arial" w:eastAsia="Arial" w:hAnsi="Arial"/>
                <w:sz w:val="20"/>
                <w:szCs w:val="20"/>
                <w:color w:val="auto"/>
              </w:rPr>
              <w:t>17</w:t>
            </w:r>
          </w:p>
        </w:tc>
        <w:tc>
          <w:tcPr>
            <w:tcW w:w="2280" w:type="dxa"/>
            <w:vAlign w:val="bottom"/>
            <w:gridSpan w:val="10"/>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130.71</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700" w:type="dxa"/>
            <w:vAlign w:val="bottom"/>
          </w:tcPr>
          <w:p>
            <w:pPr>
              <w:spacing w:after="0" w:line="216" w:lineRule="exact"/>
              <w:rPr>
                <w:sz w:val="20"/>
                <w:szCs w:val="20"/>
                <w:color w:val="auto"/>
              </w:rPr>
            </w:pPr>
            <w:r>
              <w:rPr>
                <w:rFonts w:ascii="Arial" w:cs="Arial" w:eastAsia="Arial" w:hAnsi="Arial"/>
                <w:sz w:val="20"/>
                <w:szCs w:val="20"/>
                <w:color w:val="auto"/>
              </w:rPr>
              <w:t>Granted</w:t>
            </w:r>
          </w:p>
        </w:tc>
        <w:tc>
          <w:tcPr>
            <w:tcW w:w="3620" w:type="dxa"/>
            <w:vAlign w:val="bottom"/>
            <w:gridSpan w:val="4"/>
          </w:tcPr>
          <w:p>
            <w:pPr>
              <w:jc w:val="right"/>
              <w:ind w:right="1140"/>
              <w:spacing w:after="0" w:line="216" w:lineRule="exact"/>
              <w:rPr>
                <w:sz w:val="20"/>
                <w:szCs w:val="20"/>
                <w:color w:val="auto"/>
              </w:rPr>
            </w:pPr>
            <w:r>
              <w:rPr>
                <w:rFonts w:ascii="Arial" w:cs="Arial" w:eastAsia="Arial" w:hAnsi="Arial"/>
                <w:sz w:val="20"/>
                <w:szCs w:val="20"/>
                <w:color w:val="auto"/>
              </w:rPr>
              <w:t>8</w:t>
            </w:r>
          </w:p>
        </w:tc>
        <w:tc>
          <w:tcPr>
            <w:tcW w:w="2280" w:type="dxa"/>
            <w:vAlign w:val="bottom"/>
            <w:gridSpan w:val="10"/>
          </w:tcPr>
          <w:p>
            <w:pPr>
              <w:jc w:val="right"/>
              <w:ind w:right="20"/>
              <w:spacing w:after="0" w:line="216" w:lineRule="exact"/>
              <w:rPr>
                <w:sz w:val="20"/>
                <w:szCs w:val="20"/>
                <w:color w:val="auto"/>
              </w:rPr>
            </w:pPr>
            <w:r>
              <w:rPr>
                <w:rFonts w:ascii="Arial" w:cs="Arial" w:eastAsia="Arial" w:hAnsi="Arial"/>
                <w:sz w:val="20"/>
                <w:szCs w:val="20"/>
                <w:color w:val="auto"/>
              </w:rPr>
              <w:t>199.33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7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Vested</w:t>
            </w:r>
          </w:p>
        </w:tc>
        <w:tc>
          <w:tcPr>
            <w:tcW w:w="3620" w:type="dxa"/>
            <w:vAlign w:val="bottom"/>
            <w:gridSpan w:val="4"/>
            <w:shd w:val="clear" w:color="auto" w:fill="CCEEFF"/>
          </w:tcPr>
          <w:p>
            <w:pPr>
              <w:jc w:val="right"/>
              <w:ind w:right="1060"/>
              <w:spacing w:after="0" w:line="216" w:lineRule="exact"/>
              <w:rPr>
                <w:sz w:val="20"/>
                <w:szCs w:val="20"/>
                <w:color w:val="auto"/>
              </w:rPr>
            </w:pPr>
            <w:r>
              <w:rPr>
                <w:rFonts w:ascii="Arial" w:cs="Arial" w:eastAsia="Arial" w:hAnsi="Arial"/>
                <w:sz w:val="20"/>
                <w:szCs w:val="20"/>
                <w:color w:val="auto"/>
              </w:rPr>
              <w:t>(5)</w:t>
            </w:r>
          </w:p>
        </w:tc>
        <w:tc>
          <w:tcPr>
            <w:tcW w:w="2280" w:type="dxa"/>
            <w:vAlign w:val="bottom"/>
            <w:gridSpan w:val="10"/>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126.81</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20"/>
                <w:szCs w:val="20"/>
                <w:color w:val="auto"/>
              </w:rPr>
              <w:t>Forfeited</w:t>
            </w:r>
          </w:p>
        </w:tc>
        <w:tc>
          <w:tcPr>
            <w:tcW w:w="3620" w:type="dxa"/>
            <w:vAlign w:val="bottom"/>
            <w:gridSpan w:val="4"/>
          </w:tcPr>
          <w:p>
            <w:pPr>
              <w:jc w:val="right"/>
              <w:ind w:right="1060"/>
              <w:spacing w:after="0"/>
              <w:rPr>
                <w:sz w:val="20"/>
                <w:szCs w:val="20"/>
                <w:color w:val="auto"/>
              </w:rPr>
            </w:pPr>
            <w:r>
              <w:rPr>
                <w:rFonts w:ascii="Arial" w:cs="Arial" w:eastAsia="Arial" w:hAnsi="Arial"/>
                <w:sz w:val="20"/>
                <w:szCs w:val="20"/>
                <w:color w:val="auto"/>
              </w:rPr>
              <w:t>(2)</w:t>
            </w:r>
          </w:p>
        </w:tc>
        <w:tc>
          <w:tcPr>
            <w:tcW w:w="2280" w:type="dxa"/>
            <w:vAlign w:val="bottom"/>
            <w:gridSpan w:val="10"/>
          </w:tcPr>
          <w:p>
            <w:pPr>
              <w:jc w:val="right"/>
              <w:ind w:right="20"/>
              <w:spacing w:after="0"/>
              <w:rPr>
                <w:sz w:val="20"/>
                <w:szCs w:val="20"/>
                <w:color w:val="auto"/>
              </w:rPr>
            </w:pPr>
            <w:r>
              <w:rPr>
                <w:rFonts w:ascii="Arial" w:cs="Arial" w:eastAsia="Arial" w:hAnsi="Arial"/>
                <w:sz w:val="20"/>
                <w:szCs w:val="20"/>
                <w:color w:val="auto"/>
              </w:rPr>
              <w:t>142.78</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Balance as of 29 October 2017</w:t>
            </w:r>
          </w:p>
        </w:tc>
        <w:tc>
          <w:tcPr>
            <w:tcW w:w="13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gridSpan w:val="3"/>
            <w:shd w:val="clear" w:color="auto" w:fill="CCEEFF"/>
          </w:tcPr>
          <w:p>
            <w:pPr>
              <w:jc w:val="right"/>
              <w:ind w:right="1140"/>
              <w:spacing w:after="0" w:line="209" w:lineRule="exact"/>
              <w:rPr>
                <w:sz w:val="20"/>
                <w:szCs w:val="20"/>
                <w:color w:val="auto"/>
              </w:rPr>
            </w:pPr>
            <w:r>
              <w:rPr>
                <w:rFonts w:ascii="Arial" w:cs="Arial" w:eastAsia="Arial" w:hAnsi="Arial"/>
                <w:sz w:val="20"/>
                <w:szCs w:val="20"/>
                <w:color w:val="auto"/>
              </w:rPr>
              <w:t>18</w:t>
            </w:r>
          </w:p>
        </w:tc>
        <w:tc>
          <w:tcPr>
            <w:tcW w:w="16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CCEEFF"/>
            </w:tcBorders>
            <w:gridSpan w:val="9"/>
            <w:shd w:val="clear" w:color="auto" w:fill="CCEEFF"/>
          </w:tcPr>
          <w:p>
            <w:pPr>
              <w:jc w:val="right"/>
              <w:ind w:right="20"/>
              <w:spacing w:after="0" w:line="209" w:lineRule="exact"/>
              <w:rPr>
                <w:sz w:val="20"/>
                <w:szCs w:val="20"/>
                <w:color w:val="auto"/>
              </w:rPr>
            </w:pPr>
            <w:r>
              <w:rPr>
                <w:rFonts w:ascii="Arial" w:cs="Arial" w:eastAsia="Arial" w:hAnsi="Arial"/>
                <w:sz w:val="20"/>
                <w:szCs w:val="20"/>
                <w:color w:val="auto"/>
              </w:rPr>
              <w:t>163.42</w:t>
            </w:r>
          </w:p>
        </w:tc>
        <w:tc>
          <w:tcPr>
            <w:tcW w:w="6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
        </w:trPr>
        <w:tc>
          <w:tcPr>
            <w:tcW w:w="78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37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Balance as of 2 November 2015</w:t>
            </w:r>
          </w:p>
        </w:tc>
        <w:tc>
          <w:tcPr>
            <w:tcW w:w="3620" w:type="dxa"/>
            <w:vAlign w:val="bottom"/>
            <w:gridSpan w:val="4"/>
            <w:shd w:val="clear" w:color="auto" w:fill="CCEEFF"/>
          </w:tcPr>
          <w:p>
            <w:pPr>
              <w:jc w:val="right"/>
              <w:ind w:right="1140"/>
              <w:spacing w:after="0" w:line="216" w:lineRule="exact"/>
              <w:rPr>
                <w:sz w:val="20"/>
                <w:szCs w:val="20"/>
                <w:color w:val="auto"/>
              </w:rPr>
            </w:pPr>
            <w:r>
              <w:rPr>
                <w:rFonts w:ascii="Arial" w:cs="Arial" w:eastAsia="Arial" w:hAnsi="Arial"/>
                <w:sz w:val="20"/>
                <w:szCs w:val="20"/>
                <w:color w:val="auto"/>
              </w:rPr>
              <w:t>5</w:t>
            </w:r>
          </w:p>
        </w:tc>
        <w:tc>
          <w:tcPr>
            <w:tcW w:w="2280" w:type="dxa"/>
            <w:vAlign w:val="bottom"/>
            <w:gridSpan w:val="10"/>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95.17</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700" w:type="dxa"/>
            <w:vAlign w:val="bottom"/>
          </w:tcPr>
          <w:p>
            <w:pPr>
              <w:spacing w:after="0" w:line="216" w:lineRule="exact"/>
              <w:rPr>
                <w:sz w:val="20"/>
                <w:szCs w:val="20"/>
                <w:color w:val="auto"/>
              </w:rPr>
            </w:pPr>
            <w:r>
              <w:rPr>
                <w:rFonts w:ascii="Arial" w:cs="Arial" w:eastAsia="Arial" w:hAnsi="Arial"/>
                <w:sz w:val="20"/>
                <w:szCs w:val="20"/>
                <w:color w:val="auto"/>
              </w:rPr>
              <w:t>Assumed in Broadcom Merger</w:t>
            </w:r>
          </w:p>
        </w:tc>
        <w:tc>
          <w:tcPr>
            <w:tcW w:w="3620" w:type="dxa"/>
            <w:vAlign w:val="bottom"/>
            <w:gridSpan w:val="4"/>
          </w:tcPr>
          <w:p>
            <w:pPr>
              <w:jc w:val="right"/>
              <w:ind w:right="1140"/>
              <w:spacing w:after="0" w:line="216" w:lineRule="exact"/>
              <w:rPr>
                <w:sz w:val="20"/>
                <w:szCs w:val="20"/>
                <w:color w:val="auto"/>
              </w:rPr>
            </w:pPr>
            <w:r>
              <w:rPr>
                <w:rFonts w:ascii="Arial" w:cs="Arial" w:eastAsia="Arial" w:hAnsi="Arial"/>
                <w:sz w:val="20"/>
                <w:szCs w:val="20"/>
                <w:color w:val="auto"/>
              </w:rPr>
              <w:t>6</w:t>
            </w:r>
          </w:p>
        </w:tc>
        <w:tc>
          <w:tcPr>
            <w:tcW w:w="2280" w:type="dxa"/>
            <w:vAlign w:val="bottom"/>
            <w:gridSpan w:val="10"/>
          </w:tcPr>
          <w:p>
            <w:pPr>
              <w:jc w:val="right"/>
              <w:ind w:right="20"/>
              <w:spacing w:after="0" w:line="216" w:lineRule="exact"/>
              <w:rPr>
                <w:sz w:val="20"/>
                <w:szCs w:val="20"/>
                <w:color w:val="auto"/>
              </w:rPr>
            </w:pPr>
            <w:r>
              <w:rPr>
                <w:rFonts w:ascii="Arial" w:cs="Arial" w:eastAsia="Arial" w:hAnsi="Arial"/>
                <w:sz w:val="20"/>
                <w:szCs w:val="20"/>
                <w:color w:val="auto"/>
              </w:rPr>
              <w:t>135.58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7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Granted</w:t>
            </w:r>
          </w:p>
        </w:tc>
        <w:tc>
          <w:tcPr>
            <w:tcW w:w="3620" w:type="dxa"/>
            <w:vAlign w:val="bottom"/>
            <w:gridSpan w:val="4"/>
            <w:shd w:val="clear" w:color="auto" w:fill="CCEEFF"/>
          </w:tcPr>
          <w:p>
            <w:pPr>
              <w:jc w:val="right"/>
              <w:ind w:right="1140"/>
              <w:spacing w:after="0" w:line="216" w:lineRule="exact"/>
              <w:rPr>
                <w:sz w:val="20"/>
                <w:szCs w:val="20"/>
                <w:color w:val="auto"/>
              </w:rPr>
            </w:pPr>
            <w:r>
              <w:rPr>
                <w:rFonts w:ascii="Arial" w:cs="Arial" w:eastAsia="Arial" w:hAnsi="Arial"/>
                <w:sz w:val="20"/>
                <w:szCs w:val="20"/>
                <w:color w:val="auto"/>
              </w:rPr>
              <w:t>12</w:t>
            </w:r>
          </w:p>
        </w:tc>
        <w:tc>
          <w:tcPr>
            <w:tcW w:w="2280" w:type="dxa"/>
            <w:vAlign w:val="bottom"/>
            <w:gridSpan w:val="10"/>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138.45</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700" w:type="dxa"/>
            <w:vAlign w:val="bottom"/>
          </w:tcPr>
          <w:p>
            <w:pPr>
              <w:spacing w:after="0" w:line="216" w:lineRule="exact"/>
              <w:rPr>
                <w:sz w:val="20"/>
                <w:szCs w:val="20"/>
                <w:color w:val="auto"/>
              </w:rPr>
            </w:pPr>
            <w:r>
              <w:rPr>
                <w:rFonts w:ascii="Arial" w:cs="Arial" w:eastAsia="Arial" w:hAnsi="Arial"/>
                <w:sz w:val="20"/>
                <w:szCs w:val="20"/>
                <w:color w:val="auto"/>
              </w:rPr>
              <w:t>Vested</w:t>
            </w:r>
          </w:p>
        </w:tc>
        <w:tc>
          <w:tcPr>
            <w:tcW w:w="3620" w:type="dxa"/>
            <w:vAlign w:val="bottom"/>
            <w:gridSpan w:val="4"/>
          </w:tcPr>
          <w:p>
            <w:pPr>
              <w:jc w:val="right"/>
              <w:ind w:right="1060"/>
              <w:spacing w:after="0" w:line="216" w:lineRule="exact"/>
              <w:rPr>
                <w:sz w:val="20"/>
                <w:szCs w:val="20"/>
                <w:color w:val="auto"/>
              </w:rPr>
            </w:pPr>
            <w:r>
              <w:rPr>
                <w:rFonts w:ascii="Arial" w:cs="Arial" w:eastAsia="Arial" w:hAnsi="Arial"/>
                <w:sz w:val="20"/>
                <w:szCs w:val="20"/>
                <w:color w:val="auto"/>
              </w:rPr>
              <w:t>(4)</w:t>
            </w:r>
          </w:p>
        </w:tc>
        <w:tc>
          <w:tcPr>
            <w:tcW w:w="2280" w:type="dxa"/>
            <w:vAlign w:val="bottom"/>
            <w:gridSpan w:val="10"/>
          </w:tcPr>
          <w:p>
            <w:pPr>
              <w:jc w:val="right"/>
              <w:ind w:right="20"/>
              <w:spacing w:after="0" w:line="216" w:lineRule="exact"/>
              <w:rPr>
                <w:sz w:val="20"/>
                <w:szCs w:val="20"/>
                <w:color w:val="auto"/>
              </w:rPr>
            </w:pPr>
            <w:r>
              <w:rPr>
                <w:rFonts w:ascii="Arial" w:cs="Arial" w:eastAsia="Arial" w:hAnsi="Arial"/>
                <w:sz w:val="20"/>
                <w:szCs w:val="20"/>
                <w:color w:val="auto"/>
              </w:rPr>
              <w:t>114.49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7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Forfeited</w:t>
            </w:r>
          </w:p>
        </w:tc>
        <w:tc>
          <w:tcPr>
            <w:tcW w:w="3620" w:type="dxa"/>
            <w:vAlign w:val="bottom"/>
            <w:gridSpan w:val="4"/>
            <w:shd w:val="clear" w:color="auto" w:fill="CCEEFF"/>
          </w:tcPr>
          <w:p>
            <w:pPr>
              <w:jc w:val="right"/>
              <w:ind w:right="1060"/>
              <w:spacing w:after="0" w:line="216" w:lineRule="exact"/>
              <w:rPr>
                <w:sz w:val="20"/>
                <w:szCs w:val="20"/>
                <w:color w:val="auto"/>
              </w:rPr>
            </w:pPr>
            <w:r>
              <w:rPr>
                <w:rFonts w:ascii="Arial" w:cs="Arial" w:eastAsia="Arial" w:hAnsi="Arial"/>
                <w:sz w:val="20"/>
                <w:szCs w:val="20"/>
                <w:color w:val="auto"/>
              </w:rPr>
              <w:t>(2)</w:t>
            </w:r>
          </w:p>
        </w:tc>
        <w:tc>
          <w:tcPr>
            <w:tcW w:w="2280" w:type="dxa"/>
            <w:vAlign w:val="bottom"/>
            <w:gridSpan w:val="10"/>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130.30</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760"/>
              <w:spacing w:after="0"/>
              <w:rPr>
                <w:sz w:val="20"/>
                <w:szCs w:val="20"/>
                <w:color w:val="auto"/>
              </w:rPr>
            </w:pPr>
            <w:r>
              <w:rPr>
                <w:rFonts w:ascii="Arial" w:cs="Arial" w:eastAsia="Arial" w:hAnsi="Arial"/>
                <w:sz w:val="20"/>
                <w:szCs w:val="20"/>
                <w:color w:val="auto"/>
              </w:rPr>
              <w:t>Balance as of 30 October 2016</w:t>
            </w:r>
          </w:p>
        </w:tc>
        <w:tc>
          <w:tcPr>
            <w:tcW w:w="1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2280" w:type="dxa"/>
            <w:vAlign w:val="bottom"/>
            <w:tcBorders>
              <w:top w:val="single" w:sz="8" w:color="auto"/>
              <w:bottom w:val="single" w:sz="8" w:color="auto"/>
            </w:tcBorders>
            <w:gridSpan w:val="3"/>
          </w:tcPr>
          <w:p>
            <w:pPr>
              <w:jc w:val="right"/>
              <w:ind w:right="1140"/>
              <w:spacing w:after="0" w:line="217" w:lineRule="exact"/>
              <w:rPr>
                <w:sz w:val="20"/>
                <w:szCs w:val="20"/>
                <w:color w:val="auto"/>
              </w:rPr>
            </w:pPr>
            <w:r>
              <w:rPr>
                <w:rFonts w:ascii="Arial" w:cs="Arial" w:eastAsia="Arial" w:hAnsi="Arial"/>
                <w:sz w:val="20"/>
                <w:szCs w:val="20"/>
                <w:color w:val="auto"/>
              </w:rPr>
              <w:t>17</w:t>
            </w:r>
          </w:p>
        </w:tc>
        <w:tc>
          <w:tcPr>
            <w:tcW w:w="160" w:type="dxa"/>
            <w:vAlign w:val="bottom"/>
            <w:tcBorders>
              <w:top w:val="single" w:sz="8" w:color="auto"/>
              <w:bottom w:val="single" w:sz="8" w:color="auto"/>
            </w:tcBorders>
          </w:tcPr>
          <w:p>
            <w:pPr>
              <w:spacing w:after="0"/>
              <w:rPr>
                <w:sz w:val="19"/>
                <w:szCs w:val="19"/>
                <w:color w:val="auto"/>
              </w:rPr>
            </w:pPr>
          </w:p>
        </w:tc>
        <w:tc>
          <w:tcPr>
            <w:tcW w:w="2120" w:type="dxa"/>
            <w:vAlign w:val="bottom"/>
            <w:gridSpan w:val="9"/>
          </w:tcPr>
          <w:p>
            <w:pPr>
              <w:jc w:val="right"/>
              <w:ind w:right="20"/>
              <w:spacing w:after="0" w:line="217" w:lineRule="exact"/>
              <w:rPr>
                <w:sz w:val="20"/>
                <w:szCs w:val="20"/>
                <w:color w:val="auto"/>
              </w:rPr>
            </w:pPr>
            <w:r>
              <w:rPr>
                <w:rFonts w:ascii="Arial" w:cs="Arial" w:eastAsia="Arial" w:hAnsi="Arial"/>
                <w:sz w:val="20"/>
                <w:szCs w:val="20"/>
                <w:color w:val="auto"/>
              </w:rPr>
              <w:t>130.71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gridSpan w:val="4"/>
          </w:tcPr>
          <w:p>
            <w:pPr>
              <w:jc w:val="right"/>
              <w:ind w:right="2460"/>
              <w:spacing w:after="0"/>
              <w:rPr>
                <w:sz w:val="20"/>
                <w:szCs w:val="20"/>
                <w:color w:val="auto"/>
              </w:rPr>
            </w:pPr>
            <w:r>
              <w:rPr>
                <w:rFonts w:ascii="Arial" w:cs="Arial" w:eastAsia="Arial" w:hAnsi="Arial"/>
                <w:sz w:val="18"/>
                <w:szCs w:val="18"/>
                <w:color w:val="auto"/>
              </w:rPr>
              <w:t>A-8</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STATEMENT</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Independent auditor</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independent auditor, PricewaterhouseCoopers LLP, has expressed its willingness to accept re-appointment.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4420" w:type="dxa"/>
            <w:vAlign w:val="bottom"/>
            <w:gridSpan w:val="2"/>
          </w:tcPr>
          <w:p>
            <w:pPr>
              <w:spacing w:after="0"/>
              <w:rPr>
                <w:sz w:val="20"/>
                <w:szCs w:val="20"/>
                <w:color w:val="auto"/>
              </w:rPr>
            </w:pPr>
            <w:r>
              <w:rPr>
                <w:rFonts w:ascii="Arial" w:cs="Arial" w:eastAsia="Arial" w:hAnsi="Arial"/>
                <w:sz w:val="18"/>
                <w:szCs w:val="18"/>
                <w:color w:val="auto"/>
              </w:rPr>
              <w:t>On behalf of the directors</w:t>
            </w:r>
          </w:p>
        </w:tc>
        <w:tc>
          <w:tcPr>
            <w:tcW w:w="254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932"/>
        </w:trPr>
        <w:tc>
          <w:tcPr>
            <w:tcW w:w="4420" w:type="dxa"/>
            <w:vAlign w:val="bottom"/>
            <w:gridSpan w:val="2"/>
          </w:tcPr>
          <w:p>
            <w:pPr>
              <w:spacing w:after="0"/>
              <w:rPr>
                <w:sz w:val="20"/>
                <w:szCs w:val="20"/>
                <w:color w:val="auto"/>
              </w:rPr>
            </w:pPr>
            <w:r>
              <w:rPr>
                <w:rFonts w:ascii="Arial" w:cs="Arial" w:eastAsia="Arial" w:hAnsi="Arial"/>
                <w:sz w:val="18"/>
                <w:szCs w:val="18"/>
                <w:color w:val="auto"/>
              </w:rPr>
              <w:t>/s/ James V. Diller</w:t>
            </w:r>
          </w:p>
        </w:tc>
        <w:tc>
          <w:tcPr>
            <w:tcW w:w="6620" w:type="dxa"/>
            <w:vAlign w:val="bottom"/>
            <w:gridSpan w:val="2"/>
          </w:tcPr>
          <w:p>
            <w:pPr>
              <w:ind w:left="2540"/>
              <w:spacing w:after="0"/>
              <w:rPr>
                <w:sz w:val="20"/>
                <w:szCs w:val="20"/>
                <w:color w:val="auto"/>
              </w:rPr>
            </w:pPr>
            <w:r>
              <w:rPr>
                <w:rFonts w:ascii="Arial" w:cs="Arial" w:eastAsia="Arial" w:hAnsi="Arial"/>
                <w:sz w:val="18"/>
                <w:szCs w:val="18"/>
                <w:color w:val="auto"/>
              </w:rPr>
              <w:t>/s/ Hock E. Tan</w:t>
            </w:r>
          </w:p>
        </w:tc>
      </w:tr>
      <w:tr>
        <w:trPr>
          <w:trHeight w:val="20"/>
        </w:trPr>
        <w:tc>
          <w:tcPr>
            <w:tcW w:w="20" w:type="dxa"/>
            <w:vAlign w:val="bottom"/>
            <w:shd w:val="clear" w:color="auto" w:fill="000000"/>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r>
        <w:trPr>
          <w:trHeight w:val="209"/>
        </w:trPr>
        <w:tc>
          <w:tcPr>
            <w:tcW w:w="4420" w:type="dxa"/>
            <w:vAlign w:val="bottom"/>
            <w:gridSpan w:val="2"/>
          </w:tcPr>
          <w:p>
            <w:pPr>
              <w:spacing w:after="0"/>
              <w:rPr>
                <w:sz w:val="20"/>
                <w:szCs w:val="20"/>
                <w:color w:val="auto"/>
              </w:rPr>
            </w:pPr>
            <w:r>
              <w:rPr>
                <w:rFonts w:ascii="Arial" w:cs="Arial" w:eastAsia="Arial" w:hAnsi="Arial"/>
                <w:sz w:val="18"/>
                <w:szCs w:val="18"/>
                <w:color w:val="auto"/>
              </w:rPr>
              <w:t>James V. Diller</w:t>
            </w:r>
          </w:p>
        </w:tc>
        <w:tc>
          <w:tcPr>
            <w:tcW w:w="6620" w:type="dxa"/>
            <w:vAlign w:val="bottom"/>
            <w:gridSpan w:val="2"/>
          </w:tcPr>
          <w:p>
            <w:pPr>
              <w:ind w:left="2540"/>
              <w:spacing w:after="0"/>
              <w:rPr>
                <w:sz w:val="20"/>
                <w:szCs w:val="20"/>
                <w:color w:val="auto"/>
              </w:rPr>
            </w:pPr>
            <w:r>
              <w:rPr>
                <w:rFonts w:ascii="Arial" w:cs="Arial" w:eastAsia="Arial" w:hAnsi="Arial"/>
                <w:sz w:val="18"/>
                <w:szCs w:val="18"/>
                <w:color w:val="auto"/>
              </w:rPr>
              <w:t>Hock E. Tan</w:t>
            </w:r>
          </w:p>
        </w:tc>
      </w:tr>
      <w:tr>
        <w:trPr>
          <w:trHeight w:val="217"/>
        </w:trPr>
        <w:tc>
          <w:tcPr>
            <w:tcW w:w="44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620" w:type="dxa"/>
            <w:vAlign w:val="bottom"/>
            <w:gridSpan w:val="2"/>
          </w:tcPr>
          <w:p>
            <w:pPr>
              <w:ind w:left="2540"/>
              <w:spacing w:after="0"/>
              <w:rPr>
                <w:sz w:val="20"/>
                <w:szCs w:val="20"/>
                <w:color w:val="auto"/>
              </w:rPr>
            </w:pPr>
            <w:r>
              <w:rPr>
                <w:rFonts w:ascii="Arial" w:cs="Arial" w:eastAsia="Arial" w:hAnsi="Arial"/>
                <w:sz w:val="18"/>
                <w:szCs w:val="18"/>
                <w:color w:val="auto"/>
              </w:rPr>
              <w:t>Director</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9 February, 2018</w:t>
            </w:r>
          </w:p>
        </w:tc>
        <w:tc>
          <w:tcPr>
            <w:tcW w:w="25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4400" w:type="dxa"/>
            <w:vAlign w:val="bottom"/>
            <w:tcBorders>
              <w:bottom w:val="single" w:sz="8" w:color="auto"/>
            </w:tcBorders>
          </w:tcPr>
          <w:p>
            <w:pPr>
              <w:spacing w:after="0"/>
              <w:rPr>
                <w:sz w:val="12"/>
                <w:szCs w:val="12"/>
                <w:color w:val="auto"/>
              </w:rPr>
            </w:pPr>
          </w:p>
        </w:tc>
        <w:tc>
          <w:tcPr>
            <w:tcW w:w="6620" w:type="dxa"/>
            <w:vAlign w:val="bottom"/>
            <w:tcBorders>
              <w:bottom w:val="single" w:sz="8" w:color="auto"/>
            </w:tcBorders>
            <w:gridSpan w:val="2"/>
          </w:tcPr>
          <w:p>
            <w:pPr>
              <w:spacing w:after="0"/>
              <w:rPr>
                <w:sz w:val="12"/>
                <w:szCs w:val="12"/>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620" w:type="dxa"/>
            <w:vAlign w:val="bottom"/>
            <w:gridSpan w:val="2"/>
          </w:tcPr>
          <w:p>
            <w:pPr>
              <w:ind w:left="960"/>
              <w:spacing w:after="0"/>
              <w:rPr>
                <w:sz w:val="20"/>
                <w:szCs w:val="20"/>
                <w:color w:val="auto"/>
              </w:rPr>
            </w:pPr>
            <w:r>
              <w:rPr>
                <w:rFonts w:ascii="Arial" w:cs="Arial" w:eastAsia="Arial" w:hAnsi="Arial"/>
                <w:sz w:val="18"/>
                <w:szCs w:val="18"/>
                <w:color w:val="auto"/>
              </w:rPr>
              <w:t>A-9</w:t>
            </w:r>
          </w:p>
        </w:tc>
      </w:tr>
    </w:tbl>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INDEPENDENT AUDITOR’S REPORT TO THE MEMBERS OF BROADCOM LTD</w:t>
      </w: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Report on the Audit of the Financial Statements</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opinion</w:t>
      </w:r>
    </w:p>
    <w:p>
      <w:pPr>
        <w:spacing w:after="0" w:line="230" w:lineRule="exact"/>
        <w:rPr>
          <w:sz w:val="20"/>
          <w:szCs w:val="20"/>
          <w:color w:val="auto"/>
        </w:rPr>
      </w:pPr>
    </w:p>
    <w:p>
      <w:pPr>
        <w:jc w:val="both"/>
        <w:ind w:left="200"/>
        <w:spacing w:after="0" w:line="235" w:lineRule="auto"/>
        <w:rPr>
          <w:sz w:val="20"/>
          <w:szCs w:val="20"/>
          <w:color w:val="auto"/>
        </w:rPr>
      </w:pPr>
      <w:r>
        <w:rPr>
          <w:rFonts w:ascii="Arial" w:cs="Arial" w:eastAsia="Arial" w:hAnsi="Arial"/>
          <w:sz w:val="17"/>
          <w:szCs w:val="17"/>
          <w:color w:val="auto"/>
        </w:rPr>
        <w:t>In our opinion, the accompanying consolidated financial statements of Broadcom Limited (“the Company”) and its subsidiaries (“the Group”) and the balance sheet of the Company are properly drawn up in accordance with the provisions of the Singapore Companies Act, Chapter 50 (the “Act”) and Financial Reporting Standards in Singapore (“FRSs”) so as to give a true and fair view of the consolidated financial position of the Group and the financial position of the Company as at 29 October 2017 and of the consolidated financial performance, consolidated changes in equity and consolidated cash flows of the Group for the financial year ended on that date.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What we have audited</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financial statements of the Company and the Group comprise:</w:t>
      </w:r>
    </w:p>
    <w:p>
      <w:pPr>
        <w:spacing w:after="0" w:line="117" w:lineRule="exact"/>
        <w:rPr>
          <w:sz w:val="20"/>
          <w:szCs w:val="20"/>
          <w:color w:val="auto"/>
        </w:rPr>
      </w:pPr>
    </w:p>
    <w:p>
      <w:pPr>
        <w:ind w:left="1400" w:hanging="426"/>
        <w:spacing w:after="0"/>
        <w:tabs>
          <w:tab w:leader="none" w:pos="1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consolidated statement of comprehensive income of the Group for the year ended 29 October 2017;</w:t>
      </w:r>
    </w:p>
    <w:p>
      <w:pPr>
        <w:spacing w:after="0" w:line="117" w:lineRule="exact"/>
        <w:rPr>
          <w:rFonts w:ascii="Arial" w:cs="Arial" w:eastAsia="Arial" w:hAnsi="Arial"/>
          <w:sz w:val="18"/>
          <w:szCs w:val="18"/>
          <w:color w:val="auto"/>
        </w:rPr>
      </w:pPr>
    </w:p>
    <w:p>
      <w:pPr>
        <w:ind w:left="1400" w:hanging="426"/>
        <w:spacing w:after="0"/>
        <w:tabs>
          <w:tab w:leader="none" w:pos="1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balance sheet of the Group as at 29 October 2017;</w:t>
      </w:r>
    </w:p>
    <w:p>
      <w:pPr>
        <w:spacing w:after="0" w:line="117" w:lineRule="exact"/>
        <w:rPr>
          <w:rFonts w:ascii="Arial" w:cs="Arial" w:eastAsia="Arial" w:hAnsi="Arial"/>
          <w:sz w:val="18"/>
          <w:szCs w:val="18"/>
          <w:color w:val="auto"/>
        </w:rPr>
      </w:pPr>
    </w:p>
    <w:p>
      <w:pPr>
        <w:ind w:left="1400" w:hanging="426"/>
        <w:spacing w:after="0"/>
        <w:tabs>
          <w:tab w:leader="none" w:pos="1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balance sheet of the Company as at 29 October 2017;</w:t>
      </w:r>
    </w:p>
    <w:p>
      <w:pPr>
        <w:spacing w:after="0" w:line="117" w:lineRule="exact"/>
        <w:rPr>
          <w:rFonts w:ascii="Arial" w:cs="Arial" w:eastAsia="Arial" w:hAnsi="Arial"/>
          <w:sz w:val="18"/>
          <w:szCs w:val="18"/>
          <w:color w:val="auto"/>
        </w:rPr>
      </w:pPr>
    </w:p>
    <w:p>
      <w:pPr>
        <w:ind w:left="1400" w:hanging="426"/>
        <w:spacing w:after="0"/>
        <w:tabs>
          <w:tab w:leader="none" w:pos="1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consolidated statement of changes in equity of the Group for the year then ended;</w:t>
      </w:r>
    </w:p>
    <w:p>
      <w:pPr>
        <w:spacing w:after="0" w:line="117" w:lineRule="exact"/>
        <w:rPr>
          <w:rFonts w:ascii="Arial" w:cs="Arial" w:eastAsia="Arial" w:hAnsi="Arial"/>
          <w:sz w:val="18"/>
          <w:szCs w:val="18"/>
          <w:color w:val="auto"/>
        </w:rPr>
      </w:pPr>
    </w:p>
    <w:p>
      <w:pPr>
        <w:ind w:left="1400" w:hanging="426"/>
        <w:spacing w:after="0"/>
        <w:tabs>
          <w:tab w:leader="none" w:pos="1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consolidated statement of cash flows of the Group for the year then ended; and</w:t>
      </w:r>
    </w:p>
    <w:p>
      <w:pPr>
        <w:spacing w:after="0" w:line="117" w:lineRule="exact"/>
        <w:rPr>
          <w:rFonts w:ascii="Arial" w:cs="Arial" w:eastAsia="Arial" w:hAnsi="Arial"/>
          <w:sz w:val="18"/>
          <w:szCs w:val="18"/>
          <w:color w:val="auto"/>
        </w:rPr>
      </w:pPr>
    </w:p>
    <w:p>
      <w:pPr>
        <w:ind w:left="1400" w:hanging="426"/>
        <w:spacing w:after="0"/>
        <w:tabs>
          <w:tab w:leader="none" w:pos="1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notes to the financial statements, including a summary of significant accounting policies.</w:t>
      </w: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Basis for Opinion</w:t>
      </w:r>
    </w:p>
    <w:p>
      <w:pPr>
        <w:spacing w:after="0" w:line="23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We conducted our audit in accordance with Singapore Standards on Auditing (“SSAs”). Our responsibilities under those standards are further described in the Auditor’s Responsibilities for the Audit of the Financial Statements section of our report. We believe that the audit evidence we have obtained is sufficient and appropriate to provide a basis for our opinion.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Independence</w:t>
      </w:r>
    </w:p>
    <w:p>
      <w:pPr>
        <w:spacing w:after="0" w:line="17"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We are independent of the Group in accordance with the Accounting and Corporate Regulatory Authority Code of Professional Conduct and Ethics for Public Accountants and Accounting Entities (“ACRA Code”) together with the ethical requirements that are relevant to our audit of the financial statements in Singapore, and we have fulfilled our other ethical responsibilities in accordance with these requirements and the ACRA Code.</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Audit Approach</w:t>
      </w:r>
    </w:p>
    <w:p>
      <w:pPr>
        <w:spacing w:after="0" w:line="235"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As part of designing our audit, we determined materiality and assessed the risks of material misstatement in the accompanying financial statements. In particular, we considered where management made subjective judgments; for example, in respect of significant accounting estimates that involved making assumptions and considering future events that are inherently uncertain. As in all of our audits, we also addressed the risk of management override of internal controls, including among other matters consideration of whether there was evidence of bias that represented a risk of material misstatement due to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INDEPENDENT AUDITOR’S REPORT TO THE MEMBERS OF BROADCOM LTD</w:t>
      </w:r>
    </w:p>
    <w:p>
      <w:pPr>
        <w:spacing w:after="0" w:line="38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Key Audit Matters</w:t>
      </w:r>
    </w:p>
    <w:p>
      <w:pPr>
        <w:spacing w:after="0" w:line="17"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Key audit matters are those matters that, in our professional judgement, were of most significance in our audit of the financial statements for the financial year ended 29 October 2017. These matters were addressed in the context of our audit of the financial statements as a whole, and in forming our opinion thereon, and we do not provide a separate opinion on these matters.</w:t>
      </w:r>
    </w:p>
    <w:p>
      <w:pPr>
        <w:spacing w:after="0" w:line="225"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9"/>
          <w:szCs w:val="19"/>
          <w:b w:val="1"/>
          <w:bCs w:val="1"/>
          <w:color w:val="auto"/>
        </w:rPr>
        <w:t>Key Audit Matter</w:t>
      </w:r>
      <w:r>
        <w:rPr>
          <w:sz w:val="20"/>
          <w:szCs w:val="20"/>
          <w:color w:val="auto"/>
        </w:rPr>
        <w:tab/>
      </w:r>
      <w:r>
        <w:rPr>
          <w:rFonts w:ascii="Arial" w:cs="Arial" w:eastAsia="Arial" w:hAnsi="Arial"/>
          <w:sz w:val="18"/>
          <w:szCs w:val="18"/>
          <w:b w:val="1"/>
          <w:bCs w:val="1"/>
          <w:color w:val="auto"/>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-133985</wp:posOffset>
            </wp:positionV>
            <wp:extent cx="6997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99" w:lineRule="exact"/>
        <w:rPr>
          <w:sz w:val="20"/>
          <w:szCs w:val="20"/>
          <w:color w:val="auto"/>
        </w:rPr>
      </w:pPr>
    </w:p>
    <w:p>
      <w:pPr>
        <w:jc w:val="both"/>
        <w:ind w:left="200" w:right="20"/>
        <w:spacing w:after="0" w:line="244" w:lineRule="auto"/>
        <w:rPr>
          <w:sz w:val="20"/>
          <w:szCs w:val="20"/>
          <w:color w:val="auto"/>
        </w:rPr>
      </w:pPr>
      <w:r>
        <w:rPr>
          <w:rFonts w:ascii="Arial" w:cs="Arial" w:eastAsia="Arial" w:hAnsi="Arial"/>
          <w:sz w:val="17"/>
          <w:szCs w:val="17"/>
          <w:b w:val="1"/>
          <w:bCs w:val="1"/>
          <w:color w:val="auto"/>
        </w:rPr>
        <w:t xml:space="preserve">First-time adoption of Singapore Financial Reporting Standards (“FRSs”) </w:t>
      </w:r>
      <w:r>
        <w:rPr>
          <w:rFonts w:ascii="Arial" w:cs="Arial" w:eastAsia="Arial" w:hAnsi="Arial"/>
          <w:sz w:val="17"/>
          <w:szCs w:val="17"/>
          <w:color w:val="auto"/>
        </w:rPr>
        <w:t>Refer to Note 2.1 (Significant accounting policies - FRS101</w:t>
      </w:r>
      <w:r>
        <w:rPr>
          <w:rFonts w:ascii="Arial" w:cs="Arial" w:eastAsia="Arial" w:hAnsi="Arial"/>
          <w:sz w:val="17"/>
          <w:szCs w:val="17"/>
          <w:b w:val="1"/>
          <w:bCs w:val="1"/>
          <w:color w:val="auto"/>
        </w:rPr>
        <w:t xml:space="preserve"> </w:t>
      </w:r>
      <w:r>
        <w:rPr>
          <w:rFonts w:ascii="Arial" w:cs="Arial" w:eastAsia="Arial" w:hAnsi="Arial"/>
          <w:sz w:val="17"/>
          <w:szCs w:val="17"/>
          <w:color w:val="auto"/>
        </w:rPr>
        <w:t>First-time Adoption of Financial Reporting Standards)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-495935</wp:posOffset>
            </wp:positionV>
            <wp:extent cx="6997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jc w:val="both"/>
        <w:ind w:left="200"/>
        <w:spacing w:after="0" w:line="234" w:lineRule="auto"/>
        <w:rPr>
          <w:sz w:val="20"/>
          <w:szCs w:val="20"/>
          <w:color w:val="auto"/>
        </w:rPr>
      </w:pPr>
      <w:r>
        <w:rPr>
          <w:rFonts w:ascii="Arial" w:cs="Arial" w:eastAsia="Arial" w:hAnsi="Arial"/>
          <w:sz w:val="17"/>
          <w:szCs w:val="17"/>
          <w:color w:val="auto"/>
        </w:rPr>
        <w:t>The Company adopted FRSs for the preparation of the accompanying financial statements. In preparing these financial statements, which are the first set of financial statements of the Group and the Company prepared in accordance with FRSs, management has applied certain optional exemptions from requirements under FRSs and made certain adjustments due to the differences between FRSs and the accounting principles generally accepted in the United States of America (“previous GAAP”), which was used for the preparation of the financial statements in the previous financial years.</w:t>
      </w:r>
    </w:p>
    <w:p>
      <w:pPr>
        <w:spacing w:after="0" w:line="108" w:lineRule="exact"/>
        <w:rPr>
          <w:sz w:val="20"/>
          <w:szCs w:val="20"/>
          <w:color w:val="auto"/>
        </w:rPr>
      </w:pPr>
    </w:p>
    <w:p>
      <w:pPr>
        <w:jc w:val="both"/>
        <w:ind w:left="200"/>
        <w:spacing w:after="0" w:line="236" w:lineRule="auto"/>
        <w:rPr>
          <w:sz w:val="20"/>
          <w:szCs w:val="20"/>
          <w:color w:val="auto"/>
        </w:rPr>
      </w:pPr>
      <w:r>
        <w:rPr>
          <w:rFonts w:ascii="Arial" w:cs="Arial" w:eastAsia="Arial" w:hAnsi="Arial"/>
          <w:sz w:val="17"/>
          <w:szCs w:val="17"/>
          <w:color w:val="auto"/>
        </w:rPr>
        <w:t>We focused on this area due to increased attention required to analyse and audit the differences arising out of conversion from the previous GAAP to FRS, specifically the key judgements made by management in the application of FRSs for the first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261620</wp:posOffset>
            </wp:positionV>
            <wp:extent cx="6997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We obtained the analysis prepared by management for all financial statements line items highlighting the potential impact of the differences between the previous GAAP and FRSs. We have performed procedures on the potential impact identified by management, while also considering the appropriateness of management’s judgements in the election of accounting policies and options taken by management in the application of FRSs.</w:t>
      </w:r>
    </w:p>
    <w:p>
      <w:pPr>
        <w:spacing w:after="0" w:line="11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As the FRSs were applied retrospectively to the comparative information, we have also applied the same procedures to the opening balances for the financial year ended 29 October 2017.</w:t>
      </w:r>
    </w:p>
    <w:p>
      <w:pPr>
        <w:spacing w:after="0" w:line="10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tested the adjustments recorded by management to determine that the differences between the previous GAAP and FRSs have been properly accounted for and appropriately disclosed in the financial statements.</w:t>
      </w:r>
    </w:p>
    <w:p>
      <w:pPr>
        <w:spacing w:after="0" w:line="524" w:lineRule="exact"/>
        <w:rPr>
          <w:sz w:val="20"/>
          <w:szCs w:val="20"/>
          <w:color w:val="auto"/>
        </w:rPr>
      </w:pPr>
    </w:p>
    <w:p>
      <w:pPr>
        <w:sectPr>
          <w:pgSz w:w="11900" w:h="16838" w:orient="portrait"/>
          <w:cols w:equalWidth="0" w:num="2">
            <w:col w:w="5840" w:space="220"/>
            <w:col w:w="5160"/>
          </w:cols>
          <w:pgMar w:left="240" w:top="459" w:right="4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A-11</w:t>
      </w:r>
    </w:p>
    <w:p>
      <w:pPr>
        <w:sectPr>
          <w:pgSz w:w="11900" w:h="16838" w:orient="portrait"/>
          <w:cols w:equalWidth="0" w:num="1">
            <w:col w:w="11220"/>
          </w:cols>
          <w:pgMar w:left="240" w:top="459" w:right="4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INDEPENDENT AUDITOR’S REPORT TO THE MEMBERS OF BROADCOM LTD</w:t>
      </w:r>
    </w:p>
    <w:p>
      <w:pPr>
        <w:spacing w:after="0" w:line="386"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 xml:space="preserve">Key Audit Matters </w:t>
      </w:r>
      <w:r>
        <w:rPr>
          <w:rFonts w:ascii="Arial" w:cs="Arial" w:eastAsia="Arial" w:hAnsi="Arial"/>
          <w:sz w:val="20"/>
          <w:szCs w:val="20"/>
          <w:color w:val="auto"/>
        </w:rPr>
        <w:t>(continued)</w:t>
      </w:r>
    </w:p>
    <w:p>
      <w:pPr>
        <w:spacing w:after="0" w:line="152"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9"/>
          <w:szCs w:val="19"/>
          <w:b w:val="1"/>
          <w:bCs w:val="1"/>
          <w:color w:val="auto"/>
        </w:rPr>
        <w:t>Key Audit Matter</w:t>
      </w:r>
      <w:r>
        <w:rPr>
          <w:sz w:val="20"/>
          <w:szCs w:val="20"/>
          <w:color w:val="auto"/>
        </w:rPr>
        <w:tab/>
      </w:r>
      <w:r>
        <w:rPr>
          <w:rFonts w:ascii="Arial" w:cs="Arial" w:eastAsia="Arial" w:hAnsi="Arial"/>
          <w:sz w:val="18"/>
          <w:szCs w:val="18"/>
          <w:b w:val="1"/>
          <w:bCs w:val="1"/>
          <w:color w:val="auto"/>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-133985</wp:posOffset>
            </wp:positionV>
            <wp:extent cx="6997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9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Uncertain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wp:posOffset>
            </wp:positionV>
            <wp:extent cx="6997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jc w:val="both"/>
        <w:ind w:left="200"/>
        <w:spacing w:after="0" w:line="243" w:lineRule="auto"/>
        <w:rPr>
          <w:sz w:val="20"/>
          <w:szCs w:val="20"/>
          <w:color w:val="auto"/>
        </w:rPr>
      </w:pPr>
      <w:r>
        <w:rPr>
          <w:rFonts w:ascii="Arial" w:cs="Arial" w:eastAsia="Arial" w:hAnsi="Arial"/>
          <w:sz w:val="17"/>
          <w:szCs w:val="17"/>
          <w:color w:val="auto"/>
        </w:rPr>
        <w:t>Refer to Note 3(e) (Critical accounting estimates, assumptions and judgements) and Note 9 (Income taxes) to the financial statements.</w:t>
      </w:r>
    </w:p>
    <w:p>
      <w:pPr>
        <w:spacing w:after="0" w:line="225" w:lineRule="exact"/>
        <w:rPr>
          <w:sz w:val="20"/>
          <w:szCs w:val="20"/>
          <w:color w:val="auto"/>
        </w:rPr>
      </w:pPr>
    </w:p>
    <w:p>
      <w:pPr>
        <w:jc w:val="both"/>
        <w:ind w:left="200"/>
        <w:spacing w:after="0" w:line="235" w:lineRule="auto"/>
        <w:rPr>
          <w:sz w:val="20"/>
          <w:szCs w:val="20"/>
          <w:color w:val="auto"/>
        </w:rPr>
      </w:pPr>
      <w:r>
        <w:rPr>
          <w:rFonts w:ascii="Arial" w:cs="Arial" w:eastAsia="Arial" w:hAnsi="Arial"/>
          <w:sz w:val="17"/>
          <w:szCs w:val="17"/>
          <w:color w:val="auto"/>
        </w:rPr>
        <w:t>The provision for the Group’s tax liabilities is affected by uncertainties in the application of complex tax laws and regulations in a multitude of jurisdictions including transfer pricing. We focused on this area due to the broad range of potential outcomes that can arise from different assumptions and significant management judgement involved in estimating the tax liabilities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Impairment assessment on goodwill</w:t>
      </w:r>
    </w:p>
    <w:p>
      <w:pPr>
        <w:spacing w:after="0" w:line="14" w:lineRule="exact"/>
        <w:rPr>
          <w:sz w:val="20"/>
          <w:szCs w:val="20"/>
          <w:color w:val="auto"/>
        </w:rPr>
      </w:pPr>
    </w:p>
    <w:p>
      <w:pPr>
        <w:jc w:val="both"/>
        <w:ind w:left="200" w:right="20"/>
        <w:spacing w:after="0" w:line="243" w:lineRule="auto"/>
        <w:rPr>
          <w:sz w:val="20"/>
          <w:szCs w:val="20"/>
          <w:color w:val="auto"/>
        </w:rPr>
      </w:pPr>
      <w:r>
        <w:rPr>
          <w:rFonts w:ascii="Arial" w:cs="Arial" w:eastAsia="Arial" w:hAnsi="Arial"/>
          <w:sz w:val="17"/>
          <w:szCs w:val="17"/>
          <w:color w:val="auto"/>
        </w:rPr>
        <w:t>Refer to Note 3(c) (Critical accounting estimates, assumptions and judgements) and Note 18(a) (Goodwill) to the financial statements.</w:t>
      </w:r>
    </w:p>
    <w:p>
      <w:pPr>
        <w:spacing w:after="0" w:line="225" w:lineRule="exact"/>
        <w:rPr>
          <w:sz w:val="20"/>
          <w:szCs w:val="20"/>
          <w:color w:val="auto"/>
        </w:rPr>
      </w:pPr>
    </w:p>
    <w:p>
      <w:pPr>
        <w:jc w:val="both"/>
        <w:ind w:left="200"/>
        <w:spacing w:after="0" w:line="236" w:lineRule="auto"/>
        <w:rPr>
          <w:sz w:val="20"/>
          <w:szCs w:val="20"/>
          <w:color w:val="auto"/>
        </w:rPr>
      </w:pPr>
      <w:r>
        <w:rPr>
          <w:rFonts w:ascii="Arial" w:cs="Arial" w:eastAsia="Arial" w:hAnsi="Arial"/>
          <w:sz w:val="17"/>
          <w:szCs w:val="17"/>
          <w:color w:val="auto"/>
        </w:rPr>
        <w:t>As at 29 October 2017, goodwill amounted to USD 24,706 million, of which USD 22,992 million relates to the acquisition of Broadcom Corporation during the financial year ended 30 October 2016, and accounted for a significant part of the Group’s total assets.</w:t>
      </w:r>
    </w:p>
    <w:p>
      <w:pPr>
        <w:spacing w:after="0" w:line="231" w:lineRule="exact"/>
        <w:rPr>
          <w:sz w:val="20"/>
          <w:szCs w:val="20"/>
          <w:color w:val="auto"/>
        </w:rPr>
      </w:pPr>
    </w:p>
    <w:p>
      <w:pPr>
        <w:jc w:val="both"/>
        <w:ind w:left="200"/>
        <w:spacing w:after="0" w:line="235" w:lineRule="auto"/>
        <w:rPr>
          <w:sz w:val="20"/>
          <w:szCs w:val="20"/>
          <w:color w:val="auto"/>
        </w:rPr>
      </w:pPr>
      <w:r>
        <w:rPr>
          <w:rFonts w:ascii="Arial" w:cs="Arial" w:eastAsia="Arial" w:hAnsi="Arial"/>
          <w:sz w:val="17"/>
          <w:szCs w:val="17"/>
          <w:color w:val="auto"/>
        </w:rPr>
        <w:t>We focused on this area due to the size of the goodwill balance and because the assessment of the fair values of each of the four Cash Generating Units (CGUs) is highly subjective and involves significant judgement about the inputs and assumptions, including growth rates and discount rates, applied to the business growth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1463040</wp:posOffset>
            </wp:positionV>
            <wp:extent cx="6997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We evaluated the design and operating effectiveness of the controls the Group has in place to identify and quantify its transfer pricing tax exposures and to estimate tax provisions and certain unrecognized tax benefits. We assessed the approach applied by the Group in establishing its transfer pricing policies and assessing its tax positions in each of the respective tax jurisdictions in which the Group operates. We used our tax specialists, in the area of transfer pricing; they reviewed the relevant documentation and correspondences to assess the reasonableness of the significant assumptions and methods that support the calculations of the Group’s tax provisions.</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Based on our procedures performed, we believe that the management’s assessment of the amount recorded by the Group for uncertain tax positions is acceptable in the context of the Group’s operations and the information currently available.</w:t>
      </w:r>
    </w:p>
    <w:p>
      <w:pPr>
        <w:spacing w:after="0" w:line="24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We evaluated management’s qualitative assessment and considered the macro and Group-specific information in terms of recent historical performance and outlook. We found that management had followed their documented process for assessing qualitative factors around adverse indicators and ensured that the forecast information used in the assessment is consistent with the Board-approved budgets.</w:t>
      </w:r>
    </w:p>
    <w:p>
      <w:pPr>
        <w:spacing w:after="0" w:line="23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used an independent valuation expert to assist in their qualitative assessment and quantification of the headroom between the carrying value and the fair value of each of the four CGUs. Information used in the assessment is consistent with our understanding of the business and overall state of the industry and macro-economic conditions. We validated that the inputs and assumptions used were subjected to review and oversight by management of the Group. The analysis performed indicated significant headroom between the carrying value and fair value of each CGU.</w:t>
      </w: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performed sensitivity analysis on the inputs and assumptions used and calculated the degree to which these assumptions would need to move before an impairment conclusion was triggered. We assessed the likelihood of such a movement with management and agreed with their conclusion that it was unlikely.</w:t>
      </w:r>
    </w:p>
    <w:p>
      <w:pPr>
        <w:spacing w:after="0" w:line="200" w:lineRule="exact"/>
        <w:rPr>
          <w:sz w:val="20"/>
          <w:szCs w:val="20"/>
          <w:color w:val="auto"/>
        </w:rPr>
      </w:pPr>
    </w:p>
    <w:p>
      <w:pPr>
        <w:sectPr>
          <w:pgSz w:w="11900" w:h="16838" w:orient="portrait"/>
          <w:cols w:equalWidth="0" w:num="2">
            <w:col w:w="5840" w:space="220"/>
            <w:col w:w="5160"/>
          </w:cols>
          <w:pgMar w:left="240" w:top="459" w:right="439" w:bottom="1440" w:gutter="0" w:footer="0" w:header="0"/>
          <w:type w:val="continuous"/>
        </w:sectPr>
      </w:pPr>
    </w:p>
    <w:p>
      <w:pPr>
        <w:spacing w:after="0" w:line="17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A-12</w:t>
      </w:r>
    </w:p>
    <w:p>
      <w:pPr>
        <w:sectPr>
          <w:pgSz w:w="11900" w:h="16838" w:orient="portrait"/>
          <w:cols w:equalWidth="0" w:num="1">
            <w:col w:w="11220"/>
          </w:cols>
          <w:pgMar w:left="240" w:top="459" w:right="4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INDEPENDENT AUDITOR’S REPORT TO THE MEMBERS OF BROADCOM LTD</w:t>
      </w:r>
    </w:p>
    <w:p>
      <w:pPr>
        <w:spacing w:after="0" w:line="38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Other Information</w:t>
      </w:r>
    </w:p>
    <w:p>
      <w:pPr>
        <w:spacing w:after="0" w:line="16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Management is responsible for the other information. The other information refers to the “Directors’ Statement” section on pages 1 to 8 of the annual report but does not include the financial statements and our auditor’s report thereon, which we obtained prior to the date of this auditor’s report.</w:t>
      </w:r>
    </w:p>
    <w:p>
      <w:pPr>
        <w:spacing w:after="0" w:line="203"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Our opinion on the financial statements does not cover the other information and we do not and will not express any form of assurance conclusion thereon.</w:t>
      </w:r>
    </w:p>
    <w:p>
      <w:pPr>
        <w:spacing w:after="0" w:line="197"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In connection with our audit of the financial statements, our responsibility is to read the other information identified above and, in doing so, consider whether the other information is materially inconsistent with the financial statements or our knowledge obtained in the audit, or otherwise appears to be materially misstated.</w:t>
      </w:r>
    </w:p>
    <w:p>
      <w:pPr>
        <w:spacing w:after="0" w:line="203"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If, based on the work we have performed on the other information that we obtained prior to the date of this auditor’s report, we conclude that there is a material misstatement of this other information, we are required to report that fact. We have nothing to report in this regard.</w:t>
      </w:r>
    </w:p>
    <w:p>
      <w:pPr>
        <w:spacing w:after="0" w:line="38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Responsibilities of Management and Directors for the Financial Statements</w:t>
      </w:r>
    </w:p>
    <w:p>
      <w:pPr>
        <w:spacing w:after="0" w:line="23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Management is responsible for the preparation of financial statements that give a true and fair view in accordance with the provisions of the Act and FRSs, and for devising and maintaining a system of internal accounting controls sufficient to provide a reasonable assurance that assets are safeguarded against loss from unauthorised use or disposition; and transactions are properly authorised and that they are recorded as necessary to permit the preparation of true and fair financial statements and to maintain accountability of assets.</w:t>
      </w:r>
    </w:p>
    <w:p>
      <w:pPr>
        <w:spacing w:after="0" w:line="202"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In preparing the financial statements, management is responsible for assessing the Group’s ability to continue as a going concern, disclosing, as applicable, matters related to going concern and using the going concern basis of accounting unless management either intends to liquidate the Group or to cease operations, or has no realistic alternative but to do so.</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directors’ responsibilities include overseeing the Group’s financial reporting process.</w:t>
      </w: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Auditor’s Responsibilities for the Audit of the Financial Statements</w:t>
      </w:r>
    </w:p>
    <w:p>
      <w:pPr>
        <w:spacing w:after="0" w:line="235"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SSAs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 As part of an audit in accordance with SSAs, we exercise professional judgement and maintain professional scepticism throughout the audit. We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96520</wp:posOffset>
            </wp:positionV>
            <wp:extent cx="6997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INDEPENDENT AUDITOR’S REPORT TO THE MEMBERS OF BROADCOM LTD</w:t>
      </w:r>
    </w:p>
    <w:p>
      <w:pPr>
        <w:spacing w:after="0" w:line="38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Auditor’s Responsibilities for the Audit of the Financial Statements </w:t>
      </w:r>
      <w:r>
        <w:rPr>
          <w:rFonts w:ascii="Arial" w:cs="Arial" w:eastAsia="Arial" w:hAnsi="Arial"/>
          <w:sz w:val="20"/>
          <w:szCs w:val="20"/>
          <w:color w:val="auto"/>
        </w:rPr>
        <w:t>(continued)</w:t>
      </w:r>
    </w:p>
    <w:p>
      <w:pPr>
        <w:spacing w:after="0" w:line="161" w:lineRule="exact"/>
        <w:rPr>
          <w:sz w:val="20"/>
          <w:szCs w:val="20"/>
          <w:color w:val="auto"/>
        </w:rPr>
      </w:pPr>
    </w:p>
    <w:p>
      <w:pPr>
        <w:jc w:val="both"/>
        <w:ind w:left="1400" w:hanging="426"/>
        <w:spacing w:after="0" w:line="234" w:lineRule="auto"/>
        <w:tabs>
          <w:tab w:leader="none" w:pos="1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3" w:lineRule="exact"/>
        <w:rPr>
          <w:rFonts w:ascii="Arial" w:cs="Arial" w:eastAsia="Arial" w:hAnsi="Arial"/>
          <w:sz w:val="18"/>
          <w:szCs w:val="18"/>
          <w:color w:val="auto"/>
        </w:rPr>
      </w:pPr>
    </w:p>
    <w:p>
      <w:pPr>
        <w:ind w:left="1400" w:hanging="426"/>
        <w:spacing w:after="0" w:line="246" w:lineRule="auto"/>
        <w:tabs>
          <w:tab w:leader="none" w:pos="1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Obtain an understanding of internal control relevant to the audit in order to design audit procedures that are appropriate in the circumstances, but not for the purpose of expressing an opinion on the effectiveness of the Group’s internal control.</w:t>
      </w:r>
    </w:p>
    <w:p>
      <w:pPr>
        <w:spacing w:after="0" w:line="223" w:lineRule="exact"/>
        <w:rPr>
          <w:rFonts w:ascii="Arial" w:cs="Arial" w:eastAsia="Arial" w:hAnsi="Arial"/>
          <w:sz w:val="18"/>
          <w:szCs w:val="18"/>
          <w:color w:val="auto"/>
        </w:rPr>
      </w:pPr>
    </w:p>
    <w:p>
      <w:pPr>
        <w:ind w:left="1400" w:hanging="426"/>
        <w:spacing w:after="0" w:line="246" w:lineRule="auto"/>
        <w:tabs>
          <w:tab w:leader="none" w:pos="1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accounting estimates and related disclosures made by management.</w:t>
      </w:r>
    </w:p>
    <w:p>
      <w:pPr>
        <w:spacing w:after="0" w:line="223" w:lineRule="exact"/>
        <w:rPr>
          <w:rFonts w:ascii="Arial" w:cs="Arial" w:eastAsia="Arial" w:hAnsi="Arial"/>
          <w:sz w:val="18"/>
          <w:szCs w:val="18"/>
          <w:color w:val="auto"/>
        </w:rPr>
      </w:pPr>
    </w:p>
    <w:p>
      <w:pPr>
        <w:jc w:val="both"/>
        <w:ind w:left="1400" w:hanging="426"/>
        <w:spacing w:after="0" w:line="237" w:lineRule="auto"/>
        <w:tabs>
          <w:tab w:leader="none" w:pos="1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Conclude on the appropriateness of management’s use of the going concern basis of accounting and, based on the audit evidence obtained, whether a material uncertainty exists related to events or conditions that may cast significant doubt on the Group’s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However, future events or conditions may cause the Group to cease to continue as a going concern.</w:t>
      </w:r>
    </w:p>
    <w:p>
      <w:pPr>
        <w:spacing w:after="0" w:line="232" w:lineRule="exact"/>
        <w:rPr>
          <w:rFonts w:ascii="Arial" w:cs="Arial" w:eastAsia="Arial" w:hAnsi="Arial"/>
          <w:sz w:val="18"/>
          <w:szCs w:val="18"/>
          <w:color w:val="auto"/>
        </w:rPr>
      </w:pPr>
    </w:p>
    <w:p>
      <w:pPr>
        <w:ind w:left="1400" w:hanging="426"/>
        <w:spacing w:after="0" w:line="246" w:lineRule="auto"/>
        <w:tabs>
          <w:tab w:leader="none" w:pos="1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Evaluate the overall presentation, structure and content of the financial statements, including the disclosures, and whether the financial statements represent the underlying transactions and events in a manner that achieves fair presentation.</w:t>
      </w:r>
    </w:p>
    <w:p>
      <w:pPr>
        <w:spacing w:after="0" w:line="223" w:lineRule="exact"/>
        <w:rPr>
          <w:rFonts w:ascii="Arial" w:cs="Arial" w:eastAsia="Arial" w:hAnsi="Arial"/>
          <w:sz w:val="18"/>
          <w:szCs w:val="18"/>
          <w:color w:val="auto"/>
        </w:rPr>
      </w:pPr>
    </w:p>
    <w:p>
      <w:pPr>
        <w:jc w:val="both"/>
        <w:ind w:left="1400" w:hanging="426"/>
        <w:spacing w:after="0"/>
        <w:tabs>
          <w:tab w:leader="none" w:pos="1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Obtain sufficient appropriate audit evidence regarding the financial information of the entities or business activities within the Group to express an opinion on the consolidated financial statements. We are responsible for the direction, supervision and performance of the group audit. We remain solely responsible for our audit opinion.</w:t>
      </w:r>
    </w:p>
    <w:p>
      <w:pPr>
        <w:spacing w:after="0" w:line="203"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We communicate with the directors regarding, among other matters, the planned scope and timing of the audit and significant audit findings, including any significant deficiencies in internal control that we identify during our audit.</w:t>
      </w:r>
    </w:p>
    <w:p>
      <w:pPr>
        <w:spacing w:after="0" w:line="197"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We also provide the directors with a statement that we have complied with relevant ethical requirements regarding independence, and to communicate with them all relationships and other matters that may reasonably be thought to bear on our independence, and where applicable, related safeguards.</w:t>
      </w:r>
    </w:p>
    <w:p>
      <w:pPr>
        <w:spacing w:after="0" w:line="203"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From the matters communicated with the directors, we determine those matters that were of most significance in the audit of the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INDEPENDENT AUDITOR’S REPORT TO THE MEMBERS OF BROADCOM LTD</w:t>
      </w: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Matters</w:t>
      </w:r>
    </w:p>
    <w:p>
      <w:pPr>
        <w:spacing w:after="0" w:line="203" w:lineRule="exact"/>
        <w:rPr>
          <w:sz w:val="20"/>
          <w:szCs w:val="20"/>
          <w:color w:val="auto"/>
        </w:rPr>
      </w:pPr>
    </w:p>
    <w:p>
      <w:pPr>
        <w:jc w:val="both"/>
        <w:ind w:left="200"/>
        <w:spacing w:after="0" w:line="234" w:lineRule="auto"/>
        <w:rPr>
          <w:sz w:val="20"/>
          <w:szCs w:val="20"/>
          <w:color w:val="auto"/>
        </w:rPr>
      </w:pPr>
      <w:r>
        <w:rPr>
          <w:rFonts w:ascii="Arial" w:cs="Arial" w:eastAsia="Arial" w:hAnsi="Arial"/>
          <w:sz w:val="17"/>
          <w:szCs w:val="17"/>
          <w:color w:val="auto"/>
        </w:rPr>
        <w:t>As stated in Note 2 to the financial statements, the Company adopted FRSs on 31 October 2016 with a transition date of 2 November 2015. These standards were applied retrospectively by management to the comparative information in these financial statements, including the statement of financial position as at 30 October 2016 and 2 November 2015, and the consolidated statement of comprehensive income, consolidated statement of changes in equity and consolidated statement of cash flows for the financial year ended 30 October 2016 and related disclosures. We were not engaged to report on the restated comparative information. Our responsibilities as part of our audit of the financial statements of the Group and of the Company for the financial year ended 29 October 2017 have, in these circumstances, included obtaining sufficient appropriate audit evidence that the opening balances as at 31 October 2016 do not contain misstatements that materially affect the financial position as of 29 October 2017 and financial performance and cash flows for the financial year then ended.</w:t>
      </w:r>
    </w:p>
    <w:p>
      <w:pPr>
        <w:spacing w:after="0" w:line="204" w:lineRule="exact"/>
        <w:rPr>
          <w:sz w:val="20"/>
          <w:szCs w:val="20"/>
          <w:color w:val="auto"/>
        </w:rPr>
      </w:pPr>
    </w:p>
    <w:p>
      <w:pPr>
        <w:jc w:val="both"/>
        <w:ind w:left="200"/>
        <w:spacing w:after="0" w:line="238" w:lineRule="auto"/>
        <w:rPr>
          <w:sz w:val="20"/>
          <w:szCs w:val="20"/>
          <w:color w:val="auto"/>
        </w:rPr>
      </w:pPr>
      <w:r>
        <w:rPr>
          <w:rFonts w:ascii="Arial" w:cs="Arial" w:eastAsia="Arial" w:hAnsi="Arial"/>
          <w:sz w:val="17"/>
          <w:szCs w:val="17"/>
          <w:color w:val="auto"/>
        </w:rPr>
        <w:t>The Company has prepared a separate set of financial statements for the year ended 29 October 2017 in accordance with accounting principles generally accepted in the United States of America, on which a separate auditor’s report to the members of Broadcom Limited dated 21 December 2017 was issued.</w:t>
      </w:r>
    </w:p>
    <w:p>
      <w:pPr>
        <w:spacing w:after="0" w:line="39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Report on other Legal and Regulatory Requirements</w:t>
      </w:r>
    </w:p>
    <w:p>
      <w:pPr>
        <w:spacing w:after="0" w:line="189" w:lineRule="exact"/>
        <w:rPr>
          <w:sz w:val="20"/>
          <w:szCs w:val="20"/>
          <w:color w:val="auto"/>
        </w:rPr>
      </w:pPr>
    </w:p>
    <w:p>
      <w:pPr>
        <w:jc w:val="both"/>
        <w:ind w:left="200"/>
        <w:spacing w:after="0" w:line="243" w:lineRule="auto"/>
        <w:rPr>
          <w:sz w:val="20"/>
          <w:szCs w:val="20"/>
          <w:color w:val="auto"/>
        </w:rPr>
      </w:pPr>
      <w:r>
        <w:rPr>
          <w:rFonts w:ascii="Arial" w:cs="Arial" w:eastAsia="Arial" w:hAnsi="Arial"/>
          <w:sz w:val="17"/>
          <w:szCs w:val="17"/>
          <w:color w:val="auto"/>
        </w:rPr>
        <w:t>In our opinion, the accounting and other records required by the Act to be kept by the Company and by those subsidiary corporations incorporated in Singapore, of which we are the auditors, have been properly kept in accordance with the provisions of the Act.</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engagement partner on the audit resulting in this independent auditor’s report is Lee Chian Yorn.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 PricewaterhouseCoopers LLP</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PricewaterhouseCoopers LLP</w:t>
      </w:r>
    </w:p>
    <w:p>
      <w:pPr>
        <w:ind w:left="200"/>
        <w:spacing w:after="0"/>
        <w:rPr>
          <w:sz w:val="20"/>
          <w:szCs w:val="20"/>
          <w:color w:val="auto"/>
        </w:rPr>
      </w:pPr>
      <w:r>
        <w:rPr>
          <w:rFonts w:ascii="Arial" w:cs="Arial" w:eastAsia="Arial" w:hAnsi="Arial"/>
          <w:sz w:val="17"/>
          <w:szCs w:val="17"/>
          <w:color w:val="auto"/>
        </w:rPr>
        <w:t>Public Accountants and Chartered Accountants</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rPr>
              <w:t>Note</w:t>
            </w:r>
          </w:p>
        </w:tc>
        <w:tc>
          <w:tcPr>
            <w:tcW w:w="13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(US$ millions)</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Continuing operations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7660" w:type="dxa"/>
            <w:vAlign w:val="bottom"/>
            <w:gridSpan w:val="2"/>
          </w:tcPr>
          <w:p>
            <w:pPr>
              <w:spacing w:after="0"/>
              <w:rPr>
                <w:sz w:val="20"/>
                <w:szCs w:val="20"/>
                <w:color w:val="auto"/>
              </w:rPr>
            </w:pPr>
            <w:r>
              <w:rPr>
                <w:rFonts w:ascii="Arial" w:cs="Arial" w:eastAsia="Arial" w:hAnsi="Arial"/>
                <w:sz w:val="18"/>
                <w:szCs w:val="18"/>
                <w:color w:val="auto"/>
              </w:rPr>
              <w:t>Sales</w:t>
            </w:r>
          </w:p>
        </w:tc>
        <w:tc>
          <w:tcPr>
            <w:tcW w:w="740" w:type="dxa"/>
            <w:vAlign w:val="bottom"/>
          </w:tcPr>
          <w:p>
            <w:pPr>
              <w:jc w:val="center"/>
              <w:ind w:left="190"/>
              <w:spacing w:after="0"/>
              <w:rPr>
                <w:sz w:val="20"/>
                <w:szCs w:val="20"/>
                <w:color w:val="auto"/>
              </w:rPr>
            </w:pPr>
            <w:r>
              <w:rPr>
                <w:rFonts w:ascii="Arial" w:cs="Arial" w:eastAsia="Arial" w:hAnsi="Arial"/>
                <w:sz w:val="18"/>
                <w:szCs w:val="18"/>
                <w:color w:val="auto"/>
                <w:w w:val="99"/>
              </w:rPr>
              <w:t>4</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17,636</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13,240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740" w:type="dxa"/>
            <w:vAlign w:val="bottom"/>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5</w:t>
            </w:r>
          </w:p>
        </w:tc>
        <w:tc>
          <w:tcPr>
            <w:tcW w:w="136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(9,127)</w:t>
            </w:r>
          </w:p>
        </w:tc>
        <w:tc>
          <w:tcPr>
            <w:tcW w:w="12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(7,300)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6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8,509</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5,940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w:t>
            </w:r>
          </w:p>
        </w:tc>
        <w:tc>
          <w:tcPr>
            <w:tcW w:w="7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62</w:t>
            </w:r>
          </w:p>
        </w:tc>
        <w:tc>
          <w:tcPr>
            <w:tcW w:w="12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76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 Research and development</w:t>
            </w:r>
          </w:p>
        </w:tc>
        <w:tc>
          <w:tcPr>
            <w:tcW w:w="740" w:type="dxa"/>
            <w:vAlign w:val="bottom"/>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5</w:t>
            </w:r>
          </w:p>
        </w:tc>
        <w:tc>
          <w:tcPr>
            <w:tcW w:w="136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(3,292)</w:t>
            </w:r>
          </w:p>
        </w:tc>
        <w:tc>
          <w:tcPr>
            <w:tcW w:w="12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(2,674)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80"/>
              <w:spacing w:after="0" w:line="202" w:lineRule="exact"/>
              <w:rPr>
                <w:sz w:val="20"/>
                <w:szCs w:val="20"/>
                <w:color w:val="auto"/>
              </w:rPr>
            </w:pPr>
            <w:r>
              <w:rPr>
                <w:rFonts w:ascii="Arial" w:cs="Arial" w:eastAsia="Arial" w:hAnsi="Arial"/>
                <w:sz w:val="18"/>
                <w:szCs w:val="18"/>
                <w:color w:val="auto"/>
              </w:rPr>
              <w:t>- Selling, general and administrative</w:t>
            </w:r>
          </w:p>
        </w:tc>
        <w:tc>
          <w:tcPr>
            <w:tcW w:w="74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9"/>
              </w:rPr>
              <w:t>5</w:t>
            </w:r>
          </w:p>
        </w:tc>
        <w:tc>
          <w:tcPr>
            <w:tcW w:w="136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(789)</w:t>
            </w:r>
          </w:p>
        </w:tc>
        <w:tc>
          <w:tcPr>
            <w:tcW w:w="12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 Other expenses</w:t>
            </w:r>
          </w:p>
        </w:tc>
        <w:tc>
          <w:tcPr>
            <w:tcW w:w="740" w:type="dxa"/>
            <w:vAlign w:val="bottom"/>
            <w:shd w:val="clear" w:color="auto" w:fill="CCEEFF"/>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5</w:t>
            </w:r>
          </w:p>
        </w:tc>
        <w:tc>
          <w:tcPr>
            <w:tcW w:w="136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(2,047)</w:t>
            </w:r>
          </w:p>
        </w:tc>
        <w:tc>
          <w:tcPr>
            <w:tcW w:w="12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(2,869)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profit/(loss)</w:t>
            </w:r>
          </w:p>
        </w:tc>
        <w:tc>
          <w:tcPr>
            <w:tcW w:w="7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2,443</w:t>
            </w:r>
          </w:p>
        </w:tc>
        <w:tc>
          <w:tcPr>
            <w:tcW w:w="12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(399)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7660" w:type="dxa"/>
            <w:vAlign w:val="bottom"/>
            <w:gridSpan w:val="2"/>
          </w:tcPr>
          <w:p>
            <w:pPr>
              <w:spacing w:after="0"/>
              <w:rPr>
                <w:sz w:val="20"/>
                <w:szCs w:val="20"/>
                <w:color w:val="auto"/>
              </w:rPr>
            </w:pPr>
            <w:r>
              <w:rPr>
                <w:rFonts w:ascii="Arial" w:cs="Arial" w:eastAsia="Arial" w:hAnsi="Arial"/>
                <w:sz w:val="18"/>
                <w:szCs w:val="18"/>
                <w:color w:val="auto"/>
              </w:rPr>
              <w:t>Finance expenses</w:t>
            </w:r>
          </w:p>
        </w:tc>
        <w:tc>
          <w:tcPr>
            <w:tcW w:w="740" w:type="dxa"/>
            <w:vAlign w:val="bottom"/>
          </w:tcPr>
          <w:p>
            <w:pPr>
              <w:jc w:val="center"/>
              <w:ind w:left="190"/>
              <w:spacing w:after="0"/>
              <w:rPr>
                <w:sz w:val="20"/>
                <w:szCs w:val="20"/>
                <w:color w:val="auto"/>
              </w:rPr>
            </w:pPr>
            <w:r>
              <w:rPr>
                <w:rFonts w:ascii="Arial" w:cs="Arial" w:eastAsia="Arial" w:hAnsi="Arial"/>
                <w:sz w:val="18"/>
                <w:szCs w:val="18"/>
                <w:color w:val="auto"/>
                <w:w w:val="99"/>
              </w:rPr>
              <w:t>8</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(620)</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7660" w:type="dxa"/>
            <w:vAlign w:val="bottom"/>
            <w:gridSpan w:val="2"/>
          </w:tcPr>
          <w:p>
            <w:pPr>
              <w:spacing w:after="0"/>
              <w:rPr>
                <w:sz w:val="20"/>
                <w:szCs w:val="20"/>
                <w:color w:val="auto"/>
              </w:rPr>
            </w:pPr>
            <w:r>
              <w:rPr>
                <w:rFonts w:ascii="Arial" w:cs="Arial" w:eastAsia="Arial" w:hAnsi="Arial"/>
                <w:sz w:val="18"/>
                <w:szCs w:val="18"/>
                <w:color w:val="auto"/>
              </w:rPr>
              <w:t>Profit/(loss) before income taxes</w:t>
            </w:r>
          </w:p>
        </w:tc>
        <w:tc>
          <w:tcPr>
            <w:tcW w:w="740" w:type="dxa"/>
            <w:vAlign w:val="bottom"/>
          </w:tcPr>
          <w:p>
            <w:pPr>
              <w:spacing w:after="0"/>
              <w:rPr>
                <w:sz w:val="24"/>
                <w:szCs w:val="24"/>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1,823</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(1,107)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740" w:type="dxa"/>
            <w:vAlign w:val="bottom"/>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(35)</w:t>
            </w:r>
          </w:p>
        </w:tc>
        <w:tc>
          <w:tcPr>
            <w:tcW w:w="12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Profit/(loss) from continuing operations</w:t>
            </w:r>
          </w:p>
        </w:tc>
        <w:tc>
          <w:tcPr>
            <w:tcW w:w="740" w:type="dxa"/>
            <w:vAlign w:val="bottom"/>
          </w:tcPr>
          <w:p>
            <w:pPr>
              <w:spacing w:after="0"/>
              <w:rPr>
                <w:sz w:val="24"/>
                <w:szCs w:val="24"/>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1,788</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Discontinued operations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Loss from discontinued operations</w:t>
            </w:r>
          </w:p>
        </w:tc>
        <w:tc>
          <w:tcPr>
            <w:tcW w:w="740" w:type="dxa"/>
            <w:vAlign w:val="bottom"/>
          </w:tcPr>
          <w:p>
            <w:pPr>
              <w:jc w:val="center"/>
              <w:ind w:left="170"/>
              <w:spacing w:after="0" w:line="202" w:lineRule="exact"/>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b w:val="1"/>
                <w:bCs w:val="1"/>
                <w:color w:val="auto"/>
              </w:rPr>
              <w:t>(6)</w:t>
            </w:r>
          </w:p>
        </w:tc>
        <w:tc>
          <w:tcPr>
            <w:tcW w:w="12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Profit/(loss)</w:t>
            </w:r>
          </w:p>
        </w:tc>
        <w:tc>
          <w:tcPr>
            <w:tcW w:w="7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1,782</w:t>
            </w:r>
          </w:p>
        </w:tc>
        <w:tc>
          <w:tcPr>
            <w:tcW w:w="12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Items that may be reclassified subsequently to profit or loss: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 Unrealised profit/(loss) on defined benefit pension plans and post-retirement benefit plans</w:t>
            </w:r>
          </w:p>
        </w:tc>
        <w:tc>
          <w:tcPr>
            <w:tcW w:w="740" w:type="dxa"/>
            <w:vAlign w:val="bottom"/>
          </w:tcPr>
          <w:p>
            <w:pPr>
              <w:spacing w:after="0"/>
              <w:rPr>
                <w:sz w:val="17"/>
                <w:szCs w:val="17"/>
                <w:color w:val="auto"/>
              </w:rPr>
            </w:pPr>
          </w:p>
        </w:tc>
        <w:tc>
          <w:tcPr>
            <w:tcW w:w="1360" w:type="dxa"/>
            <w:vAlign w:val="bottom"/>
            <w:gridSpan w:val="2"/>
          </w:tcPr>
          <w:p>
            <w:pPr>
              <w:jc w:val="right"/>
              <w:ind w:right="190"/>
              <w:spacing w:after="0" w:line="202" w:lineRule="exact"/>
              <w:rPr>
                <w:sz w:val="20"/>
                <w:szCs w:val="20"/>
                <w:color w:val="auto"/>
              </w:rPr>
            </w:pPr>
            <w:r>
              <w:rPr>
                <w:rFonts w:ascii="Arial" w:cs="Arial" w:eastAsia="Arial" w:hAnsi="Arial"/>
                <w:sz w:val="18"/>
                <w:szCs w:val="18"/>
                <w:b w:val="1"/>
                <w:bCs w:val="1"/>
                <w:color w:val="auto"/>
              </w:rPr>
              <w:t>42</w:t>
            </w:r>
          </w:p>
        </w:tc>
        <w:tc>
          <w:tcPr>
            <w:tcW w:w="12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 Reclassification of net income</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1</w:t>
            </w:r>
          </w:p>
        </w:tc>
        <w:tc>
          <w:tcPr>
            <w:tcW w:w="12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profit/(loss), net of tax</w:t>
            </w:r>
          </w:p>
        </w:tc>
        <w:tc>
          <w:tcPr>
            <w:tcW w:w="740" w:type="dxa"/>
            <w:vAlign w:val="bottom"/>
          </w:tcPr>
          <w:p>
            <w:pPr>
              <w:spacing w:after="0"/>
              <w:rPr>
                <w:sz w:val="24"/>
                <w:szCs w:val="24"/>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43</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comprehensive profit/(loss)</w:t>
            </w:r>
          </w:p>
        </w:tc>
        <w:tc>
          <w:tcPr>
            <w:tcW w:w="7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1,825</w:t>
            </w:r>
          </w:p>
        </w:tc>
        <w:tc>
          <w:tcPr>
            <w:tcW w:w="12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Profit/(loss) attributable to:</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holders of the Company</w:t>
            </w:r>
          </w:p>
        </w:tc>
        <w:tc>
          <w:tcPr>
            <w:tcW w:w="7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1,690</w:t>
            </w:r>
          </w:p>
        </w:tc>
        <w:tc>
          <w:tcPr>
            <w:tcW w:w="12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(1,739)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b w:val="1"/>
                <w:bCs w:val="1"/>
                <w:color w:val="auto"/>
              </w:rPr>
              <w:t>Non-controlling interests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b w:val="1"/>
                <w:bCs w:val="1"/>
                <w:color w:val="auto"/>
              </w:rPr>
              <w:t>92</w:t>
            </w:r>
          </w:p>
        </w:tc>
        <w:tc>
          <w:tcPr>
            <w:tcW w:w="12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1,782</w:t>
            </w:r>
          </w:p>
        </w:tc>
        <w:tc>
          <w:tcPr>
            <w:tcW w:w="12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Profit/(loss) attributable to equity holders of the Company relates to:</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Profit/(loss) from continuing operations</w:t>
            </w:r>
          </w:p>
        </w:tc>
        <w:tc>
          <w:tcPr>
            <w:tcW w:w="7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1,696</w:t>
            </w:r>
          </w:p>
        </w:tc>
        <w:tc>
          <w:tcPr>
            <w:tcW w:w="12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(1,633)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Loss from discontinued operations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b w:val="1"/>
                <w:bCs w:val="1"/>
                <w:color w:val="auto"/>
              </w:rPr>
              <w:t>(6)</w:t>
            </w:r>
          </w:p>
        </w:tc>
        <w:tc>
          <w:tcPr>
            <w:tcW w:w="12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1,690</w:t>
            </w:r>
          </w:p>
        </w:tc>
        <w:tc>
          <w:tcPr>
            <w:tcW w:w="12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6997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The accompanying notes form an integral part of these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240"/>
          </w:cols>
          <w:pgMar w:left="240" w:top="459"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1360" w:type="dxa"/>
            <w:vAlign w:val="bottom"/>
          </w:tcPr>
          <w:p>
            <w:pPr>
              <w:ind w:left="280"/>
              <w:spacing w:after="0"/>
              <w:rPr>
                <w:sz w:val="20"/>
                <w:szCs w:val="20"/>
                <w:color w:val="auto"/>
              </w:rPr>
            </w:pPr>
            <w:r>
              <w:rPr>
                <w:rFonts w:ascii="Arial" w:cs="Arial" w:eastAsia="Arial" w:hAnsi="Arial"/>
                <w:sz w:val="18"/>
                <w:szCs w:val="18"/>
                <w:color w:val="auto"/>
              </w:rPr>
              <w:t>Note</w:t>
            </w:r>
          </w:p>
        </w:tc>
        <w:tc>
          <w:tcPr>
            <w:tcW w:w="210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1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(US$ millions)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comprehensive profit/(loss) attributable to:</w:t>
            </w:r>
          </w:p>
        </w:tc>
        <w:tc>
          <w:tcPr>
            <w:tcW w:w="1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Equity holders of the Company</w:t>
            </w:r>
          </w:p>
        </w:tc>
        <w:tc>
          <w:tcPr>
            <w:tcW w:w="1360" w:type="dxa"/>
            <w:vAlign w:val="bottom"/>
          </w:tcPr>
          <w:p>
            <w:pPr>
              <w:spacing w:after="0"/>
              <w:rPr>
                <w:sz w:val="17"/>
                <w:szCs w:val="17"/>
                <w:color w:val="auto"/>
              </w:rPr>
            </w:pPr>
          </w:p>
        </w:tc>
        <w:tc>
          <w:tcPr>
            <w:tcW w:w="2100" w:type="dxa"/>
            <w:vAlign w:val="bottom"/>
            <w:gridSpan w:val="2"/>
          </w:tcPr>
          <w:p>
            <w:pPr>
              <w:jc w:val="right"/>
              <w:ind w:right="390"/>
              <w:spacing w:after="0" w:line="202" w:lineRule="exact"/>
              <w:rPr>
                <w:sz w:val="20"/>
                <w:szCs w:val="20"/>
                <w:color w:val="auto"/>
              </w:rPr>
            </w:pPr>
            <w:r>
              <w:rPr>
                <w:rFonts w:ascii="Arial" w:cs="Arial" w:eastAsia="Arial" w:hAnsi="Arial"/>
                <w:sz w:val="18"/>
                <w:szCs w:val="18"/>
                <w:b w:val="1"/>
                <w:bCs w:val="1"/>
                <w:color w:val="auto"/>
              </w:rPr>
              <w:t>1,733</w:t>
            </w:r>
          </w:p>
        </w:tc>
        <w:tc>
          <w:tcPr>
            <w:tcW w:w="1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(1,815)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interests</w:t>
            </w:r>
          </w:p>
        </w:tc>
        <w:tc>
          <w:tcPr>
            <w:tcW w:w="13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90"/>
              <w:spacing w:after="0" w:line="202" w:lineRule="exact"/>
              <w:rPr>
                <w:sz w:val="20"/>
                <w:szCs w:val="20"/>
                <w:color w:val="auto"/>
              </w:rPr>
            </w:pPr>
            <w:r>
              <w:rPr>
                <w:rFonts w:ascii="Arial" w:cs="Arial" w:eastAsia="Arial" w:hAnsi="Arial"/>
                <w:sz w:val="18"/>
                <w:szCs w:val="18"/>
                <w:b w:val="1"/>
                <w:bCs w:val="1"/>
                <w:color w:val="auto"/>
              </w:rPr>
              <w:t>92</w:t>
            </w:r>
          </w:p>
        </w:tc>
        <w:tc>
          <w:tcPr>
            <w:tcW w:w="14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1,825</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10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Earnings per share for profit from continuing and discontinued</w:t>
            </w:r>
          </w:p>
        </w:tc>
        <w:tc>
          <w:tcPr>
            <w:tcW w:w="1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operations attributable to equity holders of the Company (US$ per</w:t>
            </w:r>
          </w:p>
        </w:tc>
        <w:tc>
          <w:tcPr>
            <w:tcW w:w="1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Basic earnings/(loss) per share</w:t>
            </w:r>
          </w:p>
        </w:tc>
        <w:tc>
          <w:tcPr>
            <w:tcW w:w="1360" w:type="dxa"/>
            <w:vAlign w:val="bottom"/>
          </w:tcPr>
          <w:p>
            <w:pPr>
              <w:ind w:left="300"/>
              <w:spacing w:after="0"/>
              <w:rPr>
                <w:sz w:val="20"/>
                <w:szCs w:val="20"/>
                <w:color w:val="auto"/>
              </w:rPr>
            </w:pPr>
            <w:r>
              <w:rPr>
                <w:rFonts w:ascii="Arial" w:cs="Arial" w:eastAsia="Arial" w:hAnsi="Arial"/>
                <w:sz w:val="18"/>
                <w:szCs w:val="18"/>
                <w:color w:val="auto"/>
              </w:rPr>
              <w:t>11(a)</w:t>
            </w: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From continuing operations</w:t>
            </w:r>
          </w:p>
        </w:tc>
        <w:tc>
          <w:tcPr>
            <w:tcW w:w="13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4.19</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From discontinued operations</w:t>
            </w:r>
          </w:p>
        </w:tc>
        <w:tc>
          <w:tcPr>
            <w:tcW w:w="1360" w:type="dxa"/>
            <w:vAlign w:val="bottom"/>
          </w:tcPr>
          <w:p>
            <w:pPr>
              <w:spacing w:after="0"/>
              <w:rPr>
                <w:sz w:val="18"/>
                <w:szCs w:val="18"/>
                <w:color w:val="auto"/>
              </w:rPr>
            </w:pPr>
          </w:p>
        </w:tc>
        <w:tc>
          <w:tcPr>
            <w:tcW w:w="2100" w:type="dxa"/>
            <w:vAlign w:val="bottom"/>
            <w:gridSpan w:val="2"/>
          </w:tcPr>
          <w:p>
            <w:pPr>
              <w:jc w:val="right"/>
              <w:ind w:right="190"/>
              <w:spacing w:after="0" w:line="202" w:lineRule="exact"/>
              <w:rPr>
                <w:sz w:val="20"/>
                <w:szCs w:val="20"/>
                <w:color w:val="auto"/>
              </w:rPr>
            </w:pPr>
            <w:r>
              <w:rPr>
                <w:rFonts w:ascii="Arial" w:cs="Arial" w:eastAsia="Arial" w:hAnsi="Arial"/>
                <w:sz w:val="18"/>
                <w:szCs w:val="18"/>
                <w:b w:val="1"/>
                <w:bCs w:val="1"/>
                <w:color w:val="auto"/>
              </w:rPr>
              <w:t>(0.01)</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earnings/loss per share</w:t>
            </w:r>
          </w:p>
        </w:tc>
        <w:tc>
          <w:tcPr>
            <w:tcW w:w="13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11(b)</w:t>
            </w:r>
          </w:p>
        </w:tc>
        <w:tc>
          <w:tcPr>
            <w:tcW w:w="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From continuing operations</w:t>
            </w:r>
          </w:p>
        </w:tc>
        <w:tc>
          <w:tcPr>
            <w:tcW w:w="1360" w:type="dxa"/>
            <w:vAlign w:val="bottom"/>
          </w:tcPr>
          <w:p>
            <w:pPr>
              <w:spacing w:after="0"/>
              <w:rPr>
                <w:sz w:val="17"/>
                <w:szCs w:val="17"/>
                <w:color w:val="auto"/>
              </w:rPr>
            </w:pPr>
          </w:p>
        </w:tc>
        <w:tc>
          <w:tcPr>
            <w:tcW w:w="2100" w:type="dxa"/>
            <w:vAlign w:val="bottom"/>
            <w:gridSpan w:val="2"/>
          </w:tcPr>
          <w:p>
            <w:pPr>
              <w:jc w:val="right"/>
              <w:ind w:right="190"/>
              <w:spacing w:after="0" w:line="202" w:lineRule="exact"/>
              <w:rPr>
                <w:sz w:val="20"/>
                <w:szCs w:val="20"/>
                <w:color w:val="auto"/>
              </w:rPr>
            </w:pPr>
            <w:r>
              <w:rPr>
                <w:rFonts w:ascii="Arial" w:cs="Arial" w:eastAsia="Arial" w:hAnsi="Arial"/>
                <w:sz w:val="18"/>
                <w:szCs w:val="18"/>
                <w:b w:val="1"/>
                <w:bCs w:val="1"/>
                <w:color w:val="auto"/>
              </w:rPr>
              <w:t>4.03</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From discontinued operations</w:t>
            </w: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(0.01)</w:t>
            </w: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6997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accompanying notes form an integral part of these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240"/>
          </w:cols>
          <w:pgMar w:left="24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SHEET – GROUP</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As at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jc w:val="center"/>
              <w:ind w:right="195"/>
              <w:spacing w:after="0"/>
              <w:rPr>
                <w:sz w:val="20"/>
                <w:szCs w:val="20"/>
                <w:color w:val="auto"/>
              </w:rPr>
            </w:pPr>
            <w:r>
              <w:rPr>
                <w:rFonts w:ascii="Arial" w:cs="Arial" w:eastAsia="Arial" w:hAnsi="Arial"/>
                <w:sz w:val="16"/>
                <w:szCs w:val="16"/>
                <w:b w:val="1"/>
                <w:bCs w:val="1"/>
                <w:color w:val="auto"/>
              </w:rPr>
              <w:t>29 October</w:t>
            </w:r>
          </w:p>
        </w:tc>
        <w:tc>
          <w:tcPr>
            <w:tcW w:w="1540" w:type="dxa"/>
            <w:vAlign w:val="bottom"/>
          </w:tcPr>
          <w:p>
            <w:pPr>
              <w:jc w:val="center"/>
              <w:spacing w:after="0"/>
              <w:rPr>
                <w:sz w:val="20"/>
                <w:szCs w:val="20"/>
                <w:color w:val="auto"/>
              </w:rPr>
            </w:pPr>
            <w:r>
              <w:rPr>
                <w:rFonts w:ascii="Arial" w:cs="Arial" w:eastAsia="Arial" w:hAnsi="Arial"/>
                <w:sz w:val="16"/>
                <w:szCs w:val="16"/>
                <w:color w:val="auto"/>
              </w:rPr>
              <w:t>30 October</w:t>
            </w:r>
          </w:p>
        </w:tc>
        <w:tc>
          <w:tcPr>
            <w:tcW w:w="1340" w:type="dxa"/>
            <w:vAlign w:val="bottom"/>
            <w:gridSpan w:val="2"/>
          </w:tcPr>
          <w:p>
            <w:pPr>
              <w:jc w:val="center"/>
              <w:ind w:left="95"/>
              <w:spacing w:after="0"/>
              <w:rPr>
                <w:sz w:val="20"/>
                <w:szCs w:val="20"/>
                <w:color w:val="auto"/>
              </w:rPr>
            </w:pPr>
            <w:r>
              <w:rPr>
                <w:rFonts w:ascii="Arial" w:cs="Arial" w:eastAsia="Arial" w:hAnsi="Arial"/>
                <w:sz w:val="16"/>
                <w:szCs w:val="16"/>
                <w:color w:val="auto"/>
              </w:rPr>
              <w:t>2 November</w:t>
            </w:r>
          </w:p>
        </w:tc>
      </w:tr>
      <w:tr>
        <w:trPr>
          <w:trHeight w:val="189"/>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Arial" w:cs="Arial" w:eastAsia="Arial" w:hAnsi="Arial"/>
                <w:sz w:val="16"/>
                <w:szCs w:val="16"/>
                <w:color w:val="auto"/>
              </w:rPr>
              <w:t>Note</w:t>
            </w:r>
          </w:p>
        </w:tc>
        <w:tc>
          <w:tcPr>
            <w:tcW w:w="1360" w:type="dxa"/>
            <w:vAlign w:val="bottom"/>
          </w:tcPr>
          <w:p>
            <w:pPr>
              <w:jc w:val="center"/>
              <w:ind w:right="195"/>
              <w:spacing w:after="0"/>
              <w:rPr>
                <w:sz w:val="20"/>
                <w:szCs w:val="20"/>
                <w:color w:val="auto"/>
              </w:rPr>
            </w:pPr>
            <w:r>
              <w:rPr>
                <w:rFonts w:ascii="Arial" w:cs="Arial" w:eastAsia="Arial" w:hAnsi="Arial"/>
                <w:sz w:val="16"/>
                <w:szCs w:val="16"/>
                <w:b w:val="1"/>
                <w:bCs w:val="1"/>
                <w:color w:val="auto"/>
              </w:rPr>
              <w:t>2017</w:t>
            </w:r>
          </w:p>
        </w:tc>
        <w:tc>
          <w:tcPr>
            <w:tcW w:w="1540" w:type="dxa"/>
            <w:vAlign w:val="bottom"/>
          </w:tcPr>
          <w:p>
            <w:pPr>
              <w:jc w:val="center"/>
              <w:spacing w:after="0"/>
              <w:rPr>
                <w:sz w:val="20"/>
                <w:szCs w:val="20"/>
                <w:color w:val="auto"/>
              </w:rPr>
            </w:pPr>
            <w:r>
              <w:rPr>
                <w:rFonts w:ascii="Arial" w:cs="Arial" w:eastAsia="Arial" w:hAnsi="Arial"/>
                <w:sz w:val="16"/>
                <w:szCs w:val="16"/>
                <w:color w:val="auto"/>
              </w:rPr>
              <w:t>2016</w:t>
            </w:r>
          </w:p>
        </w:tc>
        <w:tc>
          <w:tcPr>
            <w:tcW w:w="1280" w:type="dxa"/>
            <w:vAlign w:val="bottom"/>
          </w:tcPr>
          <w:p>
            <w:pPr>
              <w:jc w:val="center"/>
              <w:ind w:left="155"/>
              <w:spacing w:after="0"/>
              <w:rPr>
                <w:sz w:val="20"/>
                <w:szCs w:val="20"/>
                <w:color w:val="auto"/>
              </w:rPr>
            </w:pPr>
            <w:r>
              <w:rPr>
                <w:rFonts w:ascii="Arial" w:cs="Arial" w:eastAsia="Arial" w:hAnsi="Arial"/>
                <w:sz w:val="16"/>
                <w:szCs w:val="16"/>
                <w:color w:val="auto"/>
              </w:rPr>
              <w:t>2015</w:t>
            </w:r>
          </w:p>
        </w:tc>
        <w:tc>
          <w:tcPr>
            <w:tcW w:w="60" w:type="dxa"/>
            <w:vAlign w:val="bottom"/>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jc w:val="center"/>
              <w:ind w:right="195"/>
              <w:spacing w:after="0"/>
              <w:rPr>
                <w:sz w:val="20"/>
                <w:szCs w:val="20"/>
                <w:color w:val="auto"/>
              </w:rPr>
            </w:pPr>
            <w:r>
              <w:rPr>
                <w:rFonts w:ascii="Arial" w:cs="Arial" w:eastAsia="Arial" w:hAnsi="Arial"/>
                <w:sz w:val="16"/>
                <w:szCs w:val="16"/>
                <w:b w:val="1"/>
                <w:bCs w:val="1"/>
                <w:color w:val="auto"/>
              </w:rPr>
              <w:t>(US$ millions)</w:t>
            </w:r>
          </w:p>
        </w:tc>
        <w:tc>
          <w:tcPr>
            <w:tcW w:w="1540" w:type="dxa"/>
            <w:vAlign w:val="bottom"/>
          </w:tcPr>
          <w:p>
            <w:pPr>
              <w:jc w:val="center"/>
              <w:spacing w:after="0"/>
              <w:rPr>
                <w:sz w:val="20"/>
                <w:szCs w:val="20"/>
                <w:color w:val="auto"/>
              </w:rPr>
            </w:pPr>
            <w:r>
              <w:rPr>
                <w:rFonts w:ascii="Arial" w:cs="Arial" w:eastAsia="Arial" w:hAnsi="Arial"/>
                <w:sz w:val="16"/>
                <w:szCs w:val="16"/>
                <w:color w:val="auto"/>
              </w:rPr>
              <w:t>(US$ millions)</w:t>
            </w:r>
          </w:p>
        </w:tc>
        <w:tc>
          <w:tcPr>
            <w:tcW w:w="1340" w:type="dxa"/>
            <w:vAlign w:val="bottom"/>
            <w:gridSpan w:val="2"/>
          </w:tcPr>
          <w:p>
            <w:pPr>
              <w:jc w:val="center"/>
              <w:ind w:left="95"/>
              <w:spacing w:after="0"/>
              <w:rPr>
                <w:sz w:val="20"/>
                <w:szCs w:val="20"/>
                <w:color w:val="auto"/>
              </w:rPr>
            </w:pPr>
            <w:r>
              <w:rPr>
                <w:rFonts w:ascii="Arial" w:cs="Arial" w:eastAsia="Arial" w:hAnsi="Arial"/>
                <w:sz w:val="16"/>
                <w:szCs w:val="16"/>
                <w:color w:val="auto"/>
              </w:rPr>
              <w:t>(US$ millions)</w:t>
            </w: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tcPr>
          <w:p>
            <w:pPr>
              <w:spacing w:after="0" w:line="189" w:lineRule="exact"/>
              <w:rPr>
                <w:sz w:val="20"/>
                <w:szCs w:val="20"/>
                <w:color w:val="auto"/>
              </w:rPr>
            </w:pPr>
            <w:r>
              <w:rPr>
                <w:rFonts w:ascii="Arial" w:cs="Arial" w:eastAsia="Arial" w:hAnsi="Arial"/>
                <w:sz w:val="17"/>
                <w:szCs w:val="17"/>
                <w:b w:val="1"/>
                <w:bCs w:val="1"/>
                <w:color w:val="auto"/>
              </w:rPr>
              <w:t>Current assets</w:t>
            </w: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1120" w:type="dxa"/>
            <w:vAlign w:val="bottom"/>
            <w:shd w:val="clear" w:color="auto" w:fill="CCEEFF"/>
          </w:tcPr>
          <w:p>
            <w:pPr>
              <w:jc w:val="right"/>
              <w:ind w:right="435"/>
              <w:spacing w:after="0" w:line="189" w:lineRule="exact"/>
              <w:rPr>
                <w:sz w:val="20"/>
                <w:szCs w:val="20"/>
                <w:color w:val="auto"/>
              </w:rPr>
            </w:pPr>
            <w:r>
              <w:rPr>
                <w:rFonts w:ascii="Arial" w:cs="Arial" w:eastAsia="Arial" w:hAnsi="Arial"/>
                <w:sz w:val="17"/>
                <w:szCs w:val="17"/>
                <w:color w:val="auto"/>
              </w:rPr>
              <w:t>12</w:t>
            </w:r>
          </w:p>
        </w:tc>
        <w:tc>
          <w:tcPr>
            <w:tcW w:w="136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11,204</w:t>
            </w:r>
          </w:p>
        </w:tc>
        <w:tc>
          <w:tcPr>
            <w:tcW w:w="154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3,097</w:t>
            </w:r>
          </w:p>
        </w:tc>
        <w:tc>
          <w:tcPr>
            <w:tcW w:w="12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1,822</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tcPr>
          <w:p>
            <w:pPr>
              <w:spacing w:after="0" w:line="189" w:lineRule="exact"/>
              <w:rPr>
                <w:sz w:val="20"/>
                <w:szCs w:val="20"/>
                <w:color w:val="auto"/>
              </w:rPr>
            </w:pPr>
            <w:r>
              <w:rPr>
                <w:rFonts w:ascii="Arial" w:cs="Arial" w:eastAsia="Arial" w:hAnsi="Arial"/>
                <w:sz w:val="17"/>
                <w:szCs w:val="17"/>
                <w:color w:val="auto"/>
              </w:rPr>
              <w:t>Trade receivables, net</w:t>
            </w:r>
          </w:p>
        </w:tc>
        <w:tc>
          <w:tcPr>
            <w:tcW w:w="1120" w:type="dxa"/>
            <w:vAlign w:val="bottom"/>
          </w:tcPr>
          <w:p>
            <w:pPr>
              <w:jc w:val="right"/>
              <w:ind w:right="435"/>
              <w:spacing w:after="0" w:line="189" w:lineRule="exact"/>
              <w:rPr>
                <w:sz w:val="20"/>
                <w:szCs w:val="20"/>
                <w:color w:val="auto"/>
              </w:rPr>
            </w:pPr>
            <w:r>
              <w:rPr>
                <w:rFonts w:ascii="Arial" w:cs="Arial" w:eastAsia="Arial" w:hAnsi="Arial"/>
                <w:sz w:val="17"/>
                <w:szCs w:val="17"/>
                <w:color w:val="auto"/>
              </w:rPr>
              <w:t>13</w:t>
            </w:r>
          </w:p>
        </w:tc>
        <w:tc>
          <w:tcPr>
            <w:tcW w:w="1360" w:type="dxa"/>
            <w:vAlign w:val="bottom"/>
          </w:tcPr>
          <w:p>
            <w:pPr>
              <w:jc w:val="right"/>
              <w:ind w:right="375"/>
              <w:spacing w:after="0" w:line="189" w:lineRule="exact"/>
              <w:rPr>
                <w:sz w:val="20"/>
                <w:szCs w:val="20"/>
                <w:color w:val="auto"/>
              </w:rPr>
            </w:pPr>
            <w:r>
              <w:rPr>
                <w:rFonts w:ascii="Arial" w:cs="Arial" w:eastAsia="Arial" w:hAnsi="Arial"/>
                <w:sz w:val="17"/>
                <w:szCs w:val="17"/>
                <w:b w:val="1"/>
                <w:bCs w:val="1"/>
                <w:color w:val="auto"/>
              </w:rPr>
              <w:t>2,448</w:t>
            </w:r>
          </w:p>
        </w:tc>
        <w:tc>
          <w:tcPr>
            <w:tcW w:w="154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2,180</w:t>
            </w:r>
          </w:p>
        </w:tc>
        <w:tc>
          <w:tcPr>
            <w:tcW w:w="12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1,019</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Inventories</w:t>
            </w:r>
          </w:p>
        </w:tc>
        <w:tc>
          <w:tcPr>
            <w:tcW w:w="1120" w:type="dxa"/>
            <w:vAlign w:val="bottom"/>
            <w:shd w:val="clear" w:color="auto" w:fill="CCEEFF"/>
          </w:tcPr>
          <w:p>
            <w:pPr>
              <w:jc w:val="right"/>
              <w:ind w:right="435"/>
              <w:spacing w:after="0" w:line="189" w:lineRule="exact"/>
              <w:rPr>
                <w:sz w:val="20"/>
                <w:szCs w:val="20"/>
                <w:color w:val="auto"/>
              </w:rPr>
            </w:pPr>
            <w:r>
              <w:rPr>
                <w:rFonts w:ascii="Arial" w:cs="Arial" w:eastAsia="Arial" w:hAnsi="Arial"/>
                <w:sz w:val="17"/>
                <w:szCs w:val="17"/>
                <w:color w:val="auto"/>
              </w:rPr>
              <w:t>14</w:t>
            </w:r>
          </w:p>
        </w:tc>
        <w:tc>
          <w:tcPr>
            <w:tcW w:w="136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1,447</w:t>
            </w:r>
          </w:p>
        </w:tc>
        <w:tc>
          <w:tcPr>
            <w:tcW w:w="154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1,400</w:t>
            </w:r>
          </w:p>
        </w:tc>
        <w:tc>
          <w:tcPr>
            <w:tcW w:w="12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524</w:t>
            </w:r>
          </w:p>
        </w:tc>
        <w:tc>
          <w:tcPr>
            <w:tcW w:w="6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660" w:type="dxa"/>
            <w:vAlign w:val="bottom"/>
          </w:tcPr>
          <w:p>
            <w:pPr>
              <w:spacing w:after="0" w:line="189" w:lineRule="exact"/>
              <w:rPr>
                <w:sz w:val="20"/>
                <w:szCs w:val="20"/>
                <w:color w:val="auto"/>
              </w:rPr>
            </w:pPr>
            <w:r>
              <w:rPr>
                <w:rFonts w:ascii="Arial" w:cs="Arial" w:eastAsia="Arial" w:hAnsi="Arial"/>
                <w:sz w:val="17"/>
                <w:szCs w:val="17"/>
                <w:color w:val="auto"/>
              </w:rPr>
              <w:t>Other current assets</w:t>
            </w:r>
          </w:p>
        </w:tc>
        <w:tc>
          <w:tcPr>
            <w:tcW w:w="1120" w:type="dxa"/>
            <w:vAlign w:val="bottom"/>
          </w:tcPr>
          <w:p>
            <w:pPr>
              <w:jc w:val="right"/>
              <w:ind w:right="435"/>
              <w:spacing w:after="0" w:line="189" w:lineRule="exact"/>
              <w:rPr>
                <w:sz w:val="20"/>
                <w:szCs w:val="20"/>
                <w:color w:val="auto"/>
              </w:rPr>
            </w:pPr>
            <w:r>
              <w:rPr>
                <w:rFonts w:ascii="Arial" w:cs="Arial" w:eastAsia="Arial" w:hAnsi="Arial"/>
                <w:sz w:val="17"/>
                <w:szCs w:val="17"/>
                <w:color w:val="auto"/>
              </w:rPr>
              <w:t>13</w:t>
            </w:r>
          </w:p>
        </w:tc>
        <w:tc>
          <w:tcPr>
            <w:tcW w:w="1360" w:type="dxa"/>
            <w:vAlign w:val="bottom"/>
            <w:tcBorders>
              <w:bottom w:val="single" w:sz="8" w:color="auto"/>
            </w:tcBorders>
          </w:tcPr>
          <w:p>
            <w:pPr>
              <w:jc w:val="right"/>
              <w:ind w:right="375"/>
              <w:spacing w:after="0" w:line="189" w:lineRule="exact"/>
              <w:rPr>
                <w:sz w:val="20"/>
                <w:szCs w:val="20"/>
                <w:color w:val="auto"/>
              </w:rPr>
            </w:pPr>
            <w:r>
              <w:rPr>
                <w:rFonts w:ascii="Arial" w:cs="Arial" w:eastAsia="Arial" w:hAnsi="Arial"/>
                <w:sz w:val="17"/>
                <w:szCs w:val="17"/>
                <w:b w:val="1"/>
                <w:bCs w:val="1"/>
                <w:color w:val="auto"/>
              </w:rPr>
              <w:t>711</w:t>
            </w:r>
          </w:p>
        </w:tc>
        <w:tc>
          <w:tcPr>
            <w:tcW w:w="1540" w:type="dxa"/>
            <w:vAlign w:val="bottom"/>
            <w:tcBorders>
              <w:bottom w:val="single" w:sz="8" w:color="auto"/>
            </w:tcBorders>
          </w:tcPr>
          <w:p>
            <w:pPr>
              <w:jc w:val="right"/>
              <w:ind w:right="375"/>
              <w:spacing w:after="0" w:line="189" w:lineRule="exact"/>
              <w:rPr>
                <w:sz w:val="20"/>
                <w:szCs w:val="20"/>
                <w:color w:val="auto"/>
              </w:rPr>
            </w:pPr>
            <w:r>
              <w:rPr>
                <w:rFonts w:ascii="Arial" w:cs="Arial" w:eastAsia="Arial" w:hAnsi="Arial"/>
                <w:sz w:val="17"/>
                <w:szCs w:val="17"/>
                <w:color w:val="auto"/>
              </w:rPr>
              <w:t>423</w:t>
            </w:r>
          </w:p>
        </w:tc>
        <w:tc>
          <w:tcPr>
            <w:tcW w:w="12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258</w:t>
            </w:r>
          </w:p>
        </w:tc>
        <w:tc>
          <w:tcPr>
            <w:tcW w:w="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15,810</w:t>
            </w:r>
          </w:p>
        </w:tc>
        <w:tc>
          <w:tcPr>
            <w:tcW w:w="154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7,100</w:t>
            </w:r>
          </w:p>
        </w:tc>
        <w:tc>
          <w:tcPr>
            <w:tcW w:w="12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3,623</w:t>
            </w:r>
          </w:p>
        </w:tc>
        <w:tc>
          <w:tcPr>
            <w:tcW w:w="60" w:type="dxa"/>
            <w:vAlign w:val="bottom"/>
            <w:shd w:val="clear" w:color="auto" w:fill="CCEEFF"/>
          </w:tcPr>
          <w:p>
            <w:pPr>
              <w:spacing w:after="0"/>
              <w:rPr>
                <w:sz w:val="16"/>
                <w:szCs w:val="16"/>
                <w:color w:val="auto"/>
              </w:rPr>
            </w:pPr>
          </w:p>
        </w:tc>
      </w:tr>
      <w:tr>
        <w:trPr>
          <w:trHeight w:val="304"/>
        </w:trPr>
        <w:tc>
          <w:tcPr>
            <w:tcW w:w="5680" w:type="dxa"/>
            <w:vAlign w:val="bottom"/>
            <w:gridSpan w:val="2"/>
          </w:tcPr>
          <w:p>
            <w:pPr>
              <w:spacing w:after="0"/>
              <w:rPr>
                <w:sz w:val="20"/>
                <w:szCs w:val="20"/>
                <w:color w:val="auto"/>
              </w:rPr>
            </w:pPr>
            <w:r>
              <w:rPr>
                <w:rFonts w:ascii="Arial" w:cs="Arial" w:eastAsia="Arial" w:hAnsi="Arial"/>
                <w:sz w:val="17"/>
                <w:szCs w:val="17"/>
                <w:color w:val="auto"/>
              </w:rPr>
              <w:t>Asset of disposal group classified as held-for-sale</w:t>
            </w:r>
          </w:p>
        </w:tc>
        <w:tc>
          <w:tcPr>
            <w:tcW w:w="1120" w:type="dxa"/>
            <w:vAlign w:val="bottom"/>
          </w:tcPr>
          <w:p>
            <w:pPr>
              <w:jc w:val="right"/>
              <w:ind w:right="435"/>
              <w:spacing w:after="0"/>
              <w:rPr>
                <w:sz w:val="20"/>
                <w:szCs w:val="20"/>
                <w:color w:val="auto"/>
              </w:rPr>
            </w:pPr>
            <w:r>
              <w:rPr>
                <w:rFonts w:ascii="Arial" w:cs="Arial" w:eastAsia="Arial" w:hAnsi="Arial"/>
                <w:sz w:val="17"/>
                <w:szCs w:val="17"/>
                <w:color w:val="auto"/>
              </w:rPr>
              <w:t>10</w:t>
            </w:r>
          </w:p>
        </w:tc>
        <w:tc>
          <w:tcPr>
            <w:tcW w:w="13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13</w:t>
            </w:r>
          </w:p>
        </w:tc>
        <w:tc>
          <w:tcPr>
            <w:tcW w:w="15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24</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21</w:t>
            </w:r>
          </w:p>
        </w:tc>
        <w:tc>
          <w:tcPr>
            <w:tcW w:w="6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15,823</w:t>
            </w:r>
          </w:p>
        </w:tc>
        <w:tc>
          <w:tcPr>
            <w:tcW w:w="154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7,124</w:t>
            </w:r>
          </w:p>
        </w:tc>
        <w:tc>
          <w:tcPr>
            <w:tcW w:w="128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3,644</w:t>
            </w:r>
          </w:p>
        </w:tc>
        <w:tc>
          <w:tcPr>
            <w:tcW w:w="60" w:type="dxa"/>
            <w:vAlign w:val="bottom"/>
            <w:shd w:val="clear" w:color="auto" w:fill="CCEEFF"/>
          </w:tcPr>
          <w:p>
            <w:pPr>
              <w:spacing w:after="0"/>
              <w:rPr>
                <w:sz w:val="16"/>
                <w:szCs w:val="16"/>
                <w:color w:val="auto"/>
              </w:rPr>
            </w:pPr>
          </w:p>
        </w:tc>
      </w:tr>
      <w:tr>
        <w:trPr>
          <w:trHeight w:val="196"/>
        </w:trPr>
        <w:tc>
          <w:tcPr>
            <w:tcW w:w="5680" w:type="dxa"/>
            <w:vAlign w:val="bottom"/>
            <w:gridSpan w:val="2"/>
          </w:tcPr>
          <w:p>
            <w:pPr>
              <w:spacing w:after="0"/>
              <w:rPr>
                <w:sz w:val="20"/>
                <w:szCs w:val="20"/>
                <w:color w:val="auto"/>
              </w:rPr>
            </w:pPr>
            <w:r>
              <w:rPr>
                <w:rFonts w:ascii="Arial" w:cs="Arial" w:eastAsia="Arial" w:hAnsi="Arial"/>
                <w:sz w:val="17"/>
                <w:szCs w:val="17"/>
                <w:b w:val="1"/>
                <w:bCs w:val="1"/>
                <w:color w:val="auto"/>
              </w:rPr>
              <w:t>Non-current assets</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plant and equipment</w:t>
            </w:r>
          </w:p>
        </w:tc>
        <w:tc>
          <w:tcPr>
            <w:tcW w:w="1120" w:type="dxa"/>
            <w:vAlign w:val="bottom"/>
            <w:shd w:val="clear" w:color="auto" w:fill="CCEEFF"/>
          </w:tcPr>
          <w:p>
            <w:pPr>
              <w:jc w:val="right"/>
              <w:ind w:right="435"/>
              <w:spacing w:after="0" w:line="189" w:lineRule="exact"/>
              <w:rPr>
                <w:sz w:val="20"/>
                <w:szCs w:val="20"/>
                <w:color w:val="auto"/>
              </w:rPr>
            </w:pPr>
            <w:r>
              <w:rPr>
                <w:rFonts w:ascii="Arial" w:cs="Arial" w:eastAsia="Arial" w:hAnsi="Arial"/>
                <w:sz w:val="17"/>
                <w:szCs w:val="17"/>
                <w:color w:val="auto"/>
              </w:rPr>
              <w:t>17</w:t>
            </w:r>
          </w:p>
        </w:tc>
        <w:tc>
          <w:tcPr>
            <w:tcW w:w="136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2,599</w:t>
            </w:r>
          </w:p>
        </w:tc>
        <w:tc>
          <w:tcPr>
            <w:tcW w:w="154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2,509</w:t>
            </w:r>
          </w:p>
        </w:tc>
        <w:tc>
          <w:tcPr>
            <w:tcW w:w="12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1,460</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tcPr>
          <w:p>
            <w:pPr>
              <w:spacing w:after="0" w:line="189" w:lineRule="exact"/>
              <w:rPr>
                <w:sz w:val="20"/>
                <w:szCs w:val="20"/>
                <w:color w:val="auto"/>
              </w:rPr>
            </w:pPr>
            <w:r>
              <w:rPr>
                <w:rFonts w:ascii="Arial" w:cs="Arial" w:eastAsia="Arial" w:hAnsi="Arial"/>
                <w:sz w:val="17"/>
                <w:szCs w:val="17"/>
                <w:color w:val="auto"/>
              </w:rPr>
              <w:t>Goodwill</w:t>
            </w:r>
          </w:p>
        </w:tc>
        <w:tc>
          <w:tcPr>
            <w:tcW w:w="1120" w:type="dxa"/>
            <w:vAlign w:val="bottom"/>
          </w:tcPr>
          <w:p>
            <w:pPr>
              <w:jc w:val="right"/>
              <w:ind w:right="435"/>
              <w:spacing w:after="0" w:line="189" w:lineRule="exact"/>
              <w:rPr>
                <w:sz w:val="20"/>
                <w:szCs w:val="20"/>
                <w:color w:val="auto"/>
              </w:rPr>
            </w:pPr>
            <w:r>
              <w:rPr>
                <w:rFonts w:ascii="Arial" w:cs="Arial" w:eastAsia="Arial" w:hAnsi="Arial"/>
                <w:sz w:val="17"/>
                <w:szCs w:val="17"/>
                <w:color w:val="auto"/>
              </w:rPr>
              <w:t>18</w:t>
            </w:r>
          </w:p>
        </w:tc>
        <w:tc>
          <w:tcPr>
            <w:tcW w:w="1360" w:type="dxa"/>
            <w:vAlign w:val="bottom"/>
          </w:tcPr>
          <w:p>
            <w:pPr>
              <w:jc w:val="right"/>
              <w:ind w:right="375"/>
              <w:spacing w:after="0" w:line="189" w:lineRule="exact"/>
              <w:rPr>
                <w:sz w:val="20"/>
                <w:szCs w:val="20"/>
                <w:color w:val="auto"/>
              </w:rPr>
            </w:pPr>
            <w:r>
              <w:rPr>
                <w:rFonts w:ascii="Arial" w:cs="Arial" w:eastAsia="Arial" w:hAnsi="Arial"/>
                <w:sz w:val="17"/>
                <w:szCs w:val="17"/>
                <w:b w:val="1"/>
                <w:bCs w:val="1"/>
                <w:color w:val="auto"/>
              </w:rPr>
              <w:t>24,706</w:t>
            </w:r>
          </w:p>
        </w:tc>
        <w:tc>
          <w:tcPr>
            <w:tcW w:w="154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24,732</w:t>
            </w:r>
          </w:p>
        </w:tc>
        <w:tc>
          <w:tcPr>
            <w:tcW w:w="12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1,674</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Intangible assets, net</w:t>
            </w:r>
          </w:p>
        </w:tc>
        <w:tc>
          <w:tcPr>
            <w:tcW w:w="1120" w:type="dxa"/>
            <w:vAlign w:val="bottom"/>
            <w:shd w:val="clear" w:color="auto" w:fill="CCEEFF"/>
          </w:tcPr>
          <w:p>
            <w:pPr>
              <w:jc w:val="right"/>
              <w:ind w:right="435"/>
              <w:spacing w:after="0" w:line="189" w:lineRule="exact"/>
              <w:rPr>
                <w:sz w:val="20"/>
                <w:szCs w:val="20"/>
                <w:color w:val="auto"/>
              </w:rPr>
            </w:pPr>
            <w:r>
              <w:rPr>
                <w:rFonts w:ascii="Arial" w:cs="Arial" w:eastAsia="Arial" w:hAnsi="Arial"/>
                <w:sz w:val="17"/>
                <w:szCs w:val="17"/>
                <w:color w:val="auto"/>
              </w:rPr>
              <w:t>18</w:t>
            </w:r>
          </w:p>
        </w:tc>
        <w:tc>
          <w:tcPr>
            <w:tcW w:w="136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10,832</w:t>
            </w:r>
          </w:p>
        </w:tc>
        <w:tc>
          <w:tcPr>
            <w:tcW w:w="154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15,068</w:t>
            </w:r>
          </w:p>
        </w:tc>
        <w:tc>
          <w:tcPr>
            <w:tcW w:w="12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3,277</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tcPr>
          <w:p>
            <w:pPr>
              <w:spacing w:after="0" w:line="189" w:lineRule="exact"/>
              <w:rPr>
                <w:sz w:val="20"/>
                <w:szCs w:val="20"/>
                <w:color w:val="auto"/>
              </w:rPr>
            </w:pPr>
            <w:r>
              <w:rPr>
                <w:rFonts w:ascii="Arial" w:cs="Arial" w:eastAsia="Arial" w:hAnsi="Arial"/>
                <w:sz w:val="17"/>
                <w:szCs w:val="17"/>
                <w:color w:val="auto"/>
              </w:rPr>
              <w:t>Other long-term assets</w:t>
            </w:r>
          </w:p>
        </w:tc>
        <w:tc>
          <w:tcPr>
            <w:tcW w:w="1120" w:type="dxa"/>
            <w:vAlign w:val="bottom"/>
          </w:tcPr>
          <w:p>
            <w:pPr>
              <w:jc w:val="right"/>
              <w:ind w:right="435"/>
              <w:spacing w:after="0" w:line="189" w:lineRule="exact"/>
              <w:rPr>
                <w:sz w:val="20"/>
                <w:szCs w:val="20"/>
                <w:color w:val="auto"/>
              </w:rPr>
            </w:pPr>
            <w:r>
              <w:rPr>
                <w:rFonts w:ascii="Arial" w:cs="Arial" w:eastAsia="Arial" w:hAnsi="Arial"/>
                <w:sz w:val="17"/>
                <w:szCs w:val="17"/>
                <w:color w:val="auto"/>
              </w:rPr>
              <w:t>16</w:t>
            </w:r>
          </w:p>
        </w:tc>
        <w:tc>
          <w:tcPr>
            <w:tcW w:w="1360" w:type="dxa"/>
            <w:vAlign w:val="bottom"/>
          </w:tcPr>
          <w:p>
            <w:pPr>
              <w:jc w:val="right"/>
              <w:ind w:right="375"/>
              <w:spacing w:after="0" w:line="189" w:lineRule="exact"/>
              <w:rPr>
                <w:sz w:val="20"/>
                <w:szCs w:val="20"/>
                <w:color w:val="auto"/>
              </w:rPr>
            </w:pPr>
            <w:r>
              <w:rPr>
                <w:rFonts w:ascii="Arial" w:cs="Arial" w:eastAsia="Arial" w:hAnsi="Arial"/>
                <w:sz w:val="17"/>
                <w:szCs w:val="17"/>
                <w:b w:val="1"/>
                <w:bCs w:val="1"/>
                <w:color w:val="auto"/>
              </w:rPr>
              <w:t>437</w:t>
            </w:r>
          </w:p>
        </w:tc>
        <w:tc>
          <w:tcPr>
            <w:tcW w:w="154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224</w:t>
            </w:r>
          </w:p>
        </w:tc>
        <w:tc>
          <w:tcPr>
            <w:tcW w:w="12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137</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income tax assets</w:t>
            </w:r>
          </w:p>
        </w:tc>
        <w:tc>
          <w:tcPr>
            <w:tcW w:w="1120" w:type="dxa"/>
            <w:vAlign w:val="bottom"/>
            <w:shd w:val="clear" w:color="auto" w:fill="CCEEFF"/>
          </w:tcPr>
          <w:p>
            <w:pPr>
              <w:jc w:val="right"/>
              <w:ind w:right="435"/>
              <w:spacing w:after="0" w:line="189" w:lineRule="exact"/>
              <w:rPr>
                <w:sz w:val="20"/>
                <w:szCs w:val="20"/>
                <w:color w:val="auto"/>
              </w:rPr>
            </w:pPr>
            <w:r>
              <w:rPr>
                <w:rFonts w:ascii="Arial" w:cs="Arial" w:eastAsia="Arial" w:hAnsi="Arial"/>
                <w:sz w:val="17"/>
                <w:szCs w:val="17"/>
                <w:color w:val="auto"/>
              </w:rPr>
              <w:t>22</w:t>
            </w:r>
          </w:p>
        </w:tc>
        <w:tc>
          <w:tcPr>
            <w:tcW w:w="136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21</w:t>
            </w:r>
          </w:p>
        </w:tc>
        <w:tc>
          <w:tcPr>
            <w:tcW w:w="154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308</w:t>
            </w:r>
          </w:p>
        </w:tc>
        <w:tc>
          <w:tcPr>
            <w:tcW w:w="128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323</w:t>
            </w:r>
          </w:p>
        </w:tc>
        <w:tc>
          <w:tcPr>
            <w:tcW w:w="6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38,595</w:t>
            </w:r>
          </w:p>
        </w:tc>
        <w:tc>
          <w:tcPr>
            <w:tcW w:w="15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42,841</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6,871</w:t>
            </w:r>
          </w:p>
        </w:tc>
        <w:tc>
          <w:tcPr>
            <w:tcW w:w="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assets</w:t>
            </w:r>
          </w:p>
        </w:tc>
        <w:tc>
          <w:tcPr>
            <w:tcW w:w="112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54,418</w:t>
            </w:r>
          </w:p>
        </w:tc>
        <w:tc>
          <w:tcPr>
            <w:tcW w:w="154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49,965</w:t>
            </w:r>
          </w:p>
        </w:tc>
        <w:tc>
          <w:tcPr>
            <w:tcW w:w="128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10,515</w:t>
            </w:r>
          </w:p>
        </w:tc>
        <w:tc>
          <w:tcPr>
            <w:tcW w:w="60" w:type="dxa"/>
            <w:vAlign w:val="bottom"/>
            <w:shd w:val="clear" w:color="auto" w:fill="CCEEFF"/>
          </w:tcPr>
          <w:p>
            <w:pPr>
              <w:spacing w:after="0"/>
              <w:rPr>
                <w:sz w:val="16"/>
                <w:szCs w:val="16"/>
                <w:color w:val="auto"/>
              </w:rPr>
            </w:pPr>
          </w:p>
        </w:tc>
      </w:tr>
      <w:tr>
        <w:trPr>
          <w:trHeight w:val="264"/>
        </w:trPr>
        <w:tc>
          <w:tcPr>
            <w:tcW w:w="568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Current liabilities</w:t>
            </w:r>
          </w:p>
        </w:tc>
        <w:tc>
          <w:tcPr>
            <w:tcW w:w="1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tcPr>
          <w:p>
            <w:pPr>
              <w:spacing w:after="0" w:line="189" w:lineRule="exact"/>
              <w:rPr>
                <w:sz w:val="20"/>
                <w:szCs w:val="20"/>
                <w:color w:val="auto"/>
              </w:rPr>
            </w:pPr>
            <w:r>
              <w:rPr>
                <w:rFonts w:ascii="Arial" w:cs="Arial" w:eastAsia="Arial" w:hAnsi="Arial"/>
                <w:sz w:val="17"/>
                <w:szCs w:val="17"/>
                <w:color w:val="auto"/>
              </w:rPr>
              <w:t>Trade payables</w:t>
            </w:r>
          </w:p>
        </w:tc>
        <w:tc>
          <w:tcPr>
            <w:tcW w:w="1120" w:type="dxa"/>
            <w:vAlign w:val="bottom"/>
          </w:tcPr>
          <w:p>
            <w:pPr>
              <w:jc w:val="right"/>
              <w:ind w:right="435"/>
              <w:spacing w:after="0" w:line="189" w:lineRule="exact"/>
              <w:rPr>
                <w:sz w:val="20"/>
                <w:szCs w:val="20"/>
                <w:color w:val="auto"/>
              </w:rPr>
            </w:pPr>
            <w:r>
              <w:rPr>
                <w:rFonts w:ascii="Arial" w:cs="Arial" w:eastAsia="Arial" w:hAnsi="Arial"/>
                <w:sz w:val="17"/>
                <w:szCs w:val="17"/>
                <w:color w:val="auto"/>
              </w:rPr>
              <w:t>19</w:t>
            </w:r>
          </w:p>
        </w:tc>
        <w:tc>
          <w:tcPr>
            <w:tcW w:w="1360" w:type="dxa"/>
            <w:vAlign w:val="bottom"/>
          </w:tcPr>
          <w:p>
            <w:pPr>
              <w:jc w:val="right"/>
              <w:ind w:right="375"/>
              <w:spacing w:after="0" w:line="189" w:lineRule="exact"/>
              <w:rPr>
                <w:sz w:val="20"/>
                <w:szCs w:val="20"/>
                <w:color w:val="auto"/>
              </w:rPr>
            </w:pPr>
            <w:r>
              <w:rPr>
                <w:rFonts w:ascii="Arial" w:cs="Arial" w:eastAsia="Arial" w:hAnsi="Arial"/>
                <w:sz w:val="17"/>
                <w:szCs w:val="17"/>
                <w:b w:val="1"/>
                <w:bCs w:val="1"/>
                <w:color w:val="auto"/>
              </w:rPr>
              <w:t>1,105</w:t>
            </w:r>
          </w:p>
        </w:tc>
        <w:tc>
          <w:tcPr>
            <w:tcW w:w="154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1,261</w:t>
            </w:r>
          </w:p>
        </w:tc>
        <w:tc>
          <w:tcPr>
            <w:tcW w:w="12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617</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income tax liabilities</w:t>
            </w:r>
          </w:p>
        </w:tc>
        <w:tc>
          <w:tcPr>
            <w:tcW w:w="1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981</w:t>
            </w:r>
          </w:p>
        </w:tc>
        <w:tc>
          <w:tcPr>
            <w:tcW w:w="154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886</w:t>
            </w:r>
          </w:p>
        </w:tc>
        <w:tc>
          <w:tcPr>
            <w:tcW w:w="12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289</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tcPr>
          <w:p>
            <w:pPr>
              <w:spacing w:after="0" w:line="189" w:lineRule="exact"/>
              <w:rPr>
                <w:sz w:val="20"/>
                <w:szCs w:val="20"/>
                <w:color w:val="auto"/>
              </w:rPr>
            </w:pPr>
            <w:r>
              <w:rPr>
                <w:rFonts w:ascii="Arial" w:cs="Arial" w:eastAsia="Arial" w:hAnsi="Arial"/>
                <w:sz w:val="17"/>
                <w:szCs w:val="17"/>
                <w:color w:val="auto"/>
              </w:rPr>
              <w:t>Borrowings – Current portion of long-term debts</w:t>
            </w:r>
          </w:p>
        </w:tc>
        <w:tc>
          <w:tcPr>
            <w:tcW w:w="1120" w:type="dxa"/>
            <w:vAlign w:val="bottom"/>
          </w:tcPr>
          <w:p>
            <w:pPr>
              <w:jc w:val="right"/>
              <w:ind w:right="435"/>
              <w:spacing w:after="0" w:line="189" w:lineRule="exact"/>
              <w:rPr>
                <w:sz w:val="20"/>
                <w:szCs w:val="20"/>
                <w:color w:val="auto"/>
              </w:rPr>
            </w:pPr>
            <w:r>
              <w:rPr>
                <w:rFonts w:ascii="Arial" w:cs="Arial" w:eastAsia="Arial" w:hAnsi="Arial"/>
                <w:sz w:val="17"/>
                <w:szCs w:val="17"/>
                <w:color w:val="auto"/>
              </w:rPr>
              <w:t>20</w:t>
            </w:r>
          </w:p>
        </w:tc>
        <w:tc>
          <w:tcPr>
            <w:tcW w:w="1360" w:type="dxa"/>
            <w:vAlign w:val="bottom"/>
          </w:tcPr>
          <w:p>
            <w:pPr>
              <w:jc w:val="right"/>
              <w:ind w:right="375"/>
              <w:spacing w:after="0" w:line="189" w:lineRule="exact"/>
              <w:rPr>
                <w:sz w:val="20"/>
                <w:szCs w:val="20"/>
                <w:color w:val="auto"/>
              </w:rPr>
            </w:pPr>
            <w:r>
              <w:rPr>
                <w:rFonts w:ascii="Arial" w:cs="Arial" w:eastAsia="Arial" w:hAnsi="Arial"/>
                <w:sz w:val="17"/>
                <w:szCs w:val="17"/>
                <w:b w:val="1"/>
                <w:bCs w:val="1"/>
                <w:color w:val="auto"/>
              </w:rPr>
              <w:t>117</w:t>
            </w:r>
          </w:p>
        </w:tc>
        <w:tc>
          <w:tcPr>
            <w:tcW w:w="154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454</w:t>
            </w:r>
          </w:p>
        </w:tc>
        <w:tc>
          <w:tcPr>
            <w:tcW w:w="12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46</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Employee compensation and benefits</w:t>
            </w:r>
          </w:p>
        </w:tc>
        <w:tc>
          <w:tcPr>
            <w:tcW w:w="1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626</w:t>
            </w:r>
          </w:p>
        </w:tc>
        <w:tc>
          <w:tcPr>
            <w:tcW w:w="154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517</w:t>
            </w:r>
          </w:p>
        </w:tc>
        <w:tc>
          <w:tcPr>
            <w:tcW w:w="12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250</w:t>
            </w:r>
          </w:p>
        </w:tc>
        <w:tc>
          <w:tcPr>
            <w:tcW w:w="6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660" w:type="dxa"/>
            <w:vAlign w:val="bottom"/>
          </w:tcPr>
          <w:p>
            <w:pPr>
              <w:spacing w:after="0" w:line="189" w:lineRule="exact"/>
              <w:rPr>
                <w:sz w:val="20"/>
                <w:szCs w:val="20"/>
                <w:color w:val="auto"/>
              </w:rPr>
            </w:pPr>
            <w:r>
              <w:rPr>
                <w:rFonts w:ascii="Arial" w:cs="Arial" w:eastAsia="Arial" w:hAnsi="Arial"/>
                <w:sz w:val="17"/>
                <w:szCs w:val="17"/>
                <w:color w:val="auto"/>
              </w:rPr>
              <w:t>Other current liabilities</w:t>
            </w:r>
          </w:p>
        </w:tc>
        <w:tc>
          <w:tcPr>
            <w:tcW w:w="1120" w:type="dxa"/>
            <w:vAlign w:val="bottom"/>
          </w:tcPr>
          <w:p>
            <w:pPr>
              <w:jc w:val="right"/>
              <w:ind w:right="435"/>
              <w:spacing w:after="0" w:line="189" w:lineRule="exact"/>
              <w:rPr>
                <w:sz w:val="20"/>
                <w:szCs w:val="20"/>
                <w:color w:val="auto"/>
              </w:rPr>
            </w:pPr>
            <w:r>
              <w:rPr>
                <w:rFonts w:ascii="Arial" w:cs="Arial" w:eastAsia="Arial" w:hAnsi="Arial"/>
                <w:sz w:val="17"/>
                <w:szCs w:val="17"/>
                <w:color w:val="auto"/>
              </w:rPr>
              <w:t>19</w:t>
            </w:r>
          </w:p>
        </w:tc>
        <w:tc>
          <w:tcPr>
            <w:tcW w:w="1360" w:type="dxa"/>
            <w:vAlign w:val="bottom"/>
            <w:tcBorders>
              <w:bottom w:val="single" w:sz="8" w:color="auto"/>
            </w:tcBorders>
          </w:tcPr>
          <w:p>
            <w:pPr>
              <w:jc w:val="right"/>
              <w:ind w:right="375"/>
              <w:spacing w:after="0" w:line="189" w:lineRule="exact"/>
              <w:rPr>
                <w:sz w:val="20"/>
                <w:szCs w:val="20"/>
                <w:color w:val="auto"/>
              </w:rPr>
            </w:pPr>
            <w:r>
              <w:rPr>
                <w:rFonts w:ascii="Arial" w:cs="Arial" w:eastAsia="Arial" w:hAnsi="Arial"/>
                <w:sz w:val="17"/>
                <w:szCs w:val="17"/>
                <w:b w:val="1"/>
                <w:bCs w:val="1"/>
                <w:color w:val="auto"/>
              </w:rPr>
              <w:t>579</w:t>
            </w:r>
          </w:p>
        </w:tc>
        <w:tc>
          <w:tcPr>
            <w:tcW w:w="1540" w:type="dxa"/>
            <w:vAlign w:val="bottom"/>
            <w:tcBorders>
              <w:bottom w:val="single" w:sz="8" w:color="auto"/>
            </w:tcBorders>
          </w:tcPr>
          <w:p>
            <w:pPr>
              <w:jc w:val="right"/>
              <w:ind w:right="375"/>
              <w:spacing w:after="0" w:line="189" w:lineRule="exact"/>
              <w:rPr>
                <w:sz w:val="20"/>
                <w:szCs w:val="20"/>
                <w:color w:val="auto"/>
              </w:rPr>
            </w:pPr>
            <w:r>
              <w:rPr>
                <w:rFonts w:ascii="Arial" w:cs="Arial" w:eastAsia="Arial" w:hAnsi="Arial"/>
                <w:sz w:val="17"/>
                <w:szCs w:val="17"/>
                <w:color w:val="auto"/>
              </w:rPr>
              <w:t>750</w:t>
            </w:r>
          </w:p>
        </w:tc>
        <w:tc>
          <w:tcPr>
            <w:tcW w:w="12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191</w:t>
            </w:r>
          </w:p>
        </w:tc>
        <w:tc>
          <w:tcPr>
            <w:tcW w:w="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3,408</w:t>
            </w:r>
          </w:p>
        </w:tc>
        <w:tc>
          <w:tcPr>
            <w:tcW w:w="154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3,868</w:t>
            </w:r>
          </w:p>
        </w:tc>
        <w:tc>
          <w:tcPr>
            <w:tcW w:w="128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1,393</w:t>
            </w:r>
          </w:p>
        </w:tc>
        <w:tc>
          <w:tcPr>
            <w:tcW w:w="60" w:type="dxa"/>
            <w:vAlign w:val="bottom"/>
            <w:shd w:val="clear" w:color="auto" w:fill="CCEEFF"/>
          </w:tcPr>
          <w:p>
            <w:pPr>
              <w:spacing w:after="0"/>
              <w:rPr>
                <w:sz w:val="16"/>
                <w:szCs w:val="16"/>
                <w:color w:val="auto"/>
              </w:rPr>
            </w:pPr>
          </w:p>
        </w:tc>
      </w:tr>
      <w:tr>
        <w:trPr>
          <w:trHeight w:val="196"/>
        </w:trPr>
        <w:tc>
          <w:tcPr>
            <w:tcW w:w="5680" w:type="dxa"/>
            <w:vAlign w:val="bottom"/>
            <w:gridSpan w:val="2"/>
          </w:tcPr>
          <w:p>
            <w:pPr>
              <w:spacing w:after="0"/>
              <w:rPr>
                <w:sz w:val="20"/>
                <w:szCs w:val="20"/>
                <w:color w:val="auto"/>
              </w:rPr>
            </w:pPr>
            <w:r>
              <w:rPr>
                <w:rFonts w:ascii="Arial" w:cs="Arial" w:eastAsia="Arial" w:hAnsi="Arial"/>
                <w:sz w:val="17"/>
                <w:szCs w:val="17"/>
                <w:b w:val="1"/>
                <w:bCs w:val="1"/>
                <w:color w:val="auto"/>
              </w:rPr>
              <w:t>Non-current liabilities</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Borrowings – long-term debt</w:t>
            </w:r>
          </w:p>
        </w:tc>
        <w:tc>
          <w:tcPr>
            <w:tcW w:w="1120" w:type="dxa"/>
            <w:vAlign w:val="bottom"/>
            <w:shd w:val="clear" w:color="auto" w:fill="CCEEFF"/>
          </w:tcPr>
          <w:p>
            <w:pPr>
              <w:jc w:val="right"/>
              <w:ind w:right="435"/>
              <w:spacing w:after="0" w:line="189" w:lineRule="exact"/>
              <w:rPr>
                <w:sz w:val="20"/>
                <w:szCs w:val="20"/>
                <w:color w:val="auto"/>
              </w:rPr>
            </w:pPr>
            <w:r>
              <w:rPr>
                <w:rFonts w:ascii="Arial" w:cs="Arial" w:eastAsia="Arial" w:hAnsi="Arial"/>
                <w:sz w:val="17"/>
                <w:szCs w:val="17"/>
                <w:color w:val="auto"/>
              </w:rPr>
              <w:t>20</w:t>
            </w:r>
          </w:p>
        </w:tc>
        <w:tc>
          <w:tcPr>
            <w:tcW w:w="136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17,431</w:t>
            </w:r>
          </w:p>
        </w:tc>
        <w:tc>
          <w:tcPr>
            <w:tcW w:w="154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13,188</w:t>
            </w:r>
          </w:p>
        </w:tc>
        <w:tc>
          <w:tcPr>
            <w:tcW w:w="12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3,826</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tcPr>
          <w:p>
            <w:pPr>
              <w:spacing w:after="0" w:line="189" w:lineRule="exact"/>
              <w:rPr>
                <w:sz w:val="20"/>
                <w:szCs w:val="20"/>
                <w:color w:val="auto"/>
              </w:rPr>
            </w:pPr>
            <w:r>
              <w:rPr>
                <w:rFonts w:ascii="Arial" w:cs="Arial" w:eastAsia="Arial" w:hAnsi="Arial"/>
                <w:sz w:val="17"/>
                <w:szCs w:val="17"/>
                <w:color w:val="auto"/>
              </w:rPr>
              <w:t>Deferred income tax liabilities</w:t>
            </w:r>
          </w:p>
        </w:tc>
        <w:tc>
          <w:tcPr>
            <w:tcW w:w="1120" w:type="dxa"/>
            <w:vAlign w:val="bottom"/>
          </w:tcPr>
          <w:p>
            <w:pPr>
              <w:jc w:val="right"/>
              <w:ind w:right="435"/>
              <w:spacing w:after="0" w:line="189" w:lineRule="exact"/>
              <w:rPr>
                <w:sz w:val="20"/>
                <w:szCs w:val="20"/>
                <w:color w:val="auto"/>
              </w:rPr>
            </w:pPr>
            <w:r>
              <w:rPr>
                <w:rFonts w:ascii="Arial" w:cs="Arial" w:eastAsia="Arial" w:hAnsi="Arial"/>
                <w:sz w:val="17"/>
                <w:szCs w:val="17"/>
                <w:color w:val="auto"/>
              </w:rPr>
              <w:t>22</w:t>
            </w:r>
          </w:p>
        </w:tc>
        <w:tc>
          <w:tcPr>
            <w:tcW w:w="1360" w:type="dxa"/>
            <w:vAlign w:val="bottom"/>
          </w:tcPr>
          <w:p>
            <w:pPr>
              <w:jc w:val="right"/>
              <w:ind w:right="375"/>
              <w:spacing w:after="0" w:line="189" w:lineRule="exact"/>
              <w:rPr>
                <w:sz w:val="20"/>
                <w:szCs w:val="20"/>
                <w:color w:val="auto"/>
              </w:rPr>
            </w:pPr>
            <w:r>
              <w:rPr>
                <w:rFonts w:ascii="Arial" w:cs="Arial" w:eastAsia="Arial" w:hAnsi="Arial"/>
                <w:sz w:val="17"/>
                <w:szCs w:val="17"/>
                <w:b w:val="1"/>
                <w:bCs w:val="1"/>
                <w:color w:val="auto"/>
              </w:rPr>
              <w:t>10,019</w:t>
            </w:r>
          </w:p>
        </w:tc>
        <w:tc>
          <w:tcPr>
            <w:tcW w:w="154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10,287</w:t>
            </w:r>
          </w:p>
        </w:tc>
        <w:tc>
          <w:tcPr>
            <w:tcW w:w="12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8</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Pension and post-retirement benefit obligations</w:t>
            </w:r>
          </w:p>
        </w:tc>
        <w:tc>
          <w:tcPr>
            <w:tcW w:w="1120" w:type="dxa"/>
            <w:vAlign w:val="bottom"/>
            <w:shd w:val="clear" w:color="auto" w:fill="CCEEFF"/>
          </w:tcPr>
          <w:p>
            <w:pPr>
              <w:jc w:val="right"/>
              <w:ind w:right="435"/>
              <w:spacing w:after="0" w:line="189" w:lineRule="exact"/>
              <w:rPr>
                <w:sz w:val="20"/>
                <w:szCs w:val="20"/>
                <w:color w:val="auto"/>
              </w:rPr>
            </w:pPr>
            <w:r>
              <w:rPr>
                <w:rFonts w:ascii="Arial" w:cs="Arial" w:eastAsia="Arial" w:hAnsi="Arial"/>
                <w:sz w:val="17"/>
                <w:szCs w:val="17"/>
                <w:color w:val="auto"/>
              </w:rPr>
              <w:t>7</w:t>
            </w:r>
          </w:p>
        </w:tc>
        <w:tc>
          <w:tcPr>
            <w:tcW w:w="136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129</w:t>
            </w:r>
          </w:p>
        </w:tc>
        <w:tc>
          <w:tcPr>
            <w:tcW w:w="154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546</w:t>
            </w:r>
          </w:p>
        </w:tc>
        <w:tc>
          <w:tcPr>
            <w:tcW w:w="12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475</w:t>
            </w:r>
          </w:p>
        </w:tc>
        <w:tc>
          <w:tcPr>
            <w:tcW w:w="6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660" w:type="dxa"/>
            <w:vAlign w:val="bottom"/>
          </w:tcPr>
          <w:p>
            <w:pPr>
              <w:spacing w:after="0" w:line="189" w:lineRule="exact"/>
              <w:rPr>
                <w:sz w:val="20"/>
                <w:szCs w:val="20"/>
                <w:color w:val="auto"/>
              </w:rPr>
            </w:pPr>
            <w:r>
              <w:rPr>
                <w:rFonts w:ascii="Arial" w:cs="Arial" w:eastAsia="Arial" w:hAnsi="Arial"/>
                <w:sz w:val="17"/>
                <w:szCs w:val="17"/>
                <w:color w:val="auto"/>
              </w:rPr>
              <w:t>Other non-current liabilities</w:t>
            </w:r>
          </w:p>
        </w:tc>
        <w:tc>
          <w:tcPr>
            <w:tcW w:w="1120" w:type="dxa"/>
            <w:vAlign w:val="bottom"/>
          </w:tcPr>
          <w:p>
            <w:pPr>
              <w:jc w:val="right"/>
              <w:ind w:right="435"/>
              <w:spacing w:after="0" w:line="189" w:lineRule="exact"/>
              <w:rPr>
                <w:sz w:val="20"/>
                <w:szCs w:val="20"/>
                <w:color w:val="auto"/>
              </w:rPr>
            </w:pPr>
            <w:r>
              <w:rPr>
                <w:rFonts w:ascii="Arial" w:cs="Arial" w:eastAsia="Arial" w:hAnsi="Arial"/>
                <w:sz w:val="17"/>
                <w:szCs w:val="17"/>
                <w:color w:val="auto"/>
              </w:rPr>
              <w:t>19</w:t>
            </w:r>
          </w:p>
        </w:tc>
        <w:tc>
          <w:tcPr>
            <w:tcW w:w="1360" w:type="dxa"/>
            <w:vAlign w:val="bottom"/>
            <w:tcBorders>
              <w:bottom w:val="single" w:sz="8" w:color="auto"/>
            </w:tcBorders>
          </w:tcPr>
          <w:p>
            <w:pPr>
              <w:jc w:val="right"/>
              <w:ind w:right="375"/>
              <w:spacing w:after="0" w:line="189" w:lineRule="exact"/>
              <w:rPr>
                <w:sz w:val="20"/>
                <w:szCs w:val="20"/>
                <w:color w:val="auto"/>
              </w:rPr>
            </w:pPr>
            <w:r>
              <w:rPr>
                <w:rFonts w:ascii="Arial" w:cs="Arial" w:eastAsia="Arial" w:hAnsi="Arial"/>
                <w:sz w:val="17"/>
                <w:szCs w:val="17"/>
                <w:b w:val="1"/>
                <w:bCs w:val="1"/>
                <w:color w:val="auto"/>
              </w:rPr>
              <w:t>262</w:t>
            </w:r>
          </w:p>
        </w:tc>
        <w:tc>
          <w:tcPr>
            <w:tcW w:w="1540" w:type="dxa"/>
            <w:vAlign w:val="bottom"/>
            <w:tcBorders>
              <w:bottom w:val="single" w:sz="8" w:color="auto"/>
            </w:tcBorders>
          </w:tcPr>
          <w:p>
            <w:pPr>
              <w:jc w:val="right"/>
              <w:ind w:right="375"/>
              <w:spacing w:after="0" w:line="189" w:lineRule="exact"/>
              <w:rPr>
                <w:sz w:val="20"/>
                <w:szCs w:val="20"/>
                <w:color w:val="auto"/>
              </w:rPr>
            </w:pPr>
            <w:r>
              <w:rPr>
                <w:rFonts w:ascii="Arial" w:cs="Arial" w:eastAsia="Arial" w:hAnsi="Arial"/>
                <w:sz w:val="17"/>
                <w:szCs w:val="17"/>
                <w:color w:val="auto"/>
              </w:rPr>
              <w:t>215</w:t>
            </w:r>
          </w:p>
        </w:tc>
        <w:tc>
          <w:tcPr>
            <w:tcW w:w="12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99</w:t>
            </w:r>
          </w:p>
        </w:tc>
        <w:tc>
          <w:tcPr>
            <w:tcW w:w="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27,841</w:t>
            </w:r>
          </w:p>
        </w:tc>
        <w:tc>
          <w:tcPr>
            <w:tcW w:w="154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24,236</w:t>
            </w:r>
          </w:p>
        </w:tc>
        <w:tc>
          <w:tcPr>
            <w:tcW w:w="128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4,408</w:t>
            </w:r>
          </w:p>
        </w:tc>
        <w:tc>
          <w:tcPr>
            <w:tcW w:w="60" w:type="dxa"/>
            <w:vAlign w:val="bottom"/>
            <w:shd w:val="clear" w:color="auto" w:fill="CCEEFF"/>
          </w:tcPr>
          <w:p>
            <w:pPr>
              <w:spacing w:after="0"/>
              <w:rPr>
                <w:sz w:val="16"/>
                <w:szCs w:val="16"/>
                <w:color w:val="auto"/>
              </w:rPr>
            </w:pPr>
          </w:p>
        </w:tc>
      </w:tr>
      <w:tr>
        <w:trPr>
          <w:trHeight w:val="203"/>
        </w:trPr>
        <w:tc>
          <w:tcPr>
            <w:tcW w:w="568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w:t>
            </w:r>
          </w:p>
        </w:tc>
        <w:tc>
          <w:tcPr>
            <w:tcW w:w="1120" w:type="dxa"/>
            <w:vAlign w:val="bottom"/>
          </w:tcPr>
          <w:p>
            <w:pPr>
              <w:spacing w:after="0"/>
              <w:rPr>
                <w:sz w:val="17"/>
                <w:szCs w:val="17"/>
                <w:color w:val="auto"/>
              </w:rPr>
            </w:pPr>
          </w:p>
        </w:tc>
        <w:tc>
          <w:tcPr>
            <w:tcW w:w="13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31,249</w:t>
            </w:r>
          </w:p>
        </w:tc>
        <w:tc>
          <w:tcPr>
            <w:tcW w:w="15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28,104</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5,801</w:t>
            </w: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ASSETS</w:t>
            </w:r>
          </w:p>
        </w:tc>
        <w:tc>
          <w:tcPr>
            <w:tcW w:w="112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23,169</w:t>
            </w:r>
          </w:p>
        </w:tc>
        <w:tc>
          <w:tcPr>
            <w:tcW w:w="154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21,861</w:t>
            </w:r>
          </w:p>
        </w:tc>
        <w:tc>
          <w:tcPr>
            <w:tcW w:w="128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4,714</w:t>
            </w:r>
          </w:p>
        </w:tc>
        <w:tc>
          <w:tcPr>
            <w:tcW w:w="60" w:type="dxa"/>
            <w:vAlign w:val="bottom"/>
            <w:shd w:val="clear" w:color="auto" w:fill="CCEEFF"/>
          </w:tcPr>
          <w:p>
            <w:pPr>
              <w:spacing w:after="0"/>
              <w:rPr>
                <w:sz w:val="17"/>
                <w:szCs w:val="17"/>
                <w:color w:val="auto"/>
              </w:rPr>
            </w:pPr>
          </w:p>
        </w:tc>
      </w:tr>
      <w:tr>
        <w:trPr>
          <w:trHeight w:val="270"/>
        </w:trPr>
        <w:tc>
          <w:tcPr>
            <w:tcW w:w="5680" w:type="dxa"/>
            <w:vAlign w:val="bottom"/>
            <w:gridSpan w:val="2"/>
          </w:tcPr>
          <w:p>
            <w:pPr>
              <w:spacing w:after="0"/>
              <w:rPr>
                <w:sz w:val="20"/>
                <w:szCs w:val="20"/>
                <w:color w:val="auto"/>
              </w:rPr>
            </w:pPr>
            <w:r>
              <w:rPr>
                <w:rFonts w:ascii="Arial" w:cs="Arial" w:eastAsia="Arial" w:hAnsi="Arial"/>
                <w:sz w:val="17"/>
                <w:szCs w:val="17"/>
                <w:b w:val="1"/>
                <w:bCs w:val="1"/>
                <w:color w:val="auto"/>
              </w:rPr>
              <w:t>EQUITY</w:t>
            </w:r>
          </w:p>
        </w:tc>
        <w:tc>
          <w:tcPr>
            <w:tcW w:w="1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Capital and reserves attributable to equity holders of the Company</w:t>
            </w:r>
          </w:p>
        </w:tc>
        <w:tc>
          <w:tcPr>
            <w:tcW w:w="1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tcPr>
          <w:p>
            <w:pPr>
              <w:spacing w:after="0" w:line="189" w:lineRule="exact"/>
              <w:rPr>
                <w:sz w:val="20"/>
                <w:szCs w:val="20"/>
                <w:color w:val="auto"/>
              </w:rPr>
            </w:pPr>
            <w:r>
              <w:rPr>
                <w:rFonts w:ascii="Arial" w:cs="Arial" w:eastAsia="Arial" w:hAnsi="Arial"/>
                <w:sz w:val="17"/>
                <w:szCs w:val="17"/>
                <w:color w:val="auto"/>
              </w:rPr>
              <w:t>Share capital</w:t>
            </w:r>
          </w:p>
        </w:tc>
        <w:tc>
          <w:tcPr>
            <w:tcW w:w="1120" w:type="dxa"/>
            <w:vAlign w:val="bottom"/>
          </w:tcPr>
          <w:p>
            <w:pPr>
              <w:jc w:val="right"/>
              <w:ind w:right="435"/>
              <w:spacing w:after="0" w:line="189" w:lineRule="exact"/>
              <w:rPr>
                <w:sz w:val="20"/>
                <w:szCs w:val="20"/>
                <w:color w:val="auto"/>
              </w:rPr>
            </w:pPr>
            <w:r>
              <w:rPr>
                <w:rFonts w:ascii="Arial" w:cs="Arial" w:eastAsia="Arial" w:hAnsi="Arial"/>
                <w:sz w:val="17"/>
                <w:szCs w:val="17"/>
                <w:color w:val="auto"/>
              </w:rPr>
              <w:t>23</w:t>
            </w:r>
          </w:p>
        </w:tc>
        <w:tc>
          <w:tcPr>
            <w:tcW w:w="1360" w:type="dxa"/>
            <w:vAlign w:val="bottom"/>
          </w:tcPr>
          <w:p>
            <w:pPr>
              <w:jc w:val="right"/>
              <w:ind w:right="375"/>
              <w:spacing w:after="0" w:line="189" w:lineRule="exact"/>
              <w:rPr>
                <w:sz w:val="20"/>
                <w:szCs w:val="20"/>
                <w:color w:val="auto"/>
              </w:rPr>
            </w:pPr>
            <w:r>
              <w:rPr>
                <w:rFonts w:ascii="Arial" w:cs="Arial" w:eastAsia="Arial" w:hAnsi="Arial"/>
                <w:sz w:val="17"/>
                <w:szCs w:val="17"/>
                <w:b w:val="1"/>
                <w:bCs w:val="1"/>
                <w:color w:val="auto"/>
              </w:rPr>
              <w:t>18,805</w:t>
            </w:r>
          </w:p>
        </w:tc>
        <w:tc>
          <w:tcPr>
            <w:tcW w:w="154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18,462</w:t>
            </w:r>
          </w:p>
        </w:tc>
        <w:tc>
          <w:tcPr>
            <w:tcW w:w="12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reserves</w:t>
            </w:r>
          </w:p>
        </w:tc>
        <w:tc>
          <w:tcPr>
            <w:tcW w:w="1120" w:type="dxa"/>
            <w:vAlign w:val="bottom"/>
            <w:shd w:val="clear" w:color="auto" w:fill="CCEEFF"/>
          </w:tcPr>
          <w:p>
            <w:pPr>
              <w:jc w:val="right"/>
              <w:ind w:right="435"/>
              <w:spacing w:after="0" w:line="189" w:lineRule="exact"/>
              <w:rPr>
                <w:sz w:val="20"/>
                <w:szCs w:val="20"/>
                <w:color w:val="auto"/>
              </w:rPr>
            </w:pPr>
            <w:r>
              <w:rPr>
                <w:rFonts w:ascii="Arial" w:cs="Arial" w:eastAsia="Arial" w:hAnsi="Arial"/>
                <w:sz w:val="17"/>
                <w:szCs w:val="17"/>
                <w:color w:val="auto"/>
              </w:rPr>
              <w:t>32</w:t>
            </w:r>
          </w:p>
        </w:tc>
        <w:tc>
          <w:tcPr>
            <w:tcW w:w="136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1,594</w:t>
            </w:r>
          </w:p>
        </w:tc>
        <w:tc>
          <w:tcPr>
            <w:tcW w:w="154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630</w:t>
            </w:r>
          </w:p>
        </w:tc>
        <w:tc>
          <w:tcPr>
            <w:tcW w:w="12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2,474</w:t>
            </w:r>
          </w:p>
        </w:tc>
        <w:tc>
          <w:tcPr>
            <w:tcW w:w="6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660" w:type="dxa"/>
            <w:vAlign w:val="bottom"/>
          </w:tcPr>
          <w:p>
            <w:pPr>
              <w:spacing w:after="0" w:line="189" w:lineRule="exact"/>
              <w:rPr>
                <w:sz w:val="20"/>
                <w:szCs w:val="20"/>
                <w:color w:val="auto"/>
              </w:rPr>
            </w:pPr>
            <w:r>
              <w:rPr>
                <w:rFonts w:ascii="Arial" w:cs="Arial" w:eastAsia="Arial" w:hAnsi="Arial"/>
                <w:sz w:val="17"/>
                <w:szCs w:val="17"/>
                <w:color w:val="auto"/>
              </w:rPr>
              <w:t>(Accumulated deficit)/Retained profits</w:t>
            </w:r>
          </w:p>
        </w:tc>
        <w:tc>
          <w:tcPr>
            <w:tcW w:w="1120" w:type="dxa"/>
            <w:vAlign w:val="bottom"/>
          </w:tcPr>
          <w:p>
            <w:pPr>
              <w:spacing w:after="0"/>
              <w:rPr>
                <w:sz w:val="17"/>
                <w:szCs w:val="17"/>
                <w:color w:val="auto"/>
              </w:rPr>
            </w:pPr>
          </w:p>
        </w:tc>
        <w:tc>
          <w:tcPr>
            <w:tcW w:w="1360" w:type="dxa"/>
            <w:vAlign w:val="bottom"/>
            <w:tcBorders>
              <w:bottom w:val="single" w:sz="8" w:color="auto"/>
            </w:tcBorders>
          </w:tcPr>
          <w:p>
            <w:pPr>
              <w:jc w:val="right"/>
              <w:ind w:right="335"/>
              <w:spacing w:after="0" w:line="189" w:lineRule="exact"/>
              <w:rPr>
                <w:sz w:val="20"/>
                <w:szCs w:val="20"/>
                <w:color w:val="auto"/>
              </w:rPr>
            </w:pPr>
            <w:r>
              <w:rPr>
                <w:rFonts w:ascii="Arial" w:cs="Arial" w:eastAsia="Arial" w:hAnsi="Arial"/>
                <w:sz w:val="17"/>
                <w:szCs w:val="17"/>
                <w:b w:val="1"/>
                <w:bCs w:val="1"/>
                <w:color w:val="auto"/>
              </w:rPr>
              <w:t>(131)</w:t>
            </w:r>
          </w:p>
        </w:tc>
        <w:tc>
          <w:tcPr>
            <w:tcW w:w="1540" w:type="dxa"/>
            <w:vAlign w:val="bottom"/>
            <w:tcBorders>
              <w:bottom w:val="single" w:sz="8" w:color="auto"/>
            </w:tcBorders>
          </w:tcPr>
          <w:p>
            <w:pPr>
              <w:jc w:val="right"/>
              <w:ind w:right="335"/>
              <w:spacing w:after="0" w:line="189" w:lineRule="exact"/>
              <w:rPr>
                <w:sz w:val="20"/>
                <w:szCs w:val="20"/>
                <w:color w:val="auto"/>
              </w:rPr>
            </w:pPr>
            <w:r>
              <w:rPr>
                <w:rFonts w:ascii="Arial" w:cs="Arial" w:eastAsia="Arial" w:hAnsi="Arial"/>
                <w:sz w:val="17"/>
                <w:szCs w:val="17"/>
                <w:color w:val="auto"/>
              </w:rPr>
              <w:t>(215)</w:t>
            </w:r>
          </w:p>
        </w:tc>
        <w:tc>
          <w:tcPr>
            <w:tcW w:w="12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2,240</w:t>
            </w:r>
          </w:p>
        </w:tc>
        <w:tc>
          <w:tcPr>
            <w:tcW w:w="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20,268</w:t>
            </w:r>
          </w:p>
        </w:tc>
        <w:tc>
          <w:tcPr>
            <w:tcW w:w="154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18,877</w:t>
            </w:r>
          </w:p>
        </w:tc>
        <w:tc>
          <w:tcPr>
            <w:tcW w:w="12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4,714</w:t>
            </w:r>
          </w:p>
        </w:tc>
        <w:tc>
          <w:tcPr>
            <w:tcW w:w="6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660" w:type="dxa"/>
            <w:vAlign w:val="bottom"/>
          </w:tcPr>
          <w:p>
            <w:pPr>
              <w:spacing w:after="0" w:line="189" w:lineRule="exact"/>
              <w:rPr>
                <w:sz w:val="20"/>
                <w:szCs w:val="20"/>
                <w:color w:val="auto"/>
              </w:rPr>
            </w:pPr>
            <w:r>
              <w:rPr>
                <w:rFonts w:ascii="Arial" w:cs="Arial" w:eastAsia="Arial" w:hAnsi="Arial"/>
                <w:sz w:val="17"/>
                <w:szCs w:val="17"/>
                <w:b w:val="1"/>
                <w:bCs w:val="1"/>
                <w:color w:val="auto"/>
              </w:rPr>
              <w:t>Non-controlling interests</w:t>
            </w:r>
          </w:p>
        </w:tc>
        <w:tc>
          <w:tcPr>
            <w:tcW w:w="1120" w:type="dxa"/>
            <w:vAlign w:val="bottom"/>
          </w:tcPr>
          <w:p>
            <w:pPr>
              <w:spacing w:after="0"/>
              <w:rPr>
                <w:sz w:val="17"/>
                <w:szCs w:val="17"/>
                <w:color w:val="auto"/>
              </w:rPr>
            </w:pPr>
          </w:p>
        </w:tc>
        <w:tc>
          <w:tcPr>
            <w:tcW w:w="1360" w:type="dxa"/>
            <w:vAlign w:val="bottom"/>
            <w:tcBorders>
              <w:bottom w:val="single" w:sz="8" w:color="auto"/>
            </w:tcBorders>
          </w:tcPr>
          <w:p>
            <w:pPr>
              <w:jc w:val="right"/>
              <w:ind w:right="375"/>
              <w:spacing w:after="0" w:line="189" w:lineRule="exact"/>
              <w:rPr>
                <w:sz w:val="20"/>
                <w:szCs w:val="20"/>
                <w:color w:val="auto"/>
              </w:rPr>
            </w:pPr>
            <w:r>
              <w:rPr>
                <w:rFonts w:ascii="Arial" w:cs="Arial" w:eastAsia="Arial" w:hAnsi="Arial"/>
                <w:sz w:val="17"/>
                <w:szCs w:val="17"/>
                <w:b w:val="1"/>
                <w:bCs w:val="1"/>
                <w:color w:val="auto"/>
              </w:rPr>
              <w:t>2,901</w:t>
            </w:r>
          </w:p>
        </w:tc>
        <w:tc>
          <w:tcPr>
            <w:tcW w:w="1540" w:type="dxa"/>
            <w:vAlign w:val="bottom"/>
            <w:tcBorders>
              <w:bottom w:val="single" w:sz="8" w:color="auto"/>
            </w:tcBorders>
          </w:tcPr>
          <w:p>
            <w:pPr>
              <w:jc w:val="right"/>
              <w:ind w:right="375"/>
              <w:spacing w:after="0" w:line="189" w:lineRule="exact"/>
              <w:rPr>
                <w:sz w:val="20"/>
                <w:szCs w:val="20"/>
                <w:color w:val="auto"/>
              </w:rPr>
            </w:pPr>
            <w:r>
              <w:rPr>
                <w:rFonts w:ascii="Arial" w:cs="Arial" w:eastAsia="Arial" w:hAnsi="Arial"/>
                <w:sz w:val="17"/>
                <w:szCs w:val="17"/>
                <w:color w:val="auto"/>
              </w:rPr>
              <w:t>2,984</w:t>
            </w:r>
          </w:p>
        </w:tc>
        <w:tc>
          <w:tcPr>
            <w:tcW w:w="12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equity</w:t>
            </w:r>
          </w:p>
        </w:tc>
        <w:tc>
          <w:tcPr>
            <w:tcW w:w="112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23,169</w:t>
            </w:r>
          </w:p>
        </w:tc>
        <w:tc>
          <w:tcPr>
            <w:tcW w:w="154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21,861</w:t>
            </w:r>
          </w:p>
        </w:tc>
        <w:tc>
          <w:tcPr>
            <w:tcW w:w="128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4,714</w:t>
            </w:r>
          </w:p>
        </w:tc>
        <w:tc>
          <w:tcPr>
            <w:tcW w:w="60" w:type="dxa"/>
            <w:vAlign w:val="bottom"/>
            <w:shd w:val="clear" w:color="auto" w:fill="CCEEFF"/>
          </w:tcPr>
          <w:p>
            <w:pPr>
              <w:spacing w:after="0"/>
              <w:rPr>
                <w:sz w:val="17"/>
                <w:szCs w:val="17"/>
                <w:color w:val="auto"/>
              </w:rPr>
            </w:pPr>
          </w:p>
        </w:tc>
      </w:tr>
    </w:tbl>
    <w:p>
      <w:pPr>
        <w:spacing w:after="0" w:line="96"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Represents figures less than a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104775</wp:posOffset>
            </wp:positionV>
            <wp:extent cx="6997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accompanying notes form an integral part of these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SHEET – COMPANY</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As at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29 October</w:t>
            </w:r>
          </w:p>
        </w:tc>
        <w:tc>
          <w:tcPr>
            <w:tcW w:w="1580" w:type="dxa"/>
            <w:vAlign w:val="bottom"/>
          </w:tcPr>
          <w:p>
            <w:pPr>
              <w:jc w:val="center"/>
              <w:spacing w:after="0"/>
              <w:rPr>
                <w:sz w:val="20"/>
                <w:szCs w:val="20"/>
                <w:color w:val="auto"/>
              </w:rPr>
            </w:pPr>
            <w:r>
              <w:rPr>
                <w:rFonts w:ascii="Arial" w:cs="Arial" w:eastAsia="Arial" w:hAnsi="Arial"/>
                <w:sz w:val="18"/>
                <w:szCs w:val="18"/>
                <w:color w:val="auto"/>
              </w:rPr>
              <w:t>30 October</w:t>
            </w:r>
          </w:p>
        </w:tc>
        <w:tc>
          <w:tcPr>
            <w:tcW w:w="14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2 November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80" w:type="dxa"/>
            <w:vAlign w:val="bottom"/>
          </w:tcPr>
          <w:p>
            <w:pPr>
              <w:jc w:val="center"/>
              <w:ind w:left="210"/>
              <w:spacing w:after="0" w:line="202" w:lineRule="exact"/>
              <w:rPr>
                <w:sz w:val="20"/>
                <w:szCs w:val="20"/>
                <w:color w:val="auto"/>
              </w:rPr>
            </w:pPr>
            <w:r>
              <w:rPr>
                <w:rFonts w:ascii="Arial" w:cs="Arial" w:eastAsia="Arial" w:hAnsi="Arial"/>
                <w:sz w:val="18"/>
                <w:szCs w:val="18"/>
                <w:color w:val="auto"/>
                <w:w w:val="99"/>
              </w:rPr>
              <w:t>Note</w:t>
            </w:r>
          </w:p>
        </w:tc>
        <w:tc>
          <w:tcPr>
            <w:tcW w:w="16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2017</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99"/>
              </w:rPr>
              <w:t>2016</w:t>
            </w:r>
          </w:p>
        </w:tc>
        <w:tc>
          <w:tcPr>
            <w:tcW w:w="136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9"/>
              </w:rPr>
              <w:t>2015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(US$ millions)</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(US$ millions)</w:t>
            </w:r>
          </w:p>
        </w:tc>
        <w:tc>
          <w:tcPr>
            <w:tcW w:w="142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(US$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12</w:t>
            </w:r>
          </w:p>
        </w:tc>
        <w:tc>
          <w:tcPr>
            <w:tcW w:w="164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b w:val="1"/>
                <w:bCs w:val="1"/>
                <w:color w:val="auto"/>
              </w:rPr>
              <w:t>187</w:t>
            </w:r>
          </w:p>
        </w:tc>
        <w:tc>
          <w:tcPr>
            <w:tcW w:w="15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53</w:t>
            </w:r>
          </w:p>
        </w:tc>
        <w:tc>
          <w:tcPr>
            <w:tcW w:w="13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108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9"/>
              </w:rPr>
              <w:t>13</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9</w:t>
            </w:r>
          </w:p>
        </w:tc>
        <w:tc>
          <w:tcPr>
            <w:tcW w:w="158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42</w:t>
            </w:r>
          </w:p>
        </w:tc>
        <w:tc>
          <w:tcPr>
            <w:tcW w:w="13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b w:val="1"/>
                <w:bCs w:val="1"/>
                <w:color w:val="auto"/>
              </w:rPr>
              <w:t>196</w:t>
            </w:r>
          </w:p>
        </w:tc>
        <w:tc>
          <w:tcPr>
            <w:tcW w:w="15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95</w:t>
            </w:r>
          </w:p>
        </w:tc>
        <w:tc>
          <w:tcPr>
            <w:tcW w:w="13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606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Investments in subsidiaries</w:t>
            </w:r>
          </w:p>
        </w:tc>
        <w:tc>
          <w:tcPr>
            <w:tcW w:w="1080" w:type="dxa"/>
            <w:vAlign w:val="bottom"/>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15</w:t>
            </w:r>
          </w:p>
        </w:tc>
        <w:tc>
          <w:tcPr>
            <w:tcW w:w="164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22,494</w:t>
            </w:r>
          </w:p>
        </w:tc>
        <w:tc>
          <w:tcPr>
            <w:tcW w:w="15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21,229</w:t>
            </w:r>
          </w:p>
        </w:tc>
        <w:tc>
          <w:tcPr>
            <w:tcW w:w="13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4,121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22,690</w:t>
            </w:r>
          </w:p>
        </w:tc>
        <w:tc>
          <w:tcPr>
            <w:tcW w:w="15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21,324</w:t>
            </w:r>
          </w:p>
        </w:tc>
        <w:tc>
          <w:tcPr>
            <w:tcW w:w="1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payables</w:t>
            </w:r>
          </w:p>
        </w:tc>
        <w:tc>
          <w:tcPr>
            <w:tcW w:w="1080" w:type="dxa"/>
            <w:vAlign w:val="bottom"/>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19</w:t>
            </w:r>
          </w:p>
        </w:tc>
        <w:tc>
          <w:tcPr>
            <w:tcW w:w="164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b w:val="1"/>
                <w:bCs w:val="1"/>
                <w:color w:val="auto"/>
              </w:rPr>
              <w:t>180</w:t>
            </w:r>
          </w:p>
        </w:tc>
        <w:tc>
          <w:tcPr>
            <w:tcW w:w="15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155</w:t>
            </w:r>
          </w:p>
        </w:tc>
        <w:tc>
          <w:tcPr>
            <w:tcW w:w="13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Employee compensation and benefits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6</w:t>
            </w:r>
          </w:p>
        </w:tc>
        <w:tc>
          <w:tcPr>
            <w:tcW w:w="13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b w:val="1"/>
                <w:bCs w:val="1"/>
                <w:color w:val="auto"/>
              </w:rPr>
              <w:t>180</w:t>
            </w:r>
          </w:p>
        </w:tc>
        <w:tc>
          <w:tcPr>
            <w:tcW w:w="15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161</w:t>
            </w:r>
          </w:p>
        </w:tc>
        <w:tc>
          <w:tcPr>
            <w:tcW w:w="13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180</w:t>
            </w:r>
          </w:p>
        </w:tc>
        <w:tc>
          <w:tcPr>
            <w:tcW w:w="15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161</w:t>
            </w:r>
          </w:p>
        </w:tc>
        <w:tc>
          <w:tcPr>
            <w:tcW w:w="1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ASSETS</w:t>
            </w:r>
          </w:p>
        </w:tc>
        <w:tc>
          <w:tcPr>
            <w:tcW w:w="10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22,510</w:t>
            </w:r>
          </w:p>
        </w:tc>
        <w:tc>
          <w:tcPr>
            <w:tcW w:w="15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21,163</w:t>
            </w:r>
          </w:p>
        </w:tc>
        <w:tc>
          <w:tcPr>
            <w:tcW w:w="13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0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Capital and reserves attributable to equity holders of the</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Company</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Share capital</w:t>
            </w:r>
          </w:p>
        </w:tc>
        <w:tc>
          <w:tcPr>
            <w:tcW w:w="108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9"/>
              </w:rPr>
              <w:t>23</w:t>
            </w:r>
          </w:p>
        </w:tc>
        <w:tc>
          <w:tcPr>
            <w:tcW w:w="164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18,805</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18,462</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1080" w:type="dxa"/>
            <w:vAlign w:val="bottom"/>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32</w:t>
            </w:r>
          </w:p>
        </w:tc>
        <w:tc>
          <w:tcPr>
            <w:tcW w:w="164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1,545</w:t>
            </w:r>
          </w:p>
        </w:tc>
        <w:tc>
          <w:tcPr>
            <w:tcW w:w="15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624</w:t>
            </w:r>
          </w:p>
        </w:tc>
        <w:tc>
          <w:tcPr>
            <w:tcW w:w="13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2,474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Retained profits</w:t>
            </w:r>
          </w:p>
        </w:tc>
        <w:tc>
          <w:tcPr>
            <w:tcW w:w="108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9"/>
              </w:rPr>
              <w:t>24</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2,160</w:t>
            </w:r>
          </w:p>
        </w:tc>
        <w:tc>
          <w:tcPr>
            <w:tcW w:w="158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2,077</w:t>
            </w:r>
          </w:p>
        </w:tc>
        <w:tc>
          <w:tcPr>
            <w:tcW w:w="13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2,240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22,510</w:t>
            </w:r>
          </w:p>
        </w:tc>
        <w:tc>
          <w:tcPr>
            <w:tcW w:w="158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21,163</w:t>
            </w:r>
          </w:p>
        </w:tc>
        <w:tc>
          <w:tcPr>
            <w:tcW w:w="13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20" w:hanging="316"/>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Represents figures less than a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accompanying notes form an integral part of these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BROADCOM LIMITED AND ITS SUBSIDIARIES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320"/>
        <w:spacing w:after="0"/>
        <w:rPr>
          <w:sz w:val="20"/>
          <w:szCs w:val="20"/>
          <w:color w:val="auto"/>
        </w:rPr>
      </w:pPr>
      <w:r>
        <w:rPr>
          <w:sz w:val="1"/>
          <w:szCs w:val="1"/>
          <w:color w:val="auto"/>
        </w:rPr>
        <w:drawing>
          <wp:inline distT="0" distB="0" distL="0" distR="0">
            <wp:extent cx="514350" cy="5143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 cy="51435"/>
                    </a:xfrm>
                    <a:prstGeom prst="rect">
                      <a:avLst/>
                    </a:prstGeom>
                    <a:noFill/>
                    <a:ln>
                      <a:noFill/>
                    </a:ln>
                  </pic:spPr>
                </pic:pic>
              </a:graphicData>
            </a:graphic>
          </wp:inline>
        </w:drawing>
      </w:r>
      <w:r>
        <w:rPr>
          <w:rFonts w:ascii="Arial" w:cs="Arial" w:eastAsia="Arial" w:hAnsi="Arial"/>
          <w:sz w:val="14"/>
          <w:szCs w:val="14"/>
          <w:color w:val="auto"/>
        </w:rPr>
        <w:t xml:space="preserve"> Attributable to equity 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-64135</wp:posOffset>
            </wp:positionV>
            <wp:extent cx="626110" cy="514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6110" cy="51435"/>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5"/>
              </w:rPr>
              <w:t>Accumulated</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vMerge w:val="restart"/>
          </w:tcPr>
          <w:p>
            <w:pPr>
              <w:jc w:val="center"/>
              <w:ind w:right="9"/>
              <w:spacing w:after="0"/>
              <w:rPr>
                <w:sz w:val="20"/>
                <w:szCs w:val="20"/>
                <w:color w:val="auto"/>
              </w:rPr>
            </w:pPr>
            <w:r>
              <w:rPr>
                <w:rFonts w:ascii="Arial" w:cs="Arial" w:eastAsia="Arial" w:hAnsi="Arial"/>
                <w:sz w:val="14"/>
                <w:szCs w:val="14"/>
                <w:color w:val="auto"/>
                <w:w w:val="96"/>
              </w:rPr>
              <w:t>Retained</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other</w:t>
            </w:r>
          </w:p>
        </w:tc>
        <w:tc>
          <w:tcPr>
            <w:tcW w:w="100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8"/>
              </w:rPr>
              <w:t>Non-controlling</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auto"/>
                <w:w w:val="96"/>
              </w:rPr>
              <w:t>Share-based</w:t>
            </w:r>
          </w:p>
        </w:tc>
        <w:tc>
          <w:tcPr>
            <w:tcW w:w="1020" w:type="dxa"/>
            <w:vAlign w:val="bottom"/>
            <w:vMerge w:val="continue"/>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color w:val="auto"/>
                <w:w w:val="95"/>
              </w:rPr>
              <w:t>comprehensive</w:t>
            </w:r>
          </w:p>
        </w:tc>
        <w:tc>
          <w:tcPr>
            <w:tcW w:w="10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20" w:type="dxa"/>
            <w:vAlign w:val="bottom"/>
          </w:tcPr>
          <w:p>
            <w:pPr>
              <w:jc w:val="right"/>
              <w:ind w:right="10"/>
              <w:spacing w:after="0"/>
              <w:rPr>
                <w:sz w:val="20"/>
                <w:szCs w:val="20"/>
                <w:color w:val="auto"/>
              </w:rPr>
            </w:pPr>
            <w:r>
              <w:rPr>
                <w:rFonts w:ascii="Arial" w:cs="Arial" w:eastAsia="Arial" w:hAnsi="Arial"/>
                <w:sz w:val="13"/>
                <w:szCs w:val="13"/>
                <w:color w:val="auto"/>
              </w:rPr>
              <w:t>Note</w:t>
            </w: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Share capital</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payment reserve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profits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loss</w:t>
            </w: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color w:val="auto"/>
              </w:rPr>
              <w:t>Total</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interests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(US$ millions)</w:t>
            </w:r>
          </w:p>
        </w:tc>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w w:val="96"/>
              </w:rPr>
              <w:t>(US$ millions)</w:t>
            </w:r>
          </w:p>
        </w:tc>
        <w:tc>
          <w:tcPr>
            <w:tcW w:w="1020" w:type="dxa"/>
            <w:vAlign w:val="bottom"/>
          </w:tcPr>
          <w:p>
            <w:pPr>
              <w:jc w:val="center"/>
              <w:spacing w:after="0" w:line="142" w:lineRule="exact"/>
              <w:rPr>
                <w:sz w:val="20"/>
                <w:szCs w:val="20"/>
                <w:color w:val="auto"/>
              </w:rPr>
            </w:pPr>
            <w:r>
              <w:rPr>
                <w:rFonts w:ascii="Arial" w:cs="Arial" w:eastAsia="Arial" w:hAnsi="Arial"/>
                <w:sz w:val="14"/>
                <w:szCs w:val="14"/>
                <w:color w:val="auto"/>
                <w:w w:val="96"/>
              </w:rPr>
              <w:t>(US$ millions)</w:t>
            </w:r>
          </w:p>
        </w:tc>
        <w:tc>
          <w:tcPr>
            <w:tcW w:w="1020" w:type="dxa"/>
            <w:vAlign w:val="bottom"/>
          </w:tcPr>
          <w:p>
            <w:pPr>
              <w:jc w:val="center"/>
              <w:spacing w:after="0" w:line="142" w:lineRule="exact"/>
              <w:rPr>
                <w:sz w:val="20"/>
                <w:szCs w:val="20"/>
                <w:color w:val="auto"/>
              </w:rPr>
            </w:pPr>
            <w:r>
              <w:rPr>
                <w:rFonts w:ascii="Arial" w:cs="Arial" w:eastAsia="Arial" w:hAnsi="Arial"/>
                <w:sz w:val="14"/>
                <w:szCs w:val="14"/>
                <w:color w:val="auto"/>
                <w:w w:val="96"/>
              </w:rPr>
              <w:t>(US$ millions)</w:t>
            </w:r>
          </w:p>
        </w:tc>
        <w:tc>
          <w:tcPr>
            <w:tcW w:w="1000" w:type="dxa"/>
            <w:vAlign w:val="bottom"/>
          </w:tcPr>
          <w:p>
            <w:pPr>
              <w:jc w:val="right"/>
              <w:ind w:right="29"/>
              <w:spacing w:after="0" w:line="142" w:lineRule="exact"/>
              <w:rPr>
                <w:sz w:val="20"/>
                <w:szCs w:val="20"/>
                <w:color w:val="auto"/>
              </w:rPr>
            </w:pPr>
            <w:r>
              <w:rPr>
                <w:rFonts w:ascii="Arial" w:cs="Arial" w:eastAsia="Arial" w:hAnsi="Arial"/>
                <w:sz w:val="14"/>
                <w:szCs w:val="14"/>
                <w:color w:val="auto"/>
              </w:rPr>
              <w:t>(US$ millions)</w:t>
            </w:r>
          </w:p>
        </w:tc>
        <w:tc>
          <w:tcPr>
            <w:tcW w:w="1020" w:type="dxa"/>
            <w:vAlign w:val="bottom"/>
          </w:tcPr>
          <w:p>
            <w:pPr>
              <w:jc w:val="center"/>
              <w:spacing w:after="0" w:line="142" w:lineRule="exact"/>
              <w:rPr>
                <w:sz w:val="20"/>
                <w:szCs w:val="20"/>
                <w:color w:val="auto"/>
              </w:rPr>
            </w:pPr>
            <w:r>
              <w:rPr>
                <w:rFonts w:ascii="Arial" w:cs="Arial" w:eastAsia="Arial" w:hAnsi="Arial"/>
                <w:sz w:val="14"/>
                <w:szCs w:val="14"/>
                <w:color w:val="auto"/>
                <w:w w:val="96"/>
              </w:rPr>
              <w:t>(US$ millions)</w:t>
            </w:r>
          </w:p>
        </w:tc>
        <w:tc>
          <w:tcPr>
            <w:tcW w:w="1020" w:type="dxa"/>
            <w:vAlign w:val="bottom"/>
          </w:tcPr>
          <w:p>
            <w:pPr>
              <w:jc w:val="center"/>
              <w:spacing w:after="0" w:line="142" w:lineRule="exact"/>
              <w:rPr>
                <w:sz w:val="20"/>
                <w:szCs w:val="20"/>
                <w:color w:val="auto"/>
              </w:rPr>
            </w:pPr>
            <w:r>
              <w:rPr>
                <w:rFonts w:ascii="Arial" w:cs="Arial" w:eastAsia="Arial" w:hAnsi="Arial"/>
                <w:sz w:val="14"/>
                <w:szCs w:val="14"/>
                <w:color w:val="auto"/>
                <w:w w:val="96"/>
              </w:rPr>
              <w:t>(US$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2017</w:t>
            </w: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b w:val="1"/>
                <w:bCs w:val="1"/>
                <w:color w:val="auto"/>
              </w:rPr>
              <w:t>Balance as of 31 October 2016</w:t>
            </w:r>
          </w:p>
        </w:tc>
        <w:tc>
          <w:tcPr>
            <w:tcW w:w="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18,462</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779</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(215)</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(149)</w:t>
            </w: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18,877</w:t>
            </w:r>
          </w:p>
        </w:tc>
        <w:tc>
          <w:tcPr>
            <w:tcW w:w="1020" w:type="dxa"/>
            <w:vAlign w:val="bottom"/>
          </w:tcPr>
          <w:p>
            <w:pPr>
              <w:jc w:val="right"/>
              <w:ind w:right="30"/>
              <w:spacing w:after="0"/>
              <w:rPr>
                <w:sz w:val="20"/>
                <w:szCs w:val="20"/>
                <w:color w:val="auto"/>
              </w:rPr>
            </w:pPr>
            <w:r>
              <w:rPr>
                <w:rFonts w:ascii="Arial" w:cs="Arial" w:eastAsia="Arial" w:hAnsi="Arial"/>
                <w:sz w:val="14"/>
                <w:szCs w:val="14"/>
                <w:b w:val="1"/>
                <w:bCs w:val="1"/>
                <w:color w:val="auto"/>
              </w:rPr>
              <w:t>2,984</w:t>
            </w:r>
          </w:p>
        </w:tc>
        <w:tc>
          <w:tcPr>
            <w:tcW w:w="1020" w:type="dxa"/>
            <w:vAlign w:val="bottom"/>
          </w:tcPr>
          <w:p>
            <w:pPr>
              <w:jc w:val="right"/>
              <w:ind w:right="50"/>
              <w:spacing w:after="0"/>
              <w:rPr>
                <w:sz w:val="20"/>
                <w:szCs w:val="20"/>
                <w:color w:val="auto"/>
              </w:rPr>
            </w:pPr>
            <w:r>
              <w:rPr>
                <w:rFonts w:ascii="Arial" w:cs="Arial" w:eastAsia="Arial" w:hAnsi="Arial"/>
                <w:sz w:val="14"/>
                <w:szCs w:val="14"/>
                <w:b w:val="1"/>
                <w:bCs w:val="1"/>
                <w:color w:val="auto"/>
              </w:rPr>
              <w:t>21,861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Profit for the year</w:t>
            </w: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1,690</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1,690</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92</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176"/>
        </w:trPr>
        <w:tc>
          <w:tcPr>
            <w:tcW w:w="3520" w:type="dxa"/>
            <w:vAlign w:val="bottom"/>
            <w:gridSpan w:val="2"/>
          </w:tcPr>
          <w:p>
            <w:pPr>
              <w:spacing w:after="0"/>
              <w:rPr>
                <w:sz w:val="20"/>
                <w:szCs w:val="20"/>
                <w:color w:val="auto"/>
              </w:rPr>
            </w:pPr>
            <w:r>
              <w:rPr>
                <w:rFonts w:ascii="Arial" w:cs="Arial" w:eastAsia="Arial" w:hAnsi="Arial"/>
                <w:sz w:val="14"/>
                <w:szCs w:val="14"/>
                <w:color w:val="auto"/>
              </w:rPr>
              <w:t>Other comprehensive income for the year</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43</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comprehensive income for the year</w:t>
            </w:r>
          </w:p>
        </w:tc>
        <w:tc>
          <w:tcPr>
            <w:tcW w:w="4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18,462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779</w:t>
            </w:r>
          </w:p>
        </w:tc>
        <w:tc>
          <w:tcPr>
            <w:tcW w:w="10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1,475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w:t>
            </w: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20,610</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3,076</w:t>
            </w: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23,686</w:t>
            </w:r>
          </w:p>
        </w:tc>
        <w:tc>
          <w:tcPr>
            <w:tcW w:w="0" w:type="dxa"/>
            <w:vAlign w:val="bottom"/>
          </w:tcPr>
          <w:p>
            <w:pPr>
              <w:spacing w:after="0"/>
              <w:rPr>
                <w:sz w:val="1"/>
                <w:szCs w:val="1"/>
                <w:color w:val="auto"/>
              </w:rPr>
            </w:pPr>
          </w:p>
        </w:tc>
      </w:tr>
      <w:tr>
        <w:trPr>
          <w:trHeight w:val="156"/>
        </w:trPr>
        <w:tc>
          <w:tcPr>
            <w:tcW w:w="3520" w:type="dxa"/>
            <w:vAlign w:val="bottom"/>
            <w:gridSpan w:val="2"/>
          </w:tcPr>
          <w:p>
            <w:pPr>
              <w:spacing w:after="0" w:line="155" w:lineRule="exact"/>
              <w:rPr>
                <w:sz w:val="20"/>
                <w:szCs w:val="20"/>
                <w:color w:val="auto"/>
              </w:rPr>
            </w:pPr>
            <w:r>
              <w:rPr>
                <w:rFonts w:ascii="Arial" w:cs="Arial" w:eastAsia="Arial" w:hAnsi="Arial"/>
                <w:sz w:val="14"/>
                <w:szCs w:val="14"/>
                <w:color w:val="auto"/>
              </w:rPr>
              <w:t>Share-based compensation</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32</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921</w:t>
            </w:r>
          </w:p>
        </w:tc>
        <w:tc>
          <w:tcPr>
            <w:tcW w:w="1020" w:type="dxa"/>
            <w:vAlign w:val="bottom"/>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line="155" w:lineRule="exact"/>
              <w:rPr>
                <w:sz w:val="20"/>
                <w:szCs w:val="20"/>
                <w:color w:val="auto"/>
              </w:rPr>
            </w:pPr>
            <w:r>
              <w:rPr>
                <w:rFonts w:ascii="Arial" w:cs="Arial" w:eastAsia="Arial" w:hAnsi="Arial"/>
                <w:sz w:val="14"/>
                <w:szCs w:val="14"/>
                <w:color w:val="auto"/>
              </w:rPr>
              <w:t>921</w:t>
            </w:r>
          </w:p>
        </w:tc>
        <w:tc>
          <w:tcPr>
            <w:tcW w:w="1020" w:type="dxa"/>
            <w:vAlign w:val="bottom"/>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line="155" w:lineRule="exact"/>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Issuance of ordinary shares in connection with equity</w:t>
            </w: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incentive plans</w:t>
            </w:r>
          </w:p>
        </w:tc>
        <w:tc>
          <w:tcPr>
            <w:tcW w:w="4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w:t>
            </w:r>
          </w:p>
        </w:tc>
        <w:tc>
          <w:tcPr>
            <w:tcW w:w="9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257</w:t>
            </w: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line="157" w:lineRule="exact"/>
              <w:rPr>
                <w:sz w:val="20"/>
                <w:szCs w:val="20"/>
                <w:color w:val="auto"/>
              </w:rPr>
            </w:pPr>
            <w:r>
              <w:rPr>
                <w:rFonts w:ascii="Arial" w:cs="Arial" w:eastAsia="Arial" w:hAnsi="Arial"/>
                <w:sz w:val="14"/>
                <w:szCs w:val="14"/>
                <w:color w:val="auto"/>
              </w:rPr>
              <w:t>257</w:t>
            </w:r>
          </w:p>
        </w:tc>
        <w:tc>
          <w:tcPr>
            <w:tcW w:w="102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67"/>
        </w:trPr>
        <w:tc>
          <w:tcPr>
            <w:tcW w:w="3520" w:type="dxa"/>
            <w:vAlign w:val="bottom"/>
            <w:gridSpan w:val="2"/>
          </w:tcPr>
          <w:p>
            <w:pPr>
              <w:spacing w:after="0"/>
              <w:rPr>
                <w:sz w:val="20"/>
                <w:szCs w:val="20"/>
                <w:color w:val="auto"/>
              </w:rPr>
            </w:pPr>
            <w:r>
              <w:rPr>
                <w:rFonts w:ascii="Arial" w:cs="Arial" w:eastAsia="Arial" w:hAnsi="Arial"/>
                <w:sz w:val="14"/>
                <w:szCs w:val="14"/>
                <w:color w:val="auto"/>
              </w:rPr>
              <w:t>Exchange of restricted exchangeable partnership units</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00" w:type="dxa"/>
            <w:vAlign w:val="bottom"/>
          </w:tcPr>
          <w:p>
            <w:pPr>
              <w:ind w:left="120"/>
              <w:spacing w:after="0" w:line="157" w:lineRule="exact"/>
              <w:rPr>
                <w:sz w:val="20"/>
                <w:szCs w:val="20"/>
                <w:color w:val="auto"/>
              </w:rPr>
            </w:pPr>
            <w:r>
              <w:rPr>
                <w:rFonts w:ascii="Arial" w:cs="Arial" w:eastAsia="Arial" w:hAnsi="Arial"/>
                <w:sz w:val="14"/>
                <w:szCs w:val="14"/>
                <w:color w:val="auto"/>
              </w:rPr>
              <w:t>for ordinary shares</w:t>
            </w:r>
          </w:p>
        </w:tc>
        <w:tc>
          <w:tcPr>
            <w:tcW w:w="420" w:type="dxa"/>
            <w:vAlign w:val="bottom"/>
          </w:tcPr>
          <w:p>
            <w:pPr>
              <w:jc w:val="right"/>
              <w:spacing w:after="0" w:line="157" w:lineRule="exact"/>
              <w:rPr>
                <w:sz w:val="20"/>
                <w:szCs w:val="20"/>
                <w:color w:val="auto"/>
              </w:rPr>
            </w:pPr>
            <w:r>
              <w:rPr>
                <w:rFonts w:ascii="Arial" w:cs="Arial" w:eastAsia="Arial" w:hAnsi="Arial"/>
                <w:sz w:val="14"/>
                <w:szCs w:val="14"/>
                <w:color w:val="auto"/>
              </w:rPr>
              <w:t>23</w:t>
            </w: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86</w:t>
            </w: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line="157" w:lineRule="exact"/>
              <w:rPr>
                <w:sz w:val="20"/>
                <w:szCs w:val="20"/>
                <w:color w:val="auto"/>
              </w:rPr>
            </w:pPr>
            <w:r>
              <w:rPr>
                <w:rFonts w:ascii="Arial" w:cs="Arial" w:eastAsia="Arial" w:hAnsi="Arial"/>
                <w:sz w:val="14"/>
                <w:szCs w:val="14"/>
                <w:color w:val="auto"/>
              </w:rPr>
              <w:t>86</w:t>
            </w: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(86)</w:t>
            </w:r>
          </w:p>
        </w:tc>
        <w:tc>
          <w:tcPr>
            <w:tcW w:w="10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Dividend paid</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0" w:type="dxa"/>
            <w:vAlign w:val="bottom"/>
          </w:tcPr>
          <w:p>
            <w:pPr>
              <w:spacing w:after="0"/>
              <w:rPr>
                <w:sz w:val="1"/>
                <w:szCs w:val="1"/>
                <w:color w:val="auto"/>
              </w:rPr>
            </w:pPr>
          </w:p>
        </w:tc>
      </w:tr>
      <w:tr>
        <w:trPr>
          <w:trHeight w:val="167"/>
        </w:trPr>
        <w:tc>
          <w:tcPr>
            <w:tcW w:w="3520" w:type="dxa"/>
            <w:vAlign w:val="bottom"/>
            <w:gridSpan w:val="2"/>
          </w:tcPr>
          <w:p>
            <w:pPr>
              <w:spacing w:after="0"/>
              <w:rPr>
                <w:sz w:val="20"/>
                <w:szCs w:val="20"/>
                <w:color w:val="auto"/>
              </w:rPr>
            </w:pPr>
            <w:r>
              <w:rPr>
                <w:rFonts w:ascii="Arial" w:cs="Arial" w:eastAsia="Arial" w:hAnsi="Arial"/>
                <w:sz w:val="14"/>
                <w:szCs w:val="14"/>
                <w:color w:val="auto"/>
              </w:rPr>
              <w:t>Cash distribution paid by the Partnership on restricted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00" w:type="dxa"/>
            <w:vAlign w:val="bottom"/>
          </w:tcPr>
          <w:p>
            <w:pPr>
              <w:ind w:left="120"/>
              <w:spacing w:after="0" w:line="157" w:lineRule="exact"/>
              <w:rPr>
                <w:sz w:val="20"/>
                <w:szCs w:val="20"/>
                <w:color w:val="auto"/>
              </w:rPr>
            </w:pPr>
            <w:r>
              <w:rPr>
                <w:rFonts w:ascii="Arial" w:cs="Arial" w:eastAsia="Arial" w:hAnsi="Arial"/>
                <w:sz w:val="14"/>
                <w:szCs w:val="14"/>
                <w:color w:val="auto"/>
              </w:rPr>
              <w:t>exchangeable partnership units</w:t>
            </w:r>
          </w:p>
        </w:tc>
        <w:tc>
          <w:tcPr>
            <w:tcW w:w="42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(92)</w:t>
            </w: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Cumulative impact of accounting change</w:t>
            </w:r>
          </w:p>
        </w:tc>
        <w:tc>
          <w:tcPr>
            <w:tcW w:w="42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47</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Pr>
          <w:p>
            <w:pPr>
              <w:spacing w:after="0" w:line="129" w:lineRule="exact"/>
              <w:rPr>
                <w:sz w:val="20"/>
                <w:szCs w:val="20"/>
                <w:color w:val="auto"/>
              </w:rPr>
            </w:pPr>
            <w:r>
              <w:rPr>
                <w:rFonts w:ascii="Arial" w:cs="Arial" w:eastAsia="Arial" w:hAnsi="Arial"/>
                <w:sz w:val="14"/>
                <w:szCs w:val="14"/>
                <w:b w:val="1"/>
                <w:bCs w:val="1"/>
                <w:color w:val="auto"/>
              </w:rPr>
              <w:t>Total transactions with owners, recognised directly</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120"/>
              <w:spacing w:after="0"/>
              <w:rPr>
                <w:sz w:val="20"/>
                <w:szCs w:val="20"/>
                <w:color w:val="auto"/>
              </w:rPr>
            </w:pPr>
            <w:r>
              <w:rPr>
                <w:rFonts w:ascii="Arial" w:cs="Arial" w:eastAsia="Arial" w:hAnsi="Arial"/>
                <w:sz w:val="14"/>
                <w:szCs w:val="14"/>
                <w:b w:val="1"/>
                <w:bCs w:val="1"/>
                <w:color w:val="auto"/>
              </w:rPr>
              <w:t>in equity</w:t>
            </w:r>
          </w:p>
        </w:tc>
        <w:tc>
          <w:tcPr>
            <w:tcW w:w="4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(1,606)</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(517)</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29 October 2017</w:t>
            </w: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18,805</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1,700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20,268</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2,901</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23,169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accompanying notes form an integral part of these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80" w:type="dxa"/>
            <w:vAlign w:val="bottom"/>
            <w:gridSpan w:val="4"/>
          </w:tcPr>
          <w:p>
            <w:pPr>
              <w:jc w:val="right"/>
              <w:ind w:right="890"/>
              <w:spacing w:after="0"/>
              <w:rPr>
                <w:sz w:val="20"/>
                <w:szCs w:val="20"/>
                <w:color w:val="auto"/>
              </w:rPr>
            </w:pPr>
            <w:r>
              <w:rPr>
                <w:rFonts w:ascii="Arial" w:cs="Arial" w:eastAsia="Arial" w:hAnsi="Arial"/>
                <w:sz w:val="13"/>
                <w:szCs w:val="13"/>
                <w:color w:val="auto"/>
              </w:rPr>
              <w:t>Attributable to equity holders of the Company</w:t>
            </w: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w w:val="95"/>
              </w:rPr>
              <w:t>Accumulated</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9"/>
              </w:rPr>
              <w:t>Share-based</w:t>
            </w:r>
          </w:p>
        </w:tc>
        <w:tc>
          <w:tcPr>
            <w:tcW w:w="1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6"/>
              </w:rPr>
              <w:t>Retained</w:t>
            </w: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w w:val="94"/>
              </w:rPr>
              <w:t>other</w:t>
            </w:r>
          </w:p>
        </w:tc>
        <w:tc>
          <w:tcPr>
            <w:tcW w:w="104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8"/>
              </w:rPr>
              <w:t>Non-controlling</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3"/>
                <w:szCs w:val="13"/>
                <w:color w:val="auto"/>
              </w:rPr>
              <w:t>payment</w:t>
            </w:r>
          </w:p>
        </w:tc>
        <w:tc>
          <w:tcPr>
            <w:tcW w:w="1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3"/>
                <w:szCs w:val="13"/>
                <w:color w:val="auto"/>
                <w:w w:val="97"/>
              </w:rPr>
              <w:t>comprehensive</w:t>
            </w:r>
          </w:p>
        </w:tc>
        <w:tc>
          <w:tcPr>
            <w:tcW w:w="10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00" w:type="dxa"/>
            <w:vAlign w:val="bottom"/>
          </w:tcPr>
          <w:p>
            <w:pPr>
              <w:jc w:val="center"/>
              <w:ind w:left="49"/>
              <w:spacing w:after="0"/>
              <w:rPr>
                <w:sz w:val="20"/>
                <w:szCs w:val="20"/>
                <w:color w:val="auto"/>
              </w:rPr>
            </w:pPr>
            <w:r>
              <w:rPr>
                <w:rFonts w:ascii="Arial" w:cs="Arial" w:eastAsia="Arial" w:hAnsi="Arial"/>
                <w:sz w:val="13"/>
                <w:szCs w:val="13"/>
                <w:color w:val="auto"/>
                <w:w w:val="94"/>
              </w:rPr>
              <w:t>Note</w:t>
            </w: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Share capital</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reserve</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Capital reserve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profits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loss</w:t>
            </w:r>
          </w:p>
        </w:tc>
        <w:tc>
          <w:tcPr>
            <w:tcW w:w="104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Total</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interests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jc w:val="right"/>
              <w:ind w:right="49"/>
              <w:spacing w:after="0" w:line="129" w:lineRule="exact"/>
              <w:rPr>
                <w:sz w:val="20"/>
                <w:szCs w:val="20"/>
                <w:color w:val="auto"/>
              </w:rPr>
            </w:pPr>
            <w:r>
              <w:rPr>
                <w:rFonts w:ascii="Arial" w:cs="Arial" w:eastAsia="Arial" w:hAnsi="Arial"/>
                <w:sz w:val="13"/>
                <w:szCs w:val="13"/>
                <w:color w:val="auto"/>
              </w:rPr>
              <w:t>(US$ millions)</w:t>
            </w:r>
          </w:p>
        </w:tc>
        <w:tc>
          <w:tcPr>
            <w:tcW w:w="980" w:type="dxa"/>
            <w:vAlign w:val="bottom"/>
          </w:tcPr>
          <w:p>
            <w:pPr>
              <w:jc w:val="center"/>
              <w:spacing w:after="0" w:line="129" w:lineRule="exact"/>
              <w:rPr>
                <w:sz w:val="20"/>
                <w:szCs w:val="20"/>
                <w:color w:val="auto"/>
              </w:rPr>
            </w:pPr>
            <w:r>
              <w:rPr>
                <w:rFonts w:ascii="Arial" w:cs="Arial" w:eastAsia="Arial" w:hAnsi="Arial"/>
                <w:sz w:val="13"/>
                <w:szCs w:val="13"/>
                <w:color w:val="auto"/>
                <w:w w:val="96"/>
              </w:rPr>
              <w:t>(US$ millions)</w:t>
            </w:r>
          </w:p>
        </w:tc>
        <w:tc>
          <w:tcPr>
            <w:tcW w:w="1120" w:type="dxa"/>
            <w:vAlign w:val="bottom"/>
          </w:tcPr>
          <w:p>
            <w:pPr>
              <w:jc w:val="right"/>
              <w:ind w:right="129"/>
              <w:spacing w:after="0" w:line="129" w:lineRule="exact"/>
              <w:rPr>
                <w:sz w:val="20"/>
                <w:szCs w:val="20"/>
                <w:color w:val="auto"/>
              </w:rPr>
            </w:pPr>
            <w:r>
              <w:rPr>
                <w:rFonts w:ascii="Arial" w:cs="Arial" w:eastAsia="Arial" w:hAnsi="Arial"/>
                <w:sz w:val="13"/>
                <w:szCs w:val="13"/>
                <w:color w:val="auto"/>
              </w:rPr>
              <w:t>(US$ millions)</w:t>
            </w:r>
          </w:p>
        </w:tc>
        <w:tc>
          <w:tcPr>
            <w:tcW w:w="1040" w:type="dxa"/>
            <w:vAlign w:val="bottom"/>
          </w:tcPr>
          <w:p>
            <w:pPr>
              <w:jc w:val="center"/>
              <w:spacing w:after="0" w:line="129" w:lineRule="exact"/>
              <w:rPr>
                <w:sz w:val="20"/>
                <w:szCs w:val="20"/>
                <w:color w:val="auto"/>
              </w:rPr>
            </w:pPr>
            <w:r>
              <w:rPr>
                <w:rFonts w:ascii="Arial" w:cs="Arial" w:eastAsia="Arial" w:hAnsi="Arial"/>
                <w:sz w:val="13"/>
                <w:szCs w:val="13"/>
                <w:color w:val="auto"/>
                <w:w w:val="96"/>
              </w:rPr>
              <w:t>(US$ millions)</w:t>
            </w:r>
          </w:p>
        </w:tc>
        <w:tc>
          <w:tcPr>
            <w:tcW w:w="1140" w:type="dxa"/>
            <w:vAlign w:val="bottom"/>
          </w:tcPr>
          <w:p>
            <w:pPr>
              <w:jc w:val="center"/>
              <w:spacing w:after="0" w:line="129" w:lineRule="exact"/>
              <w:rPr>
                <w:sz w:val="20"/>
                <w:szCs w:val="20"/>
                <w:color w:val="auto"/>
              </w:rPr>
            </w:pPr>
            <w:r>
              <w:rPr>
                <w:rFonts w:ascii="Arial" w:cs="Arial" w:eastAsia="Arial" w:hAnsi="Arial"/>
                <w:sz w:val="13"/>
                <w:szCs w:val="13"/>
                <w:color w:val="auto"/>
                <w:w w:val="96"/>
              </w:rPr>
              <w:t>(US$ millions)</w:t>
            </w:r>
          </w:p>
        </w:tc>
        <w:tc>
          <w:tcPr>
            <w:tcW w:w="1040" w:type="dxa"/>
            <w:vAlign w:val="bottom"/>
          </w:tcPr>
          <w:p>
            <w:pPr>
              <w:jc w:val="right"/>
              <w:ind w:right="89"/>
              <w:spacing w:after="0" w:line="129" w:lineRule="exact"/>
              <w:rPr>
                <w:sz w:val="20"/>
                <w:szCs w:val="20"/>
                <w:color w:val="auto"/>
              </w:rPr>
            </w:pPr>
            <w:r>
              <w:rPr>
                <w:rFonts w:ascii="Arial" w:cs="Arial" w:eastAsia="Arial" w:hAnsi="Arial"/>
                <w:sz w:val="13"/>
                <w:szCs w:val="13"/>
                <w:color w:val="auto"/>
              </w:rPr>
              <w:t>(US$ millions)</w:t>
            </w:r>
          </w:p>
        </w:tc>
        <w:tc>
          <w:tcPr>
            <w:tcW w:w="1120" w:type="dxa"/>
            <w:vAlign w:val="bottom"/>
          </w:tcPr>
          <w:p>
            <w:pPr>
              <w:jc w:val="center"/>
              <w:spacing w:after="0" w:line="129" w:lineRule="exact"/>
              <w:rPr>
                <w:sz w:val="20"/>
                <w:szCs w:val="20"/>
                <w:color w:val="auto"/>
              </w:rPr>
            </w:pPr>
            <w:r>
              <w:rPr>
                <w:rFonts w:ascii="Arial" w:cs="Arial" w:eastAsia="Arial" w:hAnsi="Arial"/>
                <w:sz w:val="13"/>
                <w:szCs w:val="13"/>
                <w:color w:val="auto"/>
                <w:w w:val="96"/>
              </w:rPr>
              <w:t>(US$ millions)</w:t>
            </w:r>
          </w:p>
        </w:tc>
        <w:tc>
          <w:tcPr>
            <w:tcW w:w="1000" w:type="dxa"/>
            <w:vAlign w:val="bottom"/>
          </w:tcPr>
          <w:p>
            <w:pPr>
              <w:jc w:val="center"/>
              <w:spacing w:after="0" w:line="129" w:lineRule="exact"/>
              <w:rPr>
                <w:sz w:val="20"/>
                <w:szCs w:val="20"/>
                <w:color w:val="auto"/>
              </w:rPr>
            </w:pPr>
            <w:r>
              <w:rPr>
                <w:rFonts w:ascii="Arial" w:cs="Arial" w:eastAsia="Arial" w:hAnsi="Arial"/>
                <w:sz w:val="13"/>
                <w:szCs w:val="13"/>
                <w:color w:val="auto"/>
                <w:w w:val="96"/>
              </w:rPr>
              <w:t>(US$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2016</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as of 2 November</w:t>
            </w: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4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5"/>
                <w:szCs w:val="15"/>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2,547</w:t>
            </w:r>
          </w:p>
        </w:tc>
        <w:tc>
          <w:tcPr>
            <w:tcW w:w="1040" w:type="dxa"/>
            <w:vAlign w:val="bottom"/>
          </w:tcPr>
          <w:p>
            <w:pPr>
              <w:jc w:val="right"/>
              <w:ind w:right="70"/>
              <w:spacing w:after="0"/>
              <w:rPr>
                <w:sz w:val="20"/>
                <w:szCs w:val="20"/>
                <w:color w:val="auto"/>
              </w:rPr>
            </w:pPr>
            <w:r>
              <w:rPr>
                <w:rFonts w:ascii="Arial" w:cs="Arial" w:eastAsia="Arial" w:hAnsi="Arial"/>
                <w:sz w:val="14"/>
                <w:szCs w:val="14"/>
                <w:b w:val="1"/>
                <w:bCs w:val="1"/>
                <w:color w:val="auto"/>
              </w:rPr>
              <w:t>2,240</w:t>
            </w:r>
          </w:p>
        </w:tc>
        <w:tc>
          <w:tcPr>
            <w:tcW w:w="1140" w:type="dxa"/>
            <w:vAlign w:val="bottom"/>
          </w:tcPr>
          <w:p>
            <w:pPr>
              <w:jc w:val="right"/>
              <w:ind w:right="50"/>
              <w:spacing w:after="0"/>
              <w:rPr>
                <w:sz w:val="20"/>
                <w:szCs w:val="20"/>
                <w:color w:val="auto"/>
              </w:rPr>
            </w:pPr>
            <w:r>
              <w:rPr>
                <w:rFonts w:ascii="Arial" w:cs="Arial" w:eastAsia="Arial" w:hAnsi="Arial"/>
                <w:sz w:val="14"/>
                <w:szCs w:val="14"/>
                <w:b w:val="1"/>
                <w:bCs w:val="1"/>
                <w:color w:val="auto"/>
              </w:rPr>
              <w:t>(73)</w:t>
            </w:r>
          </w:p>
        </w:tc>
        <w:tc>
          <w:tcPr>
            <w:tcW w:w="1040" w:type="dxa"/>
            <w:vAlign w:val="bottom"/>
          </w:tcPr>
          <w:p>
            <w:pPr>
              <w:jc w:val="right"/>
              <w:ind w:right="89"/>
              <w:spacing w:after="0"/>
              <w:rPr>
                <w:sz w:val="20"/>
                <w:szCs w:val="20"/>
                <w:color w:val="auto"/>
              </w:rPr>
            </w:pPr>
            <w:r>
              <w:rPr>
                <w:rFonts w:ascii="Arial" w:cs="Arial" w:eastAsia="Arial" w:hAnsi="Arial"/>
                <w:sz w:val="14"/>
                <w:szCs w:val="14"/>
                <w:b w:val="1"/>
                <w:bCs w:val="1"/>
                <w:color w:val="auto"/>
              </w:rPr>
              <w:t>4,714</w:t>
            </w:r>
          </w:p>
        </w:tc>
        <w:tc>
          <w:tcPr>
            <w:tcW w:w="1120" w:type="dxa"/>
            <w:vAlign w:val="bottom"/>
          </w:tcPr>
          <w:p>
            <w:pPr>
              <w:jc w:val="right"/>
              <w:ind w:right="9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b w:val="1"/>
                <w:bCs w:val="1"/>
                <w:color w:val="auto"/>
              </w:rPr>
              <w:t>4,714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Loss for the year</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(1,739)</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(1,739)</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(122)</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167"/>
        </w:trPr>
        <w:tc>
          <w:tcPr>
            <w:tcW w:w="2040" w:type="dxa"/>
            <w:vAlign w:val="bottom"/>
            <w:gridSpan w:val="2"/>
          </w:tcPr>
          <w:p>
            <w:pPr>
              <w:spacing w:after="0"/>
              <w:rPr>
                <w:sz w:val="20"/>
                <w:szCs w:val="20"/>
                <w:color w:val="auto"/>
              </w:rPr>
            </w:pPr>
            <w:r>
              <w:rPr>
                <w:rFonts w:ascii="Arial" w:cs="Arial" w:eastAsia="Arial" w:hAnsi="Arial"/>
                <w:sz w:val="14"/>
                <w:szCs w:val="14"/>
                <w:color w:val="auto"/>
              </w:rPr>
              <w:t>Other comprehensive income</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 the year</w:t>
            </w:r>
          </w:p>
        </w:tc>
        <w:tc>
          <w:tcPr>
            <w:tcW w:w="5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(76)</w:t>
            </w: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(76)</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comprehensive income</w:t>
            </w:r>
          </w:p>
        </w:tc>
        <w:tc>
          <w:tcPr>
            <w:tcW w:w="5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for the year</w:t>
            </w:r>
          </w:p>
        </w:tc>
        <w:tc>
          <w:tcPr>
            <w:tcW w:w="5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2,547</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501</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(149)</w:t>
            </w: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2,899</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(122)</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2,777</w:t>
            </w:r>
          </w:p>
        </w:tc>
        <w:tc>
          <w:tcPr>
            <w:tcW w:w="0" w:type="dxa"/>
            <w:vAlign w:val="bottom"/>
          </w:tcPr>
          <w:p>
            <w:pPr>
              <w:spacing w:after="0"/>
              <w:rPr>
                <w:sz w:val="1"/>
                <w:szCs w:val="1"/>
                <w:color w:val="auto"/>
              </w:rPr>
            </w:pPr>
          </w:p>
        </w:tc>
      </w:tr>
      <w:tr>
        <w:trPr>
          <w:trHeight w:val="257"/>
        </w:trPr>
        <w:tc>
          <w:tcPr>
            <w:tcW w:w="2040" w:type="dxa"/>
            <w:vAlign w:val="bottom"/>
            <w:gridSpan w:val="2"/>
          </w:tcPr>
          <w:p>
            <w:pPr>
              <w:spacing w:after="0"/>
              <w:rPr>
                <w:sz w:val="20"/>
                <w:szCs w:val="20"/>
                <w:color w:val="auto"/>
              </w:rPr>
            </w:pPr>
            <w:r>
              <w:rPr>
                <w:rFonts w:ascii="Arial" w:cs="Arial" w:eastAsia="Arial" w:hAnsi="Arial"/>
                <w:sz w:val="14"/>
                <w:szCs w:val="14"/>
                <w:color w:val="auto"/>
              </w:rPr>
              <w:t>Share-based compensation</w:t>
            </w:r>
          </w:p>
        </w:tc>
        <w:tc>
          <w:tcPr>
            <w:tcW w:w="500" w:type="dxa"/>
            <w:vAlign w:val="bottom"/>
          </w:tcPr>
          <w:p>
            <w:pPr>
              <w:jc w:val="center"/>
              <w:ind w:left="69"/>
              <w:spacing w:after="0"/>
              <w:rPr>
                <w:sz w:val="20"/>
                <w:szCs w:val="20"/>
                <w:color w:val="auto"/>
              </w:rPr>
            </w:pPr>
            <w:r>
              <w:rPr>
                <w:rFonts w:ascii="Arial" w:cs="Arial" w:eastAsia="Arial" w:hAnsi="Arial"/>
                <w:sz w:val="14"/>
                <w:szCs w:val="14"/>
                <w:color w:val="auto"/>
              </w:rPr>
              <w:t>32</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690</w:t>
            </w:r>
          </w:p>
        </w:tc>
        <w:tc>
          <w:tcPr>
            <w:tcW w:w="11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690</w:t>
            </w:r>
          </w:p>
        </w:tc>
        <w:tc>
          <w:tcPr>
            <w:tcW w:w="11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Excess tax benefits from share-</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2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based compensation</w:t>
            </w:r>
          </w:p>
        </w:tc>
        <w:tc>
          <w:tcPr>
            <w:tcW w:w="500" w:type="dxa"/>
            <w:vAlign w:val="bottom"/>
            <w:shd w:val="clear" w:color="auto" w:fill="CCEEFF"/>
          </w:tcPr>
          <w:p>
            <w:pPr>
              <w:jc w:val="center"/>
              <w:ind w:left="69"/>
              <w:spacing w:after="0" w:line="157" w:lineRule="exact"/>
              <w:rPr>
                <w:sz w:val="20"/>
                <w:szCs w:val="20"/>
                <w:color w:val="auto"/>
              </w:rPr>
            </w:pPr>
            <w:r>
              <w:rPr>
                <w:rFonts w:ascii="Arial" w:cs="Arial" w:eastAsia="Arial" w:hAnsi="Arial"/>
                <w:sz w:val="14"/>
                <w:szCs w:val="14"/>
                <w:color w:val="auto"/>
              </w:rPr>
              <w:t>32</w:t>
            </w:r>
          </w:p>
        </w:tc>
        <w:tc>
          <w:tcPr>
            <w:tcW w:w="10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89</w:t>
            </w:r>
          </w:p>
        </w:tc>
        <w:tc>
          <w:tcPr>
            <w:tcW w:w="1120" w:type="dxa"/>
            <w:vAlign w:val="bottom"/>
            <w:shd w:val="clear" w:color="auto" w:fill="CCEEFF"/>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9"/>
              <w:spacing w:after="0" w:line="157" w:lineRule="exact"/>
              <w:rPr>
                <w:sz w:val="20"/>
                <w:szCs w:val="20"/>
                <w:color w:val="auto"/>
              </w:rPr>
            </w:pPr>
            <w:r>
              <w:rPr>
                <w:rFonts w:ascii="Arial" w:cs="Arial" w:eastAsia="Arial" w:hAnsi="Arial"/>
                <w:sz w:val="14"/>
                <w:szCs w:val="14"/>
                <w:color w:val="auto"/>
              </w:rPr>
              <w:t>89</w:t>
            </w:r>
          </w:p>
        </w:tc>
        <w:tc>
          <w:tcPr>
            <w:tcW w:w="112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67"/>
        </w:trPr>
        <w:tc>
          <w:tcPr>
            <w:tcW w:w="2040" w:type="dxa"/>
            <w:vAlign w:val="bottom"/>
            <w:gridSpan w:val="2"/>
          </w:tcPr>
          <w:p>
            <w:pPr>
              <w:spacing w:after="0"/>
              <w:rPr>
                <w:sz w:val="20"/>
                <w:szCs w:val="20"/>
                <w:color w:val="auto"/>
              </w:rPr>
            </w:pPr>
            <w:r>
              <w:rPr>
                <w:rFonts w:ascii="Arial" w:cs="Arial" w:eastAsia="Arial" w:hAnsi="Arial"/>
                <w:sz w:val="14"/>
                <w:szCs w:val="14"/>
                <w:color w:val="auto"/>
              </w:rPr>
              <w:t>Issuance of ordinary shares in</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ind w:left="120"/>
              <w:spacing w:after="0"/>
              <w:rPr>
                <w:sz w:val="20"/>
                <w:szCs w:val="20"/>
                <w:color w:val="auto"/>
              </w:rPr>
            </w:pPr>
            <w:r>
              <w:rPr>
                <w:rFonts w:ascii="Arial" w:cs="Arial" w:eastAsia="Arial" w:hAnsi="Arial"/>
                <w:sz w:val="14"/>
                <w:szCs w:val="14"/>
                <w:color w:val="auto"/>
              </w:rPr>
              <w:t>connection with equity</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20" w:type="dxa"/>
            <w:vAlign w:val="bottom"/>
          </w:tcPr>
          <w:p>
            <w:pPr>
              <w:ind w:left="120"/>
              <w:spacing w:after="0" w:line="157" w:lineRule="exact"/>
              <w:rPr>
                <w:sz w:val="20"/>
                <w:szCs w:val="20"/>
                <w:color w:val="auto"/>
              </w:rPr>
            </w:pPr>
            <w:r>
              <w:rPr>
                <w:rFonts w:ascii="Arial" w:cs="Arial" w:eastAsia="Arial" w:hAnsi="Arial"/>
                <w:sz w:val="14"/>
                <w:szCs w:val="14"/>
                <w:color w:val="auto"/>
              </w:rPr>
              <w:t>incentive plans</w:t>
            </w:r>
          </w:p>
        </w:tc>
        <w:tc>
          <w:tcPr>
            <w:tcW w:w="500" w:type="dxa"/>
            <w:vAlign w:val="bottom"/>
          </w:tcPr>
          <w:p>
            <w:pPr>
              <w:jc w:val="center"/>
              <w:ind w:left="69"/>
              <w:spacing w:after="0" w:line="157" w:lineRule="exact"/>
              <w:rPr>
                <w:sz w:val="20"/>
                <w:szCs w:val="20"/>
                <w:color w:val="auto"/>
              </w:rPr>
            </w:pPr>
            <w:r>
              <w:rPr>
                <w:rFonts w:ascii="Arial" w:cs="Arial" w:eastAsia="Arial" w:hAnsi="Arial"/>
                <w:sz w:val="14"/>
                <w:szCs w:val="14"/>
                <w:color w:val="auto"/>
              </w:rPr>
              <w:t>23</w:t>
            </w:r>
          </w:p>
        </w:tc>
        <w:tc>
          <w:tcPr>
            <w:tcW w:w="1060" w:type="dxa"/>
            <w:vAlign w:val="bottom"/>
          </w:tcPr>
          <w:p>
            <w:pPr>
              <w:jc w:val="right"/>
              <w:ind w:right="49"/>
              <w:spacing w:after="0" w:line="157" w:lineRule="exact"/>
              <w:rPr>
                <w:sz w:val="20"/>
                <w:szCs w:val="20"/>
                <w:color w:val="auto"/>
              </w:rPr>
            </w:pPr>
            <w:r>
              <w:rPr>
                <w:rFonts w:ascii="Arial" w:cs="Arial" w:eastAsia="Arial" w:hAnsi="Arial"/>
                <w:sz w:val="14"/>
                <w:szCs w:val="14"/>
                <w:color w:val="auto"/>
              </w:rPr>
              <w:t>295</w:t>
            </w:r>
          </w:p>
        </w:tc>
        <w:tc>
          <w:tcPr>
            <w:tcW w:w="980" w:type="dxa"/>
            <w:vAlign w:val="bottom"/>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89"/>
              <w:spacing w:after="0" w:line="157" w:lineRule="exact"/>
              <w:rPr>
                <w:sz w:val="20"/>
                <w:szCs w:val="20"/>
                <w:color w:val="auto"/>
              </w:rPr>
            </w:pPr>
            <w:r>
              <w:rPr>
                <w:rFonts w:ascii="Arial" w:cs="Arial" w:eastAsia="Arial" w:hAnsi="Arial"/>
                <w:sz w:val="14"/>
                <w:szCs w:val="14"/>
                <w:color w:val="auto"/>
              </w:rPr>
              <w:t>295</w:t>
            </w:r>
          </w:p>
        </w:tc>
        <w:tc>
          <w:tcPr>
            <w:tcW w:w="1120" w:type="dxa"/>
            <w:vAlign w:val="bottom"/>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line="157"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Fair value of partially vested</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awards assumed in</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connection with the</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Broadcom</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2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Corporation</w:t>
            </w:r>
          </w:p>
        </w:tc>
        <w:tc>
          <w:tcPr>
            <w:tcW w:w="500" w:type="dxa"/>
            <w:vAlign w:val="bottom"/>
            <w:shd w:val="clear" w:color="auto" w:fill="CCEEFF"/>
          </w:tcPr>
          <w:p>
            <w:pPr>
              <w:jc w:val="center"/>
              <w:ind w:left="69"/>
              <w:spacing w:after="0" w:line="157" w:lineRule="exact"/>
              <w:rPr>
                <w:sz w:val="20"/>
                <w:szCs w:val="20"/>
                <w:color w:val="auto"/>
              </w:rPr>
            </w:pPr>
            <w:r>
              <w:rPr>
                <w:rFonts w:ascii="Arial" w:cs="Arial" w:eastAsia="Arial" w:hAnsi="Arial"/>
                <w:sz w:val="14"/>
                <w:szCs w:val="14"/>
                <w:color w:val="auto"/>
              </w:rPr>
              <w:t>23</w:t>
            </w:r>
          </w:p>
        </w:tc>
        <w:tc>
          <w:tcPr>
            <w:tcW w:w="10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182</w:t>
            </w:r>
          </w:p>
        </w:tc>
        <w:tc>
          <w:tcPr>
            <w:tcW w:w="98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9"/>
              <w:spacing w:after="0" w:line="157" w:lineRule="exact"/>
              <w:rPr>
                <w:sz w:val="20"/>
                <w:szCs w:val="20"/>
                <w:color w:val="auto"/>
              </w:rPr>
            </w:pPr>
            <w:r>
              <w:rPr>
                <w:rFonts w:ascii="Arial" w:cs="Arial" w:eastAsia="Arial" w:hAnsi="Arial"/>
                <w:sz w:val="14"/>
                <w:szCs w:val="14"/>
                <w:color w:val="auto"/>
              </w:rPr>
              <w:t>182</w:t>
            </w:r>
          </w:p>
        </w:tc>
        <w:tc>
          <w:tcPr>
            <w:tcW w:w="112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67"/>
        </w:trPr>
        <w:tc>
          <w:tcPr>
            <w:tcW w:w="2040" w:type="dxa"/>
            <w:vAlign w:val="bottom"/>
            <w:gridSpan w:val="2"/>
          </w:tcPr>
          <w:p>
            <w:pPr>
              <w:spacing w:after="0"/>
              <w:rPr>
                <w:sz w:val="20"/>
                <w:szCs w:val="20"/>
                <w:color w:val="auto"/>
              </w:rPr>
            </w:pPr>
            <w:r>
              <w:rPr>
                <w:rFonts w:ascii="Arial" w:cs="Arial" w:eastAsia="Arial" w:hAnsi="Arial"/>
                <w:sz w:val="14"/>
                <w:szCs w:val="14"/>
                <w:color w:val="auto"/>
              </w:rPr>
              <w:t>Issuance by the Partnership of</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ind w:left="120"/>
              <w:spacing w:after="0"/>
              <w:rPr>
                <w:sz w:val="20"/>
                <w:szCs w:val="20"/>
                <w:color w:val="auto"/>
              </w:rPr>
            </w:pPr>
            <w:r>
              <w:rPr>
                <w:rFonts w:ascii="Arial" w:cs="Arial" w:eastAsia="Arial" w:hAnsi="Arial"/>
                <w:sz w:val="14"/>
                <w:szCs w:val="14"/>
                <w:color w:val="auto"/>
              </w:rPr>
              <w:t>restricted exchangeable</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ind w:left="120"/>
              <w:spacing w:after="0"/>
              <w:rPr>
                <w:sz w:val="20"/>
                <w:szCs w:val="20"/>
                <w:color w:val="auto"/>
              </w:rPr>
            </w:pPr>
            <w:r>
              <w:rPr>
                <w:rFonts w:ascii="Arial" w:cs="Arial" w:eastAsia="Arial" w:hAnsi="Arial"/>
                <w:sz w:val="14"/>
                <w:szCs w:val="14"/>
                <w:color w:val="auto"/>
              </w:rPr>
              <w:t>partnership units upon the</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ind w:left="120"/>
              <w:spacing w:after="0"/>
              <w:rPr>
                <w:sz w:val="20"/>
                <w:szCs w:val="20"/>
                <w:color w:val="auto"/>
              </w:rPr>
            </w:pPr>
            <w:r>
              <w:rPr>
                <w:rFonts w:ascii="Arial" w:cs="Arial" w:eastAsia="Arial" w:hAnsi="Arial"/>
                <w:sz w:val="14"/>
                <w:szCs w:val="14"/>
                <w:color w:val="auto"/>
              </w:rPr>
              <w:t>acquisition of Broadcom</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20" w:type="dxa"/>
            <w:vAlign w:val="bottom"/>
          </w:tcPr>
          <w:p>
            <w:pPr>
              <w:ind w:left="120"/>
              <w:spacing w:after="0" w:line="157" w:lineRule="exact"/>
              <w:rPr>
                <w:sz w:val="20"/>
                <w:szCs w:val="20"/>
                <w:color w:val="auto"/>
              </w:rPr>
            </w:pPr>
            <w:r>
              <w:rPr>
                <w:rFonts w:ascii="Arial" w:cs="Arial" w:eastAsia="Arial" w:hAnsi="Arial"/>
                <w:sz w:val="14"/>
                <w:szCs w:val="14"/>
                <w:color w:val="auto"/>
              </w:rPr>
              <w:t>Corporation</w:t>
            </w:r>
          </w:p>
        </w:tc>
        <w:tc>
          <w:tcPr>
            <w:tcW w:w="500" w:type="dxa"/>
            <w:vAlign w:val="bottom"/>
          </w:tcPr>
          <w:p>
            <w:pPr>
              <w:spacing w:after="0"/>
              <w:rPr>
                <w:sz w:val="13"/>
                <w:szCs w:val="13"/>
                <w:color w:val="auto"/>
              </w:rPr>
            </w:pPr>
          </w:p>
        </w:tc>
        <w:tc>
          <w:tcPr>
            <w:tcW w:w="106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90"/>
              <w:spacing w:after="0" w:line="157" w:lineRule="exact"/>
              <w:rPr>
                <w:sz w:val="20"/>
                <w:szCs w:val="20"/>
                <w:color w:val="auto"/>
              </w:rPr>
            </w:pPr>
            <w:r>
              <w:rPr>
                <w:rFonts w:ascii="Arial" w:cs="Arial" w:eastAsia="Arial" w:hAnsi="Arial"/>
                <w:sz w:val="14"/>
                <w:szCs w:val="14"/>
                <w:color w:val="auto"/>
              </w:rPr>
              <w:t>3,140</w:t>
            </w:r>
          </w:p>
        </w:tc>
        <w:tc>
          <w:tcPr>
            <w:tcW w:w="1000" w:type="dxa"/>
            <w:vAlign w:val="bottom"/>
          </w:tcPr>
          <w:p>
            <w:pPr>
              <w:jc w:val="right"/>
              <w:ind w:right="50"/>
              <w:spacing w:after="0" w:line="157" w:lineRule="exact"/>
              <w:rPr>
                <w:sz w:val="20"/>
                <w:szCs w:val="20"/>
                <w:color w:val="auto"/>
              </w:rPr>
            </w:pPr>
            <w:r>
              <w:rPr>
                <w:rFonts w:ascii="Arial" w:cs="Arial" w:eastAsia="Arial" w:hAnsi="Arial"/>
                <w:sz w:val="14"/>
                <w:szCs w:val="14"/>
                <w:color w:val="auto"/>
              </w:rPr>
              <w:t>3,140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Issuance of ordinary shares</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upon the acquisition of</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2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Broadcom Corporation</w:t>
            </w:r>
          </w:p>
        </w:tc>
        <w:tc>
          <w:tcPr>
            <w:tcW w:w="500" w:type="dxa"/>
            <w:vAlign w:val="bottom"/>
            <w:shd w:val="clear" w:color="auto" w:fill="CCEEFF"/>
          </w:tcPr>
          <w:p>
            <w:pPr>
              <w:jc w:val="center"/>
              <w:ind w:left="69"/>
              <w:spacing w:after="0" w:line="157" w:lineRule="exact"/>
              <w:rPr>
                <w:sz w:val="20"/>
                <w:szCs w:val="20"/>
                <w:color w:val="auto"/>
              </w:rPr>
            </w:pPr>
            <w:r>
              <w:rPr>
                <w:rFonts w:ascii="Arial" w:cs="Arial" w:eastAsia="Arial" w:hAnsi="Arial"/>
                <w:sz w:val="14"/>
                <w:szCs w:val="14"/>
                <w:color w:val="auto"/>
              </w:rPr>
              <w:t>23</w:t>
            </w:r>
          </w:p>
        </w:tc>
        <w:tc>
          <w:tcPr>
            <w:tcW w:w="10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15,438</w:t>
            </w:r>
          </w:p>
        </w:tc>
        <w:tc>
          <w:tcPr>
            <w:tcW w:w="98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9"/>
              <w:spacing w:after="0" w:line="157" w:lineRule="exact"/>
              <w:rPr>
                <w:sz w:val="20"/>
                <w:szCs w:val="20"/>
                <w:color w:val="auto"/>
              </w:rPr>
            </w:pPr>
            <w:r>
              <w:rPr>
                <w:rFonts w:ascii="Arial" w:cs="Arial" w:eastAsia="Arial" w:hAnsi="Arial"/>
                <w:sz w:val="14"/>
                <w:szCs w:val="14"/>
                <w:color w:val="auto"/>
              </w:rPr>
              <w:t>15,438</w:t>
            </w:r>
          </w:p>
        </w:tc>
        <w:tc>
          <w:tcPr>
            <w:tcW w:w="112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15,438</w:t>
            </w:r>
          </w:p>
        </w:tc>
        <w:tc>
          <w:tcPr>
            <w:tcW w:w="0" w:type="dxa"/>
            <w:vAlign w:val="bottom"/>
          </w:tcPr>
          <w:p>
            <w:pPr>
              <w:spacing w:after="0"/>
              <w:rPr>
                <w:sz w:val="1"/>
                <w:szCs w:val="1"/>
                <w:color w:val="auto"/>
              </w:rPr>
            </w:pPr>
          </w:p>
        </w:tc>
      </w:tr>
      <w:tr>
        <w:trPr>
          <w:trHeight w:val="162"/>
        </w:trPr>
        <w:tc>
          <w:tcPr>
            <w:tcW w:w="2040" w:type="dxa"/>
            <w:vAlign w:val="bottom"/>
            <w:gridSpan w:val="2"/>
          </w:tcPr>
          <w:p>
            <w:pPr>
              <w:spacing w:after="0"/>
              <w:rPr>
                <w:sz w:val="20"/>
                <w:szCs w:val="20"/>
                <w:color w:val="auto"/>
              </w:rPr>
            </w:pPr>
            <w:r>
              <w:rPr>
                <w:rFonts w:ascii="Arial" w:cs="Arial" w:eastAsia="Arial" w:hAnsi="Arial"/>
                <w:sz w:val="14"/>
                <w:szCs w:val="14"/>
                <w:color w:val="auto"/>
              </w:rPr>
              <w:t>Dividend paid</w:t>
            </w:r>
          </w:p>
        </w:tc>
        <w:tc>
          <w:tcPr>
            <w:tcW w:w="500" w:type="dxa"/>
            <w:vAlign w:val="bottom"/>
          </w:tcPr>
          <w:p>
            <w:pPr>
              <w:jc w:val="center"/>
              <w:ind w:left="69"/>
              <w:spacing w:after="0"/>
              <w:rPr>
                <w:sz w:val="20"/>
                <w:szCs w:val="20"/>
                <w:color w:val="auto"/>
              </w:rPr>
            </w:pPr>
            <w:r>
              <w:rPr>
                <w:rFonts w:ascii="Arial" w:cs="Arial" w:eastAsia="Arial" w:hAnsi="Arial"/>
                <w:sz w:val="14"/>
                <w:szCs w:val="14"/>
                <w:color w:val="auto"/>
              </w:rPr>
              <w:t>25</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(716)</w:t>
            </w: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(716)</w:t>
            </w:r>
          </w:p>
        </w:tc>
        <w:tc>
          <w:tcPr>
            <w:tcW w:w="11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Cash distribution paid by the</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Partnership on restricted</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exchangeable partnership</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2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units</w:t>
            </w: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(34)</w:t>
            </w:r>
          </w:p>
        </w:tc>
        <w:tc>
          <w:tcPr>
            <w:tcW w:w="10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rPr>
                <w:sz w:val="20"/>
                <w:szCs w:val="20"/>
                <w:color w:val="auto"/>
              </w:rPr>
            </w:pPr>
            <w:r>
              <w:rPr>
                <w:rFonts w:ascii="Arial" w:cs="Arial" w:eastAsia="Arial" w:hAnsi="Arial"/>
                <w:sz w:val="14"/>
                <w:szCs w:val="14"/>
                <w:color w:val="auto"/>
              </w:rPr>
              <w:t>Effect of capital reorganisation</w:t>
            </w:r>
          </w:p>
        </w:tc>
        <w:tc>
          <w:tcPr>
            <w:tcW w:w="500" w:type="dxa"/>
            <w:vAlign w:val="bottom"/>
          </w:tcPr>
          <w:p>
            <w:pPr>
              <w:jc w:val="center"/>
              <w:ind w:left="69"/>
              <w:spacing w:after="0"/>
              <w:rPr>
                <w:sz w:val="20"/>
                <w:szCs w:val="20"/>
                <w:color w:val="auto"/>
              </w:rPr>
            </w:pPr>
            <w:r>
              <w:rPr>
                <w:rFonts w:ascii="Arial" w:cs="Arial" w:eastAsia="Arial" w:hAnsi="Arial"/>
                <w:sz w:val="14"/>
                <w:szCs w:val="14"/>
                <w:color w:val="auto"/>
              </w:rPr>
              <w:t>32</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2,547</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(2,547)</w:t>
            </w: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transactions with</w:t>
            </w:r>
          </w:p>
        </w:tc>
        <w:tc>
          <w:tcPr>
            <w:tcW w:w="5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owners, recognised</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directly in equity</w:t>
            </w:r>
          </w:p>
        </w:tc>
        <w:tc>
          <w:tcPr>
            <w:tcW w:w="5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18,462</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779</w:t>
            </w:r>
          </w:p>
        </w:tc>
        <w:tc>
          <w:tcPr>
            <w:tcW w:w="11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(2,547)</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(716)</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15,978</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3,106</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19,084</w:t>
            </w:r>
          </w:p>
        </w:tc>
        <w:tc>
          <w:tcPr>
            <w:tcW w:w="0" w:type="dxa"/>
            <w:vAlign w:val="bottom"/>
          </w:tcPr>
          <w:p>
            <w:pPr>
              <w:spacing w:after="0"/>
              <w:rPr>
                <w:sz w:val="1"/>
                <w:szCs w:val="1"/>
                <w:color w:val="auto"/>
              </w:rPr>
            </w:pPr>
          </w:p>
        </w:tc>
      </w:tr>
      <w:tr>
        <w:trPr>
          <w:trHeight w:val="237"/>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Balance as of 30 October</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4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7"/>
                <w:szCs w:val="17"/>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18,462</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779</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(215)</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(149)</w:t>
            </w: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18,877</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2,984</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21,861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-4613275</wp:posOffset>
            </wp:positionV>
            <wp:extent cx="514350" cy="514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 cy="514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-4613275</wp:posOffset>
            </wp:positionV>
            <wp:extent cx="626110" cy="51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6110" cy="51435"/>
                    </a:xfrm>
                    <a:prstGeom prst="rect">
                      <a:avLst/>
                    </a:prstGeom>
                    <a:noFill/>
                  </pic:spPr>
                </pic:pic>
              </a:graphicData>
            </a:graphic>
          </wp:anchor>
        </w:drawing>
      </w:r>
    </w:p>
    <w:p>
      <w:pPr>
        <w:spacing w:after="0" w:line="225" w:lineRule="exact"/>
        <w:rPr>
          <w:sz w:val="20"/>
          <w:szCs w:val="20"/>
          <w:color w:val="auto"/>
        </w:rPr>
      </w:pPr>
    </w:p>
    <w:p>
      <w:pPr>
        <w:ind w:left="520" w:hanging="316"/>
        <w:spacing w:after="0"/>
        <w:tabs>
          <w:tab w:leader="none" w:pos="520"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Represents figures less than a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104775</wp:posOffset>
            </wp:positionV>
            <wp:extent cx="6997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accompanying notes form an integral part of these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Note</w:t>
            </w:r>
          </w:p>
        </w:tc>
        <w:tc>
          <w:tcPr>
            <w:tcW w:w="1720" w:type="dxa"/>
            <w:vAlign w:val="bottom"/>
            <w:gridSpan w:val="4"/>
          </w:tcPr>
          <w:p>
            <w:pPr>
              <w:jc w:val="center"/>
              <w:ind w:left="888"/>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left="108"/>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6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rPr>
              <w:t>(US$ millions)</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color w:val="auto"/>
              </w:rPr>
              <w:t>(US$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3"/>
          </w:tcPr>
          <w:p>
            <w:pPr>
              <w:spacing w:after="0"/>
              <w:rPr>
                <w:sz w:val="20"/>
                <w:szCs w:val="20"/>
                <w:color w:val="auto"/>
              </w:rPr>
            </w:pPr>
            <w:r>
              <w:rPr>
                <w:rFonts w:ascii="Arial" w:cs="Arial" w:eastAsia="Arial" w:hAnsi="Arial"/>
                <w:sz w:val="14"/>
                <w:szCs w:val="14"/>
                <w:color w:val="auto"/>
              </w:rPr>
              <w:t>Total profit / (loss)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1,782</w:t>
            </w:r>
          </w:p>
        </w:tc>
        <w:tc>
          <w:tcPr>
            <w:tcW w:w="240" w:type="dxa"/>
            <w:vAlign w:val="bottom"/>
          </w:tcPr>
          <w:p>
            <w:pPr>
              <w:spacing w:after="0"/>
              <w:rPr>
                <w:sz w:val="14"/>
                <w:szCs w:val="1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color w:val="auto"/>
              </w:rPr>
              <w:t>(1,861)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Adjustments for:</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2"/>
          </w:tcPr>
          <w:p>
            <w:pPr>
              <w:ind w:left="120"/>
              <w:spacing w:after="0"/>
              <w:rPr>
                <w:sz w:val="20"/>
                <w:szCs w:val="20"/>
                <w:color w:val="auto"/>
              </w:rPr>
            </w:pPr>
            <w:r>
              <w:rPr>
                <w:rFonts w:ascii="Arial" w:cs="Arial" w:eastAsia="Arial" w:hAnsi="Arial"/>
                <w:sz w:val="14"/>
                <w:szCs w:val="14"/>
                <w:color w:val="auto"/>
              </w:rPr>
              <w:t>- Income tax expense</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 Employee share option expense</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921</w:t>
            </w:r>
          </w:p>
        </w:tc>
        <w:tc>
          <w:tcPr>
            <w:tcW w:w="240" w:type="dxa"/>
            <w:vAlign w:val="bottom"/>
            <w:tcBorders>
              <w:right w:val="single" w:sz="8" w:color="CCEEFF"/>
            </w:tcBorders>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2"/>
          </w:tcPr>
          <w:p>
            <w:pPr>
              <w:ind w:left="120"/>
              <w:spacing w:after="0"/>
              <w:rPr>
                <w:sz w:val="20"/>
                <w:szCs w:val="20"/>
                <w:color w:val="auto"/>
              </w:rPr>
            </w:pPr>
            <w:r>
              <w:rPr>
                <w:rFonts w:ascii="Arial" w:cs="Arial" w:eastAsia="Arial" w:hAnsi="Arial"/>
                <w:sz w:val="14"/>
                <w:szCs w:val="14"/>
                <w:color w:val="auto"/>
              </w:rPr>
              <w:t>- Amortisation of intangible assets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4,285</w:t>
            </w:r>
          </w:p>
        </w:tc>
        <w:tc>
          <w:tcPr>
            <w:tcW w:w="24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2,638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 Depreciation of property, plant and equipment</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451</w:t>
            </w:r>
          </w:p>
        </w:tc>
        <w:tc>
          <w:tcPr>
            <w:tcW w:w="240" w:type="dxa"/>
            <w:vAlign w:val="bottom"/>
            <w:tcBorders>
              <w:right w:val="single" w:sz="8" w:color="CCEEFF"/>
            </w:tcBorders>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gridSpan w:val="4"/>
          </w:tcPr>
          <w:p>
            <w:pPr>
              <w:ind w:left="120"/>
              <w:spacing w:after="0"/>
              <w:rPr>
                <w:sz w:val="20"/>
                <w:szCs w:val="20"/>
                <w:color w:val="auto"/>
              </w:rPr>
            </w:pPr>
            <w:r>
              <w:rPr>
                <w:rFonts w:ascii="Arial" w:cs="Arial" w:eastAsia="Arial" w:hAnsi="Arial"/>
                <w:sz w:val="14"/>
                <w:szCs w:val="14"/>
                <w:color w:val="auto"/>
              </w:rPr>
              <w:t>- Excess tax benefits from share-based compensation</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color w:val="auto"/>
              </w:rPr>
              <w:t>(89)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tcBorders>
              <w:left w:val="single" w:sz="8" w:color="CCEEFF"/>
              <w:right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 Non-cash restructuring, impairment and disposal charges</w:t>
            </w: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71</w:t>
            </w:r>
          </w:p>
        </w:tc>
        <w:tc>
          <w:tcPr>
            <w:tcW w:w="240" w:type="dxa"/>
            <w:vAlign w:val="bottom"/>
            <w:tcBorders>
              <w:right w:val="single" w:sz="8" w:color="CCEEFF"/>
            </w:tcBorders>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2"/>
          </w:tcPr>
          <w:p>
            <w:pPr>
              <w:ind w:left="120"/>
              <w:spacing w:after="0"/>
              <w:rPr>
                <w:sz w:val="20"/>
                <w:szCs w:val="20"/>
                <w:color w:val="auto"/>
              </w:rPr>
            </w:pPr>
            <w:r>
              <w:rPr>
                <w:rFonts w:ascii="Arial" w:cs="Arial" w:eastAsia="Arial" w:hAnsi="Arial"/>
                <w:sz w:val="14"/>
                <w:szCs w:val="14"/>
                <w:color w:val="auto"/>
              </w:rPr>
              <w:t>- Interest expense</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454</w:t>
            </w:r>
          </w:p>
        </w:tc>
        <w:tc>
          <w:tcPr>
            <w:tcW w:w="24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 Deferred taxes</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(173)</w:t>
            </w:r>
          </w:p>
        </w:tc>
        <w:tc>
          <w:tcPr>
            <w:tcW w:w="240" w:type="dxa"/>
            <w:vAlign w:val="bottom"/>
            <w:tcBorders>
              <w:right w:val="single" w:sz="8" w:color="CCEEFF"/>
            </w:tcBorders>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gridSpan w:val="6"/>
          </w:tcPr>
          <w:p>
            <w:pPr>
              <w:ind w:left="120"/>
              <w:spacing w:after="0"/>
              <w:rPr>
                <w:sz w:val="20"/>
                <w:szCs w:val="20"/>
                <w:color w:val="auto"/>
              </w:rPr>
            </w:pPr>
            <w:r>
              <w:rPr>
                <w:rFonts w:ascii="Arial" w:cs="Arial" w:eastAsia="Arial" w:hAnsi="Arial"/>
                <w:sz w:val="14"/>
                <w:szCs w:val="14"/>
                <w:color w:val="auto"/>
              </w:rPr>
              <w:t>- Amortisation of debt discount issuance costs and accretion of debt discount</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24</w:t>
            </w:r>
          </w:p>
        </w:tc>
        <w:tc>
          <w:tcPr>
            <w:tcW w:w="24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 Non-cash portion of debt extinguishment loss, net</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166</w:t>
            </w:r>
          </w:p>
        </w:tc>
        <w:tc>
          <w:tcPr>
            <w:tcW w:w="240" w:type="dxa"/>
            <w:vAlign w:val="bottom"/>
            <w:tcBorders>
              <w:right w:val="single" w:sz="8" w:color="CCEEFF"/>
            </w:tcBorders>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gridSpan w:val="2"/>
          </w:tcPr>
          <w:p>
            <w:pPr>
              <w:ind w:left="120"/>
              <w:spacing w:after="0"/>
              <w:rPr>
                <w:sz w:val="20"/>
                <w:szCs w:val="20"/>
                <w:color w:val="auto"/>
              </w:rPr>
            </w:pPr>
            <w:r>
              <w:rPr>
                <w:rFonts w:ascii="Arial" w:cs="Arial" w:eastAsia="Arial" w:hAnsi="Arial"/>
                <w:sz w:val="14"/>
                <w:szCs w:val="14"/>
                <w:color w:val="auto"/>
              </w:rPr>
              <w:t>- Others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4"/>
                <w:szCs w:val="1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Borders>
              <w:left w:val="single" w:sz="8" w:color="CCEEFF"/>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8,023</w:t>
            </w:r>
          </w:p>
        </w:tc>
        <w:tc>
          <w:tcPr>
            <w:tcW w:w="240" w:type="dxa"/>
            <w:vAlign w:val="bottom"/>
            <w:tcBorders>
              <w:top w:val="single" w:sz="8" w:color="auto"/>
              <w:right w:val="single" w:sz="8" w:color="CCEEFF"/>
            </w:tcBorders>
            <w:shd w:val="clear" w:color="auto" w:fill="CCEEFF"/>
          </w:tcPr>
          <w:p>
            <w:pPr>
              <w:spacing w:after="0"/>
              <w:rPr>
                <w:sz w:val="14"/>
                <w:szCs w:val="14"/>
                <w:color w:val="auto"/>
              </w:rPr>
            </w:pP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4,116</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60" w:type="dxa"/>
            <w:vAlign w:val="bottom"/>
            <w:gridSpan w:val="7"/>
          </w:tcPr>
          <w:p>
            <w:pPr>
              <w:spacing w:after="0"/>
              <w:rPr>
                <w:sz w:val="20"/>
                <w:szCs w:val="20"/>
                <w:color w:val="auto"/>
              </w:rPr>
            </w:pPr>
            <w:r>
              <w:rPr>
                <w:rFonts w:ascii="Arial" w:cs="Arial" w:eastAsia="Arial" w:hAnsi="Arial"/>
                <w:sz w:val="14"/>
                <w:szCs w:val="14"/>
                <w:color w:val="auto"/>
              </w:rPr>
              <w:t>Change in working capital, net of effects from acquisition and disposal of subsidiaries: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 Inventories and construction work-in-progress</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(39)</w:t>
            </w:r>
          </w:p>
        </w:tc>
        <w:tc>
          <w:tcPr>
            <w:tcW w:w="240" w:type="dxa"/>
            <w:vAlign w:val="bottom"/>
            <w:tcBorders>
              <w:right w:val="single" w:sz="8" w:color="CCEEFF"/>
            </w:tcBorders>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996</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2"/>
          </w:tcPr>
          <w:p>
            <w:pPr>
              <w:ind w:left="120"/>
              <w:spacing w:after="0"/>
              <w:rPr>
                <w:sz w:val="20"/>
                <w:szCs w:val="20"/>
                <w:color w:val="auto"/>
              </w:rPr>
            </w:pPr>
            <w:r>
              <w:rPr>
                <w:rFonts w:ascii="Arial" w:cs="Arial" w:eastAsia="Arial" w:hAnsi="Arial"/>
                <w:sz w:val="14"/>
                <w:szCs w:val="14"/>
                <w:color w:val="auto"/>
              </w:rPr>
              <w:t>- Trade and other receivables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(267)</w:t>
            </w:r>
          </w:p>
        </w:tc>
        <w:tc>
          <w:tcPr>
            <w:tcW w:w="240" w:type="dxa"/>
            <w:vAlign w:val="bottom"/>
          </w:tcPr>
          <w:p>
            <w:pPr>
              <w:spacing w:after="0"/>
              <w:rPr>
                <w:sz w:val="14"/>
                <w:szCs w:val="1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color w:val="auto"/>
              </w:rPr>
              <w:t>(491)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 Trade and other payables</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(97)</w:t>
            </w:r>
          </w:p>
        </w:tc>
        <w:tc>
          <w:tcPr>
            <w:tcW w:w="240" w:type="dxa"/>
            <w:vAlign w:val="bottom"/>
            <w:tcBorders>
              <w:right w:val="single" w:sz="8" w:color="CCEEFF"/>
            </w:tcBorders>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2"/>
          </w:tcPr>
          <w:p>
            <w:pPr>
              <w:ind w:left="120"/>
              <w:spacing w:after="0"/>
              <w:rPr>
                <w:sz w:val="20"/>
                <w:szCs w:val="20"/>
                <w:color w:val="auto"/>
              </w:rPr>
            </w:pPr>
            <w:r>
              <w:rPr>
                <w:rFonts w:ascii="Arial" w:cs="Arial" w:eastAsia="Arial" w:hAnsi="Arial"/>
                <w:sz w:val="14"/>
                <w:szCs w:val="14"/>
                <w:color w:val="auto"/>
              </w:rPr>
              <w:t>- Employee compensation and benefits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109</w:t>
            </w:r>
          </w:p>
        </w:tc>
        <w:tc>
          <w:tcPr>
            <w:tcW w:w="24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 Other current liabilities</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(678)</w:t>
            </w:r>
          </w:p>
        </w:tc>
        <w:tc>
          <w:tcPr>
            <w:tcW w:w="240" w:type="dxa"/>
            <w:vAlign w:val="bottom"/>
            <w:tcBorders>
              <w:right w:val="single" w:sz="8" w:color="CCEEFF"/>
            </w:tcBorders>
            <w:shd w:val="clear" w:color="auto" w:fill="CCEEFF"/>
          </w:tcPr>
          <w:p>
            <w:pPr>
              <w:spacing w:after="0"/>
              <w:rPr>
                <w:sz w:val="14"/>
                <w:szCs w:val="14"/>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gridSpan w:val="2"/>
          </w:tcPr>
          <w:p>
            <w:pPr>
              <w:ind w:left="120"/>
              <w:spacing w:after="0"/>
              <w:rPr>
                <w:sz w:val="20"/>
                <w:szCs w:val="20"/>
                <w:color w:val="auto"/>
              </w:rPr>
            </w:pPr>
            <w:r>
              <w:rPr>
                <w:rFonts w:ascii="Arial" w:cs="Arial" w:eastAsia="Arial" w:hAnsi="Arial"/>
                <w:sz w:val="14"/>
                <w:szCs w:val="14"/>
                <w:color w:val="auto"/>
              </w:rPr>
              <w:t>- Other non-current assets and liabilities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159</w:t>
            </w:r>
          </w:p>
        </w:tc>
        <w:tc>
          <w:tcPr>
            <w:tcW w:w="240" w:type="dxa"/>
            <w:vAlign w:val="bottom"/>
          </w:tcPr>
          <w:p>
            <w:pPr>
              <w:spacing w:after="0"/>
              <w:rPr>
                <w:sz w:val="14"/>
                <w:szCs w:val="1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color w:val="auto"/>
              </w:rPr>
              <w:t>(120)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generated from operations</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7,210</w:t>
            </w:r>
          </w:p>
        </w:tc>
        <w:tc>
          <w:tcPr>
            <w:tcW w:w="240" w:type="dxa"/>
            <w:vAlign w:val="bottom"/>
            <w:tcBorders>
              <w:top w:val="single" w:sz="8" w:color="auto"/>
              <w:right w:val="single" w:sz="8" w:color="CCEEFF"/>
            </w:tcBorders>
            <w:shd w:val="clear" w:color="auto" w:fill="CCEEFF"/>
          </w:tcPr>
          <w:p>
            <w:pPr>
              <w:spacing w:after="0"/>
              <w:rPr>
                <w:sz w:val="14"/>
                <w:szCs w:val="14"/>
                <w:color w:val="auto"/>
              </w:rPr>
            </w:pP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4,101</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gridSpan w:val="3"/>
          </w:tcPr>
          <w:p>
            <w:pPr>
              <w:spacing w:after="0"/>
              <w:rPr>
                <w:sz w:val="20"/>
                <w:szCs w:val="20"/>
                <w:color w:val="auto"/>
              </w:rPr>
            </w:pPr>
            <w:r>
              <w:rPr>
                <w:rFonts w:ascii="Arial" w:cs="Arial" w:eastAsia="Arial" w:hAnsi="Arial"/>
                <w:sz w:val="14"/>
                <w:szCs w:val="14"/>
                <w:color w:val="auto"/>
              </w:rPr>
              <w:t>Income tax paid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(349)</w:t>
            </w:r>
          </w:p>
        </w:tc>
        <w:tc>
          <w:tcPr>
            <w:tcW w:w="240" w:type="dxa"/>
            <w:vAlign w:val="bottom"/>
          </w:tcPr>
          <w:p>
            <w:pPr>
              <w:spacing w:after="0"/>
              <w:rPr>
                <w:sz w:val="14"/>
                <w:szCs w:val="1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color w:val="auto"/>
              </w:rPr>
              <w:t>(242)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6,861</w:t>
            </w:r>
          </w:p>
        </w:tc>
        <w:tc>
          <w:tcPr>
            <w:tcW w:w="240" w:type="dxa"/>
            <w:vAlign w:val="bottom"/>
            <w:tcBorders>
              <w:top w:val="single" w:sz="8" w:color="auto"/>
              <w:bottom w:val="single" w:sz="8" w:color="auto"/>
              <w:right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3,859</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Acquisition of a subsidiary, net of cash acquired</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(40)</w:t>
            </w:r>
          </w:p>
        </w:tc>
        <w:tc>
          <w:tcPr>
            <w:tcW w:w="240" w:type="dxa"/>
            <w:vAlign w:val="bottom"/>
            <w:tcBorders>
              <w:right w:val="single" w:sz="8" w:color="CCEEFF"/>
            </w:tcBorders>
            <w:shd w:val="clear" w:color="auto" w:fill="CCEEFF"/>
          </w:tcPr>
          <w:p>
            <w:pPr>
              <w:spacing w:after="0"/>
              <w:rPr>
                <w:sz w:val="14"/>
                <w:szCs w:val="14"/>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3"/>
          </w:tcPr>
          <w:p>
            <w:pPr>
              <w:spacing w:after="0"/>
              <w:rPr>
                <w:sz w:val="20"/>
                <w:szCs w:val="20"/>
                <w:color w:val="auto"/>
              </w:rPr>
            </w:pPr>
            <w:r>
              <w:rPr>
                <w:rFonts w:ascii="Arial" w:cs="Arial" w:eastAsia="Arial" w:hAnsi="Arial"/>
                <w:sz w:val="14"/>
                <w:szCs w:val="14"/>
                <w:color w:val="auto"/>
              </w:rPr>
              <w:t>Additions to property, plant and equipment</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(1,069)</w:t>
            </w:r>
          </w:p>
        </w:tc>
        <w:tc>
          <w:tcPr>
            <w:tcW w:w="240" w:type="dxa"/>
            <w:vAlign w:val="bottom"/>
          </w:tcPr>
          <w:p>
            <w:pPr>
              <w:spacing w:after="0"/>
              <w:rPr>
                <w:sz w:val="14"/>
                <w:szCs w:val="1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color w:val="auto"/>
              </w:rPr>
              <w:t>(723)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Disposal of a subsidiary, net of cash disposed of</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10</w:t>
            </w:r>
          </w:p>
        </w:tc>
        <w:tc>
          <w:tcPr>
            <w:tcW w:w="240" w:type="dxa"/>
            <w:vAlign w:val="bottom"/>
            <w:tcBorders>
              <w:right w:val="single" w:sz="8" w:color="CCEEFF"/>
            </w:tcBorders>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3"/>
          </w:tcPr>
          <w:p>
            <w:pPr>
              <w:spacing w:after="0"/>
              <w:rPr>
                <w:sz w:val="20"/>
                <w:szCs w:val="20"/>
                <w:color w:val="auto"/>
              </w:rPr>
            </w:pPr>
            <w:r>
              <w:rPr>
                <w:rFonts w:ascii="Arial" w:cs="Arial" w:eastAsia="Arial" w:hAnsi="Arial"/>
                <w:sz w:val="14"/>
                <w:szCs w:val="14"/>
                <w:color w:val="auto"/>
              </w:rPr>
              <w:t>Disposal of property, plant and equipment</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441</w:t>
            </w:r>
          </w:p>
        </w:tc>
        <w:tc>
          <w:tcPr>
            <w:tcW w:w="24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Purchase of investments</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(207)</w:t>
            </w:r>
          </w:p>
        </w:tc>
        <w:tc>
          <w:tcPr>
            <w:tcW w:w="240" w:type="dxa"/>
            <w:vAlign w:val="bottom"/>
            <w:tcBorders>
              <w:right w:val="single" w:sz="8" w:color="CCEEFF"/>
            </w:tcBorders>
            <w:shd w:val="clear" w:color="auto" w:fill="CCEEFF"/>
          </w:tcPr>
          <w:p>
            <w:pPr>
              <w:spacing w:after="0"/>
              <w:rPr>
                <w:sz w:val="14"/>
                <w:szCs w:val="14"/>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3"/>
          </w:tcPr>
          <w:p>
            <w:pPr>
              <w:spacing w:after="0"/>
              <w:rPr>
                <w:sz w:val="20"/>
                <w:szCs w:val="20"/>
                <w:color w:val="auto"/>
              </w:rPr>
            </w:pPr>
            <w:r>
              <w:rPr>
                <w:rFonts w:ascii="Arial" w:cs="Arial" w:eastAsia="Arial" w:hAnsi="Arial"/>
                <w:sz w:val="14"/>
                <w:szCs w:val="14"/>
                <w:color w:val="auto"/>
              </w:rPr>
              <w:t>Proceeds from sales and maturities of investments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200</w:t>
            </w:r>
          </w:p>
        </w:tc>
        <w:tc>
          <w:tcPr>
            <w:tcW w:w="24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Others</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(9)</w:t>
            </w:r>
          </w:p>
        </w:tc>
        <w:tc>
          <w:tcPr>
            <w:tcW w:w="240" w:type="dxa"/>
            <w:vAlign w:val="bottom"/>
            <w:tcBorders>
              <w:right w:val="single" w:sz="8" w:color="CCEEFF"/>
            </w:tcBorders>
            <w:shd w:val="clear" w:color="auto" w:fill="CCEEFF"/>
          </w:tcPr>
          <w:p>
            <w:pPr>
              <w:spacing w:after="0"/>
              <w:rPr>
                <w:sz w:val="14"/>
                <w:szCs w:val="14"/>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(674)</w:t>
            </w:r>
          </w:p>
        </w:tc>
        <w:tc>
          <w:tcPr>
            <w:tcW w:w="240" w:type="dxa"/>
            <w:vAlign w:val="bottom"/>
          </w:tcPr>
          <w:p>
            <w:pPr>
              <w:spacing w:after="0"/>
              <w:rPr>
                <w:sz w:val="14"/>
                <w:szCs w:val="1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color w:val="auto"/>
              </w:rPr>
              <w:t>(9,840)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3"/>
          </w:tcPr>
          <w:p>
            <w:pPr>
              <w:spacing w:after="0"/>
              <w:rPr>
                <w:sz w:val="20"/>
                <w:szCs w:val="20"/>
                <w:color w:val="auto"/>
              </w:rPr>
            </w:pPr>
            <w:r>
              <w:rPr>
                <w:rFonts w:ascii="Arial" w:cs="Arial" w:eastAsia="Arial" w:hAnsi="Arial"/>
                <w:sz w:val="14"/>
                <w:szCs w:val="14"/>
                <w:color w:val="auto"/>
              </w:rPr>
              <w:t>Proceeds from issuance of ordinary shares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257</w:t>
            </w:r>
          </w:p>
        </w:tc>
        <w:tc>
          <w:tcPr>
            <w:tcW w:w="24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Proceeds from borrowings</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17,426</w:t>
            </w:r>
          </w:p>
        </w:tc>
        <w:tc>
          <w:tcPr>
            <w:tcW w:w="240" w:type="dxa"/>
            <w:vAlign w:val="bottom"/>
            <w:tcBorders>
              <w:right w:val="single" w:sz="8" w:color="CCEEFF"/>
            </w:tcBorders>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19,510</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3"/>
          </w:tcPr>
          <w:p>
            <w:pPr>
              <w:spacing w:after="0"/>
              <w:rPr>
                <w:sz w:val="20"/>
                <w:szCs w:val="20"/>
                <w:color w:val="auto"/>
              </w:rPr>
            </w:pPr>
            <w:r>
              <w:rPr>
                <w:rFonts w:ascii="Arial" w:cs="Arial" w:eastAsia="Arial" w:hAnsi="Arial"/>
                <w:sz w:val="14"/>
                <w:szCs w:val="14"/>
                <w:color w:val="auto"/>
              </w:rPr>
              <w:t>Repayment of borrowings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99"/>
              </w:rPr>
              <w:t>(13,668)</w:t>
            </w:r>
          </w:p>
        </w:tc>
        <w:tc>
          <w:tcPr>
            <w:tcW w:w="240" w:type="dxa"/>
            <w:vAlign w:val="bottom"/>
          </w:tcPr>
          <w:p>
            <w:pPr>
              <w:spacing w:after="0"/>
              <w:rPr>
                <w:sz w:val="14"/>
                <w:szCs w:val="1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color w:val="auto"/>
              </w:rPr>
              <w:t>(11,317)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paid</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(310)</w:t>
            </w:r>
          </w:p>
        </w:tc>
        <w:tc>
          <w:tcPr>
            <w:tcW w:w="240" w:type="dxa"/>
            <w:vAlign w:val="bottom"/>
            <w:tcBorders>
              <w:right w:val="single" w:sz="8" w:color="CCEEFF"/>
            </w:tcBorders>
            <w:shd w:val="clear" w:color="auto" w:fill="CCEEFF"/>
          </w:tcPr>
          <w:p>
            <w:pPr>
              <w:spacing w:after="0"/>
              <w:rPr>
                <w:sz w:val="14"/>
                <w:szCs w:val="14"/>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3"/>
          </w:tcPr>
          <w:p>
            <w:pPr>
              <w:spacing w:after="0"/>
              <w:rPr>
                <w:sz w:val="20"/>
                <w:szCs w:val="20"/>
                <w:color w:val="auto"/>
              </w:rPr>
            </w:pPr>
            <w:r>
              <w:rPr>
                <w:rFonts w:ascii="Arial" w:cs="Arial" w:eastAsia="Arial" w:hAnsi="Arial"/>
                <w:sz w:val="14"/>
                <w:szCs w:val="14"/>
                <w:color w:val="auto"/>
              </w:rPr>
              <w:t>Debt issuance cost</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(24)</w:t>
            </w:r>
          </w:p>
        </w:tc>
        <w:tc>
          <w:tcPr>
            <w:tcW w:w="240" w:type="dxa"/>
            <w:vAlign w:val="bottom"/>
          </w:tcPr>
          <w:p>
            <w:pPr>
              <w:spacing w:after="0"/>
              <w:rPr>
                <w:sz w:val="14"/>
                <w:szCs w:val="1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color w:val="auto"/>
              </w:rPr>
              <w:t>(123)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Dividends paid to equity holders of the Company</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(1,745)</w:t>
            </w:r>
          </w:p>
        </w:tc>
        <w:tc>
          <w:tcPr>
            <w:tcW w:w="240" w:type="dxa"/>
            <w:vAlign w:val="bottom"/>
            <w:tcBorders>
              <w:right w:val="single" w:sz="8" w:color="CCEEFF"/>
            </w:tcBorders>
            <w:shd w:val="clear" w:color="auto" w:fill="CCEEFF"/>
          </w:tcPr>
          <w:p>
            <w:pPr>
              <w:spacing w:after="0"/>
              <w:rPr>
                <w:sz w:val="14"/>
                <w:szCs w:val="14"/>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3"/>
          </w:tcPr>
          <w:p>
            <w:pPr>
              <w:spacing w:after="0"/>
              <w:rPr>
                <w:sz w:val="20"/>
                <w:szCs w:val="20"/>
                <w:color w:val="auto"/>
              </w:rPr>
            </w:pPr>
            <w:r>
              <w:rPr>
                <w:rFonts w:ascii="Arial" w:cs="Arial" w:eastAsia="Arial" w:hAnsi="Arial"/>
                <w:sz w:val="14"/>
                <w:szCs w:val="14"/>
                <w:color w:val="auto"/>
              </w:rPr>
              <w:t>Excess tax benefits from share-based compensation</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Payment of capital lease obligations</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(16)</w:t>
            </w:r>
          </w:p>
        </w:tc>
        <w:tc>
          <w:tcPr>
            <w:tcW w:w="240" w:type="dxa"/>
            <w:vAlign w:val="bottom"/>
            <w:tcBorders>
              <w:bottom w:val="single" w:sz="8" w:color="auto"/>
              <w:right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Net cash provided by financing activities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1,920</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7,256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increase in cash and cash equivalents</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8,107</w:t>
            </w:r>
          </w:p>
        </w:tc>
        <w:tc>
          <w:tcPr>
            <w:tcW w:w="240" w:type="dxa"/>
            <w:vAlign w:val="bottom"/>
            <w:tcBorders>
              <w:right w:val="single" w:sz="8" w:color="CCEEFF"/>
            </w:tcBorders>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Cash and cash equivalents</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Beginning of financial year</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3,097</w:t>
            </w:r>
          </w:p>
        </w:tc>
        <w:tc>
          <w:tcPr>
            <w:tcW w:w="240" w:type="dxa"/>
            <w:vAlign w:val="bottom"/>
            <w:tcBorders>
              <w:right w:val="single" w:sz="8" w:color="CCEEFF"/>
            </w:tcBorders>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1,822</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0" w:type="dxa"/>
            <w:vAlign w:val="bottom"/>
            <w:gridSpan w:val="5"/>
          </w:tcPr>
          <w:p>
            <w:pPr>
              <w:spacing w:after="0"/>
              <w:rPr>
                <w:sz w:val="20"/>
                <w:szCs w:val="20"/>
                <w:color w:val="auto"/>
              </w:rPr>
            </w:pPr>
            <w:r>
              <w:rPr>
                <w:rFonts w:ascii="Arial" w:cs="Arial" w:eastAsia="Arial" w:hAnsi="Arial"/>
                <w:sz w:val="14"/>
                <w:szCs w:val="14"/>
                <w:color w:val="auto"/>
              </w:rPr>
              <w:t>Effects of currency translation on cash and cash equivalents</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End of financial year</w:t>
            </w: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12</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11,204</w:t>
            </w:r>
          </w:p>
        </w:tc>
        <w:tc>
          <w:tcPr>
            <w:tcW w:w="240" w:type="dxa"/>
            <w:vAlign w:val="bottom"/>
            <w:tcBorders>
              <w:bottom w:val="single" w:sz="8" w:color="auto"/>
              <w:right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3,097</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4200" w:type="dxa"/>
            <w:vAlign w:val="bottom"/>
            <w:gridSpan w:val="5"/>
          </w:tcPr>
          <w:p>
            <w:pPr>
              <w:spacing w:after="0"/>
              <w:rPr>
                <w:sz w:val="20"/>
                <w:szCs w:val="20"/>
                <w:color w:val="auto"/>
              </w:rPr>
            </w:pPr>
            <w:r>
              <w:rPr>
                <w:rFonts w:ascii="Arial" w:cs="Arial" w:eastAsia="Arial" w:hAnsi="Arial"/>
                <w:sz w:val="14"/>
                <w:szCs w:val="14"/>
                <w:b w:val="1"/>
                <w:bCs w:val="1"/>
                <w:color w:val="auto"/>
              </w:rPr>
              <w:t>Reconciliation of liabilities arising from financing activities</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000000"/>
          </w:tcPr>
          <w:p>
            <w:pPr>
              <w:spacing w:after="0"/>
              <w:rPr>
                <w:sz w:val="12"/>
                <w:szCs w:val="12"/>
                <w:color w:val="auto"/>
              </w:rPr>
            </w:pPr>
          </w:p>
        </w:tc>
        <w:tc>
          <w:tcPr>
            <w:tcW w:w="282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gridSpan w:val="3"/>
          </w:tcPr>
          <w:p>
            <w:pPr>
              <w:jc w:val="center"/>
              <w:ind w:right="40"/>
              <w:spacing w:after="0" w:line="143" w:lineRule="exact"/>
              <w:rPr>
                <w:sz w:val="20"/>
                <w:szCs w:val="20"/>
                <w:color w:val="auto"/>
              </w:rPr>
            </w:pPr>
            <w:r>
              <w:rPr>
                <w:rFonts w:ascii="Arial" w:cs="Arial" w:eastAsia="Arial" w:hAnsi="Arial"/>
                <w:sz w:val="14"/>
                <w:szCs w:val="14"/>
                <w:b w:val="1"/>
                <w:bCs w:val="1"/>
                <w:color w:val="auto"/>
              </w:rPr>
              <w:t>30 October</w:t>
            </w:r>
          </w:p>
        </w:tc>
        <w:tc>
          <w:tcPr>
            <w:tcW w:w="1360" w:type="dxa"/>
            <w:vAlign w:val="bottom"/>
            <w:tcBorders>
              <w:right w:val="single" w:sz="8" w:color="auto"/>
            </w:tcBorders>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rPr>
              <w:t>Principal</w:t>
            </w:r>
          </w:p>
        </w:tc>
        <w:tc>
          <w:tcPr>
            <w:tcW w:w="1360" w:type="dxa"/>
            <w:vAlign w:val="bottom"/>
            <w:tcBorders>
              <w:right w:val="single" w:sz="8" w:color="auto"/>
            </w:tcBorders>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rPr>
              <w:t>Proceeds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tcBorders>
              <w:right w:val="single" w:sz="8" w:color="auto"/>
            </w:tcBorders>
            <w:gridSpan w:val="4"/>
          </w:tcPr>
          <w:p>
            <w:pPr>
              <w:jc w:val="center"/>
              <w:ind w:right="740"/>
              <w:spacing w:after="0" w:line="143" w:lineRule="exact"/>
              <w:rPr>
                <w:sz w:val="20"/>
                <w:szCs w:val="20"/>
                <w:color w:val="auto"/>
              </w:rPr>
            </w:pPr>
            <w:r>
              <w:rPr>
                <w:rFonts w:ascii="Arial" w:cs="Arial" w:eastAsia="Arial" w:hAnsi="Arial"/>
                <w:sz w:val="14"/>
                <w:szCs w:val="14"/>
                <w:b w:val="1"/>
                <w:bCs w:val="1"/>
                <w:color w:val="auto"/>
              </w:rPr>
              <w:t>Non-cash changes</w:t>
            </w:r>
          </w:p>
        </w:tc>
        <w:tc>
          <w:tcPr>
            <w:tcW w:w="136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rPr>
              <w:t>29 October</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0000"/>
          </w:tcPr>
          <w:p>
            <w:pPr>
              <w:spacing w:after="0"/>
              <w:rPr>
                <w:sz w:val="15"/>
                <w:szCs w:val="15"/>
                <w:color w:val="auto"/>
              </w:rPr>
            </w:pPr>
          </w:p>
        </w:tc>
        <w:tc>
          <w:tcPr>
            <w:tcW w:w="2820" w:type="dxa"/>
            <w:vAlign w:val="bottom"/>
            <w:tcBorders>
              <w:left w:val="single" w:sz="8" w:color="auto"/>
              <w:right w:val="single" w:sz="8" w:color="auto"/>
            </w:tcBorders>
          </w:tcPr>
          <w:p>
            <w:pPr>
              <w:spacing w:after="0"/>
              <w:rPr>
                <w:sz w:val="15"/>
                <w:szCs w:val="15"/>
                <w:color w:val="auto"/>
              </w:rPr>
            </w:pPr>
          </w:p>
        </w:tc>
        <w:tc>
          <w:tcPr>
            <w:tcW w:w="112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and interest</w:t>
            </w:r>
          </w:p>
        </w:tc>
        <w:tc>
          <w:tcPr>
            <w:tcW w:w="136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rPr>
              <w:t>from</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60" w:type="dxa"/>
            <w:vAlign w:val="bottom"/>
            <w:tcBorders>
              <w:right w:val="single" w:sz="8" w:color="auto"/>
            </w:tcBorders>
            <w:gridSpan w:val="4"/>
          </w:tcPr>
          <w:p>
            <w:pPr>
              <w:jc w:val="center"/>
              <w:ind w:right="760"/>
              <w:spacing w:after="0"/>
              <w:rPr>
                <w:sz w:val="20"/>
                <w:szCs w:val="20"/>
                <w:color w:val="auto"/>
              </w:rPr>
            </w:pPr>
            <w:r>
              <w:rPr>
                <w:rFonts w:ascii="Arial" w:cs="Arial" w:eastAsia="Arial" w:hAnsi="Arial"/>
                <w:sz w:val="14"/>
                <w:szCs w:val="14"/>
                <w:color w:val="auto"/>
              </w:rPr>
              <w:t>(US$ millions)</w:t>
            </w:r>
          </w:p>
        </w:tc>
        <w:tc>
          <w:tcPr>
            <w:tcW w:w="1100" w:type="dxa"/>
            <w:vAlign w:val="bottom"/>
          </w:tcPr>
          <w:p>
            <w:pPr>
              <w:jc w:val="center"/>
              <w:ind w:left="10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shd w:val="clear" w:color="auto" w:fill="000000"/>
          </w:tcPr>
          <w:p>
            <w:pPr>
              <w:spacing w:after="0"/>
              <w:rPr>
                <w:sz w:val="12"/>
                <w:szCs w:val="12"/>
                <w:color w:val="auto"/>
              </w:rPr>
            </w:pPr>
          </w:p>
        </w:tc>
        <w:tc>
          <w:tcPr>
            <w:tcW w:w="282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gridSpan w:val="3"/>
          </w:tcPr>
          <w:p>
            <w:pPr>
              <w:jc w:val="center"/>
              <w:ind w:right="60"/>
              <w:spacing w:after="0" w:line="143" w:lineRule="exact"/>
              <w:rPr>
                <w:sz w:val="20"/>
                <w:szCs w:val="20"/>
                <w:color w:val="auto"/>
              </w:rPr>
            </w:pPr>
            <w:r>
              <w:rPr>
                <w:rFonts w:ascii="Arial" w:cs="Arial" w:eastAsia="Arial" w:hAnsi="Arial"/>
                <w:sz w:val="14"/>
                <w:szCs w:val="14"/>
                <w:color w:val="auto"/>
              </w:rPr>
              <w:t>(US$ millions)</w:t>
            </w:r>
          </w:p>
        </w:tc>
        <w:tc>
          <w:tcPr>
            <w:tcW w:w="1360" w:type="dxa"/>
            <w:vAlign w:val="bottom"/>
            <w:tcBorders>
              <w:right w:val="single" w:sz="8" w:color="auto"/>
            </w:tcBorders>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rPr>
              <w:t>payments</w:t>
            </w:r>
          </w:p>
        </w:tc>
        <w:tc>
          <w:tcPr>
            <w:tcW w:w="1360" w:type="dxa"/>
            <w:vAlign w:val="bottom"/>
            <w:tcBorders>
              <w:right w:val="single" w:sz="8" w:color="auto"/>
            </w:tcBorders>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rPr>
              <w:t>borrowings</w:t>
            </w:r>
          </w:p>
        </w:tc>
        <w:tc>
          <w:tcPr>
            <w:tcW w:w="200" w:type="dxa"/>
            <w:vAlign w:val="bottom"/>
          </w:tcPr>
          <w:p>
            <w:pPr>
              <w:spacing w:after="0"/>
              <w:rPr>
                <w:sz w:val="12"/>
                <w:szCs w:val="12"/>
                <w:color w:val="auto"/>
              </w:rPr>
            </w:pPr>
          </w:p>
        </w:tc>
        <w:tc>
          <w:tcPr>
            <w:tcW w:w="130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Debt issuance and</w:t>
            </w:r>
          </w:p>
        </w:tc>
        <w:tc>
          <w:tcPr>
            <w:tcW w:w="2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2"/>
                <w:szCs w:val="12"/>
                <w:color w:val="auto"/>
              </w:rPr>
            </w:pPr>
          </w:p>
        </w:tc>
        <w:tc>
          <w:tcPr>
            <w:tcW w:w="1360" w:type="dxa"/>
            <w:vAlign w:val="bottom"/>
            <w:gridSpan w:val="3"/>
          </w:tcPr>
          <w:p>
            <w:pPr>
              <w:jc w:val="center"/>
              <w:ind w:right="60"/>
              <w:spacing w:after="0" w:line="143" w:lineRule="exact"/>
              <w:rPr>
                <w:sz w:val="20"/>
                <w:szCs w:val="20"/>
                <w:color w:val="auto"/>
              </w:rPr>
            </w:pPr>
            <w:r>
              <w:rPr>
                <w:rFonts w:ascii="Arial" w:cs="Arial" w:eastAsia="Arial" w:hAnsi="Arial"/>
                <w:sz w:val="14"/>
                <w:szCs w:val="14"/>
                <w:color w:val="auto"/>
              </w:rPr>
              <w:t>(US$ millions)</w:t>
            </w:r>
          </w:p>
        </w:tc>
        <w:tc>
          <w:tcPr>
            <w:tcW w:w="20" w:type="dxa"/>
            <w:vAlign w:val="bottom"/>
            <w:tcBorders>
              <w:top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000000"/>
          </w:tcPr>
          <w:p>
            <w:pPr>
              <w:spacing w:after="0"/>
              <w:rPr>
                <w:sz w:val="14"/>
                <w:szCs w:val="14"/>
                <w:color w:val="auto"/>
              </w:rPr>
            </w:pPr>
          </w:p>
        </w:tc>
        <w:tc>
          <w:tcPr>
            <w:tcW w:w="2820" w:type="dxa"/>
            <w:vAlign w:val="bottom"/>
            <w:tcBorders>
              <w:left w:val="single" w:sz="8" w:color="auto"/>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4"/>
                <w:szCs w:val="14"/>
                <w:color w:val="auto"/>
              </w:rPr>
              <w:t>(US$ millions)</w:t>
            </w:r>
          </w:p>
        </w:tc>
        <w:tc>
          <w:tcPr>
            <w:tcW w:w="13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(US$ millions)</w:t>
            </w:r>
          </w:p>
        </w:tc>
        <w:tc>
          <w:tcPr>
            <w:tcW w:w="2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extinguishment</w:t>
            </w:r>
          </w:p>
        </w:tc>
        <w:tc>
          <w:tcPr>
            <w:tcW w:w="220" w:type="dxa"/>
            <w:vAlign w:val="bottom"/>
            <w:tcBorders>
              <w:right w:val="single" w:sz="8" w:color="auto"/>
            </w:tcBorders>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expense</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shd w:val="clear" w:color="auto" w:fill="000000"/>
          </w:tcPr>
          <w:p>
            <w:pPr>
              <w:spacing w:after="0"/>
              <w:rPr>
                <w:sz w:val="16"/>
                <w:szCs w:val="16"/>
                <w:color w:val="auto"/>
              </w:rPr>
            </w:pPr>
          </w:p>
        </w:tc>
        <w:tc>
          <w:tcPr>
            <w:tcW w:w="2820" w:type="dxa"/>
            <w:vAlign w:val="bottom"/>
            <w:tcBorders>
              <w:left w:val="single" w:sz="8" w:color="auto"/>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CCEEFF"/>
              <w:right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CCEEFF"/>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CCEEFF"/>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costs</w:t>
            </w:r>
          </w:p>
        </w:tc>
        <w:tc>
          <w:tcPr>
            <w:tcW w:w="2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shd w:val="clear" w:color="auto" w:fill="000000"/>
          </w:tcPr>
          <w:p>
            <w:pPr>
              <w:spacing w:after="0"/>
              <w:rPr>
                <w:sz w:val="13"/>
                <w:szCs w:val="13"/>
                <w:color w:val="auto"/>
              </w:rPr>
            </w:pPr>
          </w:p>
        </w:tc>
        <w:tc>
          <w:tcPr>
            <w:tcW w:w="2820" w:type="dxa"/>
            <w:vAlign w:val="bottom"/>
            <w:tcBorders>
              <w:left w:val="single" w:sz="8" w:color="auto"/>
              <w:bottom w:val="single" w:sz="8" w:color="auto"/>
              <w:right w:val="single" w:sz="8" w:color="auto"/>
            </w:tcBorders>
            <w:shd w:val="clear" w:color="auto" w:fill="CCEEFF"/>
          </w:tcPr>
          <w:p>
            <w:pPr>
              <w:ind w:left="140"/>
              <w:spacing w:after="0" w:line="155" w:lineRule="exact"/>
              <w:rPr>
                <w:sz w:val="20"/>
                <w:szCs w:val="20"/>
                <w:color w:val="auto"/>
              </w:rPr>
            </w:pPr>
            <w:r>
              <w:rPr>
                <w:rFonts w:ascii="Arial" w:cs="Arial" w:eastAsia="Arial" w:hAnsi="Arial"/>
                <w:sz w:val="14"/>
                <w:szCs w:val="14"/>
                <w:b w:val="1"/>
                <w:bCs w:val="1"/>
                <w:color w:val="auto"/>
              </w:rPr>
              <w:t>Bank borrowings</w:t>
            </w:r>
          </w:p>
        </w:tc>
        <w:tc>
          <w:tcPr>
            <w:tcW w:w="6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13,642</w:t>
            </w:r>
          </w:p>
        </w:tc>
        <w:tc>
          <w:tcPr>
            <w:tcW w:w="240" w:type="dxa"/>
            <w:vAlign w:val="bottom"/>
            <w:tcBorders>
              <w:bottom w:val="single" w:sz="8" w:color="auto"/>
              <w:right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(14,155)</w:t>
            </w:r>
          </w:p>
        </w:tc>
        <w:tc>
          <w:tcPr>
            <w:tcW w:w="260" w:type="dxa"/>
            <w:vAlign w:val="bottom"/>
            <w:tcBorders>
              <w:bottom w:val="single" w:sz="8" w:color="auto"/>
              <w:right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17,426</w:t>
            </w:r>
          </w:p>
        </w:tc>
        <w:tc>
          <w:tcPr>
            <w:tcW w:w="240" w:type="dxa"/>
            <w:vAlign w:val="bottom"/>
            <w:tcBorders>
              <w:bottom w:val="single" w:sz="8" w:color="auto"/>
              <w:right w:val="single" w:sz="8" w:color="auto"/>
            </w:tcBorders>
            <w:shd w:val="clear" w:color="auto" w:fill="CCEEFF"/>
          </w:tcPr>
          <w:p>
            <w:pPr>
              <w:spacing w:after="0"/>
              <w:rPr>
                <w:sz w:val="13"/>
                <w:szCs w:val="13"/>
                <w:color w:val="auto"/>
              </w:rPr>
            </w:pPr>
          </w:p>
        </w:tc>
        <w:tc>
          <w:tcPr>
            <w:tcW w:w="150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181</w:t>
            </w:r>
          </w:p>
        </w:tc>
        <w:tc>
          <w:tcPr>
            <w:tcW w:w="220" w:type="dxa"/>
            <w:vAlign w:val="bottom"/>
            <w:tcBorders>
              <w:bottom w:val="single" w:sz="8" w:color="auto"/>
              <w:right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454</w:t>
            </w:r>
          </w:p>
        </w:tc>
        <w:tc>
          <w:tcPr>
            <w:tcW w:w="240" w:type="dxa"/>
            <w:vAlign w:val="bottom"/>
            <w:tcBorders>
              <w:bottom w:val="single" w:sz="8" w:color="auto"/>
              <w:right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17,548</w:t>
            </w:r>
          </w:p>
        </w:tc>
        <w:tc>
          <w:tcPr>
            <w:tcW w:w="1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accompanying notes form an integral part of these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notes form an integral part of and should be read in conjunction with the accompanying financial statements.</w:t>
      </w:r>
    </w:p>
    <w:p>
      <w:pPr>
        <w:spacing w:after="0" w:line="217" w:lineRule="exact"/>
        <w:rPr>
          <w:sz w:val="20"/>
          <w:szCs w:val="20"/>
          <w:color w:val="auto"/>
        </w:rPr>
      </w:pPr>
    </w:p>
    <w:p>
      <w:pPr>
        <w:ind w:left="980" w:hanging="776"/>
        <w:spacing w:after="0"/>
        <w:tabs>
          <w:tab w:leader="none" w:pos="9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33" w:lineRule="exact"/>
        <w:rPr>
          <w:rFonts w:ascii="Arial" w:cs="Arial" w:eastAsia="Arial" w:hAnsi="Arial"/>
          <w:sz w:val="18"/>
          <w:szCs w:val="18"/>
          <w:b w:val="1"/>
          <w:bCs w:val="1"/>
          <w:color w:val="auto"/>
        </w:rPr>
      </w:pPr>
    </w:p>
    <w:p>
      <w:pPr>
        <w:jc w:val="both"/>
        <w:ind w:left="9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Broadcom Limited (“the Company” or “Broadcom”) and its subsidiaries (“the Group”) is a leading designer, developer and global supplier of a broad range of semiconductor devices with a focus on complex digital and mixed signal complementary metal oxide semiconductor based devices and analog III-V based products. Broadcom has a history of innovation and offers thousands of products that are used in end products such as enterprise and data center networking, home connectivity, set-top boxes, broadband access, telecommunication equipment, mobile handsets and base stations, data center servers and storage systems, factory automation, power generation and alternative energy systems, and electronic displays. Broadcom has four reportable segments: wired infrastructure, wireless communications, enterprise storage and industrial &amp; others, which align with the Group’s principal target markets.</w:t>
      </w:r>
    </w:p>
    <w:p>
      <w:pPr>
        <w:spacing w:after="0" w:line="208" w:lineRule="exact"/>
        <w:rPr>
          <w:rFonts w:ascii="Arial" w:cs="Arial" w:eastAsia="Arial" w:hAnsi="Arial"/>
          <w:sz w:val="18"/>
          <w:szCs w:val="18"/>
          <w:b w:val="1"/>
          <w:bCs w:val="1"/>
          <w:color w:val="auto"/>
        </w:rPr>
      </w:pPr>
    </w:p>
    <w:p>
      <w:pPr>
        <w:ind w:left="9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Company is listed on the NASDAQ Global Select Market and incorporated and domiciled in Singapore. The address of its registered office is 1 Yishun Avenue 7, Singapore 768923.</w:t>
      </w:r>
    </w:p>
    <w:p>
      <w:pPr>
        <w:spacing w:after="0" w:line="196" w:lineRule="exact"/>
        <w:rPr>
          <w:rFonts w:ascii="Arial" w:cs="Arial" w:eastAsia="Arial" w:hAnsi="Arial"/>
          <w:sz w:val="18"/>
          <w:szCs w:val="18"/>
          <w:b w:val="1"/>
          <w:bCs w:val="1"/>
          <w:color w:val="auto"/>
        </w:rPr>
      </w:pPr>
    </w:p>
    <w:p>
      <w:pPr>
        <w:ind w:left="9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are presented in U.S. dollar, rounded off to the nearest million. U.S. dollar is the functional currency of the Company.</w:t>
      </w:r>
    </w:p>
    <w:p>
      <w:pPr>
        <w:spacing w:after="0" w:line="201" w:lineRule="exact"/>
        <w:rPr>
          <w:rFonts w:ascii="Arial" w:cs="Arial" w:eastAsia="Arial" w:hAnsi="Arial"/>
          <w:sz w:val="18"/>
          <w:szCs w:val="18"/>
          <w:b w:val="1"/>
          <w:bCs w:val="1"/>
          <w:color w:val="auto"/>
        </w:rPr>
      </w:pPr>
    </w:p>
    <w:p>
      <w:pPr>
        <w:ind w:left="980" w:hanging="776"/>
        <w:spacing w:after="0"/>
        <w:tabs>
          <w:tab w:leader="none" w:pos="9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39"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Basis of preparation</w:t>
      </w:r>
    </w:p>
    <w:p>
      <w:pPr>
        <w:spacing w:after="0" w:line="234" w:lineRule="exact"/>
        <w:rPr>
          <w:sz w:val="20"/>
          <w:szCs w:val="20"/>
          <w:color w:val="auto"/>
        </w:rPr>
      </w:pPr>
    </w:p>
    <w:p>
      <w:pPr>
        <w:jc w:val="both"/>
        <w:ind w:left="980"/>
        <w:spacing w:after="0" w:line="246" w:lineRule="auto"/>
        <w:rPr>
          <w:sz w:val="20"/>
          <w:szCs w:val="20"/>
          <w:color w:val="auto"/>
        </w:rPr>
      </w:pPr>
      <w:r>
        <w:rPr>
          <w:rFonts w:ascii="Arial" w:cs="Arial" w:eastAsia="Arial" w:hAnsi="Arial"/>
          <w:sz w:val="18"/>
          <w:szCs w:val="18"/>
          <w:color w:val="auto"/>
        </w:rPr>
        <w:t>These financial statements have been prepared in accordance with Singapore Financial Reporting Standards (“FRS”) under the historical cost convention, except as disclosed in the accounting policies below.</w:t>
      </w:r>
    </w:p>
    <w:p>
      <w:pPr>
        <w:spacing w:after="0" w:line="197" w:lineRule="exact"/>
        <w:rPr>
          <w:sz w:val="20"/>
          <w:szCs w:val="20"/>
          <w:color w:val="auto"/>
        </w:rPr>
      </w:pPr>
    </w:p>
    <w:p>
      <w:pPr>
        <w:jc w:val="both"/>
        <w:ind w:left="980"/>
        <w:spacing w:after="0" w:line="239" w:lineRule="auto"/>
        <w:rPr>
          <w:sz w:val="20"/>
          <w:szCs w:val="20"/>
          <w:color w:val="auto"/>
        </w:rPr>
      </w:pPr>
      <w:r>
        <w:rPr>
          <w:rFonts w:ascii="Arial" w:cs="Arial" w:eastAsia="Arial" w:hAnsi="Arial"/>
          <w:sz w:val="18"/>
          <w:szCs w:val="18"/>
          <w:color w:val="auto"/>
        </w:rPr>
        <w:t>The preparation of financial statements in conformity with FRS requires management to exercise its judgement in the process of applying the Group’s accounting policies. It also requires the use of certain critical accounting estimates and assumptions. The areas involving a higher degree of judgement or complexity, or areas where assumptions and estimates are significant to the financial statements are disclosed in Note 3.</w:t>
      </w:r>
    </w:p>
    <w:p>
      <w:pPr>
        <w:spacing w:after="0" w:line="202"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Broadcom operates on a 52- or 53-week financial year ending on the Sunday closest to October 31 in a 52-week year and the first Sunday in November in a 53-week year. The financial year ended 29 October 2017 (“financial year 2017”), was a 52-week financial year. The financial year ended 30 October 2016, (“financial year 2016”), was also a 52-week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Basis of preparation </w:t>
      </w:r>
      <w:r>
        <w:rPr>
          <w:rFonts w:ascii="Arial" w:cs="Arial" w:eastAsia="Arial" w:hAnsi="Arial"/>
          <w:sz w:val="17"/>
          <w:szCs w:val="17"/>
          <w:color w:val="auto"/>
        </w:rPr>
        <w:t>(continued)</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FRS 101 first-time adoption of Financial Reporting Standards</w:t>
      </w:r>
    </w:p>
    <w:p>
      <w:pPr>
        <w:spacing w:after="0" w:line="234" w:lineRule="exact"/>
        <w:rPr>
          <w:sz w:val="20"/>
          <w:szCs w:val="20"/>
          <w:color w:val="auto"/>
        </w:rPr>
      </w:pPr>
    </w:p>
    <w:p>
      <w:pPr>
        <w:jc w:val="both"/>
        <w:ind w:left="980"/>
        <w:spacing w:after="0" w:line="239" w:lineRule="auto"/>
        <w:rPr>
          <w:sz w:val="20"/>
          <w:szCs w:val="20"/>
          <w:color w:val="auto"/>
        </w:rPr>
      </w:pPr>
      <w:r>
        <w:rPr>
          <w:rFonts w:ascii="Arial" w:cs="Arial" w:eastAsia="Arial" w:hAnsi="Arial"/>
          <w:sz w:val="18"/>
          <w:szCs w:val="18"/>
          <w:color w:val="auto"/>
        </w:rPr>
        <w:t>These financial statements for financial year 2017 are the first set of financial statements the Group and Company prepared in accordance with the FRS. The Group’s previously issued financial statements for periods up to and including financial year 2016 were prepared in accordance with accounting principles generally accepted in the United States of America (“previous GAAP” or “US GAAP”). The board of directors has concluded that it is in the Company’s best interest to adopt FRS.</w:t>
      </w:r>
    </w:p>
    <w:p>
      <w:pPr>
        <w:spacing w:after="0" w:line="202" w:lineRule="exact"/>
        <w:rPr>
          <w:sz w:val="20"/>
          <w:szCs w:val="20"/>
          <w:color w:val="auto"/>
        </w:rPr>
      </w:pPr>
    </w:p>
    <w:p>
      <w:pPr>
        <w:jc w:val="both"/>
        <w:ind w:left="980"/>
        <w:spacing w:after="0" w:line="236" w:lineRule="auto"/>
        <w:rPr>
          <w:sz w:val="20"/>
          <w:szCs w:val="20"/>
          <w:color w:val="auto"/>
        </w:rPr>
      </w:pPr>
      <w:r>
        <w:rPr>
          <w:rFonts w:ascii="Arial" w:cs="Arial" w:eastAsia="Arial" w:hAnsi="Arial"/>
          <w:sz w:val="18"/>
          <w:szCs w:val="18"/>
          <w:color w:val="auto"/>
        </w:rPr>
        <w:t>In adopting FRS on 31 October 2016, the Group is required to apply all of the specific transition requirements in FRS 101 “First-time Adoption of Financial Reporting Standards”. Under FRS 101, these financial statements are required to be prepared using the accounting policies that comply with FRS effective as at 29 October 2017. The board of directors have assessed the accounting policies adopted by the Group in accordance with FRS, and have considered the differences between the requirements of the previous GAAP and those of FRS. Except for those that resulted in differences that are disclosed in Note 2.1, the directors are satisfied that there are no other material differences between the financial statements prepared under FRS and those under the previous GAAP. The same accounting policies are applied throughout all periods presented in these financial statements, subject to mandatory exemptions and optional exemptions under FRS 101. The Group’s opening balance sheet has been prepared as at 2 November 2015, which is Group’s date of transition to FRS (“date of transition”).</w:t>
      </w:r>
    </w:p>
    <w:p>
      <w:pPr>
        <w:spacing w:after="0" w:line="216" w:lineRule="exact"/>
        <w:rPr>
          <w:sz w:val="20"/>
          <w:szCs w:val="20"/>
          <w:color w:val="auto"/>
        </w:rPr>
      </w:pPr>
    </w:p>
    <w:p>
      <w:pPr>
        <w:ind w:left="1620" w:hanging="538"/>
        <w:spacing w:after="0"/>
        <w:tabs>
          <w:tab w:leader="none" w:pos="1620"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Optional exemptions applied</w:t>
      </w:r>
    </w:p>
    <w:p>
      <w:pPr>
        <w:spacing w:after="0" w:line="229"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FRS 101 allows the exemption from application of certain requirements under FRS on a retrospective basis. The Group has applied the following exemptions in preparing its first set of financial statements in accordance with FRS:</w:t>
      </w:r>
    </w:p>
    <w:p>
      <w:pPr>
        <w:spacing w:after="0" w:line="223"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193" w:lineRule="exact"/>
        <w:rPr>
          <w:rFonts w:ascii="Arial" w:cs="Arial" w:eastAsia="Arial" w:hAnsi="Arial"/>
          <w:sz w:val="18"/>
          <w:szCs w:val="18"/>
          <w:color w:val="auto"/>
        </w:rPr>
      </w:pPr>
    </w:p>
    <w:p>
      <w:pPr>
        <w:jc w:val="both"/>
        <w:ind w:left="2080"/>
        <w:spacing w:after="0" w:line="251" w:lineRule="auto"/>
        <w:rPr>
          <w:rFonts w:ascii="Arial" w:cs="Arial" w:eastAsia="Arial" w:hAnsi="Arial"/>
          <w:sz w:val="18"/>
          <w:szCs w:val="18"/>
          <w:color w:val="auto"/>
        </w:rPr>
      </w:pPr>
      <w:r>
        <w:rPr>
          <w:rFonts w:ascii="Arial" w:cs="Arial" w:eastAsia="Arial" w:hAnsi="Arial"/>
          <w:sz w:val="18"/>
          <w:szCs w:val="18"/>
          <w:color w:val="auto"/>
        </w:rPr>
        <w:t>FRS 103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has not been applied to business combinations that occurred before the date of transition. The same classification as in its previous GAAP financial statements have been adopted. In addition, the Group has also applied FRS 27 </w:t>
      </w:r>
      <w:r>
        <w:rPr>
          <w:rFonts w:ascii="Arial" w:cs="Arial" w:eastAsia="Arial" w:hAnsi="Arial"/>
          <w:sz w:val="18"/>
          <w:szCs w:val="18"/>
          <w:i w:val="1"/>
          <w:iCs w:val="1"/>
          <w:color w:val="auto"/>
        </w:rPr>
        <w:t>Consolidated and separate financial statements</w:t>
      </w:r>
      <w:r>
        <w:rPr>
          <w:rFonts w:ascii="Arial" w:cs="Arial" w:eastAsia="Arial" w:hAnsi="Arial"/>
          <w:sz w:val="18"/>
          <w:szCs w:val="18"/>
          <w:color w:val="auto"/>
        </w:rPr>
        <w:t xml:space="preserve"> from the date of transition.</w:t>
      </w:r>
    </w:p>
    <w:p>
      <w:pPr>
        <w:spacing w:after="0" w:line="174" w:lineRule="exact"/>
        <w:rPr>
          <w:rFonts w:ascii="Arial" w:cs="Arial" w:eastAsia="Arial" w:hAnsi="Arial"/>
          <w:sz w:val="18"/>
          <w:szCs w:val="18"/>
          <w:color w:val="auto"/>
        </w:rPr>
      </w:pPr>
    </w:p>
    <w:p>
      <w:pPr>
        <w:jc w:val="both"/>
        <w:ind w:left="2080"/>
        <w:spacing w:after="0" w:line="245" w:lineRule="auto"/>
        <w:rPr>
          <w:rFonts w:ascii="Arial" w:cs="Arial" w:eastAsia="Arial" w:hAnsi="Arial"/>
          <w:sz w:val="18"/>
          <w:szCs w:val="18"/>
          <w:color w:val="auto"/>
        </w:rPr>
      </w:pPr>
      <w:r>
        <w:rPr>
          <w:rFonts w:ascii="Arial" w:cs="Arial" w:eastAsia="Arial" w:hAnsi="Arial"/>
          <w:sz w:val="18"/>
          <w:szCs w:val="18"/>
          <w:color w:val="auto"/>
        </w:rPr>
        <w:t xml:space="preserve">The Group has not applied FRS 21 “The </w:t>
      </w:r>
      <w:r>
        <w:rPr>
          <w:rFonts w:ascii="Arial" w:cs="Arial" w:eastAsia="Arial" w:hAnsi="Arial"/>
          <w:sz w:val="18"/>
          <w:szCs w:val="18"/>
          <w:i w:val="1"/>
          <w:iCs w:val="1"/>
          <w:color w:val="auto"/>
        </w:rPr>
        <w:t>Effects of Changes in Foreign Exchange rates”</w:t>
      </w:r>
      <w:r>
        <w:rPr>
          <w:rFonts w:ascii="Arial" w:cs="Arial" w:eastAsia="Arial" w:hAnsi="Arial"/>
          <w:sz w:val="18"/>
          <w:szCs w:val="18"/>
          <w:color w:val="auto"/>
        </w:rPr>
        <w:t xml:space="preserve"> retrospectively to the fair value adjustments and goodwill from business combinations that occurred before the date of transition of FRS</w:t>
      </w:r>
      <w:r>
        <w:rPr>
          <w:rFonts w:ascii="Arial" w:cs="Arial" w:eastAsia="Arial" w:hAnsi="Arial"/>
          <w:sz w:val="18"/>
          <w:szCs w:val="18"/>
          <w:i w:val="1"/>
          <w:iCs w:val="1"/>
          <w:color w:val="auto"/>
        </w:rPr>
        <w:t>.</w:t>
      </w:r>
      <w:r>
        <w:rPr>
          <w:rFonts w:ascii="Arial" w:cs="Arial" w:eastAsia="Arial" w:hAnsi="Arial"/>
          <w:sz w:val="18"/>
          <w:szCs w:val="18"/>
          <w:color w:val="auto"/>
        </w:rPr>
        <w:t xml:space="preserve"> Such fair value adjustments and goodwill continue to be accounted for using the same basis as under previous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Basis of preparation </w:t>
      </w:r>
      <w:r>
        <w:rPr>
          <w:rFonts w:ascii="Arial" w:cs="Arial" w:eastAsia="Arial" w:hAnsi="Arial"/>
          <w:sz w:val="17"/>
          <w:szCs w:val="17"/>
          <w:color w:val="auto"/>
        </w:rPr>
        <w:t>(continued)</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FRS 101 first-time adoption of Financial Reporting Standards </w:t>
      </w:r>
      <w:r>
        <w:rPr>
          <w:rFonts w:ascii="Arial" w:cs="Arial" w:eastAsia="Arial" w:hAnsi="Arial"/>
          <w:sz w:val="18"/>
          <w:szCs w:val="18"/>
          <w:color w:val="auto"/>
        </w:rPr>
        <w:t>(continued)</w:t>
      </w:r>
    </w:p>
    <w:p>
      <w:pPr>
        <w:spacing w:after="0" w:line="148" w:lineRule="exact"/>
        <w:rPr>
          <w:sz w:val="20"/>
          <w:szCs w:val="20"/>
          <w:color w:val="auto"/>
        </w:rPr>
      </w:pPr>
    </w:p>
    <w:p>
      <w:pPr>
        <w:ind w:left="1520" w:hanging="546"/>
        <w:spacing w:after="0"/>
        <w:tabs>
          <w:tab w:leader="none" w:pos="1520"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Optional exemptions applied </w:t>
      </w:r>
      <w:r>
        <w:rPr>
          <w:rFonts w:ascii="Arial" w:cs="Arial" w:eastAsia="Arial" w:hAnsi="Arial"/>
          <w:sz w:val="18"/>
          <w:szCs w:val="18"/>
          <w:color w:val="auto"/>
        </w:rPr>
        <w:t>(continued)</w:t>
      </w:r>
    </w:p>
    <w:p>
      <w:pPr>
        <w:spacing w:after="0" w:line="256"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Deemed cost for investments in subsidiaries</w:t>
      </w:r>
    </w:p>
    <w:p>
      <w:pPr>
        <w:spacing w:after="0" w:line="211" w:lineRule="exact"/>
        <w:rPr>
          <w:rFonts w:ascii="Arial" w:cs="Arial" w:eastAsia="Arial" w:hAnsi="Arial"/>
          <w:sz w:val="18"/>
          <w:szCs w:val="18"/>
          <w:color w:val="auto"/>
        </w:rPr>
      </w:pPr>
    </w:p>
    <w:p>
      <w:pPr>
        <w:jc w:val="both"/>
        <w:ind w:left="2080"/>
        <w:spacing w:after="0"/>
        <w:rPr>
          <w:rFonts w:ascii="Arial" w:cs="Arial" w:eastAsia="Arial" w:hAnsi="Arial"/>
          <w:sz w:val="18"/>
          <w:szCs w:val="18"/>
          <w:color w:val="auto"/>
        </w:rPr>
      </w:pPr>
      <w:r>
        <w:rPr>
          <w:rFonts w:ascii="Arial" w:cs="Arial" w:eastAsia="Arial" w:hAnsi="Arial"/>
          <w:sz w:val="18"/>
          <w:szCs w:val="18"/>
          <w:color w:val="auto"/>
        </w:rPr>
        <w:t>The Group elected to regard the Company’s cost of investments in subsidiaries as their deemed cost at the date of transition. US$4,121 million is the Company’s carrying value of investments in subsidiaries under the previous GAAP at the date of transition.</w:t>
      </w:r>
    </w:p>
    <w:p>
      <w:pPr>
        <w:spacing w:after="0" w:line="230" w:lineRule="exact"/>
        <w:rPr>
          <w:sz w:val="20"/>
          <w:szCs w:val="20"/>
          <w:color w:val="auto"/>
        </w:rPr>
      </w:pPr>
    </w:p>
    <w:p>
      <w:pPr>
        <w:ind w:left="1940" w:hanging="426"/>
        <w:spacing w:after="0"/>
        <w:tabs>
          <w:tab w:leader="none" w:pos="19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Accounting for defined benefit pension schemes and other post-retirement benefits</w:t>
      </w:r>
    </w:p>
    <w:p>
      <w:pPr>
        <w:spacing w:after="0" w:line="212" w:lineRule="exact"/>
        <w:rPr>
          <w:sz w:val="20"/>
          <w:szCs w:val="20"/>
          <w:color w:val="auto"/>
        </w:rPr>
      </w:pPr>
    </w:p>
    <w:p>
      <w:pPr>
        <w:jc w:val="both"/>
        <w:ind w:left="1960"/>
        <w:spacing w:after="0" w:line="239" w:lineRule="auto"/>
        <w:rPr>
          <w:sz w:val="20"/>
          <w:szCs w:val="20"/>
          <w:color w:val="auto"/>
        </w:rPr>
      </w:pPr>
      <w:r>
        <w:rPr>
          <w:rFonts w:ascii="Arial" w:cs="Arial" w:eastAsia="Arial" w:hAnsi="Arial"/>
          <w:sz w:val="18"/>
          <w:szCs w:val="18"/>
          <w:color w:val="auto"/>
        </w:rPr>
        <w:t>The Group elected not to apply FRS 101 for pension accounting under FRS 19. All numbers disclosed are based on a full retrospective approach. At transition, the Group recognized all cumulative actuarial gains and losses on defined benefit pension schemes and other post-retirement benefits in shareholders’ equity. Application of the full retrospective approach results in the adjustments described in A4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Basis of preparation </w:t>
      </w:r>
      <w:r>
        <w:rPr>
          <w:rFonts w:ascii="Arial" w:cs="Arial" w:eastAsia="Arial" w:hAnsi="Arial"/>
          <w:sz w:val="17"/>
          <w:szCs w:val="17"/>
          <w:color w:val="auto"/>
        </w:rPr>
        <w:t>(continued)</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FRS 101 first-time adoption of Financial Reporting Standards </w:t>
      </w:r>
      <w:r>
        <w:rPr>
          <w:rFonts w:ascii="Arial" w:cs="Arial" w:eastAsia="Arial" w:hAnsi="Arial"/>
          <w:sz w:val="18"/>
          <w:szCs w:val="18"/>
          <w:color w:val="auto"/>
        </w:rPr>
        <w:t>(continued)</w:t>
      </w:r>
    </w:p>
    <w:p>
      <w:pPr>
        <w:spacing w:after="0" w:line="148" w:lineRule="exact"/>
        <w:rPr>
          <w:sz w:val="20"/>
          <w:szCs w:val="20"/>
          <w:color w:val="auto"/>
        </w:rPr>
      </w:pPr>
    </w:p>
    <w:p>
      <w:pPr>
        <w:ind w:left="1520" w:hanging="546"/>
        <w:spacing w:after="0"/>
        <w:tabs>
          <w:tab w:leader="none" w:pos="152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Summary of financial impact</w:t>
      </w:r>
    </w:p>
    <w:p>
      <w:pPr>
        <w:spacing w:after="0" w:line="229" w:lineRule="exact"/>
        <w:rPr>
          <w:rFonts w:ascii="Arial" w:cs="Arial" w:eastAsia="Arial" w:hAnsi="Arial"/>
          <w:sz w:val="18"/>
          <w:szCs w:val="18"/>
          <w:i w:val="1"/>
          <w:iCs w:val="1"/>
          <w:color w:val="auto"/>
        </w:rPr>
      </w:pPr>
    </w:p>
    <w:p>
      <w:pPr>
        <w:ind w:left="1520" w:right="2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The financial impact on the Group’s and Company’s financial statements that may be adjusted from the adoption of FRS as described above are summarised below:</w:t>
      </w:r>
    </w:p>
    <w:p>
      <w:pPr>
        <w:spacing w:after="0" w:line="224" w:lineRule="exact"/>
        <w:rPr>
          <w:sz w:val="20"/>
          <w:szCs w:val="20"/>
          <w:color w:val="auto"/>
        </w:rPr>
      </w:pPr>
    </w:p>
    <w:p>
      <w:pPr>
        <w:ind w:left="1940" w:hanging="426"/>
        <w:spacing w:after="0"/>
        <w:tabs>
          <w:tab w:leader="none" w:pos="19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Reconciliation of the Group’s equity reported in accordance with the previous GAAP to FRS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940" w:type="dxa"/>
            <w:vAlign w:val="bottom"/>
          </w:tcPr>
          <w:p>
            <w:pPr>
              <w:jc w:val="center"/>
              <w:ind w:left="97"/>
              <w:spacing w:after="0"/>
              <w:rPr>
                <w:sz w:val="20"/>
                <w:szCs w:val="20"/>
                <w:color w:val="auto"/>
              </w:rPr>
            </w:pPr>
            <w:r>
              <w:rPr>
                <w:rFonts w:ascii="Arial" w:cs="Arial" w:eastAsia="Arial" w:hAnsi="Arial"/>
                <w:sz w:val="13"/>
                <w:szCs w:val="13"/>
                <w:b w:val="1"/>
                <w:bCs w:val="1"/>
                <w:color w:val="auto"/>
                <w:w w:val="97"/>
              </w:rPr>
              <w:t>Expla-</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30 October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Effect of</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30 October</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2 November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Effect of</w:t>
            </w:r>
          </w:p>
        </w:tc>
        <w:tc>
          <w:tcPr>
            <w:tcW w:w="96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w w:val="96"/>
              </w:rPr>
              <w:t>2 November</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b w:val="1"/>
                <w:bCs w:val="1"/>
                <w:color w:val="auto"/>
              </w:rPr>
              <w:t>natory</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2016</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transition</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2016</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2015</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transition</w:t>
            </w:r>
          </w:p>
        </w:tc>
        <w:tc>
          <w:tcPr>
            <w:tcW w:w="920" w:type="dxa"/>
            <w:vAlign w:val="bottom"/>
          </w:tcPr>
          <w:p>
            <w:pPr>
              <w:jc w:val="center"/>
              <w:ind w:left="97"/>
              <w:spacing w:after="0" w:line="135" w:lineRule="exact"/>
              <w:rPr>
                <w:sz w:val="20"/>
                <w:szCs w:val="20"/>
                <w:color w:val="auto"/>
              </w:rPr>
            </w:pPr>
            <w:r>
              <w:rPr>
                <w:rFonts w:ascii="Arial" w:cs="Arial" w:eastAsia="Arial" w:hAnsi="Arial"/>
                <w:sz w:val="13"/>
                <w:szCs w:val="13"/>
                <w:b w:val="1"/>
                <w:bCs w:val="1"/>
                <w:color w:val="auto"/>
                <w:w w:val="96"/>
              </w:rPr>
              <w:t>2015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b w:val="1"/>
                <w:bCs w:val="1"/>
                <w:color w:val="auto"/>
                <w:w w:val="96"/>
              </w:rPr>
              <w:t>Note</w:t>
            </w:r>
          </w:p>
        </w:tc>
        <w:tc>
          <w:tcPr>
            <w:tcW w:w="18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8"/>
              </w:rPr>
              <w:t>reported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to FRS</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reported</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reported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to FRS</w:t>
            </w:r>
          </w:p>
        </w:tc>
        <w:tc>
          <w:tcPr>
            <w:tcW w:w="96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auto"/>
                <w:w w:val="98"/>
              </w:rPr>
              <w:t>reported</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9"/>
              </w:rPr>
              <w:t>under</w:t>
            </w:r>
          </w:p>
        </w:tc>
        <w:tc>
          <w:tcPr>
            <w:tcW w:w="9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under</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under</w:t>
            </w:r>
          </w:p>
        </w:tc>
        <w:tc>
          <w:tcPr>
            <w:tcW w:w="920" w:type="dxa"/>
            <w:vAlign w:val="bottom"/>
          </w:tcPr>
          <w:p>
            <w:pPr>
              <w:spacing w:after="0"/>
              <w:rPr>
                <w:sz w:val="11"/>
                <w:szCs w:val="11"/>
                <w:color w:val="auto"/>
              </w:rPr>
            </w:pPr>
          </w:p>
        </w:tc>
        <w:tc>
          <w:tcPr>
            <w:tcW w:w="96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auto"/>
                <w:w w:val="97"/>
              </w:rPr>
              <w:t>under FRS</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5"/>
              </w:rPr>
              <w:t>previous</w:t>
            </w:r>
          </w:p>
        </w:tc>
        <w:tc>
          <w:tcPr>
            <w:tcW w:w="9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FRS</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previous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17"/>
              <w:spacing w:after="0"/>
              <w:rPr>
                <w:sz w:val="20"/>
                <w:szCs w:val="20"/>
                <w:color w:val="auto"/>
              </w:rPr>
            </w:pPr>
            <w:r>
              <w:rPr>
                <w:rFonts w:ascii="Arial" w:cs="Arial" w:eastAsia="Arial" w:hAnsi="Arial"/>
                <w:sz w:val="13"/>
                <w:szCs w:val="13"/>
                <w:b w:val="1"/>
                <w:bCs w:val="1"/>
                <w:color w:val="auto"/>
                <w:w w:val="95"/>
              </w:rPr>
              <w:t>GAAP</w:t>
            </w: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GAAP</w:t>
            </w: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94"/>
              </w:rPr>
              <w:t>(US$</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4"/>
              </w:rPr>
              <w:t>(US$</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4"/>
              </w:rPr>
              <w:t>(US$</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4"/>
              </w:rPr>
              <w:t>(US$</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4"/>
              </w:rPr>
              <w:t>(US$</w:t>
            </w:r>
          </w:p>
        </w:tc>
        <w:tc>
          <w:tcPr>
            <w:tcW w:w="960" w:type="dxa"/>
            <w:vAlign w:val="bottom"/>
            <w:gridSpan w:val="2"/>
          </w:tcPr>
          <w:p>
            <w:pPr>
              <w:jc w:val="center"/>
              <w:ind w:left="57"/>
              <w:spacing w:after="0" w:line="135" w:lineRule="exact"/>
              <w:rPr>
                <w:sz w:val="20"/>
                <w:szCs w:val="20"/>
                <w:color w:val="auto"/>
              </w:rPr>
            </w:pPr>
            <w:r>
              <w:rPr>
                <w:rFonts w:ascii="Arial" w:cs="Arial" w:eastAsia="Arial" w:hAnsi="Arial"/>
                <w:sz w:val="13"/>
                <w:szCs w:val="13"/>
                <w:color w:val="auto"/>
                <w:w w:val="94"/>
              </w:rPr>
              <w:t>(US$</w:t>
            </w:r>
          </w:p>
        </w:tc>
        <w:tc>
          <w:tcPr>
            <w:tcW w:w="0" w:type="dxa"/>
            <w:vAlign w:val="bottom"/>
          </w:tcPr>
          <w:p>
            <w:pPr>
              <w:spacing w:after="0"/>
              <w:rPr>
                <w:sz w:val="1"/>
                <w:szCs w:val="1"/>
                <w:color w:val="auto"/>
              </w:rPr>
            </w:pPr>
          </w:p>
        </w:tc>
      </w:tr>
      <w:tr>
        <w:trPr>
          <w:trHeight w:val="141"/>
        </w:trPr>
        <w:tc>
          <w:tcPr>
            <w:tcW w:w="17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97"/>
              <w:spacing w:after="0" w:line="141" w:lineRule="exact"/>
              <w:rPr>
                <w:sz w:val="20"/>
                <w:szCs w:val="20"/>
                <w:color w:val="auto"/>
              </w:rPr>
            </w:pPr>
            <w:r>
              <w:rPr>
                <w:rFonts w:ascii="Arial" w:cs="Arial" w:eastAsia="Arial" w:hAnsi="Arial"/>
                <w:sz w:val="13"/>
                <w:szCs w:val="13"/>
                <w:color w:val="auto"/>
                <w:w w:val="96"/>
              </w:rPr>
              <w:t>millions)</w:t>
            </w:r>
          </w:p>
        </w:tc>
        <w:tc>
          <w:tcPr>
            <w:tcW w:w="920" w:type="dxa"/>
            <w:vAlign w:val="bottom"/>
          </w:tcPr>
          <w:p>
            <w:pPr>
              <w:jc w:val="center"/>
              <w:spacing w:after="0" w:line="141" w:lineRule="exact"/>
              <w:rPr>
                <w:sz w:val="20"/>
                <w:szCs w:val="20"/>
                <w:color w:val="auto"/>
              </w:rPr>
            </w:pPr>
            <w:r>
              <w:rPr>
                <w:rFonts w:ascii="Arial" w:cs="Arial" w:eastAsia="Arial" w:hAnsi="Arial"/>
                <w:sz w:val="13"/>
                <w:szCs w:val="13"/>
                <w:color w:val="auto"/>
                <w:w w:val="96"/>
              </w:rPr>
              <w:t>millions)</w:t>
            </w:r>
          </w:p>
        </w:tc>
        <w:tc>
          <w:tcPr>
            <w:tcW w:w="1000" w:type="dxa"/>
            <w:vAlign w:val="bottom"/>
          </w:tcPr>
          <w:p>
            <w:pPr>
              <w:jc w:val="center"/>
              <w:spacing w:after="0" w:line="141" w:lineRule="exact"/>
              <w:rPr>
                <w:sz w:val="20"/>
                <w:szCs w:val="20"/>
                <w:color w:val="auto"/>
              </w:rPr>
            </w:pPr>
            <w:r>
              <w:rPr>
                <w:rFonts w:ascii="Arial" w:cs="Arial" w:eastAsia="Arial" w:hAnsi="Arial"/>
                <w:sz w:val="13"/>
                <w:szCs w:val="13"/>
                <w:color w:val="auto"/>
              </w:rPr>
              <w:t>millions)</w:t>
            </w:r>
          </w:p>
        </w:tc>
        <w:tc>
          <w:tcPr>
            <w:tcW w:w="1060" w:type="dxa"/>
            <w:vAlign w:val="bottom"/>
          </w:tcPr>
          <w:p>
            <w:pPr>
              <w:jc w:val="center"/>
              <w:spacing w:after="0" w:line="141" w:lineRule="exact"/>
              <w:rPr>
                <w:sz w:val="20"/>
                <w:szCs w:val="20"/>
                <w:color w:val="auto"/>
              </w:rPr>
            </w:pPr>
            <w:r>
              <w:rPr>
                <w:rFonts w:ascii="Arial" w:cs="Arial" w:eastAsia="Arial" w:hAnsi="Arial"/>
                <w:sz w:val="13"/>
                <w:szCs w:val="13"/>
                <w:color w:val="auto"/>
                <w:w w:val="96"/>
              </w:rPr>
              <w:t>millions)</w:t>
            </w:r>
          </w:p>
        </w:tc>
        <w:tc>
          <w:tcPr>
            <w:tcW w:w="920" w:type="dxa"/>
            <w:vAlign w:val="bottom"/>
          </w:tcPr>
          <w:p>
            <w:pPr>
              <w:jc w:val="center"/>
              <w:spacing w:after="0" w:line="141" w:lineRule="exact"/>
              <w:rPr>
                <w:sz w:val="20"/>
                <w:szCs w:val="20"/>
                <w:color w:val="auto"/>
              </w:rPr>
            </w:pPr>
            <w:r>
              <w:rPr>
                <w:rFonts w:ascii="Arial" w:cs="Arial" w:eastAsia="Arial" w:hAnsi="Arial"/>
                <w:sz w:val="13"/>
                <w:szCs w:val="13"/>
                <w:color w:val="auto"/>
                <w:w w:val="96"/>
              </w:rPr>
              <w:t>millions)</w:t>
            </w:r>
          </w:p>
        </w:tc>
        <w:tc>
          <w:tcPr>
            <w:tcW w:w="960" w:type="dxa"/>
            <w:vAlign w:val="bottom"/>
            <w:gridSpan w:val="2"/>
          </w:tcPr>
          <w:p>
            <w:pPr>
              <w:jc w:val="center"/>
              <w:ind w:left="37"/>
              <w:spacing w:after="0" w:line="141" w:lineRule="exact"/>
              <w:rPr>
                <w:sz w:val="20"/>
                <w:szCs w:val="20"/>
                <w:color w:val="auto"/>
              </w:rPr>
            </w:pPr>
            <w:r>
              <w:rPr>
                <w:rFonts w:ascii="Arial" w:cs="Arial" w:eastAsia="Arial" w:hAnsi="Arial"/>
                <w:sz w:val="13"/>
                <w:szCs w:val="13"/>
                <w:color w:val="auto"/>
                <w:w w:val="96"/>
              </w:rPr>
              <w:t>millions)</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b w:val="1"/>
                <w:bCs w:val="1"/>
                <w:color w:val="auto"/>
              </w:rPr>
              <w:t>Current assets</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w:t>
            </w:r>
          </w:p>
        </w:tc>
        <w:tc>
          <w:tcPr>
            <w:tcW w:w="9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3,097</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3,097</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1,822</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Trade receivables, net</w:t>
            </w:r>
          </w:p>
        </w:tc>
        <w:tc>
          <w:tcPr>
            <w:tcW w:w="940" w:type="dxa"/>
            <w:vAlign w:val="bottom"/>
          </w:tcPr>
          <w:p>
            <w:pPr>
              <w:spacing w:after="0"/>
              <w:rPr>
                <w:sz w:val="11"/>
                <w:szCs w:val="11"/>
                <w:color w:val="auto"/>
              </w:rPr>
            </w:pPr>
          </w:p>
        </w:tc>
        <w:tc>
          <w:tcPr>
            <w:tcW w:w="100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2,181</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2,180</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1,019</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Inventories</w:t>
            </w:r>
          </w:p>
        </w:tc>
        <w:tc>
          <w:tcPr>
            <w:tcW w:w="9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1,400</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1,400</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524</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Other current assets</w:t>
            </w:r>
          </w:p>
        </w:tc>
        <w:tc>
          <w:tcPr>
            <w:tcW w:w="94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w w:val="98"/>
              </w:rPr>
              <w:t>A1, A2</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447</w:t>
            </w:r>
          </w:p>
        </w:tc>
        <w:tc>
          <w:tcPr>
            <w:tcW w:w="920" w:type="dxa"/>
            <w:vAlign w:val="bottom"/>
            <w:tcBorders>
              <w:bottom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(24)</w:t>
            </w:r>
          </w:p>
        </w:tc>
        <w:tc>
          <w:tcPr>
            <w:tcW w:w="1000" w:type="dxa"/>
            <w:vAlign w:val="bottom"/>
            <w:tcBorders>
              <w:bottom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423</w:t>
            </w:r>
          </w:p>
        </w:tc>
        <w:tc>
          <w:tcPr>
            <w:tcW w:w="1060" w:type="dxa"/>
            <w:vAlign w:val="bottom"/>
            <w:tcBorders>
              <w:bottom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394</w:t>
            </w:r>
          </w:p>
        </w:tc>
        <w:tc>
          <w:tcPr>
            <w:tcW w:w="920" w:type="dxa"/>
            <w:vAlign w:val="bottom"/>
            <w:tcBorders>
              <w:bottom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(136)</w:t>
            </w: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7,125</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(25)</w:t>
            </w:r>
          </w:p>
        </w:tc>
        <w:tc>
          <w:tcPr>
            <w:tcW w:w="10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7,100</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3,759</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(136)</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220" w:type="dxa"/>
            <w:vAlign w:val="bottom"/>
            <w:gridSpan w:val="2"/>
          </w:tcPr>
          <w:p>
            <w:pPr>
              <w:ind w:left="1760"/>
              <w:spacing w:after="0"/>
              <w:rPr>
                <w:sz w:val="20"/>
                <w:szCs w:val="20"/>
                <w:color w:val="auto"/>
              </w:rPr>
            </w:pPr>
            <w:r>
              <w:rPr>
                <w:rFonts w:ascii="Arial" w:cs="Arial" w:eastAsia="Arial" w:hAnsi="Arial"/>
                <w:sz w:val="13"/>
                <w:szCs w:val="13"/>
                <w:color w:val="auto"/>
              </w:rPr>
              <w:t>Assets of disposal group classified as</w:t>
            </w:r>
          </w:p>
        </w:tc>
        <w:tc>
          <w:tcPr>
            <w:tcW w:w="940" w:type="dxa"/>
            <w:vAlign w:val="bottom"/>
            <w:vMerge w:val="restart"/>
          </w:tcPr>
          <w:p>
            <w:pPr>
              <w:jc w:val="center"/>
              <w:ind w:left="157"/>
              <w:spacing w:after="0"/>
              <w:rPr>
                <w:sz w:val="20"/>
                <w:szCs w:val="20"/>
                <w:color w:val="auto"/>
              </w:rPr>
            </w:pPr>
            <w:r>
              <w:rPr>
                <w:rFonts w:ascii="Arial" w:cs="Arial" w:eastAsia="Arial" w:hAnsi="Arial"/>
                <w:sz w:val="13"/>
                <w:szCs w:val="13"/>
                <w:b w:val="1"/>
                <w:bCs w:val="1"/>
                <w:color w:val="auto"/>
                <w:w w:val="96"/>
              </w:rPr>
              <w:t>A1</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460" w:type="dxa"/>
            <w:vAlign w:val="bottom"/>
          </w:tcPr>
          <w:p>
            <w:pPr>
              <w:ind w:left="120"/>
              <w:spacing w:after="0" w:line="141" w:lineRule="exact"/>
              <w:rPr>
                <w:sz w:val="20"/>
                <w:szCs w:val="20"/>
                <w:color w:val="auto"/>
              </w:rPr>
            </w:pPr>
            <w:r>
              <w:rPr>
                <w:rFonts w:ascii="Arial" w:cs="Arial" w:eastAsia="Arial" w:hAnsi="Arial"/>
                <w:sz w:val="13"/>
                <w:szCs w:val="13"/>
                <w:color w:val="auto"/>
              </w:rPr>
              <w:t>held-for-sale</w:t>
            </w: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24</w:t>
            </w:r>
          </w:p>
        </w:tc>
        <w:tc>
          <w:tcPr>
            <w:tcW w:w="1000" w:type="dxa"/>
            <w:vAlign w:val="bottom"/>
            <w:tcBorders>
              <w:bottom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24</w:t>
            </w:r>
          </w:p>
        </w:tc>
        <w:tc>
          <w:tcPr>
            <w:tcW w:w="1060" w:type="dxa"/>
            <w:vAlign w:val="bottom"/>
            <w:tcBorders>
              <w:bottom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21</w:t>
            </w:r>
          </w:p>
        </w:tc>
        <w:tc>
          <w:tcPr>
            <w:tcW w:w="9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7,125</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w:t>
            </w:r>
          </w:p>
        </w:tc>
        <w:tc>
          <w:tcPr>
            <w:tcW w:w="10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7,124</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3,759</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(115)</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3,644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4220" w:type="dxa"/>
            <w:vAlign w:val="bottom"/>
            <w:gridSpan w:val="2"/>
          </w:tcPr>
          <w:p>
            <w:pPr>
              <w:ind w:left="1760"/>
              <w:spacing w:after="0"/>
              <w:rPr>
                <w:sz w:val="20"/>
                <w:szCs w:val="20"/>
                <w:color w:val="auto"/>
              </w:rPr>
            </w:pPr>
            <w:r>
              <w:rPr>
                <w:rFonts w:ascii="Arial" w:cs="Arial" w:eastAsia="Arial" w:hAnsi="Arial"/>
                <w:sz w:val="13"/>
                <w:szCs w:val="13"/>
                <w:b w:val="1"/>
                <w:bCs w:val="1"/>
                <w:color w:val="auto"/>
              </w:rPr>
              <w:t>Non-current assets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plant and equipment</w:t>
            </w:r>
          </w:p>
        </w:tc>
        <w:tc>
          <w:tcPr>
            <w:tcW w:w="9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2,509</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2,509</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1,460</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1,460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Goodwill</w:t>
            </w:r>
          </w:p>
        </w:tc>
        <w:tc>
          <w:tcPr>
            <w:tcW w:w="940" w:type="dxa"/>
            <w:vAlign w:val="bottom"/>
          </w:tcPr>
          <w:p>
            <w:pPr>
              <w:spacing w:after="0"/>
              <w:rPr>
                <w:sz w:val="11"/>
                <w:szCs w:val="11"/>
                <w:color w:val="auto"/>
              </w:rPr>
            </w:pPr>
          </w:p>
        </w:tc>
        <w:tc>
          <w:tcPr>
            <w:tcW w:w="100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24,732</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24,732</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1,674</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1,674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Intangible assets, net</w:t>
            </w:r>
          </w:p>
        </w:tc>
        <w:tc>
          <w:tcPr>
            <w:tcW w:w="9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15,068</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15,068</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3,277</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3,277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Other long-term assets</w:t>
            </w:r>
          </w:p>
        </w:tc>
        <w:tc>
          <w:tcPr>
            <w:tcW w:w="94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w w:val="96"/>
              </w:rPr>
              <w:t>A2</w:t>
            </w:r>
          </w:p>
        </w:tc>
        <w:tc>
          <w:tcPr>
            <w:tcW w:w="100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532</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(308)</w:t>
            </w:r>
          </w:p>
        </w:tc>
        <w:tc>
          <w:tcPr>
            <w:tcW w:w="10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224</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345</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(208)</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Deferred income tax assets</w:t>
            </w:r>
          </w:p>
        </w:tc>
        <w:tc>
          <w:tcPr>
            <w:tcW w:w="940" w:type="dxa"/>
            <w:vAlign w:val="bottom"/>
            <w:shd w:val="clear" w:color="auto" w:fill="CCEEFF"/>
          </w:tcPr>
          <w:p>
            <w:pPr>
              <w:jc w:val="center"/>
              <w:ind w:left="157"/>
              <w:spacing w:after="0" w:line="135" w:lineRule="exact"/>
              <w:rPr>
                <w:sz w:val="20"/>
                <w:szCs w:val="20"/>
                <w:color w:val="auto"/>
              </w:rPr>
            </w:pPr>
            <w:r>
              <w:rPr>
                <w:rFonts w:ascii="Arial" w:cs="Arial" w:eastAsia="Arial" w:hAnsi="Arial"/>
                <w:sz w:val="13"/>
                <w:szCs w:val="13"/>
                <w:b w:val="1"/>
                <w:bCs w:val="1"/>
                <w:color w:val="auto"/>
                <w:w w:val="96"/>
              </w:rPr>
              <w:t>A2</w:t>
            </w:r>
          </w:p>
        </w:tc>
        <w:tc>
          <w:tcPr>
            <w:tcW w:w="18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308</w:t>
            </w:r>
          </w:p>
        </w:tc>
        <w:tc>
          <w:tcPr>
            <w:tcW w:w="100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308</w:t>
            </w:r>
          </w:p>
        </w:tc>
        <w:tc>
          <w:tcPr>
            <w:tcW w:w="106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323</w:t>
            </w: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42,841</w:t>
            </w:r>
          </w:p>
        </w:tc>
        <w:tc>
          <w:tcPr>
            <w:tcW w:w="92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42,841</w:t>
            </w:r>
          </w:p>
        </w:tc>
        <w:tc>
          <w:tcPr>
            <w:tcW w:w="106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6,756</w:t>
            </w:r>
          </w:p>
        </w:tc>
        <w:tc>
          <w:tcPr>
            <w:tcW w:w="92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115</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6,871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9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49,966</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49,965</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10,515</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Basis of preparation </w:t>
      </w:r>
      <w:r>
        <w:rPr>
          <w:rFonts w:ascii="Arial" w:cs="Arial" w:eastAsia="Arial" w:hAnsi="Arial"/>
          <w:sz w:val="17"/>
          <w:szCs w:val="17"/>
          <w:color w:val="auto"/>
        </w:rPr>
        <w:t>(continued)</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FRS 101 first-time adoption of Financial Reporting Standards </w:t>
      </w:r>
      <w:r>
        <w:rPr>
          <w:rFonts w:ascii="Arial" w:cs="Arial" w:eastAsia="Arial" w:hAnsi="Arial"/>
          <w:sz w:val="18"/>
          <w:szCs w:val="18"/>
          <w:color w:val="auto"/>
        </w:rPr>
        <w:t>(continued)</w:t>
      </w:r>
    </w:p>
    <w:p>
      <w:pPr>
        <w:spacing w:after="0" w:line="148" w:lineRule="exact"/>
        <w:rPr>
          <w:sz w:val="20"/>
          <w:szCs w:val="20"/>
          <w:color w:val="auto"/>
        </w:rPr>
      </w:pPr>
    </w:p>
    <w:p>
      <w:pPr>
        <w:ind w:left="1620" w:hanging="538"/>
        <w:spacing w:after="0"/>
        <w:tabs>
          <w:tab w:leader="none" w:pos="1620" w:val="left"/>
        </w:tabs>
        <w:numPr>
          <w:ilvl w:val="0"/>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Summary of financial impact </w:t>
      </w:r>
      <w:r>
        <w:rPr>
          <w:rFonts w:ascii="Arial" w:cs="Arial" w:eastAsia="Arial" w:hAnsi="Arial"/>
          <w:sz w:val="18"/>
          <w:szCs w:val="18"/>
          <w:color w:val="auto"/>
        </w:rPr>
        <w:t>(continued)</w:t>
      </w:r>
    </w:p>
    <w:p>
      <w:pPr>
        <w:spacing w:after="0" w:line="256"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Reconciliation of the Group’s equity reported in accordance with the previous GAAP to FRS (continued)</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b w:val="1"/>
                <w:bCs w:val="1"/>
                <w:color w:val="auto"/>
              </w:rPr>
              <w:t>Expla-</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30 October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Effect of</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30 October</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2 November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Effect of</w:t>
            </w:r>
          </w:p>
        </w:tc>
        <w:tc>
          <w:tcPr>
            <w:tcW w:w="96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w w:val="96"/>
              </w:rPr>
              <w:t>2 November</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natory</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2016</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transition</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2016</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2015</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transition</w:t>
            </w:r>
          </w:p>
        </w:tc>
        <w:tc>
          <w:tcPr>
            <w:tcW w:w="920" w:type="dxa"/>
            <w:vAlign w:val="bottom"/>
          </w:tcPr>
          <w:p>
            <w:pPr>
              <w:jc w:val="center"/>
              <w:ind w:left="97"/>
              <w:spacing w:after="0" w:line="135" w:lineRule="exact"/>
              <w:rPr>
                <w:sz w:val="20"/>
                <w:szCs w:val="20"/>
                <w:color w:val="auto"/>
              </w:rPr>
            </w:pPr>
            <w:r>
              <w:rPr>
                <w:rFonts w:ascii="Arial" w:cs="Arial" w:eastAsia="Arial" w:hAnsi="Arial"/>
                <w:sz w:val="13"/>
                <w:szCs w:val="13"/>
                <w:b w:val="1"/>
                <w:bCs w:val="1"/>
                <w:color w:val="auto"/>
                <w:w w:val="96"/>
              </w:rPr>
              <w:t>2015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Note</w:t>
            </w:r>
          </w:p>
        </w:tc>
        <w:tc>
          <w:tcPr>
            <w:tcW w:w="18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8"/>
              </w:rPr>
              <w:t>reported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to FRS</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reported</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reported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to FRS</w:t>
            </w:r>
          </w:p>
        </w:tc>
        <w:tc>
          <w:tcPr>
            <w:tcW w:w="96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auto"/>
                <w:w w:val="98"/>
              </w:rPr>
              <w:t>reported</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9"/>
              </w:rPr>
              <w:t>under</w:t>
            </w:r>
          </w:p>
        </w:tc>
        <w:tc>
          <w:tcPr>
            <w:tcW w:w="9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 FRS</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under</w:t>
            </w:r>
          </w:p>
        </w:tc>
        <w:tc>
          <w:tcPr>
            <w:tcW w:w="920" w:type="dxa"/>
            <w:vAlign w:val="bottom"/>
          </w:tcPr>
          <w:p>
            <w:pPr>
              <w:spacing w:after="0"/>
              <w:rPr>
                <w:sz w:val="11"/>
                <w:szCs w:val="11"/>
                <w:color w:val="auto"/>
              </w:rPr>
            </w:pPr>
          </w:p>
        </w:tc>
        <w:tc>
          <w:tcPr>
            <w:tcW w:w="96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auto"/>
                <w:w w:val="97"/>
              </w:rPr>
              <w:t>under FRS</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5"/>
              </w:rPr>
              <w:t>previous</w:t>
            </w: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previous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7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17"/>
              <w:spacing w:after="0"/>
              <w:rPr>
                <w:sz w:val="20"/>
                <w:szCs w:val="20"/>
                <w:color w:val="auto"/>
              </w:rPr>
            </w:pPr>
            <w:r>
              <w:rPr>
                <w:rFonts w:ascii="Arial" w:cs="Arial" w:eastAsia="Arial" w:hAnsi="Arial"/>
                <w:sz w:val="13"/>
                <w:szCs w:val="13"/>
                <w:b w:val="1"/>
                <w:bCs w:val="1"/>
                <w:color w:val="auto"/>
                <w:w w:val="95"/>
              </w:rPr>
              <w:t>GAAP</w:t>
            </w: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GAAP</w:t>
            </w: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94"/>
              </w:rPr>
              <w:t>(US$</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4"/>
              </w:rPr>
              <w:t>(US$</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4"/>
              </w:rPr>
              <w:t>(US$</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4"/>
              </w:rPr>
              <w:t>(US$</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4"/>
              </w:rPr>
              <w:t>(US$</w:t>
            </w:r>
          </w:p>
        </w:tc>
        <w:tc>
          <w:tcPr>
            <w:tcW w:w="960" w:type="dxa"/>
            <w:vAlign w:val="bottom"/>
            <w:gridSpan w:val="2"/>
          </w:tcPr>
          <w:p>
            <w:pPr>
              <w:jc w:val="center"/>
              <w:ind w:left="57"/>
              <w:spacing w:after="0" w:line="135" w:lineRule="exact"/>
              <w:rPr>
                <w:sz w:val="20"/>
                <w:szCs w:val="20"/>
                <w:color w:val="auto"/>
              </w:rPr>
            </w:pPr>
            <w:r>
              <w:rPr>
                <w:rFonts w:ascii="Arial" w:cs="Arial" w:eastAsia="Arial" w:hAnsi="Arial"/>
                <w:sz w:val="13"/>
                <w:szCs w:val="13"/>
                <w:color w:val="auto"/>
                <w:w w:val="94"/>
              </w:rPr>
              <w:t>(US$</w:t>
            </w:r>
          </w:p>
        </w:tc>
        <w:tc>
          <w:tcPr>
            <w:tcW w:w="0" w:type="dxa"/>
            <w:vAlign w:val="bottom"/>
          </w:tcPr>
          <w:p>
            <w:pPr>
              <w:spacing w:after="0"/>
              <w:rPr>
                <w:sz w:val="1"/>
                <w:szCs w:val="1"/>
                <w:color w:val="auto"/>
              </w:rPr>
            </w:pPr>
          </w:p>
        </w:tc>
      </w:tr>
      <w:tr>
        <w:trPr>
          <w:trHeight w:val="141"/>
        </w:trPr>
        <w:tc>
          <w:tcPr>
            <w:tcW w:w="17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97"/>
              <w:spacing w:after="0" w:line="141" w:lineRule="exact"/>
              <w:rPr>
                <w:sz w:val="20"/>
                <w:szCs w:val="20"/>
                <w:color w:val="auto"/>
              </w:rPr>
            </w:pPr>
            <w:r>
              <w:rPr>
                <w:rFonts w:ascii="Arial" w:cs="Arial" w:eastAsia="Arial" w:hAnsi="Arial"/>
                <w:sz w:val="13"/>
                <w:szCs w:val="13"/>
                <w:color w:val="auto"/>
                <w:w w:val="96"/>
              </w:rPr>
              <w:t>millions)</w:t>
            </w:r>
          </w:p>
        </w:tc>
        <w:tc>
          <w:tcPr>
            <w:tcW w:w="920" w:type="dxa"/>
            <w:vAlign w:val="bottom"/>
          </w:tcPr>
          <w:p>
            <w:pPr>
              <w:jc w:val="center"/>
              <w:spacing w:after="0" w:line="141" w:lineRule="exact"/>
              <w:rPr>
                <w:sz w:val="20"/>
                <w:szCs w:val="20"/>
                <w:color w:val="auto"/>
              </w:rPr>
            </w:pPr>
            <w:r>
              <w:rPr>
                <w:rFonts w:ascii="Arial" w:cs="Arial" w:eastAsia="Arial" w:hAnsi="Arial"/>
                <w:sz w:val="13"/>
                <w:szCs w:val="13"/>
                <w:color w:val="auto"/>
                <w:w w:val="96"/>
              </w:rPr>
              <w:t>millions)</w:t>
            </w:r>
          </w:p>
        </w:tc>
        <w:tc>
          <w:tcPr>
            <w:tcW w:w="1000" w:type="dxa"/>
            <w:vAlign w:val="bottom"/>
          </w:tcPr>
          <w:p>
            <w:pPr>
              <w:jc w:val="center"/>
              <w:spacing w:after="0" w:line="141" w:lineRule="exact"/>
              <w:rPr>
                <w:sz w:val="20"/>
                <w:szCs w:val="20"/>
                <w:color w:val="auto"/>
              </w:rPr>
            </w:pPr>
            <w:r>
              <w:rPr>
                <w:rFonts w:ascii="Arial" w:cs="Arial" w:eastAsia="Arial" w:hAnsi="Arial"/>
                <w:sz w:val="13"/>
                <w:szCs w:val="13"/>
                <w:color w:val="auto"/>
              </w:rPr>
              <w:t>millions)</w:t>
            </w:r>
          </w:p>
        </w:tc>
        <w:tc>
          <w:tcPr>
            <w:tcW w:w="1060" w:type="dxa"/>
            <w:vAlign w:val="bottom"/>
          </w:tcPr>
          <w:p>
            <w:pPr>
              <w:jc w:val="center"/>
              <w:spacing w:after="0" w:line="141" w:lineRule="exact"/>
              <w:rPr>
                <w:sz w:val="20"/>
                <w:szCs w:val="20"/>
                <w:color w:val="auto"/>
              </w:rPr>
            </w:pPr>
            <w:r>
              <w:rPr>
                <w:rFonts w:ascii="Arial" w:cs="Arial" w:eastAsia="Arial" w:hAnsi="Arial"/>
                <w:sz w:val="13"/>
                <w:szCs w:val="13"/>
                <w:color w:val="auto"/>
                <w:w w:val="96"/>
              </w:rPr>
              <w:t>millions)</w:t>
            </w:r>
          </w:p>
        </w:tc>
        <w:tc>
          <w:tcPr>
            <w:tcW w:w="920" w:type="dxa"/>
            <w:vAlign w:val="bottom"/>
          </w:tcPr>
          <w:p>
            <w:pPr>
              <w:jc w:val="center"/>
              <w:spacing w:after="0" w:line="141" w:lineRule="exact"/>
              <w:rPr>
                <w:sz w:val="20"/>
                <w:szCs w:val="20"/>
                <w:color w:val="auto"/>
              </w:rPr>
            </w:pPr>
            <w:r>
              <w:rPr>
                <w:rFonts w:ascii="Arial" w:cs="Arial" w:eastAsia="Arial" w:hAnsi="Arial"/>
                <w:sz w:val="13"/>
                <w:szCs w:val="13"/>
                <w:color w:val="auto"/>
                <w:w w:val="96"/>
              </w:rPr>
              <w:t>millions)</w:t>
            </w:r>
          </w:p>
        </w:tc>
        <w:tc>
          <w:tcPr>
            <w:tcW w:w="960" w:type="dxa"/>
            <w:vAlign w:val="bottom"/>
            <w:gridSpan w:val="2"/>
          </w:tcPr>
          <w:p>
            <w:pPr>
              <w:jc w:val="center"/>
              <w:ind w:left="37"/>
              <w:spacing w:after="0" w:line="141" w:lineRule="exact"/>
              <w:rPr>
                <w:sz w:val="20"/>
                <w:szCs w:val="20"/>
                <w:color w:val="auto"/>
              </w:rPr>
            </w:pPr>
            <w:r>
              <w:rPr>
                <w:rFonts w:ascii="Arial" w:cs="Arial" w:eastAsia="Arial" w:hAnsi="Arial"/>
                <w:sz w:val="13"/>
                <w:szCs w:val="13"/>
                <w:color w:val="auto"/>
                <w:w w:val="96"/>
              </w:rPr>
              <w:t>millions)</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tcPr>
          <w:p>
            <w:pPr>
              <w:spacing w:after="0" w:line="135" w:lineRule="exact"/>
              <w:rPr>
                <w:sz w:val="20"/>
                <w:szCs w:val="20"/>
                <w:color w:val="auto"/>
              </w:rPr>
            </w:pPr>
            <w:r>
              <w:rPr>
                <w:rFonts w:ascii="Arial" w:cs="Arial" w:eastAsia="Arial" w:hAnsi="Arial"/>
                <w:sz w:val="13"/>
                <w:szCs w:val="13"/>
                <w:b w:val="1"/>
                <w:bCs w:val="1"/>
                <w:color w:val="auto"/>
              </w:rPr>
              <w:t>Current liabilities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Trade payables</w:t>
            </w:r>
          </w:p>
        </w:tc>
        <w:tc>
          <w:tcPr>
            <w:tcW w:w="7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1,261</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1,261</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617</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tcPr>
          <w:p>
            <w:pPr>
              <w:spacing w:after="0" w:line="135" w:lineRule="exact"/>
              <w:rPr>
                <w:sz w:val="20"/>
                <w:szCs w:val="20"/>
                <w:color w:val="auto"/>
              </w:rPr>
            </w:pPr>
            <w:r>
              <w:rPr>
                <w:rFonts w:ascii="Arial" w:cs="Arial" w:eastAsia="Arial" w:hAnsi="Arial"/>
                <w:sz w:val="13"/>
                <w:szCs w:val="13"/>
                <w:color w:val="auto"/>
              </w:rPr>
              <w:t>Current income tax liabilities</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A2</w:t>
            </w:r>
          </w:p>
        </w:tc>
        <w:tc>
          <w:tcPr>
            <w:tcW w:w="100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886</w:t>
            </w:r>
          </w:p>
        </w:tc>
        <w:tc>
          <w:tcPr>
            <w:tcW w:w="10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886</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289</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60" w:type="dxa"/>
            <w:vAlign w:val="bottom"/>
          </w:tcPr>
          <w:p>
            <w:pPr>
              <w:spacing w:after="0"/>
              <w:rPr>
                <w:sz w:val="11"/>
                <w:szCs w:val="11"/>
                <w:color w:val="auto"/>
              </w:rPr>
            </w:pPr>
          </w:p>
        </w:tc>
        <w:tc>
          <w:tcPr>
            <w:tcW w:w="26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Borrowings – Current portion of long-term</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760" w:type="dxa"/>
            <w:vAlign w:val="bottom"/>
          </w:tcPr>
          <w:p>
            <w:pPr>
              <w:spacing w:after="0"/>
              <w:rPr>
                <w:sz w:val="12"/>
                <w:szCs w:val="12"/>
                <w:color w:val="auto"/>
              </w:rPr>
            </w:pPr>
          </w:p>
        </w:tc>
        <w:tc>
          <w:tcPr>
            <w:tcW w:w="264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debts</w:t>
            </w:r>
          </w:p>
        </w:tc>
        <w:tc>
          <w:tcPr>
            <w:tcW w:w="7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7"/>
              <w:spacing w:after="0" w:line="141" w:lineRule="exact"/>
              <w:rPr>
                <w:sz w:val="20"/>
                <w:szCs w:val="20"/>
                <w:color w:val="auto"/>
              </w:rPr>
            </w:pPr>
            <w:r>
              <w:rPr>
                <w:rFonts w:ascii="Arial" w:cs="Arial" w:eastAsia="Arial" w:hAnsi="Arial"/>
                <w:sz w:val="13"/>
                <w:szCs w:val="13"/>
                <w:color w:val="auto"/>
              </w:rPr>
              <w:t>454</w:t>
            </w:r>
          </w:p>
        </w:tc>
        <w:tc>
          <w:tcPr>
            <w:tcW w:w="920" w:type="dxa"/>
            <w:vAlign w:val="bottom"/>
            <w:shd w:val="clear" w:color="auto" w:fill="CCEEFF"/>
          </w:tcPr>
          <w:p>
            <w:pPr>
              <w:jc w:val="right"/>
              <w:ind w:right="97"/>
              <w:spacing w:after="0" w:line="141"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7"/>
              <w:spacing w:after="0" w:line="141" w:lineRule="exact"/>
              <w:rPr>
                <w:sz w:val="20"/>
                <w:szCs w:val="20"/>
                <w:color w:val="auto"/>
              </w:rPr>
            </w:pPr>
            <w:r>
              <w:rPr>
                <w:rFonts w:ascii="Arial" w:cs="Arial" w:eastAsia="Arial" w:hAnsi="Arial"/>
                <w:sz w:val="13"/>
                <w:szCs w:val="13"/>
                <w:color w:val="auto"/>
              </w:rPr>
              <w:t>454</w:t>
            </w:r>
          </w:p>
        </w:tc>
        <w:tc>
          <w:tcPr>
            <w:tcW w:w="1060" w:type="dxa"/>
            <w:vAlign w:val="bottom"/>
            <w:shd w:val="clear" w:color="auto" w:fill="CCEEFF"/>
          </w:tcPr>
          <w:p>
            <w:pPr>
              <w:jc w:val="right"/>
              <w:ind w:right="97"/>
              <w:spacing w:after="0" w:line="141" w:lineRule="exact"/>
              <w:rPr>
                <w:sz w:val="20"/>
                <w:szCs w:val="20"/>
                <w:color w:val="auto"/>
              </w:rPr>
            </w:pPr>
            <w:r>
              <w:rPr>
                <w:rFonts w:ascii="Arial" w:cs="Arial" w:eastAsia="Arial" w:hAnsi="Arial"/>
                <w:sz w:val="13"/>
                <w:szCs w:val="13"/>
                <w:color w:val="auto"/>
              </w:rPr>
              <w:t>46</w:t>
            </w:r>
          </w:p>
        </w:tc>
        <w:tc>
          <w:tcPr>
            <w:tcW w:w="920" w:type="dxa"/>
            <w:vAlign w:val="bottom"/>
            <w:shd w:val="clear" w:color="auto" w:fill="CCEEFF"/>
          </w:tcPr>
          <w:p>
            <w:pPr>
              <w:jc w:val="right"/>
              <w:ind w:right="97"/>
              <w:spacing w:after="0" w:line="14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tcPr>
          <w:p>
            <w:pPr>
              <w:spacing w:after="0" w:line="135" w:lineRule="exact"/>
              <w:rPr>
                <w:sz w:val="20"/>
                <w:szCs w:val="20"/>
                <w:color w:val="auto"/>
              </w:rPr>
            </w:pPr>
            <w:r>
              <w:rPr>
                <w:rFonts w:ascii="Arial" w:cs="Arial" w:eastAsia="Arial" w:hAnsi="Arial"/>
                <w:sz w:val="13"/>
                <w:szCs w:val="13"/>
                <w:color w:val="auto"/>
              </w:rPr>
              <w:t>Employee compensation and benefits</w:t>
            </w:r>
          </w:p>
        </w:tc>
        <w:tc>
          <w:tcPr>
            <w:tcW w:w="760" w:type="dxa"/>
            <w:vAlign w:val="bottom"/>
          </w:tcPr>
          <w:p>
            <w:pPr>
              <w:spacing w:after="0"/>
              <w:rPr>
                <w:sz w:val="11"/>
                <w:szCs w:val="11"/>
                <w:color w:val="auto"/>
              </w:rPr>
            </w:pPr>
          </w:p>
        </w:tc>
        <w:tc>
          <w:tcPr>
            <w:tcW w:w="100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517</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517</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250</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current liabilities and other provisions</w:t>
            </w:r>
          </w:p>
        </w:tc>
        <w:tc>
          <w:tcPr>
            <w:tcW w:w="7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A2</w:t>
            </w:r>
          </w:p>
        </w:tc>
        <w:tc>
          <w:tcPr>
            <w:tcW w:w="18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846</w:t>
            </w:r>
          </w:p>
        </w:tc>
        <w:tc>
          <w:tcPr>
            <w:tcW w:w="9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(96)</w:t>
            </w:r>
          </w:p>
        </w:tc>
        <w:tc>
          <w:tcPr>
            <w:tcW w:w="100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750</w:t>
            </w:r>
          </w:p>
        </w:tc>
        <w:tc>
          <w:tcPr>
            <w:tcW w:w="106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206</w:t>
            </w:r>
          </w:p>
        </w:tc>
        <w:tc>
          <w:tcPr>
            <w:tcW w:w="9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(15)</w:t>
            </w: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gridSpan w:val="2"/>
          </w:tcPr>
          <w:p>
            <w:pPr>
              <w:jc w:val="right"/>
              <w:ind w:right="97"/>
              <w:spacing w:after="0" w:line="143" w:lineRule="exact"/>
              <w:rPr>
                <w:sz w:val="20"/>
                <w:szCs w:val="20"/>
                <w:color w:val="auto"/>
              </w:rPr>
            </w:pPr>
            <w:r>
              <w:rPr>
                <w:rFonts w:ascii="Arial" w:cs="Arial" w:eastAsia="Arial" w:hAnsi="Arial"/>
                <w:sz w:val="13"/>
                <w:szCs w:val="13"/>
                <w:color w:val="auto"/>
              </w:rPr>
              <w:t>3,078</w:t>
            </w:r>
          </w:p>
        </w:tc>
        <w:tc>
          <w:tcPr>
            <w:tcW w:w="9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790</w:t>
            </w:r>
          </w:p>
        </w:tc>
        <w:tc>
          <w:tcPr>
            <w:tcW w:w="1000" w:type="dxa"/>
            <w:vAlign w:val="bottom"/>
          </w:tcPr>
          <w:p>
            <w:pPr>
              <w:jc w:val="right"/>
              <w:ind w:right="97"/>
              <w:spacing w:after="0" w:line="143" w:lineRule="exact"/>
              <w:rPr>
                <w:sz w:val="20"/>
                <w:szCs w:val="20"/>
                <w:color w:val="auto"/>
              </w:rPr>
            </w:pPr>
            <w:r>
              <w:rPr>
                <w:rFonts w:ascii="Arial" w:cs="Arial" w:eastAsia="Arial" w:hAnsi="Arial"/>
                <w:sz w:val="13"/>
                <w:szCs w:val="13"/>
                <w:color w:val="auto"/>
              </w:rPr>
              <w:t>3,868</w:t>
            </w:r>
          </w:p>
        </w:tc>
        <w:tc>
          <w:tcPr>
            <w:tcW w:w="1060" w:type="dxa"/>
            <w:vAlign w:val="bottom"/>
          </w:tcPr>
          <w:p>
            <w:pPr>
              <w:jc w:val="right"/>
              <w:ind w:right="97"/>
              <w:spacing w:after="0" w:line="143" w:lineRule="exact"/>
              <w:rPr>
                <w:sz w:val="20"/>
                <w:szCs w:val="20"/>
                <w:color w:val="auto"/>
              </w:rPr>
            </w:pPr>
            <w:r>
              <w:rPr>
                <w:rFonts w:ascii="Arial" w:cs="Arial" w:eastAsia="Arial" w:hAnsi="Arial"/>
                <w:sz w:val="13"/>
                <w:szCs w:val="13"/>
                <w:color w:val="auto"/>
              </w:rPr>
              <w:t>1,119</w:t>
            </w:r>
          </w:p>
        </w:tc>
        <w:tc>
          <w:tcPr>
            <w:tcW w:w="9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274</w:t>
            </w: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1,393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Non-current liabilities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tcPr>
          <w:p>
            <w:pPr>
              <w:spacing w:after="0" w:line="135" w:lineRule="exact"/>
              <w:rPr>
                <w:sz w:val="20"/>
                <w:szCs w:val="20"/>
                <w:color w:val="auto"/>
              </w:rPr>
            </w:pPr>
            <w:r>
              <w:rPr>
                <w:rFonts w:ascii="Arial" w:cs="Arial" w:eastAsia="Arial" w:hAnsi="Arial"/>
                <w:sz w:val="13"/>
                <w:szCs w:val="13"/>
                <w:color w:val="auto"/>
              </w:rPr>
              <w:t>Borrowings – Long-term debt</w:t>
            </w:r>
          </w:p>
        </w:tc>
        <w:tc>
          <w:tcPr>
            <w:tcW w:w="760" w:type="dxa"/>
            <w:vAlign w:val="bottom"/>
          </w:tcPr>
          <w:p>
            <w:pPr>
              <w:spacing w:after="0"/>
              <w:rPr>
                <w:sz w:val="11"/>
                <w:szCs w:val="11"/>
                <w:color w:val="auto"/>
              </w:rPr>
            </w:pPr>
          </w:p>
        </w:tc>
        <w:tc>
          <w:tcPr>
            <w:tcW w:w="100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13,188</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13,188</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3,826</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3,826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Deferred income tax liabilities</w:t>
            </w:r>
          </w:p>
        </w:tc>
        <w:tc>
          <w:tcPr>
            <w:tcW w:w="7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A2</w:t>
            </w:r>
          </w:p>
        </w:tc>
        <w:tc>
          <w:tcPr>
            <w:tcW w:w="10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10,287</w:t>
            </w:r>
          </w:p>
        </w:tc>
        <w:tc>
          <w:tcPr>
            <w:tcW w:w="10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10,287</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60" w:type="dxa"/>
            <w:vAlign w:val="bottom"/>
          </w:tcPr>
          <w:p>
            <w:pPr>
              <w:spacing w:after="0"/>
              <w:rPr>
                <w:sz w:val="11"/>
                <w:szCs w:val="11"/>
                <w:color w:val="auto"/>
              </w:rPr>
            </w:pPr>
          </w:p>
        </w:tc>
        <w:tc>
          <w:tcPr>
            <w:tcW w:w="2640" w:type="dxa"/>
            <w:vAlign w:val="bottom"/>
          </w:tcPr>
          <w:p>
            <w:pPr>
              <w:spacing w:after="0" w:line="129" w:lineRule="exact"/>
              <w:rPr>
                <w:sz w:val="20"/>
                <w:szCs w:val="20"/>
                <w:color w:val="auto"/>
              </w:rPr>
            </w:pPr>
            <w:r>
              <w:rPr>
                <w:rFonts w:ascii="Arial" w:cs="Arial" w:eastAsia="Arial" w:hAnsi="Arial"/>
                <w:sz w:val="13"/>
                <w:szCs w:val="13"/>
                <w:color w:val="auto"/>
              </w:rPr>
              <w:t>Pension and post-retirement benefit</w:t>
            </w:r>
          </w:p>
        </w:tc>
        <w:tc>
          <w:tcPr>
            <w:tcW w:w="7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A4</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760" w:type="dxa"/>
            <w:vAlign w:val="bottom"/>
          </w:tcPr>
          <w:p>
            <w:pPr>
              <w:spacing w:after="0"/>
              <w:rPr>
                <w:sz w:val="12"/>
                <w:szCs w:val="12"/>
                <w:color w:val="auto"/>
              </w:rPr>
            </w:pPr>
          </w:p>
        </w:tc>
        <w:tc>
          <w:tcPr>
            <w:tcW w:w="2640" w:type="dxa"/>
            <w:vAlign w:val="bottom"/>
          </w:tcPr>
          <w:p>
            <w:pPr>
              <w:ind w:left="120"/>
              <w:spacing w:after="0" w:line="141" w:lineRule="exact"/>
              <w:rPr>
                <w:sz w:val="20"/>
                <w:szCs w:val="20"/>
                <w:color w:val="auto"/>
              </w:rPr>
            </w:pPr>
            <w:r>
              <w:rPr>
                <w:rFonts w:ascii="Arial" w:cs="Arial" w:eastAsia="Arial" w:hAnsi="Arial"/>
                <w:sz w:val="13"/>
                <w:szCs w:val="13"/>
                <w:color w:val="auto"/>
              </w:rPr>
              <w:t>obligations</w:t>
            </w:r>
          </w:p>
        </w:tc>
        <w:tc>
          <w:tcPr>
            <w:tcW w:w="760" w:type="dxa"/>
            <w:vAlign w:val="bottom"/>
            <w:vMerge w:val="continue"/>
          </w:tcPr>
          <w:p>
            <w:pPr>
              <w:spacing w:after="0"/>
              <w:rPr>
                <w:sz w:val="12"/>
                <w:szCs w:val="12"/>
                <w:color w:val="auto"/>
              </w:rPr>
            </w:pPr>
          </w:p>
        </w:tc>
        <w:tc>
          <w:tcPr>
            <w:tcW w:w="1000" w:type="dxa"/>
            <w:vAlign w:val="bottom"/>
            <w:gridSpan w:val="2"/>
          </w:tcPr>
          <w:p>
            <w:pPr>
              <w:jc w:val="right"/>
              <w:ind w:right="97"/>
              <w:spacing w:after="0" w:line="141" w:lineRule="exact"/>
              <w:rPr>
                <w:sz w:val="20"/>
                <w:szCs w:val="20"/>
                <w:color w:val="auto"/>
              </w:rPr>
            </w:pPr>
            <w:r>
              <w:rPr>
                <w:rFonts w:ascii="Arial" w:cs="Arial" w:eastAsia="Arial" w:hAnsi="Arial"/>
                <w:sz w:val="13"/>
                <w:szCs w:val="13"/>
                <w:color w:val="auto"/>
              </w:rPr>
              <w:t>531</w:t>
            </w:r>
          </w:p>
        </w:tc>
        <w:tc>
          <w:tcPr>
            <w:tcW w:w="920" w:type="dxa"/>
            <w:vAlign w:val="bottom"/>
          </w:tcPr>
          <w:p>
            <w:pPr>
              <w:jc w:val="right"/>
              <w:ind w:right="97"/>
              <w:spacing w:after="0" w:line="141" w:lineRule="exact"/>
              <w:rPr>
                <w:sz w:val="20"/>
                <w:szCs w:val="20"/>
                <w:color w:val="auto"/>
              </w:rPr>
            </w:pPr>
            <w:r>
              <w:rPr>
                <w:rFonts w:ascii="Arial" w:cs="Arial" w:eastAsia="Arial" w:hAnsi="Arial"/>
                <w:sz w:val="13"/>
                <w:szCs w:val="13"/>
                <w:color w:val="auto"/>
              </w:rPr>
              <w:t>15</w:t>
            </w:r>
          </w:p>
        </w:tc>
        <w:tc>
          <w:tcPr>
            <w:tcW w:w="1000" w:type="dxa"/>
            <w:vAlign w:val="bottom"/>
          </w:tcPr>
          <w:p>
            <w:pPr>
              <w:jc w:val="right"/>
              <w:ind w:right="97"/>
              <w:spacing w:after="0" w:line="141" w:lineRule="exact"/>
              <w:rPr>
                <w:sz w:val="20"/>
                <w:szCs w:val="20"/>
                <w:color w:val="auto"/>
              </w:rPr>
            </w:pPr>
            <w:r>
              <w:rPr>
                <w:rFonts w:ascii="Arial" w:cs="Arial" w:eastAsia="Arial" w:hAnsi="Arial"/>
                <w:sz w:val="13"/>
                <w:szCs w:val="13"/>
                <w:color w:val="auto"/>
              </w:rPr>
              <w:t>546</w:t>
            </w:r>
          </w:p>
        </w:tc>
        <w:tc>
          <w:tcPr>
            <w:tcW w:w="1060" w:type="dxa"/>
            <w:vAlign w:val="bottom"/>
          </w:tcPr>
          <w:p>
            <w:pPr>
              <w:jc w:val="right"/>
              <w:ind w:right="97"/>
              <w:spacing w:after="0" w:line="141" w:lineRule="exact"/>
              <w:rPr>
                <w:sz w:val="20"/>
                <w:szCs w:val="20"/>
                <w:color w:val="auto"/>
              </w:rPr>
            </w:pPr>
            <w:r>
              <w:rPr>
                <w:rFonts w:ascii="Arial" w:cs="Arial" w:eastAsia="Arial" w:hAnsi="Arial"/>
                <w:sz w:val="13"/>
                <w:szCs w:val="13"/>
                <w:color w:val="auto"/>
              </w:rPr>
              <w:t>475</w:t>
            </w:r>
          </w:p>
        </w:tc>
        <w:tc>
          <w:tcPr>
            <w:tcW w:w="920" w:type="dxa"/>
            <w:vAlign w:val="bottom"/>
          </w:tcPr>
          <w:p>
            <w:pPr>
              <w:jc w:val="right"/>
              <w:ind w:right="97"/>
              <w:spacing w:after="0" w:line="141"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1" w:lineRule="exact"/>
              <w:rPr>
                <w:sz w:val="20"/>
                <w:szCs w:val="20"/>
                <w:color w:val="auto"/>
              </w:rPr>
            </w:pPr>
            <w:r>
              <w:rPr>
                <w:rFonts w:ascii="Arial" w:cs="Arial" w:eastAsia="Arial" w:hAnsi="Arial"/>
                <w:sz w:val="13"/>
                <w:szCs w:val="13"/>
                <w:color w:val="auto"/>
              </w:rPr>
              <w:t>475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long-term liabilities</w:t>
            </w:r>
          </w:p>
        </w:tc>
        <w:tc>
          <w:tcPr>
            <w:tcW w:w="7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A2</w:t>
            </w:r>
          </w:p>
        </w:tc>
        <w:tc>
          <w:tcPr>
            <w:tcW w:w="18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11,293</w:t>
            </w:r>
          </w:p>
        </w:tc>
        <w:tc>
          <w:tcPr>
            <w:tcW w:w="9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(11,078)</w:t>
            </w:r>
          </w:p>
        </w:tc>
        <w:tc>
          <w:tcPr>
            <w:tcW w:w="100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215</w:t>
            </w:r>
          </w:p>
        </w:tc>
        <w:tc>
          <w:tcPr>
            <w:tcW w:w="106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381</w:t>
            </w:r>
          </w:p>
        </w:tc>
        <w:tc>
          <w:tcPr>
            <w:tcW w:w="9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(282)</w:t>
            </w: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25,012</w:t>
            </w:r>
          </w:p>
        </w:tc>
        <w:tc>
          <w:tcPr>
            <w:tcW w:w="92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(776)</w:t>
            </w:r>
          </w:p>
        </w:tc>
        <w:tc>
          <w:tcPr>
            <w:tcW w:w="100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24,236</w:t>
            </w:r>
          </w:p>
        </w:tc>
        <w:tc>
          <w:tcPr>
            <w:tcW w:w="106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4,682</w:t>
            </w:r>
          </w:p>
        </w:tc>
        <w:tc>
          <w:tcPr>
            <w:tcW w:w="92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(274)</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4,408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liabilities</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28,090</w:t>
            </w: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14</w:t>
            </w: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28,104</w:t>
            </w: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5,801</w:t>
            </w: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5,801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0" w:type="dxa"/>
            <w:vAlign w:val="bottom"/>
            <w:gridSpan w:val="2"/>
          </w:tcPr>
          <w:p>
            <w:pPr>
              <w:ind w:left="1760"/>
              <w:spacing w:after="0"/>
              <w:rPr>
                <w:sz w:val="20"/>
                <w:szCs w:val="20"/>
                <w:color w:val="auto"/>
              </w:rPr>
            </w:pPr>
            <w:r>
              <w:rPr>
                <w:rFonts w:ascii="Arial" w:cs="Arial" w:eastAsia="Arial" w:hAnsi="Arial"/>
                <w:sz w:val="13"/>
                <w:szCs w:val="13"/>
                <w:b w:val="1"/>
                <w:bCs w:val="1"/>
                <w:color w:val="auto"/>
              </w:rPr>
              <w:t>NET ASSETS</w:t>
            </w:r>
          </w:p>
        </w:tc>
        <w:tc>
          <w:tcPr>
            <w:tcW w:w="760" w:type="dxa"/>
            <w:vAlign w:val="bottom"/>
          </w:tcPr>
          <w:p>
            <w:pPr>
              <w:spacing w:after="0"/>
              <w:rPr>
                <w:sz w:val="13"/>
                <w:szCs w:val="13"/>
                <w:color w:val="auto"/>
              </w:rPr>
            </w:pPr>
          </w:p>
        </w:tc>
        <w:tc>
          <w:tcPr>
            <w:tcW w:w="1000" w:type="dxa"/>
            <w:vAlign w:val="bottom"/>
            <w:gridSpan w:val="2"/>
          </w:tcPr>
          <w:p>
            <w:pPr>
              <w:jc w:val="right"/>
              <w:ind w:right="97"/>
              <w:spacing w:after="0"/>
              <w:rPr>
                <w:sz w:val="20"/>
                <w:szCs w:val="20"/>
                <w:color w:val="auto"/>
              </w:rPr>
            </w:pPr>
            <w:r>
              <w:rPr>
                <w:rFonts w:ascii="Arial" w:cs="Arial" w:eastAsia="Arial" w:hAnsi="Arial"/>
                <w:sz w:val="13"/>
                <w:szCs w:val="13"/>
                <w:color w:val="auto"/>
              </w:rPr>
              <w:t>21,876</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(15)</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21,861</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4,714</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4,714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Basis of preparation </w:t>
      </w:r>
      <w:r>
        <w:rPr>
          <w:rFonts w:ascii="Arial" w:cs="Arial" w:eastAsia="Arial" w:hAnsi="Arial"/>
          <w:sz w:val="17"/>
          <w:szCs w:val="17"/>
          <w:color w:val="auto"/>
        </w:rPr>
        <w:t>(continued)</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FRS 101 first-time adoption of Financial Reporting Standards </w:t>
      </w:r>
      <w:r>
        <w:rPr>
          <w:rFonts w:ascii="Arial" w:cs="Arial" w:eastAsia="Arial" w:hAnsi="Arial"/>
          <w:sz w:val="18"/>
          <w:szCs w:val="18"/>
          <w:color w:val="auto"/>
        </w:rPr>
        <w:t>(continued)</w:t>
      </w:r>
    </w:p>
    <w:p>
      <w:pPr>
        <w:spacing w:after="0" w:line="148" w:lineRule="exact"/>
        <w:rPr>
          <w:sz w:val="20"/>
          <w:szCs w:val="20"/>
          <w:color w:val="auto"/>
        </w:rPr>
      </w:pPr>
    </w:p>
    <w:p>
      <w:pPr>
        <w:ind w:left="1620" w:hanging="538"/>
        <w:spacing w:after="0"/>
        <w:tabs>
          <w:tab w:leader="none" w:pos="162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Summary of financial impact </w:t>
      </w:r>
      <w:r>
        <w:rPr>
          <w:rFonts w:ascii="Arial" w:cs="Arial" w:eastAsia="Arial" w:hAnsi="Arial"/>
          <w:sz w:val="18"/>
          <w:szCs w:val="18"/>
          <w:color w:val="auto"/>
        </w:rPr>
        <w:t>(continued)</w:t>
      </w:r>
    </w:p>
    <w:p>
      <w:pPr>
        <w:spacing w:after="0" w:line="256"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Reconciliation of the Group’s equity reported in accordance with the previous GAAP to FRS (continued)</w:t>
      </w:r>
    </w:p>
    <w:p>
      <w:pPr>
        <w:spacing w:after="0" w:line="203" w:lineRule="exact"/>
        <w:rPr>
          <w:sz w:val="20"/>
          <w:szCs w:val="20"/>
          <w:color w:val="auto"/>
        </w:rPr>
      </w:pPr>
    </w:p>
    <w:tbl>
      <w:tblPr>
        <w:tblLayout w:type="fixed"/>
        <w:tblInd w:w="198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7"/>
              </w:rPr>
              <w:t>Expla-</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30 October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Effect of</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30 October</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2 November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Effect of</w:t>
            </w:r>
          </w:p>
        </w:tc>
        <w:tc>
          <w:tcPr>
            <w:tcW w:w="96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w w:val="96"/>
              </w:rPr>
              <w:t>2 November</w:t>
            </w:r>
          </w:p>
        </w:tc>
      </w:tr>
      <w:tr>
        <w:trPr>
          <w:trHeight w:val="135"/>
        </w:trPr>
        <w:tc>
          <w:tcPr>
            <w:tcW w:w="26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natory</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2016</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transition</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2016</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2015</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transition</w:t>
            </w:r>
          </w:p>
        </w:tc>
        <w:tc>
          <w:tcPr>
            <w:tcW w:w="920" w:type="dxa"/>
            <w:vAlign w:val="bottom"/>
          </w:tcPr>
          <w:p>
            <w:pPr>
              <w:jc w:val="center"/>
              <w:ind w:left="97"/>
              <w:spacing w:after="0" w:line="135" w:lineRule="exact"/>
              <w:rPr>
                <w:sz w:val="20"/>
                <w:szCs w:val="20"/>
                <w:color w:val="auto"/>
              </w:rPr>
            </w:pPr>
            <w:r>
              <w:rPr>
                <w:rFonts w:ascii="Arial" w:cs="Arial" w:eastAsia="Arial" w:hAnsi="Arial"/>
                <w:sz w:val="13"/>
                <w:szCs w:val="13"/>
                <w:b w:val="1"/>
                <w:bCs w:val="1"/>
                <w:color w:val="auto"/>
                <w:w w:val="96"/>
              </w:rPr>
              <w:t>2015</w:t>
            </w:r>
          </w:p>
        </w:tc>
        <w:tc>
          <w:tcPr>
            <w:tcW w:w="40" w:type="dxa"/>
            <w:vAlign w:val="bottom"/>
          </w:tcPr>
          <w:p>
            <w:pPr>
              <w:spacing w:after="0"/>
              <w:rPr>
                <w:sz w:val="11"/>
                <w:szCs w:val="11"/>
                <w:color w:val="auto"/>
              </w:rPr>
            </w:pPr>
          </w:p>
        </w:tc>
      </w:tr>
      <w:tr>
        <w:trPr>
          <w:trHeight w:val="135"/>
        </w:trPr>
        <w:tc>
          <w:tcPr>
            <w:tcW w:w="26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Note</w:t>
            </w:r>
          </w:p>
        </w:tc>
        <w:tc>
          <w:tcPr>
            <w:tcW w:w="18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8"/>
              </w:rPr>
              <w:t>reported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to FRS</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reported</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reported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to FRS</w:t>
            </w:r>
          </w:p>
        </w:tc>
        <w:tc>
          <w:tcPr>
            <w:tcW w:w="96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auto"/>
                <w:w w:val="98"/>
              </w:rPr>
              <w:t>reported</w:t>
            </w:r>
          </w:p>
        </w:tc>
      </w:tr>
      <w:tr>
        <w:trPr>
          <w:trHeight w:val="135"/>
        </w:trPr>
        <w:tc>
          <w:tcPr>
            <w:tcW w:w="2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9"/>
              </w:rPr>
              <w:t>under</w:t>
            </w:r>
          </w:p>
        </w:tc>
        <w:tc>
          <w:tcPr>
            <w:tcW w:w="9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under</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under</w:t>
            </w:r>
          </w:p>
        </w:tc>
        <w:tc>
          <w:tcPr>
            <w:tcW w:w="920" w:type="dxa"/>
            <w:vAlign w:val="bottom"/>
          </w:tcPr>
          <w:p>
            <w:pPr>
              <w:spacing w:after="0"/>
              <w:rPr>
                <w:sz w:val="11"/>
                <w:szCs w:val="11"/>
                <w:color w:val="auto"/>
              </w:rPr>
            </w:pPr>
          </w:p>
        </w:tc>
        <w:tc>
          <w:tcPr>
            <w:tcW w:w="96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auto"/>
                <w:w w:val="97"/>
              </w:rPr>
              <w:t>under FRS</w:t>
            </w:r>
          </w:p>
        </w:tc>
      </w:tr>
      <w:tr>
        <w:trPr>
          <w:trHeight w:val="135"/>
        </w:trPr>
        <w:tc>
          <w:tcPr>
            <w:tcW w:w="2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5"/>
              </w:rPr>
              <w:t>previous</w:t>
            </w:r>
          </w:p>
        </w:tc>
        <w:tc>
          <w:tcPr>
            <w:tcW w:w="9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FRS</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previous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1"/>
        </w:trPr>
        <w:tc>
          <w:tcPr>
            <w:tcW w:w="2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17"/>
              <w:spacing w:after="0"/>
              <w:rPr>
                <w:sz w:val="20"/>
                <w:szCs w:val="20"/>
                <w:color w:val="auto"/>
              </w:rPr>
            </w:pPr>
            <w:r>
              <w:rPr>
                <w:rFonts w:ascii="Arial" w:cs="Arial" w:eastAsia="Arial" w:hAnsi="Arial"/>
                <w:sz w:val="13"/>
                <w:szCs w:val="13"/>
                <w:b w:val="1"/>
                <w:bCs w:val="1"/>
                <w:color w:val="auto"/>
                <w:w w:val="95"/>
              </w:rPr>
              <w:t>GAAP</w:t>
            </w: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GAAP</w:t>
            </w: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2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94"/>
              </w:rPr>
              <w:t>(US$</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4"/>
              </w:rPr>
              <w:t>(US$</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4"/>
              </w:rPr>
              <w:t>(US$</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4"/>
              </w:rPr>
              <w:t>(US$</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4"/>
              </w:rPr>
              <w:t>(US$</w:t>
            </w:r>
          </w:p>
        </w:tc>
        <w:tc>
          <w:tcPr>
            <w:tcW w:w="960" w:type="dxa"/>
            <w:vAlign w:val="bottom"/>
            <w:gridSpan w:val="2"/>
          </w:tcPr>
          <w:p>
            <w:pPr>
              <w:jc w:val="center"/>
              <w:ind w:left="57"/>
              <w:spacing w:after="0" w:line="135" w:lineRule="exact"/>
              <w:rPr>
                <w:sz w:val="20"/>
                <w:szCs w:val="20"/>
                <w:color w:val="auto"/>
              </w:rPr>
            </w:pPr>
            <w:r>
              <w:rPr>
                <w:rFonts w:ascii="Arial" w:cs="Arial" w:eastAsia="Arial" w:hAnsi="Arial"/>
                <w:sz w:val="13"/>
                <w:szCs w:val="13"/>
                <w:color w:val="auto"/>
                <w:w w:val="94"/>
              </w:rPr>
              <w:t>(US$</w:t>
            </w:r>
          </w:p>
        </w:tc>
      </w:tr>
      <w:tr>
        <w:trPr>
          <w:trHeight w:val="141"/>
        </w:trPr>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97"/>
              <w:spacing w:after="0" w:line="141" w:lineRule="exact"/>
              <w:rPr>
                <w:sz w:val="20"/>
                <w:szCs w:val="20"/>
                <w:color w:val="auto"/>
              </w:rPr>
            </w:pPr>
            <w:r>
              <w:rPr>
                <w:rFonts w:ascii="Arial" w:cs="Arial" w:eastAsia="Arial" w:hAnsi="Arial"/>
                <w:sz w:val="13"/>
                <w:szCs w:val="13"/>
                <w:color w:val="auto"/>
                <w:w w:val="96"/>
              </w:rPr>
              <w:t>millions)</w:t>
            </w:r>
          </w:p>
        </w:tc>
        <w:tc>
          <w:tcPr>
            <w:tcW w:w="920" w:type="dxa"/>
            <w:vAlign w:val="bottom"/>
          </w:tcPr>
          <w:p>
            <w:pPr>
              <w:jc w:val="center"/>
              <w:spacing w:after="0" w:line="141" w:lineRule="exact"/>
              <w:rPr>
                <w:sz w:val="20"/>
                <w:szCs w:val="20"/>
                <w:color w:val="auto"/>
              </w:rPr>
            </w:pPr>
            <w:r>
              <w:rPr>
                <w:rFonts w:ascii="Arial" w:cs="Arial" w:eastAsia="Arial" w:hAnsi="Arial"/>
                <w:sz w:val="13"/>
                <w:szCs w:val="13"/>
                <w:color w:val="auto"/>
                <w:w w:val="96"/>
              </w:rPr>
              <w:t>millions)</w:t>
            </w:r>
          </w:p>
        </w:tc>
        <w:tc>
          <w:tcPr>
            <w:tcW w:w="1000" w:type="dxa"/>
            <w:vAlign w:val="bottom"/>
          </w:tcPr>
          <w:p>
            <w:pPr>
              <w:jc w:val="center"/>
              <w:spacing w:after="0" w:line="141" w:lineRule="exact"/>
              <w:rPr>
                <w:sz w:val="20"/>
                <w:szCs w:val="20"/>
                <w:color w:val="auto"/>
              </w:rPr>
            </w:pPr>
            <w:r>
              <w:rPr>
                <w:rFonts w:ascii="Arial" w:cs="Arial" w:eastAsia="Arial" w:hAnsi="Arial"/>
                <w:sz w:val="13"/>
                <w:szCs w:val="13"/>
                <w:color w:val="auto"/>
              </w:rPr>
              <w:t>millions)</w:t>
            </w:r>
          </w:p>
        </w:tc>
        <w:tc>
          <w:tcPr>
            <w:tcW w:w="1060" w:type="dxa"/>
            <w:vAlign w:val="bottom"/>
          </w:tcPr>
          <w:p>
            <w:pPr>
              <w:jc w:val="center"/>
              <w:spacing w:after="0" w:line="141" w:lineRule="exact"/>
              <w:rPr>
                <w:sz w:val="20"/>
                <w:szCs w:val="20"/>
                <w:color w:val="auto"/>
              </w:rPr>
            </w:pPr>
            <w:r>
              <w:rPr>
                <w:rFonts w:ascii="Arial" w:cs="Arial" w:eastAsia="Arial" w:hAnsi="Arial"/>
                <w:sz w:val="13"/>
                <w:szCs w:val="13"/>
                <w:color w:val="auto"/>
                <w:w w:val="96"/>
              </w:rPr>
              <w:t>millions)</w:t>
            </w:r>
          </w:p>
        </w:tc>
        <w:tc>
          <w:tcPr>
            <w:tcW w:w="920" w:type="dxa"/>
            <w:vAlign w:val="bottom"/>
          </w:tcPr>
          <w:p>
            <w:pPr>
              <w:jc w:val="center"/>
              <w:spacing w:after="0" w:line="141" w:lineRule="exact"/>
              <w:rPr>
                <w:sz w:val="20"/>
                <w:szCs w:val="20"/>
                <w:color w:val="auto"/>
              </w:rPr>
            </w:pPr>
            <w:r>
              <w:rPr>
                <w:rFonts w:ascii="Arial" w:cs="Arial" w:eastAsia="Arial" w:hAnsi="Arial"/>
                <w:sz w:val="13"/>
                <w:szCs w:val="13"/>
                <w:color w:val="auto"/>
                <w:w w:val="96"/>
              </w:rPr>
              <w:t>millions)</w:t>
            </w:r>
          </w:p>
        </w:tc>
        <w:tc>
          <w:tcPr>
            <w:tcW w:w="960" w:type="dxa"/>
            <w:vAlign w:val="bottom"/>
            <w:gridSpan w:val="2"/>
          </w:tcPr>
          <w:p>
            <w:pPr>
              <w:jc w:val="center"/>
              <w:ind w:left="37"/>
              <w:spacing w:after="0" w:line="141" w:lineRule="exact"/>
              <w:rPr>
                <w:sz w:val="20"/>
                <w:szCs w:val="20"/>
                <w:color w:val="auto"/>
              </w:rPr>
            </w:pPr>
            <w:r>
              <w:rPr>
                <w:rFonts w:ascii="Arial" w:cs="Arial" w:eastAsia="Arial" w:hAnsi="Arial"/>
                <w:sz w:val="13"/>
                <w:szCs w:val="13"/>
                <w:color w:val="auto"/>
                <w:w w:val="96"/>
              </w:rPr>
              <w:t>millions)</w:t>
            </w:r>
          </w:p>
        </w:tc>
      </w:tr>
      <w:tr>
        <w:trPr>
          <w:trHeight w:val="135"/>
        </w:trPr>
        <w:tc>
          <w:tcPr>
            <w:tcW w:w="26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EQUITY</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13"/>
        </w:trPr>
        <w:tc>
          <w:tcPr>
            <w:tcW w:w="2660" w:type="dxa"/>
            <w:vAlign w:val="bottom"/>
          </w:tcPr>
          <w:p>
            <w:pPr>
              <w:spacing w:after="0" w:line="113" w:lineRule="exact"/>
              <w:rPr>
                <w:sz w:val="20"/>
                <w:szCs w:val="20"/>
                <w:color w:val="auto"/>
              </w:rPr>
            </w:pPr>
            <w:r>
              <w:rPr>
                <w:rFonts w:ascii="Arial" w:cs="Arial" w:eastAsia="Arial" w:hAnsi="Arial"/>
                <w:sz w:val="13"/>
                <w:szCs w:val="13"/>
                <w:b w:val="1"/>
                <w:bCs w:val="1"/>
                <w:color w:val="auto"/>
              </w:rPr>
              <w:t>Capital and reserves attributable to equity</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7"/>
        </w:trPr>
        <w:tc>
          <w:tcPr>
            <w:tcW w:w="2660" w:type="dxa"/>
            <w:vAlign w:val="bottom"/>
          </w:tcPr>
          <w:p>
            <w:pPr>
              <w:ind w:left="120"/>
              <w:spacing w:after="0"/>
              <w:rPr>
                <w:sz w:val="20"/>
                <w:szCs w:val="20"/>
                <w:color w:val="auto"/>
              </w:rPr>
            </w:pPr>
            <w:r>
              <w:rPr>
                <w:rFonts w:ascii="Arial" w:cs="Arial" w:eastAsia="Arial" w:hAnsi="Arial"/>
                <w:sz w:val="13"/>
                <w:szCs w:val="13"/>
                <w:b w:val="1"/>
                <w:bCs w:val="1"/>
                <w:color w:val="auto"/>
              </w:rPr>
              <w:t>holders of the Company</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2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 capital</w:t>
            </w: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6"/>
              </w:rPr>
              <w:t>A3</w:t>
            </w:r>
          </w:p>
        </w:tc>
        <w:tc>
          <w:tcPr>
            <w:tcW w:w="10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19,241</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(779)</w:t>
            </w:r>
          </w:p>
        </w:tc>
        <w:tc>
          <w:tcPr>
            <w:tcW w:w="10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18,462</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2,547</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(2,547)</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r>
      <w:tr>
        <w:trPr>
          <w:trHeight w:val="135"/>
        </w:trPr>
        <w:tc>
          <w:tcPr>
            <w:tcW w:w="2660" w:type="dxa"/>
            <w:vAlign w:val="bottom"/>
          </w:tcPr>
          <w:p>
            <w:pPr>
              <w:spacing w:after="0" w:line="135" w:lineRule="exact"/>
              <w:rPr>
                <w:sz w:val="20"/>
                <w:szCs w:val="20"/>
                <w:color w:val="auto"/>
              </w:rPr>
            </w:pPr>
            <w:r>
              <w:rPr>
                <w:rFonts w:ascii="Arial" w:cs="Arial" w:eastAsia="Arial" w:hAnsi="Arial"/>
                <w:sz w:val="13"/>
                <w:szCs w:val="13"/>
                <w:color w:val="auto"/>
              </w:rPr>
              <w:t>Other reserves</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A3, A4</w:t>
            </w:r>
          </w:p>
        </w:tc>
        <w:tc>
          <w:tcPr>
            <w:tcW w:w="100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630</w:t>
            </w:r>
          </w:p>
        </w:tc>
        <w:tc>
          <w:tcPr>
            <w:tcW w:w="10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630</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2,474</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2,474</w:t>
            </w:r>
          </w:p>
        </w:tc>
        <w:tc>
          <w:tcPr>
            <w:tcW w:w="40" w:type="dxa"/>
            <w:vAlign w:val="bottom"/>
          </w:tcPr>
          <w:p>
            <w:pPr>
              <w:spacing w:after="0"/>
              <w:rPr>
                <w:sz w:val="11"/>
                <w:szCs w:val="11"/>
                <w:color w:val="auto"/>
              </w:rPr>
            </w:pPr>
          </w:p>
        </w:tc>
      </w:tr>
      <w:tr>
        <w:trPr>
          <w:trHeight w:val="135"/>
        </w:trPr>
        <w:tc>
          <w:tcPr>
            <w:tcW w:w="2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(Accumulated deficit)/Retained profits</w:t>
            </w:r>
          </w:p>
        </w:tc>
        <w:tc>
          <w:tcPr>
            <w:tcW w:w="7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(215)</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(215)</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2,240</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2,240</w:t>
            </w:r>
          </w:p>
        </w:tc>
        <w:tc>
          <w:tcPr>
            <w:tcW w:w="40" w:type="dxa"/>
            <w:vAlign w:val="bottom"/>
            <w:shd w:val="clear" w:color="auto" w:fill="CCEEFF"/>
          </w:tcPr>
          <w:p>
            <w:pPr>
              <w:spacing w:after="0"/>
              <w:rPr>
                <w:sz w:val="11"/>
                <w:szCs w:val="11"/>
                <w:color w:val="auto"/>
              </w:rPr>
            </w:pPr>
          </w:p>
        </w:tc>
      </w:tr>
      <w:tr>
        <w:trPr>
          <w:trHeight w:val="135"/>
        </w:trPr>
        <w:tc>
          <w:tcPr>
            <w:tcW w:w="2660" w:type="dxa"/>
            <w:vAlign w:val="bottom"/>
          </w:tcPr>
          <w:p>
            <w:pPr>
              <w:spacing w:after="0" w:line="135" w:lineRule="exact"/>
              <w:rPr>
                <w:sz w:val="20"/>
                <w:szCs w:val="20"/>
                <w:color w:val="auto"/>
              </w:rPr>
            </w:pPr>
            <w:r>
              <w:rPr>
                <w:rFonts w:ascii="Arial" w:cs="Arial" w:eastAsia="Arial" w:hAnsi="Arial"/>
                <w:sz w:val="13"/>
                <w:szCs w:val="13"/>
                <w:color w:val="auto"/>
              </w:rPr>
              <w:t>Accumulated other comprehensive loss</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A3, A4</w:t>
            </w:r>
          </w:p>
        </w:tc>
        <w:tc>
          <w:tcPr>
            <w:tcW w:w="100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(134)</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134</w:t>
            </w:r>
          </w:p>
        </w:tc>
        <w:tc>
          <w:tcPr>
            <w:tcW w:w="10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(73)</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73</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r>
      <w:tr>
        <w:trPr>
          <w:trHeight w:val="135"/>
        </w:trPr>
        <w:tc>
          <w:tcPr>
            <w:tcW w:w="26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Non-controlling interests</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2,984</w:t>
            </w:r>
          </w:p>
        </w:tc>
        <w:tc>
          <w:tcPr>
            <w:tcW w:w="9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2,984</w:t>
            </w:r>
          </w:p>
        </w:tc>
        <w:tc>
          <w:tcPr>
            <w:tcW w:w="106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r>
      <w:tr>
        <w:trPr>
          <w:trHeight w:val="149"/>
        </w:trPr>
        <w:tc>
          <w:tcPr>
            <w:tcW w:w="2660" w:type="dxa"/>
            <w:vAlign w:val="bottom"/>
          </w:tcPr>
          <w:p>
            <w:pPr>
              <w:spacing w:after="0" w:line="143" w:lineRule="exact"/>
              <w:rPr>
                <w:sz w:val="20"/>
                <w:szCs w:val="20"/>
                <w:color w:val="auto"/>
              </w:rPr>
            </w:pPr>
            <w:r>
              <w:rPr>
                <w:rFonts w:ascii="Arial" w:cs="Arial" w:eastAsia="Arial" w:hAnsi="Arial"/>
                <w:sz w:val="13"/>
                <w:szCs w:val="13"/>
                <w:b w:val="1"/>
                <w:bCs w:val="1"/>
                <w:color w:val="auto"/>
              </w:rPr>
              <w:t>Total equity</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21,876</w:t>
            </w:r>
          </w:p>
        </w:tc>
        <w:tc>
          <w:tcPr>
            <w:tcW w:w="92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(15)</w:t>
            </w:r>
          </w:p>
        </w:tc>
        <w:tc>
          <w:tcPr>
            <w:tcW w:w="100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21,861</w:t>
            </w:r>
          </w:p>
        </w:tc>
        <w:tc>
          <w:tcPr>
            <w:tcW w:w="106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4,714</w:t>
            </w:r>
          </w:p>
        </w:tc>
        <w:tc>
          <w:tcPr>
            <w:tcW w:w="92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4,714</w:t>
            </w:r>
          </w:p>
        </w:tc>
        <w:tc>
          <w:tcPr>
            <w:tcW w:w="40" w:type="dxa"/>
            <w:vAlign w:val="bottom"/>
          </w:tcPr>
          <w:p>
            <w:pPr>
              <w:spacing w:after="0"/>
              <w:rPr>
                <w:sz w:val="12"/>
                <w:szCs w:val="12"/>
                <w:color w:val="auto"/>
              </w:rPr>
            </w:pPr>
          </w:p>
        </w:tc>
      </w:tr>
    </w:tbl>
    <w:p>
      <w:pPr>
        <w:spacing w:after="0" w:line="15" w:lineRule="exact"/>
        <w:rPr>
          <w:sz w:val="20"/>
          <w:szCs w:val="20"/>
          <w:color w:val="auto"/>
        </w:rPr>
      </w:pPr>
    </w:p>
    <w:p>
      <w:pPr>
        <w:ind w:left="2060"/>
        <w:spacing w:after="0"/>
        <w:tabs>
          <w:tab w:leader="none" w:pos="2260" w:val="left"/>
        </w:tabs>
        <w:rPr>
          <w:sz w:val="20"/>
          <w:szCs w:val="20"/>
          <w:color w:val="auto"/>
        </w:rPr>
      </w:pPr>
      <w:r>
        <w:rPr>
          <w:rFonts w:ascii="Arial" w:cs="Arial" w:eastAsia="Arial" w:hAnsi="Arial"/>
          <w:sz w:val="16"/>
          <w:szCs w:val="16"/>
          <w:color w:val="auto"/>
        </w:rPr>
        <w:t>*</w:t>
        <w:tab/>
        <w:t>Represents figures less than a million.</w:t>
      </w:r>
    </w:p>
    <w:p>
      <w:pPr>
        <w:spacing w:after="0" w:line="245" w:lineRule="exact"/>
        <w:rPr>
          <w:sz w:val="20"/>
          <w:szCs w:val="20"/>
          <w:color w:val="auto"/>
        </w:rPr>
      </w:pPr>
    </w:p>
    <w:p>
      <w:pPr>
        <w:ind w:left="2060"/>
        <w:spacing w:after="0"/>
        <w:tabs>
          <w:tab w:leader="none" w:pos="2480" w:val="left"/>
        </w:tabs>
        <w:rPr>
          <w:sz w:val="20"/>
          <w:szCs w:val="20"/>
          <w:color w:val="auto"/>
        </w:rPr>
      </w:pPr>
      <w:r>
        <w:rPr>
          <w:rFonts w:ascii="Arial" w:cs="Arial" w:eastAsia="Arial" w:hAnsi="Arial"/>
          <w:sz w:val="18"/>
          <w:szCs w:val="18"/>
          <w:color w:val="auto"/>
        </w:rPr>
        <w:t>A1</w:t>
        <w:tab/>
        <w:t>Presentation of assets of disposal group classified as held for sale</w:t>
      </w:r>
    </w:p>
    <w:p>
      <w:pPr>
        <w:spacing w:after="0" w:line="212" w:lineRule="exact"/>
        <w:rPr>
          <w:sz w:val="20"/>
          <w:szCs w:val="20"/>
          <w:color w:val="auto"/>
        </w:rPr>
      </w:pPr>
    </w:p>
    <w:p>
      <w:pPr>
        <w:jc w:val="both"/>
        <w:ind w:left="1960" w:right="20"/>
        <w:spacing w:after="0" w:line="239" w:lineRule="auto"/>
        <w:rPr>
          <w:sz w:val="20"/>
          <w:szCs w:val="20"/>
          <w:color w:val="auto"/>
        </w:rPr>
      </w:pPr>
      <w:r>
        <w:rPr>
          <w:rFonts w:ascii="Arial" w:cs="Arial" w:eastAsia="Arial" w:hAnsi="Arial"/>
          <w:sz w:val="18"/>
          <w:szCs w:val="18"/>
          <w:color w:val="auto"/>
        </w:rPr>
        <w:t>The Group has changed the presentation of certain amounts under “Other current assets” in the balance sheet to meet the presentation requirements under FRS 1 and FRS 105. Under FRS 1, the balance sheet shall present “Assets of disposal group classified as held-for-sale”, which was not presented on the balance sheet under the previous GAAP.</w:t>
      </w:r>
    </w:p>
    <w:p>
      <w:pPr>
        <w:spacing w:after="0" w:line="202" w:lineRule="exact"/>
        <w:rPr>
          <w:sz w:val="20"/>
          <w:szCs w:val="20"/>
          <w:color w:val="auto"/>
        </w:rPr>
      </w:pPr>
    </w:p>
    <w:p>
      <w:pPr>
        <w:jc w:val="both"/>
        <w:ind w:left="1960" w:right="20"/>
        <w:spacing w:after="0"/>
        <w:rPr>
          <w:sz w:val="20"/>
          <w:szCs w:val="20"/>
          <w:color w:val="auto"/>
        </w:rPr>
      </w:pPr>
      <w:r>
        <w:rPr>
          <w:rFonts w:ascii="Arial" w:cs="Arial" w:eastAsia="Arial" w:hAnsi="Arial"/>
          <w:sz w:val="18"/>
          <w:szCs w:val="18"/>
          <w:color w:val="auto"/>
        </w:rPr>
        <w:t>US$24 million and US$21 million of “Other current assets” under the previous GAAP are reclassified to be presented as “Assets of disposal group classified as held-for-sale” in the balance sheet presented as at 30 October 2016 and 2 November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Basis of preparation </w:t>
      </w:r>
      <w:r>
        <w:rPr>
          <w:rFonts w:ascii="Arial" w:cs="Arial" w:eastAsia="Arial" w:hAnsi="Arial"/>
          <w:sz w:val="17"/>
          <w:szCs w:val="17"/>
          <w:color w:val="auto"/>
        </w:rPr>
        <w:t>(continued)</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FRS 101 first-time adoption of Financial Reporting Standards </w:t>
      </w:r>
      <w:r>
        <w:rPr>
          <w:rFonts w:ascii="Arial" w:cs="Arial" w:eastAsia="Arial" w:hAnsi="Arial"/>
          <w:sz w:val="18"/>
          <w:szCs w:val="18"/>
          <w:color w:val="auto"/>
        </w:rPr>
        <w:t>(continued)</w:t>
      </w:r>
    </w:p>
    <w:p>
      <w:pPr>
        <w:spacing w:after="0" w:line="148" w:lineRule="exact"/>
        <w:rPr>
          <w:sz w:val="20"/>
          <w:szCs w:val="20"/>
          <w:color w:val="auto"/>
        </w:rPr>
      </w:pPr>
    </w:p>
    <w:p>
      <w:pPr>
        <w:ind w:left="1620" w:hanging="538"/>
        <w:spacing w:after="0"/>
        <w:tabs>
          <w:tab w:leader="none" w:pos="1620"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Summary of financial impact </w:t>
      </w:r>
      <w:r>
        <w:rPr>
          <w:rFonts w:ascii="Arial" w:cs="Arial" w:eastAsia="Arial" w:hAnsi="Arial"/>
          <w:sz w:val="18"/>
          <w:szCs w:val="18"/>
          <w:color w:val="auto"/>
        </w:rPr>
        <w:t>(continued)</w:t>
      </w:r>
    </w:p>
    <w:p>
      <w:pPr>
        <w:spacing w:after="0" w:line="256"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Reconciliation of the Group’s equity reported in accordance with the previous GAAP to FRS (continued)</w:t>
      </w:r>
    </w:p>
    <w:p>
      <w:pPr>
        <w:spacing w:after="0" w:line="239" w:lineRule="exact"/>
        <w:rPr>
          <w:sz w:val="20"/>
          <w:szCs w:val="20"/>
          <w:color w:val="auto"/>
        </w:rPr>
      </w:pPr>
    </w:p>
    <w:p>
      <w:pPr>
        <w:ind w:left="1640"/>
        <w:spacing w:after="0"/>
        <w:tabs>
          <w:tab w:leader="none" w:pos="2040" w:val="left"/>
        </w:tabs>
        <w:rPr>
          <w:sz w:val="20"/>
          <w:szCs w:val="20"/>
          <w:color w:val="auto"/>
        </w:rPr>
      </w:pPr>
      <w:r>
        <w:rPr>
          <w:rFonts w:ascii="Arial" w:cs="Arial" w:eastAsia="Arial" w:hAnsi="Arial"/>
          <w:sz w:val="18"/>
          <w:szCs w:val="18"/>
          <w:color w:val="auto"/>
        </w:rPr>
        <w:t>A2</w:t>
        <w:tab/>
        <w:t>Presentation of deferred income tax assets, current income tax liabilities and deferred income tax liabilities</w:t>
      </w:r>
    </w:p>
    <w:p>
      <w:pPr>
        <w:spacing w:after="0" w:line="212" w:lineRule="exact"/>
        <w:rPr>
          <w:sz w:val="20"/>
          <w:szCs w:val="20"/>
          <w:color w:val="auto"/>
        </w:rPr>
      </w:pPr>
    </w:p>
    <w:p>
      <w:pPr>
        <w:jc w:val="both"/>
        <w:ind w:left="2080"/>
        <w:spacing w:after="0" w:line="238" w:lineRule="auto"/>
        <w:rPr>
          <w:sz w:val="20"/>
          <w:szCs w:val="20"/>
          <w:color w:val="auto"/>
        </w:rPr>
      </w:pPr>
      <w:r>
        <w:rPr>
          <w:rFonts w:ascii="Arial" w:cs="Arial" w:eastAsia="Arial" w:hAnsi="Arial"/>
          <w:sz w:val="18"/>
          <w:szCs w:val="18"/>
          <w:color w:val="auto"/>
        </w:rPr>
        <w:t>The Group has changed the presentation of certain amounts under “Other current assets”, “Other current liabilities”, “Other long-term assets” and “Other long-term liabilities” in the balance sheet to meet the presentation requirements under FRS 1 and FRS 12. Under FRS 1, the balance sheet shall present “Deferred income tax assets”, “Current income tax liabilities” and “Deferred income tax liabilities”, which were not required to be presented on the balance sheet under the previous GAAP.</w:t>
      </w:r>
    </w:p>
    <w:p>
      <w:pPr>
        <w:spacing w:after="0" w:line="230" w:lineRule="exact"/>
        <w:rPr>
          <w:sz w:val="20"/>
          <w:szCs w:val="20"/>
          <w:color w:val="auto"/>
        </w:rPr>
      </w:pPr>
    </w:p>
    <w:p>
      <w:pPr>
        <w:ind w:left="2500" w:hanging="432"/>
        <w:spacing w:after="0" w:line="246" w:lineRule="auto"/>
        <w:tabs>
          <w:tab w:leader="none" w:pos="2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US$308 million of “Other long-term assets” under the previous GAAP are reclassified to be presented as “Deferred income tax assets” in the balance sheet presented as at 30 October 2016.</w:t>
      </w:r>
    </w:p>
    <w:p>
      <w:pPr>
        <w:spacing w:after="0" w:line="223" w:lineRule="exact"/>
        <w:rPr>
          <w:rFonts w:ascii="Arial" w:cs="Arial" w:eastAsia="Arial" w:hAnsi="Arial"/>
          <w:sz w:val="18"/>
          <w:szCs w:val="18"/>
          <w:color w:val="auto"/>
        </w:rPr>
      </w:pPr>
    </w:p>
    <w:p>
      <w:pPr>
        <w:jc w:val="both"/>
        <w:ind w:left="2500" w:hanging="432"/>
        <w:spacing w:after="0"/>
        <w:tabs>
          <w:tab w:leader="none" w:pos="2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US$115 million of “Other current assets” and US$208 million of “Other long-term assets” under the previous GAAP are reclassified to be presented as “Deferred income tax assets” in the balance sheet presented as at 2 November 2015.</w:t>
      </w:r>
    </w:p>
    <w:p>
      <w:pPr>
        <w:spacing w:after="0" w:line="229" w:lineRule="exact"/>
        <w:rPr>
          <w:rFonts w:ascii="Arial" w:cs="Arial" w:eastAsia="Arial" w:hAnsi="Arial"/>
          <w:sz w:val="18"/>
          <w:szCs w:val="18"/>
          <w:color w:val="auto"/>
        </w:rPr>
      </w:pPr>
    </w:p>
    <w:p>
      <w:pPr>
        <w:jc w:val="both"/>
        <w:ind w:left="2500" w:hanging="432"/>
        <w:spacing w:after="0"/>
        <w:tabs>
          <w:tab w:leader="none" w:pos="2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US$96 million of “Other current liabilities” and US$790 million of “Other long-term liabilities” under the previous GAAP are reclassified to be presented as “Current income tax liabilities” in the balance sheet presented as at 30 October 2016.</w:t>
      </w:r>
    </w:p>
    <w:p>
      <w:pPr>
        <w:spacing w:after="0" w:line="229" w:lineRule="exact"/>
        <w:rPr>
          <w:rFonts w:ascii="Arial" w:cs="Arial" w:eastAsia="Arial" w:hAnsi="Arial"/>
          <w:sz w:val="18"/>
          <w:szCs w:val="18"/>
          <w:color w:val="auto"/>
        </w:rPr>
      </w:pPr>
    </w:p>
    <w:p>
      <w:pPr>
        <w:jc w:val="both"/>
        <w:ind w:left="2500" w:hanging="432"/>
        <w:spacing w:after="0"/>
        <w:tabs>
          <w:tab w:leader="none" w:pos="2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US$15 million of “Other current liabilities” and US$274 million of “Other long-term liabilities” under the previous GAAP are reclassified to be presented as “Current income tax liabilities” in the balance sheet presented as at 2 November 2015.</w:t>
      </w:r>
    </w:p>
    <w:p>
      <w:pPr>
        <w:spacing w:after="0" w:line="202" w:lineRule="exact"/>
        <w:rPr>
          <w:rFonts w:ascii="Arial" w:cs="Arial" w:eastAsia="Arial" w:hAnsi="Arial"/>
          <w:sz w:val="18"/>
          <w:szCs w:val="18"/>
          <w:color w:val="auto"/>
        </w:rPr>
      </w:pPr>
    </w:p>
    <w:p>
      <w:pPr>
        <w:jc w:val="both"/>
        <w:ind w:left="2520"/>
        <w:spacing w:after="0" w:line="239" w:lineRule="auto"/>
        <w:rPr>
          <w:rFonts w:ascii="Arial" w:cs="Arial" w:eastAsia="Arial" w:hAnsi="Arial"/>
          <w:sz w:val="18"/>
          <w:szCs w:val="18"/>
          <w:color w:val="auto"/>
        </w:rPr>
      </w:pPr>
      <w:r>
        <w:rPr>
          <w:rFonts w:ascii="Arial" w:cs="Arial" w:eastAsia="Arial" w:hAnsi="Arial"/>
          <w:sz w:val="18"/>
          <w:szCs w:val="18"/>
          <w:color w:val="auto"/>
        </w:rPr>
        <w:t>The reclassification of “Other long-term liabilities” to “Current income tax liabilities” as described above pertains to uncertain tax positions that are not expected to be settled within 12 months of the reporting date. Under the previous GAAP, such balances are classified as non-current while under FRS, these balances are presented as current as they pertains to the Group’s probable current tax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Basis of preparation </w:t>
      </w:r>
      <w:r>
        <w:rPr>
          <w:rFonts w:ascii="Arial" w:cs="Arial" w:eastAsia="Arial" w:hAnsi="Arial"/>
          <w:sz w:val="17"/>
          <w:szCs w:val="17"/>
          <w:color w:val="auto"/>
        </w:rPr>
        <w:t>(continued)</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FRS 101 first-time adoption of Financial Reporting Standards </w:t>
      </w:r>
      <w:r>
        <w:rPr>
          <w:rFonts w:ascii="Arial" w:cs="Arial" w:eastAsia="Arial" w:hAnsi="Arial"/>
          <w:sz w:val="18"/>
          <w:szCs w:val="18"/>
          <w:color w:val="auto"/>
        </w:rPr>
        <w:t>(continued)</w:t>
      </w:r>
    </w:p>
    <w:p>
      <w:pPr>
        <w:spacing w:after="0" w:line="148" w:lineRule="exact"/>
        <w:rPr>
          <w:sz w:val="20"/>
          <w:szCs w:val="20"/>
          <w:color w:val="auto"/>
        </w:rPr>
      </w:pPr>
    </w:p>
    <w:p>
      <w:pPr>
        <w:ind w:left="1620" w:hanging="538"/>
        <w:spacing w:after="0"/>
        <w:tabs>
          <w:tab w:leader="none" w:pos="1620" w:val="left"/>
        </w:tabs>
        <w:numPr>
          <w:ilvl w:val="0"/>
          <w:numId w:val="1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Summary of financial impact </w:t>
      </w:r>
      <w:r>
        <w:rPr>
          <w:rFonts w:ascii="Arial" w:cs="Arial" w:eastAsia="Arial" w:hAnsi="Arial"/>
          <w:sz w:val="18"/>
          <w:szCs w:val="18"/>
          <w:color w:val="auto"/>
        </w:rPr>
        <w:t>(continued)</w:t>
      </w:r>
    </w:p>
    <w:p>
      <w:pPr>
        <w:spacing w:after="0" w:line="257" w:lineRule="exact"/>
        <w:rPr>
          <w:sz w:val="20"/>
          <w:szCs w:val="20"/>
          <w:color w:val="auto"/>
        </w:rPr>
      </w:pPr>
    </w:p>
    <w:p>
      <w:pPr>
        <w:ind w:left="2060" w:hanging="425"/>
        <w:spacing w:after="0"/>
        <w:tabs>
          <w:tab w:leader="none" w:pos="2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Reconciliation of the Group’s equity reported in accordance with the previous GAAP to FRS (continued)</w:t>
      </w:r>
    </w:p>
    <w:p>
      <w:pPr>
        <w:spacing w:after="0" w:line="239" w:lineRule="exact"/>
        <w:rPr>
          <w:sz w:val="20"/>
          <w:szCs w:val="20"/>
          <w:color w:val="auto"/>
        </w:rPr>
      </w:pPr>
    </w:p>
    <w:p>
      <w:pPr>
        <w:ind w:left="2060" w:hanging="419"/>
        <w:spacing w:after="0" w:line="246" w:lineRule="auto"/>
        <w:tabs>
          <w:tab w:leader="none" w:pos="2040" w:val="left"/>
        </w:tabs>
        <w:rPr>
          <w:sz w:val="20"/>
          <w:szCs w:val="20"/>
          <w:color w:val="auto"/>
        </w:rPr>
      </w:pPr>
      <w:r>
        <w:rPr>
          <w:rFonts w:ascii="Arial" w:cs="Arial" w:eastAsia="Arial" w:hAnsi="Arial"/>
          <w:sz w:val="18"/>
          <w:szCs w:val="18"/>
          <w:color w:val="auto"/>
        </w:rPr>
        <w:t>A2</w:t>
        <w:tab/>
        <w:t>Presentation of deferred income tax assets, current income tax liabilities and deferred income tax liabilities (continued)</w:t>
      </w:r>
    </w:p>
    <w:p>
      <w:pPr>
        <w:spacing w:after="0" w:line="224" w:lineRule="exact"/>
        <w:rPr>
          <w:sz w:val="20"/>
          <w:szCs w:val="20"/>
          <w:color w:val="auto"/>
        </w:rPr>
      </w:pPr>
    </w:p>
    <w:p>
      <w:pPr>
        <w:jc w:val="both"/>
        <w:ind w:left="2500" w:hanging="432"/>
        <w:spacing w:after="0"/>
        <w:tabs>
          <w:tab w:leader="none" w:pos="2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US$10,287 million and US$8 million of “Other long-term liabilities” under the previous GAAP are reclassified to be presented as “Deferred income tax liabilities” in the balance sheet presented as at 30 October 2016 and 2 November 2015, respectively.</w:t>
      </w:r>
    </w:p>
    <w:p>
      <w:pPr>
        <w:spacing w:after="0" w:line="230" w:lineRule="exact"/>
        <w:rPr>
          <w:sz w:val="20"/>
          <w:szCs w:val="20"/>
          <w:color w:val="auto"/>
        </w:rPr>
      </w:pPr>
    </w:p>
    <w:p>
      <w:pPr>
        <w:ind w:left="1640"/>
        <w:spacing w:after="0"/>
        <w:tabs>
          <w:tab w:leader="none" w:pos="2040" w:val="left"/>
        </w:tabs>
        <w:rPr>
          <w:sz w:val="20"/>
          <w:szCs w:val="20"/>
          <w:color w:val="auto"/>
        </w:rPr>
      </w:pPr>
      <w:r>
        <w:rPr>
          <w:rFonts w:ascii="Arial" w:cs="Arial" w:eastAsia="Arial" w:hAnsi="Arial"/>
          <w:sz w:val="18"/>
          <w:szCs w:val="18"/>
          <w:color w:val="auto"/>
        </w:rPr>
        <w:t>A3</w:t>
        <w:tab/>
        <w:t>Classification of other reserves</w:t>
      </w:r>
    </w:p>
    <w:p>
      <w:pPr>
        <w:spacing w:after="0" w:line="212" w:lineRule="exact"/>
        <w:rPr>
          <w:sz w:val="20"/>
          <w:szCs w:val="20"/>
          <w:color w:val="auto"/>
        </w:rPr>
      </w:pPr>
    </w:p>
    <w:p>
      <w:pPr>
        <w:jc w:val="both"/>
        <w:ind w:left="2080"/>
        <w:spacing w:after="0" w:line="246" w:lineRule="auto"/>
        <w:rPr>
          <w:sz w:val="20"/>
          <w:szCs w:val="20"/>
          <w:color w:val="auto"/>
        </w:rPr>
      </w:pPr>
      <w:r>
        <w:rPr>
          <w:rFonts w:ascii="Arial" w:cs="Arial" w:eastAsia="Arial" w:hAnsi="Arial"/>
          <w:sz w:val="18"/>
          <w:szCs w:val="18"/>
          <w:color w:val="auto"/>
        </w:rPr>
        <w:t>The Group has changed the presentation of certain amounts under “Share Capital” to reflect FRS 1 requirement to disclose the ordinary class of share capital and other reserves in equity which is described in detail in Note 32.</w:t>
      </w:r>
    </w:p>
    <w:p>
      <w:pPr>
        <w:spacing w:after="0" w:line="197" w:lineRule="exact"/>
        <w:rPr>
          <w:sz w:val="20"/>
          <w:szCs w:val="20"/>
          <w:color w:val="auto"/>
        </w:rPr>
      </w:pPr>
    </w:p>
    <w:p>
      <w:pPr>
        <w:jc w:val="both"/>
        <w:ind w:left="2080"/>
        <w:spacing w:after="0" w:line="246" w:lineRule="auto"/>
        <w:rPr>
          <w:sz w:val="20"/>
          <w:szCs w:val="20"/>
          <w:color w:val="auto"/>
        </w:rPr>
      </w:pPr>
      <w:r>
        <w:rPr>
          <w:rFonts w:ascii="Arial" w:cs="Arial" w:eastAsia="Arial" w:hAnsi="Arial"/>
          <w:sz w:val="18"/>
          <w:szCs w:val="18"/>
          <w:color w:val="auto"/>
        </w:rPr>
        <w:t>US$779 million and US$2,547 million of “Share Capital” under the previous GAAP are reclassified to be presented as “Other reserves” in the balance sheet presented as at 30 October 2016 and 2 November 2015, respectively.</w:t>
      </w:r>
    </w:p>
    <w:p>
      <w:pPr>
        <w:spacing w:after="0" w:line="197" w:lineRule="exact"/>
        <w:rPr>
          <w:sz w:val="20"/>
          <w:szCs w:val="20"/>
          <w:color w:val="auto"/>
        </w:rPr>
      </w:pPr>
    </w:p>
    <w:p>
      <w:pPr>
        <w:jc w:val="both"/>
        <w:ind w:left="2080"/>
        <w:spacing w:after="0"/>
        <w:rPr>
          <w:sz w:val="20"/>
          <w:szCs w:val="20"/>
          <w:color w:val="auto"/>
        </w:rPr>
      </w:pPr>
      <w:r>
        <w:rPr>
          <w:rFonts w:ascii="Arial" w:cs="Arial" w:eastAsia="Arial" w:hAnsi="Arial"/>
          <w:sz w:val="18"/>
          <w:szCs w:val="18"/>
          <w:color w:val="auto"/>
        </w:rPr>
        <w:t>US$134 million and US$73 million of “Accumulated other comprehensive loss” under the previous GAAP are subsumed and presented under “Other reserves” in the balance sheet presented as at 30 October 2016 and 2 November 2015, respectively.</w:t>
      </w:r>
    </w:p>
    <w:p>
      <w:pPr>
        <w:spacing w:after="0" w:line="230" w:lineRule="exact"/>
        <w:rPr>
          <w:sz w:val="20"/>
          <w:szCs w:val="20"/>
          <w:color w:val="auto"/>
        </w:rPr>
      </w:pPr>
    </w:p>
    <w:p>
      <w:pPr>
        <w:ind w:left="1640"/>
        <w:spacing w:after="0"/>
        <w:tabs>
          <w:tab w:leader="none" w:pos="2040" w:val="left"/>
        </w:tabs>
        <w:rPr>
          <w:sz w:val="20"/>
          <w:szCs w:val="20"/>
          <w:color w:val="auto"/>
        </w:rPr>
      </w:pPr>
      <w:r>
        <w:rPr>
          <w:rFonts w:ascii="Arial" w:cs="Arial" w:eastAsia="Arial" w:hAnsi="Arial"/>
          <w:sz w:val="18"/>
          <w:szCs w:val="18"/>
          <w:color w:val="auto"/>
        </w:rPr>
        <w:t>A4</w:t>
        <w:tab/>
        <w:t>Presentation of net pension liabilities</w:t>
      </w:r>
    </w:p>
    <w:p>
      <w:pPr>
        <w:spacing w:after="0" w:line="212" w:lineRule="exact"/>
        <w:rPr>
          <w:sz w:val="20"/>
          <w:szCs w:val="20"/>
          <w:color w:val="auto"/>
        </w:rPr>
      </w:pPr>
    </w:p>
    <w:p>
      <w:pPr>
        <w:jc w:val="both"/>
        <w:ind w:left="2080"/>
        <w:spacing w:after="0" w:line="237" w:lineRule="auto"/>
        <w:rPr>
          <w:sz w:val="20"/>
          <w:szCs w:val="20"/>
          <w:color w:val="auto"/>
        </w:rPr>
      </w:pPr>
      <w:r>
        <w:rPr>
          <w:rFonts w:ascii="Arial" w:cs="Arial" w:eastAsia="Arial" w:hAnsi="Arial"/>
          <w:sz w:val="18"/>
          <w:szCs w:val="18"/>
          <w:color w:val="auto"/>
        </w:rPr>
        <w:t>The Post-Employment Benefit plan consists of the US Group Life plan and the Avago Retiree Medical plan. The US Group Life plan is funded by the Agere Systems Inc. Post-retirement Life Insurance Benefit Trust. As the United States’ Internal Revenue Service’s rules effectively prohibit a reversion of any excess assets in the Trust back to the Company, adjustments are made to the respective balances relating to the US Group Life plan to recognise an irrevocable surplus under FRS 19. FRS 19 limits the amount of net pension liabilities that can be offset on the balance sheet whereas the previous GAAP does not have such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96520</wp:posOffset>
            </wp:positionV>
            <wp:extent cx="6997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Basis of preparation </w:t>
      </w:r>
      <w:r>
        <w:rPr>
          <w:rFonts w:ascii="Arial" w:cs="Arial" w:eastAsia="Arial" w:hAnsi="Arial"/>
          <w:sz w:val="17"/>
          <w:szCs w:val="17"/>
          <w:color w:val="auto"/>
        </w:rPr>
        <w:t>(continued)</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FRS 101 first-time adoption of Financial Reporting Standards </w:t>
      </w:r>
      <w:r>
        <w:rPr>
          <w:rFonts w:ascii="Arial" w:cs="Arial" w:eastAsia="Arial" w:hAnsi="Arial"/>
          <w:sz w:val="18"/>
          <w:szCs w:val="18"/>
          <w:color w:val="auto"/>
        </w:rPr>
        <w:t>(continued)</w:t>
      </w:r>
    </w:p>
    <w:p>
      <w:pPr>
        <w:spacing w:after="0" w:line="148" w:lineRule="exact"/>
        <w:rPr>
          <w:sz w:val="20"/>
          <w:szCs w:val="20"/>
          <w:color w:val="auto"/>
        </w:rPr>
      </w:pPr>
    </w:p>
    <w:p>
      <w:pPr>
        <w:ind w:left="1620" w:hanging="538"/>
        <w:spacing w:after="0"/>
        <w:tabs>
          <w:tab w:leader="none" w:pos="1620" w:val="left"/>
        </w:tabs>
        <w:numPr>
          <w:ilvl w:val="0"/>
          <w:numId w:val="1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Summary of financial impact </w:t>
      </w:r>
      <w:r>
        <w:rPr>
          <w:rFonts w:ascii="Arial" w:cs="Arial" w:eastAsia="Arial" w:hAnsi="Arial"/>
          <w:sz w:val="18"/>
          <w:szCs w:val="18"/>
          <w:color w:val="auto"/>
        </w:rPr>
        <w:t>(continued)</w:t>
      </w:r>
    </w:p>
    <w:p>
      <w:pPr>
        <w:spacing w:after="0" w:line="135"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Reconciliation of the Group’s equity reported in accordance with the previous GAAP to FRS (continued)</w:t>
      </w:r>
    </w:p>
    <w:p>
      <w:pPr>
        <w:spacing w:after="0" w:line="239" w:lineRule="exact"/>
        <w:rPr>
          <w:sz w:val="20"/>
          <w:szCs w:val="20"/>
          <w:color w:val="auto"/>
        </w:rPr>
      </w:pPr>
    </w:p>
    <w:p>
      <w:pPr>
        <w:ind w:left="1640"/>
        <w:spacing w:after="0"/>
        <w:tabs>
          <w:tab w:leader="none" w:pos="2040" w:val="left"/>
        </w:tabs>
        <w:rPr>
          <w:sz w:val="20"/>
          <w:szCs w:val="20"/>
          <w:color w:val="auto"/>
        </w:rPr>
      </w:pPr>
      <w:r>
        <w:rPr>
          <w:rFonts w:ascii="Arial" w:cs="Arial" w:eastAsia="Arial" w:hAnsi="Arial"/>
          <w:sz w:val="18"/>
          <w:szCs w:val="18"/>
          <w:color w:val="auto"/>
        </w:rPr>
        <w:t>A4</w:t>
        <w:tab/>
        <w:t>Presentation of net pension liabilities (continued)</w:t>
      </w:r>
    </w:p>
    <w:p>
      <w:pPr>
        <w:spacing w:after="0" w:line="212" w:lineRule="exact"/>
        <w:rPr>
          <w:sz w:val="20"/>
          <w:szCs w:val="20"/>
          <w:color w:val="auto"/>
        </w:rPr>
      </w:pPr>
    </w:p>
    <w:p>
      <w:pPr>
        <w:jc w:val="both"/>
        <w:ind w:left="2080" w:right="20"/>
        <w:spacing w:after="0"/>
        <w:rPr>
          <w:sz w:val="20"/>
          <w:szCs w:val="20"/>
          <w:color w:val="auto"/>
        </w:rPr>
      </w:pPr>
      <w:r>
        <w:rPr>
          <w:rFonts w:ascii="Arial" w:cs="Arial" w:eastAsia="Arial" w:hAnsi="Arial"/>
          <w:sz w:val="18"/>
          <w:szCs w:val="18"/>
          <w:color w:val="auto"/>
        </w:rPr>
        <w:t>This resulted in an adjustment of $15 million to the accumulated other comprehensive income, which is currently subsumed and presented under “Other reserves”, and a corresponding adjustment to the “Pension and post-retirement benefit obligations” of the Group.</w:t>
      </w:r>
    </w:p>
    <w:p>
      <w:pPr>
        <w:spacing w:after="0" w:line="230" w:lineRule="exact"/>
        <w:rPr>
          <w:sz w:val="20"/>
          <w:szCs w:val="20"/>
          <w:color w:val="auto"/>
        </w:rPr>
      </w:pPr>
    </w:p>
    <w:p>
      <w:pPr>
        <w:ind w:left="2060" w:hanging="425"/>
        <w:spacing w:after="0"/>
        <w:tabs>
          <w:tab w:leader="none" w:pos="2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Reconciliation of the Group’s total comprehensive income reported in accordance with the previous GAAP to FRS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0" w:type="dxa"/>
            <w:vAlign w:val="bottom"/>
          </w:tcPr>
          <w:p>
            <w:pPr>
              <w:jc w:val="right"/>
              <w:ind w:right="288"/>
              <w:spacing w:after="0"/>
              <w:rPr>
                <w:sz w:val="20"/>
                <w:szCs w:val="20"/>
                <w:color w:val="auto"/>
              </w:rPr>
            </w:pPr>
            <w:r>
              <w:rPr>
                <w:rFonts w:ascii="Arial" w:cs="Arial" w:eastAsia="Arial" w:hAnsi="Arial"/>
                <w:sz w:val="14"/>
                <w:szCs w:val="14"/>
                <w:b w:val="1"/>
                <w:bCs w:val="1"/>
                <w:color w:val="auto"/>
              </w:rPr>
              <w:t>Expla-</w:t>
            </w:r>
          </w:p>
        </w:tc>
        <w:tc>
          <w:tcPr>
            <w:tcW w:w="1140" w:type="dxa"/>
            <w:vAlign w:val="bottom"/>
          </w:tcPr>
          <w:p>
            <w:pPr>
              <w:jc w:val="center"/>
              <w:ind w:right="148"/>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Effect of</w:t>
            </w:r>
          </w:p>
        </w:tc>
        <w:tc>
          <w:tcPr>
            <w:tcW w:w="780" w:type="dxa"/>
            <w:vAlign w:val="bottom"/>
          </w:tcPr>
          <w:p>
            <w:pPr>
              <w:jc w:val="center"/>
              <w:ind w:left="68"/>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0" w:type="dxa"/>
            <w:vAlign w:val="bottom"/>
          </w:tcPr>
          <w:p>
            <w:pPr>
              <w:jc w:val="right"/>
              <w:ind w:right="288"/>
              <w:spacing w:after="0"/>
              <w:rPr>
                <w:sz w:val="20"/>
                <w:szCs w:val="20"/>
                <w:color w:val="auto"/>
              </w:rPr>
            </w:pPr>
            <w:r>
              <w:rPr>
                <w:rFonts w:ascii="Arial" w:cs="Arial" w:eastAsia="Arial" w:hAnsi="Arial"/>
                <w:sz w:val="14"/>
                <w:szCs w:val="14"/>
                <w:b w:val="1"/>
                <w:bCs w:val="1"/>
                <w:color w:val="auto"/>
              </w:rPr>
              <w:t>natory</w:t>
            </w: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auto"/>
              </w:rPr>
              <w:t>reported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transition</w:t>
            </w:r>
          </w:p>
        </w:tc>
        <w:tc>
          <w:tcPr>
            <w:tcW w:w="82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reported</w:t>
            </w:r>
          </w:p>
        </w:tc>
      </w:tr>
      <w:tr>
        <w:trPr>
          <w:trHeight w:val="162"/>
        </w:trPr>
        <w:tc>
          <w:tcPr>
            <w:tcW w:w="1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0" w:type="dxa"/>
            <w:vAlign w:val="bottom"/>
          </w:tcPr>
          <w:p>
            <w:pPr>
              <w:jc w:val="right"/>
              <w:ind w:right="348"/>
              <w:spacing w:after="0"/>
              <w:rPr>
                <w:sz w:val="20"/>
                <w:szCs w:val="20"/>
                <w:color w:val="auto"/>
              </w:rPr>
            </w:pPr>
            <w:r>
              <w:rPr>
                <w:rFonts w:ascii="Arial" w:cs="Arial" w:eastAsia="Arial" w:hAnsi="Arial"/>
                <w:sz w:val="14"/>
                <w:szCs w:val="14"/>
                <w:b w:val="1"/>
                <w:bCs w:val="1"/>
                <w:color w:val="auto"/>
              </w:rPr>
              <w:t>Note</w:t>
            </w:r>
          </w:p>
        </w:tc>
        <w:tc>
          <w:tcPr>
            <w:tcW w:w="1140" w:type="dxa"/>
            <w:vAlign w:val="bottom"/>
          </w:tcPr>
          <w:p>
            <w:pPr>
              <w:jc w:val="center"/>
              <w:ind w:right="148"/>
              <w:spacing w:after="0"/>
              <w:rPr>
                <w:sz w:val="20"/>
                <w:szCs w:val="20"/>
                <w:color w:val="auto"/>
              </w:rPr>
            </w:pPr>
            <w:r>
              <w:rPr>
                <w:rFonts w:ascii="Arial" w:cs="Arial" w:eastAsia="Arial" w:hAnsi="Arial"/>
                <w:sz w:val="14"/>
                <w:szCs w:val="14"/>
                <w:b w:val="1"/>
                <w:bCs w:val="1"/>
                <w:color w:val="auto"/>
              </w:rPr>
              <w:t>under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to FRS</w:t>
            </w:r>
          </w:p>
        </w:tc>
        <w:tc>
          <w:tcPr>
            <w:tcW w:w="8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under</w:t>
            </w:r>
          </w:p>
        </w:tc>
      </w:tr>
      <w:tr>
        <w:trPr>
          <w:trHeight w:val="162"/>
        </w:trPr>
        <w:tc>
          <w:tcPr>
            <w:tcW w:w="1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40" w:type="dxa"/>
            <w:vAlign w:val="bottom"/>
          </w:tcPr>
          <w:p>
            <w:pPr>
              <w:jc w:val="center"/>
              <w:ind w:right="148"/>
              <w:spacing w:after="0"/>
              <w:rPr>
                <w:sz w:val="20"/>
                <w:szCs w:val="20"/>
                <w:color w:val="auto"/>
              </w:rPr>
            </w:pPr>
            <w:r>
              <w:rPr>
                <w:rFonts w:ascii="Arial" w:cs="Arial" w:eastAsia="Arial" w:hAnsi="Arial"/>
                <w:sz w:val="14"/>
                <w:szCs w:val="14"/>
                <w:b w:val="1"/>
                <w:bCs w:val="1"/>
                <w:color w:val="auto"/>
              </w:rPr>
              <w:t>previous</w:t>
            </w:r>
          </w:p>
        </w:tc>
        <w:tc>
          <w:tcPr>
            <w:tcW w:w="1000" w:type="dxa"/>
            <w:vAlign w:val="bottom"/>
          </w:tcPr>
          <w:p>
            <w:pPr>
              <w:spacing w:after="0"/>
              <w:rPr>
                <w:sz w:val="14"/>
                <w:szCs w:val="14"/>
                <w:color w:val="auto"/>
              </w:rPr>
            </w:pPr>
          </w:p>
        </w:tc>
        <w:tc>
          <w:tcPr>
            <w:tcW w:w="82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FRS</w:t>
            </w:r>
          </w:p>
        </w:tc>
      </w:tr>
      <w:tr>
        <w:trPr>
          <w:trHeight w:val="190"/>
        </w:trPr>
        <w:tc>
          <w:tcPr>
            <w:tcW w:w="11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auto"/>
              </w:rPr>
              <w:t>GAAP</w:t>
            </w: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68"/>
        </w:trPr>
        <w:tc>
          <w:tcPr>
            <w:tcW w:w="11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tcPr>
          <w:p>
            <w:pPr>
              <w:jc w:val="center"/>
              <w:ind w:right="168"/>
              <w:spacing w:after="0"/>
              <w:rPr>
                <w:sz w:val="20"/>
                <w:szCs w:val="20"/>
                <w:color w:val="auto"/>
              </w:rPr>
            </w:pPr>
            <w:r>
              <w:rPr>
                <w:rFonts w:ascii="Arial" w:cs="Arial" w:eastAsia="Arial" w:hAnsi="Arial"/>
                <w:sz w:val="14"/>
                <w:szCs w:val="14"/>
                <w:color w:val="auto"/>
              </w:rPr>
              <w:t>(US$</w:t>
            </w:r>
          </w:p>
        </w:tc>
        <w:tc>
          <w:tcPr>
            <w:tcW w:w="1000" w:type="dxa"/>
            <w:vAlign w:val="bottom"/>
          </w:tcPr>
          <w:p>
            <w:pPr>
              <w:jc w:val="center"/>
              <w:spacing w:after="0"/>
              <w:rPr>
                <w:sz w:val="20"/>
                <w:szCs w:val="20"/>
                <w:color w:val="auto"/>
              </w:rPr>
            </w:pPr>
            <w:r>
              <w:rPr>
                <w:rFonts w:ascii="Arial" w:cs="Arial" w:eastAsia="Arial" w:hAnsi="Arial"/>
                <w:sz w:val="14"/>
                <w:szCs w:val="14"/>
                <w:color w:val="auto"/>
              </w:rPr>
              <w:t>(US$</w:t>
            </w:r>
          </w:p>
        </w:tc>
        <w:tc>
          <w:tcPr>
            <w:tcW w:w="820" w:type="dxa"/>
            <w:vAlign w:val="bottom"/>
            <w:gridSpan w:val="2"/>
          </w:tcPr>
          <w:p>
            <w:pPr>
              <w:jc w:val="center"/>
              <w:ind w:left="48"/>
              <w:spacing w:after="0"/>
              <w:rPr>
                <w:sz w:val="20"/>
                <w:szCs w:val="20"/>
                <w:color w:val="auto"/>
              </w:rPr>
            </w:pPr>
            <w:r>
              <w:rPr>
                <w:rFonts w:ascii="Arial" w:cs="Arial" w:eastAsia="Arial" w:hAnsi="Arial"/>
                <w:sz w:val="14"/>
                <w:szCs w:val="14"/>
                <w:color w:val="auto"/>
              </w:rPr>
              <w:t>(US$</w:t>
            </w:r>
          </w:p>
        </w:tc>
      </w:tr>
      <w:tr>
        <w:trPr>
          <w:trHeight w:val="157"/>
        </w:trPr>
        <w:tc>
          <w:tcPr>
            <w:tcW w:w="11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140" w:type="dxa"/>
            <w:vAlign w:val="bottom"/>
          </w:tcPr>
          <w:p>
            <w:pPr>
              <w:jc w:val="center"/>
              <w:ind w:right="168"/>
              <w:spacing w:after="0" w:line="157" w:lineRule="exact"/>
              <w:rPr>
                <w:sz w:val="20"/>
                <w:szCs w:val="20"/>
                <w:color w:val="auto"/>
              </w:rPr>
            </w:pPr>
            <w:r>
              <w:rPr>
                <w:rFonts w:ascii="Arial" w:cs="Arial" w:eastAsia="Arial" w:hAnsi="Arial"/>
                <w:sz w:val="14"/>
                <w:szCs w:val="14"/>
                <w:color w:val="auto"/>
              </w:rPr>
              <w:t>millions)</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rPr>
              <w:t>millions)</w:t>
            </w:r>
          </w:p>
        </w:tc>
        <w:tc>
          <w:tcPr>
            <w:tcW w:w="82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rPr>
              <w:t>millions)</w:t>
            </w:r>
          </w:p>
        </w:tc>
      </w:tr>
      <w:tr>
        <w:trPr>
          <w:trHeight w:val="162"/>
        </w:trPr>
        <w:tc>
          <w:tcPr>
            <w:tcW w:w="1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Sales</w:t>
            </w:r>
          </w:p>
        </w:tc>
        <w:tc>
          <w:tcPr>
            <w:tcW w:w="2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13,240</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13,240</w:t>
            </w:r>
          </w:p>
        </w:tc>
        <w:tc>
          <w:tcPr>
            <w:tcW w:w="4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ind w:left="1100"/>
              <w:spacing w:after="0"/>
              <w:rPr>
                <w:sz w:val="20"/>
                <w:szCs w:val="20"/>
                <w:color w:val="auto"/>
              </w:rPr>
            </w:pPr>
            <w:r>
              <w:rPr>
                <w:rFonts w:ascii="Arial" w:cs="Arial" w:eastAsia="Arial" w:hAnsi="Arial"/>
                <w:sz w:val="14"/>
                <w:szCs w:val="14"/>
                <w:color w:val="auto"/>
              </w:rPr>
              <w:t>Cost of sales</w:t>
            </w:r>
          </w:p>
        </w:tc>
        <w:tc>
          <w:tcPr>
            <w:tcW w:w="2200" w:type="dxa"/>
            <w:vAlign w:val="bottom"/>
          </w:tcPr>
          <w:p>
            <w:pPr>
              <w:jc w:val="right"/>
              <w:ind w:right="288"/>
              <w:spacing w:after="0"/>
              <w:rPr>
                <w:sz w:val="20"/>
                <w:szCs w:val="20"/>
                <w:color w:val="auto"/>
              </w:rPr>
            </w:pPr>
            <w:r>
              <w:rPr>
                <w:rFonts w:ascii="Arial" w:cs="Arial" w:eastAsia="Arial" w:hAnsi="Arial"/>
                <w:sz w:val="14"/>
                <w:szCs w:val="14"/>
                <w:b w:val="1"/>
                <w:bCs w:val="1"/>
                <w:color w:val="auto"/>
              </w:rPr>
              <w:t>B, B1</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(5,295)</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(2,005)</w:t>
            </w:r>
          </w:p>
        </w:tc>
        <w:tc>
          <w:tcPr>
            <w:tcW w:w="780" w:type="dxa"/>
            <w:vAlign w:val="bottom"/>
          </w:tcPr>
          <w:p>
            <w:pPr>
              <w:jc w:val="right"/>
              <w:spacing w:after="0"/>
              <w:rPr>
                <w:sz w:val="20"/>
                <w:szCs w:val="20"/>
                <w:color w:val="auto"/>
              </w:rPr>
            </w:pPr>
            <w:r>
              <w:rPr>
                <w:rFonts w:ascii="Arial" w:cs="Arial" w:eastAsia="Arial" w:hAnsi="Arial"/>
                <w:sz w:val="14"/>
                <w:szCs w:val="14"/>
                <w:color w:val="auto"/>
              </w:rPr>
              <w:t>(7,300)</w:t>
            </w:r>
          </w:p>
        </w:tc>
        <w:tc>
          <w:tcPr>
            <w:tcW w:w="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Purchase accounting effect on inventory</w:t>
            </w:r>
          </w:p>
        </w:tc>
        <w:tc>
          <w:tcPr>
            <w:tcW w:w="220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B, B1</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(1,185)</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ind w:left="1100"/>
              <w:spacing w:after="0"/>
              <w:rPr>
                <w:sz w:val="20"/>
                <w:szCs w:val="20"/>
                <w:color w:val="auto"/>
              </w:rPr>
            </w:pPr>
            <w:r>
              <w:rPr>
                <w:rFonts w:ascii="Arial" w:cs="Arial" w:eastAsia="Arial" w:hAnsi="Arial"/>
                <w:sz w:val="14"/>
                <w:szCs w:val="14"/>
                <w:color w:val="auto"/>
              </w:rPr>
              <w:t>Amortisation of acquisition-related intangible assets</w:t>
            </w:r>
          </w:p>
        </w:tc>
        <w:tc>
          <w:tcPr>
            <w:tcW w:w="2200" w:type="dxa"/>
            <w:vAlign w:val="bottom"/>
          </w:tcPr>
          <w:p>
            <w:pPr>
              <w:jc w:val="right"/>
              <w:ind w:right="288"/>
              <w:spacing w:after="0"/>
              <w:rPr>
                <w:sz w:val="20"/>
                <w:szCs w:val="20"/>
                <w:color w:val="auto"/>
              </w:rPr>
            </w:pPr>
            <w:r>
              <w:rPr>
                <w:rFonts w:ascii="Arial" w:cs="Arial" w:eastAsia="Arial" w:hAnsi="Arial"/>
                <w:sz w:val="14"/>
                <w:szCs w:val="14"/>
                <w:b w:val="1"/>
                <w:bCs w:val="1"/>
                <w:color w:val="auto"/>
              </w:rPr>
              <w:t>B, B1</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(763)</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763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Restructuring charges</w:t>
            </w:r>
          </w:p>
        </w:tc>
        <w:tc>
          <w:tcPr>
            <w:tcW w:w="220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B, B1</w:t>
            </w:r>
          </w:p>
        </w:tc>
        <w:tc>
          <w:tcPr>
            <w:tcW w:w="11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(57)</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r>
      <w:tr>
        <w:trPr>
          <w:trHeight w:val="184"/>
        </w:trPr>
        <w:tc>
          <w:tcPr>
            <w:tcW w:w="5860" w:type="dxa"/>
            <w:vAlign w:val="bottom"/>
            <w:gridSpan w:val="2"/>
          </w:tcPr>
          <w:p>
            <w:pPr>
              <w:ind w:left="1100"/>
              <w:spacing w:after="0"/>
              <w:rPr>
                <w:sz w:val="20"/>
                <w:szCs w:val="20"/>
                <w:color w:val="auto"/>
              </w:rPr>
            </w:pPr>
            <w:r>
              <w:rPr>
                <w:rFonts w:ascii="Arial" w:cs="Arial" w:eastAsia="Arial" w:hAnsi="Arial"/>
                <w:sz w:val="14"/>
                <w:szCs w:val="14"/>
                <w:b w:val="1"/>
                <w:bCs w:val="1"/>
                <w:color w:val="auto"/>
              </w:rPr>
              <w:t>Gross margin</w:t>
            </w:r>
          </w:p>
        </w:tc>
        <w:tc>
          <w:tcPr>
            <w:tcW w:w="2200" w:type="dxa"/>
            <w:vAlign w:val="bottom"/>
          </w:tcPr>
          <w:p>
            <w:pPr>
              <w:spacing w:after="0"/>
              <w:rPr>
                <w:sz w:val="16"/>
                <w:szCs w:val="16"/>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5,940</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5,940</w:t>
            </w:r>
          </w:p>
        </w:tc>
        <w:tc>
          <w:tcPr>
            <w:tcW w:w="40" w:type="dxa"/>
            <w:vAlign w:val="bottom"/>
          </w:tcPr>
          <w:p>
            <w:pPr>
              <w:spacing w:after="0"/>
              <w:rPr>
                <w:sz w:val="16"/>
                <w:szCs w:val="16"/>
                <w:color w:val="auto"/>
              </w:rPr>
            </w:pPr>
          </w:p>
        </w:tc>
      </w:tr>
      <w:tr>
        <w:trPr>
          <w:trHeight w:val="201"/>
        </w:trPr>
        <w:tc>
          <w:tcPr>
            <w:tcW w:w="5860" w:type="dxa"/>
            <w:vAlign w:val="bottom"/>
            <w:gridSpan w:val="2"/>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62"/>
        </w:trPr>
        <w:tc>
          <w:tcPr>
            <w:tcW w:w="1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2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4"/>
                <w:szCs w:val="14"/>
                <w:color w:val="auto"/>
              </w:rPr>
            </w:pPr>
          </w:p>
        </w:tc>
      </w:tr>
      <w:tr>
        <w:trPr>
          <w:trHeight w:val="378"/>
        </w:trPr>
        <w:tc>
          <w:tcPr>
            <w:tcW w:w="5860" w:type="dxa"/>
            <w:vAlign w:val="bottom"/>
            <w:gridSpan w:val="2"/>
          </w:tcPr>
          <w:p>
            <w:pPr>
              <w:ind w:left="1100"/>
              <w:spacing w:after="0"/>
              <w:rPr>
                <w:sz w:val="20"/>
                <w:szCs w:val="20"/>
                <w:color w:val="auto"/>
              </w:rPr>
            </w:pPr>
            <w:r>
              <w:rPr>
                <w:rFonts w:ascii="Arial" w:cs="Arial" w:eastAsia="Arial" w:hAnsi="Arial"/>
                <w:sz w:val="14"/>
                <w:szCs w:val="14"/>
                <w:color w:val="auto"/>
              </w:rPr>
              <w:t>- Research and development</w:t>
            </w:r>
          </w:p>
        </w:tc>
        <w:tc>
          <w:tcPr>
            <w:tcW w:w="2200" w:type="dxa"/>
            <w:vAlign w:val="bottom"/>
          </w:tcPr>
          <w:p>
            <w:pPr>
              <w:spacing w:after="0"/>
              <w:rPr>
                <w:sz w:val="24"/>
                <w:szCs w:val="24"/>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(2,674)</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(2,674)</w:t>
            </w:r>
          </w:p>
        </w:tc>
        <w:tc>
          <w:tcPr>
            <w:tcW w:w="40" w:type="dxa"/>
            <w:vAlign w:val="bottom"/>
          </w:tcPr>
          <w:p>
            <w:pPr>
              <w:spacing w:after="0"/>
              <w:rPr>
                <w:sz w:val="24"/>
                <w:szCs w:val="24"/>
                <w:color w:val="auto"/>
              </w:rPr>
            </w:pPr>
          </w:p>
        </w:tc>
      </w:tr>
      <w:tr>
        <w:trPr>
          <w:trHeight w:val="162"/>
        </w:trPr>
        <w:tc>
          <w:tcPr>
            <w:tcW w:w="1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 Selling, general and administrative</w:t>
            </w:r>
          </w:p>
        </w:tc>
        <w:tc>
          <w:tcPr>
            <w:tcW w:w="2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(806)</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4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ind w:left="1100"/>
              <w:spacing w:after="0"/>
              <w:rPr>
                <w:sz w:val="20"/>
                <w:szCs w:val="20"/>
                <w:color w:val="auto"/>
              </w:rPr>
            </w:pPr>
            <w:r>
              <w:rPr>
                <w:rFonts w:ascii="Arial" w:cs="Arial" w:eastAsia="Arial" w:hAnsi="Arial"/>
                <w:sz w:val="14"/>
                <w:szCs w:val="14"/>
                <w:color w:val="auto"/>
              </w:rPr>
              <w:t>- Amortisation of acquisition-related intangible assets</w:t>
            </w:r>
          </w:p>
        </w:tc>
        <w:tc>
          <w:tcPr>
            <w:tcW w:w="2200" w:type="dxa"/>
            <w:vAlign w:val="bottom"/>
          </w:tcPr>
          <w:p>
            <w:pPr>
              <w:jc w:val="right"/>
              <w:ind w:right="288"/>
              <w:spacing w:after="0"/>
              <w:rPr>
                <w:sz w:val="20"/>
                <w:szCs w:val="20"/>
                <w:color w:val="auto"/>
              </w:rPr>
            </w:pPr>
            <w:r>
              <w:rPr>
                <w:rFonts w:ascii="Arial" w:cs="Arial" w:eastAsia="Arial" w:hAnsi="Arial"/>
                <w:sz w:val="14"/>
                <w:szCs w:val="14"/>
                <w:b w:val="1"/>
                <w:bCs w:val="1"/>
                <w:color w:val="auto"/>
              </w:rPr>
              <w:t>B, B2</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(1,873)</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1,873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 Restructuring, impairment and disposal charges</w:t>
            </w:r>
          </w:p>
        </w:tc>
        <w:tc>
          <w:tcPr>
            <w:tcW w:w="220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B, B2</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(996)</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r>
      <w:tr>
        <w:trPr>
          <w:trHeight w:val="169"/>
        </w:trPr>
        <w:tc>
          <w:tcPr>
            <w:tcW w:w="5860" w:type="dxa"/>
            <w:vAlign w:val="bottom"/>
            <w:gridSpan w:val="2"/>
          </w:tcPr>
          <w:p>
            <w:pPr>
              <w:ind w:left="1100"/>
              <w:spacing w:after="0"/>
              <w:rPr>
                <w:sz w:val="20"/>
                <w:szCs w:val="20"/>
                <w:color w:val="auto"/>
              </w:rPr>
            </w:pPr>
            <w:r>
              <w:rPr>
                <w:rFonts w:ascii="Arial" w:cs="Arial" w:eastAsia="Arial" w:hAnsi="Arial"/>
                <w:sz w:val="14"/>
                <w:szCs w:val="14"/>
                <w:color w:val="auto"/>
              </w:rPr>
              <w:t>- Other expenses</w:t>
            </w:r>
          </w:p>
        </w:tc>
        <w:tc>
          <w:tcPr>
            <w:tcW w:w="2200" w:type="dxa"/>
            <w:vAlign w:val="bottom"/>
          </w:tcPr>
          <w:p>
            <w:pPr>
              <w:jc w:val="right"/>
              <w:ind w:right="288"/>
              <w:spacing w:after="0"/>
              <w:rPr>
                <w:sz w:val="20"/>
                <w:szCs w:val="20"/>
                <w:color w:val="auto"/>
              </w:rPr>
            </w:pPr>
            <w:r>
              <w:rPr>
                <w:rFonts w:ascii="Arial" w:cs="Arial" w:eastAsia="Arial" w:hAnsi="Arial"/>
                <w:sz w:val="14"/>
                <w:szCs w:val="14"/>
                <w:b w:val="1"/>
                <w:bCs w:val="1"/>
                <w:color w:val="auto"/>
              </w:rPr>
              <w:t>B, B2</w:t>
            </w: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(2,869)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(2,869)</w:t>
            </w:r>
          </w:p>
        </w:tc>
        <w:tc>
          <w:tcPr>
            <w:tcW w:w="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w:t>
            </w:r>
          </w:p>
        </w:tc>
        <w:tc>
          <w:tcPr>
            <w:tcW w:w="2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(399)</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(399)</w:t>
            </w:r>
          </w:p>
        </w:tc>
        <w:tc>
          <w:tcPr>
            <w:tcW w:w="4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ind w:left="1100"/>
              <w:spacing w:after="0"/>
              <w:rPr>
                <w:sz w:val="20"/>
                <w:szCs w:val="20"/>
                <w:color w:val="auto"/>
              </w:rPr>
            </w:pPr>
            <w:r>
              <w:rPr>
                <w:rFonts w:ascii="Arial" w:cs="Arial" w:eastAsia="Arial" w:hAnsi="Arial"/>
                <w:sz w:val="14"/>
                <w:szCs w:val="14"/>
                <w:color w:val="auto"/>
              </w:rPr>
              <w:t>Interest expense</w:t>
            </w:r>
          </w:p>
        </w:tc>
        <w:tc>
          <w:tcPr>
            <w:tcW w:w="2200" w:type="dxa"/>
            <w:vAlign w:val="bottom"/>
          </w:tcPr>
          <w:p>
            <w:pPr>
              <w:jc w:val="right"/>
              <w:ind w:right="288"/>
              <w:spacing w:after="0"/>
              <w:rPr>
                <w:sz w:val="20"/>
                <w:szCs w:val="20"/>
                <w:color w:val="auto"/>
              </w:rPr>
            </w:pPr>
            <w:r>
              <w:rPr>
                <w:rFonts w:ascii="Arial" w:cs="Arial" w:eastAsia="Arial" w:hAnsi="Arial"/>
                <w:sz w:val="14"/>
                <w:szCs w:val="14"/>
                <w:b w:val="1"/>
                <w:bCs w:val="1"/>
                <w:color w:val="auto"/>
              </w:rPr>
              <w:t>B, B3</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(585)</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585</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Loss on extinguishment of debt</w:t>
            </w:r>
          </w:p>
        </w:tc>
        <w:tc>
          <w:tcPr>
            <w:tcW w:w="220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B, B3</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(123)</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r>
      <w:tr>
        <w:trPr>
          <w:trHeight w:val="169"/>
        </w:trPr>
        <w:tc>
          <w:tcPr>
            <w:tcW w:w="5860" w:type="dxa"/>
            <w:vAlign w:val="bottom"/>
            <w:gridSpan w:val="2"/>
          </w:tcPr>
          <w:p>
            <w:pPr>
              <w:ind w:left="1100"/>
              <w:spacing w:after="0"/>
              <w:rPr>
                <w:sz w:val="20"/>
                <w:szCs w:val="20"/>
                <w:color w:val="auto"/>
              </w:rPr>
            </w:pPr>
            <w:r>
              <w:rPr>
                <w:rFonts w:ascii="Arial" w:cs="Arial" w:eastAsia="Arial" w:hAnsi="Arial"/>
                <w:sz w:val="14"/>
                <w:szCs w:val="14"/>
                <w:color w:val="auto"/>
              </w:rPr>
              <w:t>Finance costs</w:t>
            </w:r>
          </w:p>
        </w:tc>
        <w:tc>
          <w:tcPr>
            <w:tcW w:w="2200" w:type="dxa"/>
            <w:vAlign w:val="bottom"/>
          </w:tcPr>
          <w:p>
            <w:pPr>
              <w:jc w:val="right"/>
              <w:ind w:right="288"/>
              <w:spacing w:after="0"/>
              <w:rPr>
                <w:sz w:val="20"/>
                <w:szCs w:val="20"/>
                <w:color w:val="auto"/>
              </w:rPr>
            </w:pPr>
            <w:r>
              <w:rPr>
                <w:rFonts w:ascii="Arial" w:cs="Arial" w:eastAsia="Arial" w:hAnsi="Arial"/>
                <w:sz w:val="14"/>
                <w:szCs w:val="14"/>
                <w:b w:val="1"/>
                <w:bCs w:val="1"/>
                <w:color w:val="auto"/>
              </w:rPr>
              <w:t>B, B3</w:t>
            </w: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Loss before income taxes</w:t>
            </w:r>
          </w:p>
        </w:tc>
        <w:tc>
          <w:tcPr>
            <w:tcW w:w="2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(1,107)</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(1,107)</w:t>
            </w:r>
          </w:p>
        </w:tc>
        <w:tc>
          <w:tcPr>
            <w:tcW w:w="40" w:type="dxa"/>
            <w:vAlign w:val="bottom"/>
            <w:shd w:val="clear" w:color="auto" w:fill="CCEEFF"/>
          </w:tcPr>
          <w:p>
            <w:pPr>
              <w:spacing w:after="0"/>
              <w:rPr>
                <w:sz w:val="14"/>
                <w:szCs w:val="14"/>
                <w:color w:val="auto"/>
              </w:rPr>
            </w:pPr>
          </w:p>
        </w:tc>
      </w:tr>
      <w:tr>
        <w:trPr>
          <w:trHeight w:val="169"/>
        </w:trPr>
        <w:tc>
          <w:tcPr>
            <w:tcW w:w="5860" w:type="dxa"/>
            <w:vAlign w:val="bottom"/>
            <w:gridSpan w:val="2"/>
          </w:tcPr>
          <w:p>
            <w:pPr>
              <w:ind w:left="1100"/>
              <w:spacing w:after="0"/>
              <w:rPr>
                <w:sz w:val="20"/>
                <w:szCs w:val="20"/>
                <w:color w:val="auto"/>
              </w:rPr>
            </w:pPr>
            <w:r>
              <w:rPr>
                <w:rFonts w:ascii="Arial" w:cs="Arial" w:eastAsia="Arial" w:hAnsi="Arial"/>
                <w:sz w:val="14"/>
                <w:szCs w:val="14"/>
                <w:color w:val="auto"/>
              </w:rPr>
              <w:t>Income tax expense</w:t>
            </w:r>
          </w:p>
        </w:tc>
        <w:tc>
          <w:tcPr>
            <w:tcW w:w="2200" w:type="dxa"/>
            <w:vAlign w:val="bottom"/>
          </w:tcPr>
          <w:p>
            <w:pPr>
              <w:spacing w:after="0"/>
              <w:rPr>
                <w:sz w:val="14"/>
                <w:szCs w:val="14"/>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(642)</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Loss from continuing operations</w:t>
            </w:r>
          </w:p>
        </w:tc>
        <w:tc>
          <w:tcPr>
            <w:tcW w:w="2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(1,749)</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(1,749)</w:t>
            </w:r>
          </w:p>
        </w:tc>
        <w:tc>
          <w:tcPr>
            <w:tcW w:w="40" w:type="dxa"/>
            <w:vAlign w:val="bottom"/>
            <w:shd w:val="clear" w:color="auto" w:fill="CCEEFF"/>
          </w:tcPr>
          <w:p>
            <w:pPr>
              <w:spacing w:after="0"/>
              <w:rPr>
                <w:sz w:val="14"/>
                <w:szCs w:val="14"/>
                <w:color w:val="auto"/>
              </w:rPr>
            </w:pPr>
          </w:p>
        </w:tc>
      </w:tr>
      <w:tr>
        <w:trPr>
          <w:trHeight w:val="169"/>
        </w:trPr>
        <w:tc>
          <w:tcPr>
            <w:tcW w:w="5860" w:type="dxa"/>
            <w:vAlign w:val="bottom"/>
            <w:gridSpan w:val="2"/>
          </w:tcPr>
          <w:p>
            <w:pPr>
              <w:ind w:left="1100"/>
              <w:spacing w:after="0"/>
              <w:rPr>
                <w:sz w:val="20"/>
                <w:szCs w:val="20"/>
                <w:color w:val="auto"/>
              </w:rPr>
            </w:pPr>
            <w:r>
              <w:rPr>
                <w:rFonts w:ascii="Arial" w:cs="Arial" w:eastAsia="Arial" w:hAnsi="Arial"/>
                <w:sz w:val="14"/>
                <w:szCs w:val="14"/>
                <w:color w:val="auto"/>
              </w:rPr>
              <w:t>Loss from discontinued operations</w:t>
            </w:r>
          </w:p>
        </w:tc>
        <w:tc>
          <w:tcPr>
            <w:tcW w:w="2200" w:type="dxa"/>
            <w:vAlign w:val="bottom"/>
          </w:tcPr>
          <w:p>
            <w:pPr>
              <w:spacing w:after="0"/>
              <w:rPr>
                <w:sz w:val="14"/>
                <w:szCs w:val="14"/>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(112)</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4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loss</w:t>
            </w:r>
          </w:p>
        </w:tc>
        <w:tc>
          <w:tcPr>
            <w:tcW w:w="220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(1,861)</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(1,861)</w:t>
            </w:r>
          </w:p>
        </w:tc>
        <w:tc>
          <w:tcPr>
            <w:tcW w:w="40" w:type="dxa"/>
            <w:vAlign w:val="bottom"/>
            <w:shd w:val="clear" w:color="auto" w:fill="CCEEFF"/>
          </w:tcPr>
          <w:p>
            <w:pPr>
              <w:spacing w:after="0"/>
              <w:rPr>
                <w:sz w:val="14"/>
                <w:szCs w:val="14"/>
                <w:color w:val="auto"/>
              </w:rPr>
            </w:pPr>
          </w:p>
        </w:tc>
      </w:tr>
      <w:tr>
        <w:trPr>
          <w:trHeight w:val="176"/>
        </w:trPr>
        <w:tc>
          <w:tcPr>
            <w:tcW w:w="1100" w:type="dxa"/>
            <w:vAlign w:val="bottom"/>
            <w:tcBorders>
              <w:bottom w:val="single" w:sz="8" w:color="auto"/>
            </w:tcBorders>
          </w:tcPr>
          <w:p>
            <w:pPr>
              <w:spacing w:after="0"/>
              <w:rPr>
                <w:sz w:val="15"/>
                <w:szCs w:val="15"/>
                <w:color w:val="auto"/>
              </w:rPr>
            </w:pPr>
          </w:p>
        </w:tc>
        <w:tc>
          <w:tcPr>
            <w:tcW w:w="47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bl>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Basis of preparation </w:t>
      </w:r>
      <w:r>
        <w:rPr>
          <w:rFonts w:ascii="Arial" w:cs="Arial" w:eastAsia="Arial" w:hAnsi="Arial"/>
          <w:sz w:val="17"/>
          <w:szCs w:val="17"/>
          <w:color w:val="auto"/>
        </w:rPr>
        <w:t>(continued)</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FRS 101 first-time adoption of Financial Reporting Standards </w:t>
      </w:r>
      <w:r>
        <w:rPr>
          <w:rFonts w:ascii="Arial" w:cs="Arial" w:eastAsia="Arial" w:hAnsi="Arial"/>
          <w:sz w:val="18"/>
          <w:szCs w:val="18"/>
          <w:color w:val="auto"/>
        </w:rPr>
        <w:t>(continued)</w:t>
      </w:r>
    </w:p>
    <w:p>
      <w:pPr>
        <w:spacing w:after="0" w:line="148" w:lineRule="exact"/>
        <w:rPr>
          <w:sz w:val="20"/>
          <w:szCs w:val="20"/>
          <w:color w:val="auto"/>
        </w:rPr>
      </w:pPr>
    </w:p>
    <w:p>
      <w:pPr>
        <w:ind w:left="1620" w:hanging="538"/>
        <w:spacing w:after="0"/>
        <w:tabs>
          <w:tab w:leader="none" w:pos="1620" w:val="left"/>
        </w:tabs>
        <w:numPr>
          <w:ilvl w:val="0"/>
          <w:numId w:val="1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Summary of financial impact </w:t>
      </w:r>
      <w:r>
        <w:rPr>
          <w:rFonts w:ascii="Arial" w:cs="Arial" w:eastAsia="Arial" w:hAnsi="Arial"/>
          <w:sz w:val="18"/>
          <w:szCs w:val="18"/>
          <w:color w:val="auto"/>
        </w:rPr>
        <w:t>(continued)</w:t>
      </w:r>
    </w:p>
    <w:p>
      <w:pPr>
        <w:spacing w:after="0" w:line="135" w:lineRule="exact"/>
        <w:rPr>
          <w:rFonts w:ascii="Arial" w:cs="Arial" w:eastAsia="Arial" w:hAnsi="Arial"/>
          <w:sz w:val="18"/>
          <w:szCs w:val="18"/>
          <w:i w:val="1"/>
          <w:iCs w:val="1"/>
          <w:color w:val="auto"/>
        </w:rPr>
      </w:pPr>
    </w:p>
    <w:p>
      <w:pPr>
        <w:ind w:left="2060" w:right="20" w:hanging="425"/>
        <w:spacing w:after="0" w:line="246" w:lineRule="auto"/>
        <w:tabs>
          <w:tab w:leader="none" w:pos="20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Reconciliation of the Group’s total comprehensive income reported in accordance with the previous GAAP to FRS (continued)</w:t>
      </w:r>
    </w:p>
    <w:p>
      <w:pPr>
        <w:spacing w:after="0" w:line="212" w:lineRule="exact"/>
        <w:rPr>
          <w:sz w:val="20"/>
          <w:szCs w:val="20"/>
          <w:color w:val="auto"/>
        </w:rPr>
      </w:pPr>
    </w:p>
    <w:tbl>
      <w:tblPr>
        <w:tblLayout w:type="fixed"/>
        <w:tblInd w:w="20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Expla-</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2016</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Effect of</w:t>
            </w:r>
          </w:p>
        </w:tc>
        <w:tc>
          <w:tcPr>
            <w:tcW w:w="800" w:type="dxa"/>
            <w:vAlign w:val="bottom"/>
          </w:tcPr>
          <w:p>
            <w:pPr>
              <w:jc w:val="center"/>
              <w:ind w:left="88"/>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natory</w:t>
            </w:r>
          </w:p>
        </w:tc>
        <w:tc>
          <w:tcPr>
            <w:tcW w:w="200" w:type="dxa"/>
            <w:vAlign w:val="bottom"/>
          </w:tcPr>
          <w:p>
            <w:pPr>
              <w:spacing w:after="0"/>
              <w:rPr>
                <w:sz w:val="14"/>
                <w:szCs w:val="14"/>
                <w:color w:val="auto"/>
              </w:rPr>
            </w:pPr>
          </w:p>
        </w:tc>
        <w:tc>
          <w:tcPr>
            <w:tcW w:w="780" w:type="dxa"/>
            <w:vAlign w:val="bottom"/>
          </w:tcPr>
          <w:p>
            <w:pPr>
              <w:jc w:val="center"/>
              <w:ind w:right="128"/>
              <w:spacing w:after="0"/>
              <w:rPr>
                <w:sz w:val="20"/>
                <w:szCs w:val="20"/>
                <w:color w:val="auto"/>
              </w:rPr>
            </w:pPr>
            <w:r>
              <w:rPr>
                <w:rFonts w:ascii="Arial" w:cs="Arial" w:eastAsia="Arial" w:hAnsi="Arial"/>
                <w:sz w:val="14"/>
                <w:szCs w:val="14"/>
                <w:b w:val="1"/>
                <w:bCs w:val="1"/>
                <w:color w:val="auto"/>
              </w:rPr>
              <w:t>reported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transition</w:t>
            </w:r>
          </w:p>
        </w:tc>
        <w:tc>
          <w:tcPr>
            <w:tcW w:w="8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reported</w:t>
            </w: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Note</w:t>
            </w:r>
          </w:p>
        </w:tc>
        <w:tc>
          <w:tcPr>
            <w:tcW w:w="200" w:type="dxa"/>
            <w:vAlign w:val="bottom"/>
          </w:tcPr>
          <w:p>
            <w:pPr>
              <w:spacing w:after="0"/>
              <w:rPr>
                <w:sz w:val="14"/>
                <w:szCs w:val="14"/>
                <w:color w:val="auto"/>
              </w:rPr>
            </w:pPr>
          </w:p>
        </w:tc>
        <w:tc>
          <w:tcPr>
            <w:tcW w:w="780" w:type="dxa"/>
            <w:vAlign w:val="bottom"/>
          </w:tcPr>
          <w:p>
            <w:pPr>
              <w:jc w:val="center"/>
              <w:ind w:right="148"/>
              <w:spacing w:after="0"/>
              <w:rPr>
                <w:sz w:val="20"/>
                <w:szCs w:val="20"/>
                <w:color w:val="auto"/>
              </w:rPr>
            </w:pPr>
            <w:r>
              <w:rPr>
                <w:rFonts w:ascii="Arial" w:cs="Arial" w:eastAsia="Arial" w:hAnsi="Arial"/>
                <w:sz w:val="14"/>
                <w:szCs w:val="14"/>
                <w:b w:val="1"/>
                <w:bCs w:val="1"/>
                <w:color w:val="auto"/>
              </w:rPr>
              <w:t>under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to FRS</w:t>
            </w:r>
          </w:p>
        </w:tc>
        <w:tc>
          <w:tcPr>
            <w:tcW w:w="84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under</w:t>
            </w: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previous</w:t>
            </w:r>
          </w:p>
        </w:tc>
        <w:tc>
          <w:tcPr>
            <w:tcW w:w="1040" w:type="dxa"/>
            <w:vAlign w:val="bottom"/>
          </w:tcPr>
          <w:p>
            <w:pPr>
              <w:spacing w:after="0"/>
              <w:rPr>
                <w:sz w:val="14"/>
                <w:szCs w:val="14"/>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FRS</w:t>
            </w:r>
          </w:p>
        </w:tc>
      </w:tr>
      <w:tr>
        <w:trPr>
          <w:trHeight w:val="180"/>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right="128"/>
              <w:spacing w:after="0"/>
              <w:rPr>
                <w:sz w:val="20"/>
                <w:szCs w:val="20"/>
                <w:color w:val="auto"/>
              </w:rPr>
            </w:pPr>
            <w:r>
              <w:rPr>
                <w:rFonts w:ascii="Arial" w:cs="Arial" w:eastAsia="Arial" w:hAnsi="Arial"/>
                <w:sz w:val="14"/>
                <w:szCs w:val="14"/>
                <w:b w:val="1"/>
                <w:bCs w:val="1"/>
                <w:color w:val="auto"/>
              </w:rPr>
              <w:t>GAAP</w:t>
            </w: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ind w:right="128"/>
              <w:spacing w:after="0"/>
              <w:rPr>
                <w:sz w:val="20"/>
                <w:szCs w:val="20"/>
                <w:color w:val="auto"/>
              </w:rPr>
            </w:pPr>
            <w:r>
              <w:rPr>
                <w:rFonts w:ascii="Arial" w:cs="Arial" w:eastAsia="Arial" w:hAnsi="Arial"/>
                <w:sz w:val="14"/>
                <w:szCs w:val="14"/>
                <w:color w:val="auto"/>
              </w:rPr>
              <w:t>(US$</w:t>
            </w:r>
          </w:p>
        </w:tc>
        <w:tc>
          <w:tcPr>
            <w:tcW w:w="1040" w:type="dxa"/>
            <w:vAlign w:val="bottom"/>
          </w:tcPr>
          <w:p>
            <w:pPr>
              <w:jc w:val="center"/>
              <w:spacing w:after="0"/>
              <w:rPr>
                <w:sz w:val="20"/>
                <w:szCs w:val="20"/>
                <w:color w:val="auto"/>
              </w:rPr>
            </w:pPr>
            <w:r>
              <w:rPr>
                <w:rFonts w:ascii="Arial" w:cs="Arial" w:eastAsia="Arial" w:hAnsi="Arial"/>
                <w:sz w:val="14"/>
                <w:szCs w:val="14"/>
                <w:color w:val="auto"/>
              </w:rPr>
              <w:t>(US$</w:t>
            </w: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rPr>
              <w:t>(US$</w:t>
            </w:r>
          </w:p>
        </w:tc>
      </w:tr>
      <w:tr>
        <w:trPr>
          <w:trHeight w:val="157"/>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28"/>
              <w:spacing w:after="0" w:line="157" w:lineRule="exact"/>
              <w:rPr>
                <w:sz w:val="20"/>
                <w:szCs w:val="20"/>
                <w:color w:val="auto"/>
              </w:rPr>
            </w:pPr>
            <w:r>
              <w:rPr>
                <w:rFonts w:ascii="Arial" w:cs="Arial" w:eastAsia="Arial" w:hAnsi="Arial"/>
                <w:sz w:val="14"/>
                <w:szCs w:val="14"/>
                <w:color w:val="auto"/>
              </w:rPr>
              <w:t>millions)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rPr>
              <w:t>millions)</w:t>
            </w:r>
          </w:p>
        </w:tc>
        <w:tc>
          <w:tcPr>
            <w:tcW w:w="840" w:type="dxa"/>
            <w:vAlign w:val="bottom"/>
            <w:gridSpan w:val="2"/>
          </w:tcPr>
          <w:p>
            <w:pPr>
              <w:jc w:val="center"/>
              <w:ind w:left="68"/>
              <w:spacing w:after="0" w:line="157" w:lineRule="exact"/>
              <w:rPr>
                <w:sz w:val="20"/>
                <w:szCs w:val="20"/>
                <w:color w:val="auto"/>
              </w:rPr>
            </w:pPr>
            <w:r>
              <w:rPr>
                <w:rFonts w:ascii="Arial" w:cs="Arial" w:eastAsia="Arial" w:hAnsi="Arial"/>
                <w:sz w:val="14"/>
                <w:szCs w:val="14"/>
                <w:color w:val="auto"/>
              </w:rPr>
              <w:t>millions)</w:t>
            </w:r>
          </w:p>
        </w:tc>
      </w:tr>
      <w:tr>
        <w:trPr>
          <w:trHeight w:val="162"/>
        </w:trPr>
        <w:tc>
          <w:tcPr>
            <w:tcW w:w="20" w:type="dxa"/>
            <w:vAlign w:val="bottom"/>
          </w:tcPr>
          <w:p>
            <w:pPr>
              <w:spacing w:after="0"/>
              <w:rPr>
                <w:sz w:val="14"/>
                <w:szCs w:val="14"/>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comprehensive income:</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Items that may be reclassified subsequently to profit or loss:</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Unrealised loss on defined benefit pension plans and post-retirement benefit plans</w:t>
            </w:r>
          </w:p>
        </w:tc>
        <w:tc>
          <w:tcPr>
            <w:tcW w:w="840" w:type="dxa"/>
            <w:vAlign w:val="bottom"/>
            <w:shd w:val="clear" w:color="auto" w:fill="CCEEFF"/>
          </w:tcPr>
          <w:p>
            <w:pPr>
              <w:ind w:left="460"/>
              <w:spacing w:after="0"/>
              <w:rPr>
                <w:sz w:val="20"/>
                <w:szCs w:val="20"/>
                <w:color w:val="auto"/>
              </w:rPr>
            </w:pPr>
            <w:r>
              <w:rPr>
                <w:rFonts w:ascii="Arial" w:cs="Arial" w:eastAsia="Arial" w:hAnsi="Arial"/>
                <w:sz w:val="14"/>
                <w:szCs w:val="14"/>
                <w:b w:val="1"/>
                <w:bCs w:val="1"/>
                <w:color w:val="auto"/>
              </w:rPr>
              <w:t>A4</w:t>
            </w:r>
          </w:p>
        </w:tc>
        <w:tc>
          <w:tcPr>
            <w:tcW w:w="9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(65)</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40" w:type="dxa"/>
            <w:vAlign w:val="bottom"/>
            <w:shd w:val="clear" w:color="auto" w:fill="CCEEFF"/>
          </w:tcPr>
          <w:p>
            <w:pPr>
              <w:spacing w:after="0"/>
              <w:rPr>
                <w:sz w:val="14"/>
                <w:szCs w:val="14"/>
                <w:color w:val="auto"/>
              </w:rPr>
            </w:pPr>
          </w:p>
        </w:tc>
      </w:tr>
      <w:tr>
        <w:trPr>
          <w:trHeight w:val="169"/>
        </w:trPr>
        <w:tc>
          <w:tcPr>
            <w:tcW w:w="5460" w:type="dxa"/>
            <w:vAlign w:val="bottom"/>
            <w:gridSpan w:val="2"/>
          </w:tcPr>
          <w:p>
            <w:pPr>
              <w:spacing w:after="0"/>
              <w:rPr>
                <w:sz w:val="20"/>
                <w:szCs w:val="20"/>
                <w:color w:val="auto"/>
              </w:rPr>
            </w:pPr>
            <w:r>
              <w:rPr>
                <w:rFonts w:ascii="Arial" w:cs="Arial" w:eastAsia="Arial" w:hAnsi="Arial"/>
                <w:sz w:val="14"/>
                <w:szCs w:val="14"/>
                <w:color w:val="auto"/>
              </w:rPr>
              <w:t>Reclassification of net income</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comprehensive loss, net of tax</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(61)</w:t>
            </w: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w:t>
            </w:r>
          </w:p>
        </w:tc>
        <w:tc>
          <w:tcPr>
            <w:tcW w:w="40" w:type="dxa"/>
            <w:vAlign w:val="bottom"/>
            <w:shd w:val="clear" w:color="auto" w:fill="CCEEFF"/>
          </w:tcPr>
          <w:p>
            <w:pPr>
              <w:spacing w:after="0"/>
              <w:rPr>
                <w:sz w:val="14"/>
                <w:szCs w:val="14"/>
                <w:color w:val="auto"/>
              </w:rPr>
            </w:pPr>
          </w:p>
        </w:tc>
      </w:tr>
      <w:tr>
        <w:trPr>
          <w:trHeight w:val="176"/>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Total comprehensive loss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(1,922)</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(1,937)</w:t>
            </w:r>
          </w:p>
        </w:tc>
        <w:tc>
          <w:tcPr>
            <w:tcW w:w="4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16"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Loss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-93345</wp:posOffset>
            </wp:positionV>
            <wp:extent cx="5805805" cy="1028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05805" cy="10287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4"/>
          <w:szCs w:val="14"/>
          <w:color w:val="auto"/>
        </w:rPr>
        <w:t>Equity 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-1905</wp:posOffset>
            </wp:positionV>
            <wp:extent cx="5805805" cy="1028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05805" cy="10287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4"/>
          <w:szCs w:val="14"/>
          <w:b w:val="1"/>
          <w:bCs w:val="1"/>
          <w:color w:val="auto"/>
        </w:rPr>
        <w:t>Non-controlling interests</w:t>
      </w:r>
    </w:p>
    <w:p>
      <w:pPr>
        <w:spacing w:after="0" w:line="200" w:lineRule="exact"/>
        <w:rPr>
          <w:sz w:val="20"/>
          <w:szCs w:val="20"/>
          <w:color w:val="auto"/>
        </w:rPr>
      </w:pPr>
    </w:p>
    <w:p>
      <w:pPr>
        <w:spacing w:after="0" w:line="229"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Total comprehensive loss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-93345</wp:posOffset>
            </wp:positionV>
            <wp:extent cx="5805805" cy="1028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05805" cy="10287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4"/>
          <w:szCs w:val="14"/>
          <w:color w:val="auto"/>
        </w:rPr>
        <w:t>Equity 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-1905</wp:posOffset>
            </wp:positionV>
            <wp:extent cx="5805805" cy="1028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05805" cy="10287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4"/>
          <w:szCs w:val="14"/>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246380</wp:posOffset>
            </wp:positionV>
            <wp:extent cx="6997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jc w:val="right"/>
              <w:ind w:right="308"/>
              <w:spacing w:after="0"/>
              <w:rPr>
                <w:sz w:val="20"/>
                <w:szCs w:val="20"/>
                <w:color w:val="auto"/>
              </w:rPr>
            </w:pPr>
            <w:r>
              <w:rPr>
                <w:rFonts w:ascii="Arial" w:cs="Arial" w:eastAsia="Arial" w:hAnsi="Arial"/>
                <w:sz w:val="14"/>
                <w:szCs w:val="14"/>
                <w:color w:val="auto"/>
              </w:rPr>
              <w:t>(1,739)</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(1,739)</w:t>
            </w:r>
          </w:p>
        </w:tc>
      </w:tr>
      <w:tr>
        <w:trPr>
          <w:trHeight w:val="157"/>
        </w:trPr>
        <w:tc>
          <w:tcPr>
            <w:tcW w:w="980" w:type="dxa"/>
            <w:vAlign w:val="bottom"/>
            <w:tcBorders>
              <w:bottom w:val="single" w:sz="8" w:color="auto"/>
            </w:tcBorders>
          </w:tcPr>
          <w:p>
            <w:pPr>
              <w:jc w:val="right"/>
              <w:ind w:right="308"/>
              <w:spacing w:after="0" w:line="157" w:lineRule="exact"/>
              <w:rPr>
                <w:sz w:val="20"/>
                <w:szCs w:val="20"/>
                <w:color w:val="auto"/>
              </w:rPr>
            </w:pPr>
            <w:r>
              <w:rPr>
                <w:rFonts w:ascii="Arial" w:cs="Arial" w:eastAsia="Arial" w:hAnsi="Arial"/>
                <w:sz w:val="14"/>
                <w:szCs w:val="14"/>
                <w:color w:val="auto"/>
              </w:rPr>
              <w:t>(122)</w:t>
            </w:r>
          </w:p>
        </w:tc>
        <w:tc>
          <w:tcPr>
            <w:tcW w:w="90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(122)</w:t>
            </w:r>
          </w:p>
        </w:tc>
      </w:tr>
      <w:tr>
        <w:trPr>
          <w:trHeight w:val="176"/>
        </w:trPr>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(1,861)</w:t>
            </w: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w:t>
            </w:r>
          </w:p>
        </w:tc>
      </w:tr>
      <w:tr>
        <w:trPr>
          <w:trHeight w:val="558"/>
        </w:trPr>
        <w:tc>
          <w:tcPr>
            <w:tcW w:w="980" w:type="dxa"/>
            <w:vAlign w:val="bottom"/>
          </w:tcPr>
          <w:p>
            <w:pPr>
              <w:jc w:val="right"/>
              <w:ind w:right="308"/>
              <w:spacing w:after="0"/>
              <w:rPr>
                <w:sz w:val="20"/>
                <w:szCs w:val="20"/>
                <w:color w:val="auto"/>
              </w:rPr>
            </w:pPr>
            <w:r>
              <w:rPr>
                <w:rFonts w:ascii="Arial" w:cs="Arial" w:eastAsia="Arial" w:hAnsi="Arial"/>
                <w:sz w:val="14"/>
                <w:szCs w:val="14"/>
                <w:color w:val="auto"/>
              </w:rPr>
              <w:t>(1,800)</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(15)</w:t>
            </w:r>
          </w:p>
        </w:tc>
        <w:tc>
          <w:tcPr>
            <w:tcW w:w="740" w:type="dxa"/>
            <w:vAlign w:val="bottom"/>
          </w:tcPr>
          <w:p>
            <w:pPr>
              <w:jc w:val="right"/>
              <w:spacing w:after="0"/>
              <w:rPr>
                <w:sz w:val="20"/>
                <w:szCs w:val="20"/>
                <w:color w:val="auto"/>
              </w:rPr>
            </w:pPr>
            <w:r>
              <w:rPr>
                <w:rFonts w:ascii="Arial" w:cs="Arial" w:eastAsia="Arial" w:hAnsi="Arial"/>
                <w:sz w:val="14"/>
                <w:szCs w:val="14"/>
                <w:color w:val="auto"/>
              </w:rPr>
              <w:t>(1,815)</w:t>
            </w:r>
          </w:p>
        </w:tc>
      </w:tr>
      <w:tr>
        <w:trPr>
          <w:trHeight w:val="157"/>
        </w:trPr>
        <w:tc>
          <w:tcPr>
            <w:tcW w:w="980" w:type="dxa"/>
            <w:vAlign w:val="bottom"/>
            <w:tcBorders>
              <w:bottom w:val="single" w:sz="8" w:color="auto"/>
            </w:tcBorders>
          </w:tcPr>
          <w:p>
            <w:pPr>
              <w:jc w:val="right"/>
              <w:ind w:right="308"/>
              <w:spacing w:after="0" w:line="157" w:lineRule="exact"/>
              <w:rPr>
                <w:sz w:val="20"/>
                <w:szCs w:val="20"/>
                <w:color w:val="auto"/>
              </w:rPr>
            </w:pPr>
            <w:r>
              <w:rPr>
                <w:rFonts w:ascii="Arial" w:cs="Arial" w:eastAsia="Arial" w:hAnsi="Arial"/>
                <w:sz w:val="14"/>
                <w:szCs w:val="14"/>
                <w:color w:val="auto"/>
              </w:rPr>
              <w:t>(122)</w:t>
            </w:r>
          </w:p>
        </w:tc>
        <w:tc>
          <w:tcPr>
            <w:tcW w:w="90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(122)</w:t>
            </w:r>
          </w:p>
        </w:tc>
      </w:tr>
      <w:tr>
        <w:trPr>
          <w:trHeight w:val="176"/>
        </w:trPr>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(1,922)</w:t>
            </w: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(1,937)</w:t>
            </w:r>
          </w:p>
        </w:tc>
      </w:tr>
    </w:tbl>
    <w:p>
      <w:pPr>
        <w:spacing w:after="0" w:line="200" w:lineRule="exact"/>
        <w:rPr>
          <w:sz w:val="20"/>
          <w:szCs w:val="20"/>
          <w:color w:val="auto"/>
        </w:rPr>
      </w:pPr>
    </w:p>
    <w:p>
      <w:pPr>
        <w:sectPr>
          <w:pgSz w:w="11900" w:h="16838" w:orient="portrait"/>
          <w:cols w:equalWidth="0" w:num="2">
            <w:col w:w="7860" w:space="720"/>
            <w:col w:w="2660"/>
          </w:cols>
          <w:pgMar w:left="240" w:top="459" w:right="419" w:bottom="1440" w:gutter="0" w:footer="0" w:header="0"/>
          <w:type w:val="continuous"/>
        </w:sectPr>
      </w:pP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A-32</w:t>
      </w:r>
    </w:p>
    <w:p>
      <w:pPr>
        <w:sectPr>
          <w:pgSz w:w="11900" w:h="16838" w:orient="portrait"/>
          <w:cols w:equalWidth="0" w:num="1">
            <w:col w:w="11240"/>
          </w:cols>
          <w:pgMar w:left="240" w:top="459" w:right="41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Basis of preparation </w:t>
      </w:r>
      <w:r>
        <w:rPr>
          <w:rFonts w:ascii="Arial" w:cs="Arial" w:eastAsia="Arial" w:hAnsi="Arial"/>
          <w:sz w:val="17"/>
          <w:szCs w:val="17"/>
          <w:color w:val="auto"/>
        </w:rPr>
        <w:t>(continued)</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FRS 101 first-time adoption of Financial Reporting Standards </w:t>
      </w:r>
      <w:r>
        <w:rPr>
          <w:rFonts w:ascii="Arial" w:cs="Arial" w:eastAsia="Arial" w:hAnsi="Arial"/>
          <w:sz w:val="18"/>
          <w:szCs w:val="18"/>
          <w:color w:val="auto"/>
        </w:rPr>
        <w:t>(continued)</w:t>
      </w:r>
    </w:p>
    <w:p>
      <w:pPr>
        <w:spacing w:after="0" w:line="148" w:lineRule="exact"/>
        <w:rPr>
          <w:sz w:val="20"/>
          <w:szCs w:val="20"/>
          <w:color w:val="auto"/>
        </w:rPr>
      </w:pPr>
    </w:p>
    <w:p>
      <w:pPr>
        <w:ind w:left="1620" w:hanging="538"/>
        <w:spacing w:after="0"/>
        <w:tabs>
          <w:tab w:leader="none" w:pos="1620" w:val="left"/>
        </w:tabs>
        <w:numPr>
          <w:ilvl w:val="0"/>
          <w:numId w:val="1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Summary of financial impact </w:t>
      </w:r>
      <w:r>
        <w:rPr>
          <w:rFonts w:ascii="Arial" w:cs="Arial" w:eastAsia="Arial" w:hAnsi="Arial"/>
          <w:sz w:val="18"/>
          <w:szCs w:val="18"/>
          <w:color w:val="auto"/>
        </w:rPr>
        <w:t>(continued)</w:t>
      </w:r>
    </w:p>
    <w:p>
      <w:pPr>
        <w:spacing w:after="0" w:line="256" w:lineRule="exact"/>
        <w:rPr>
          <w:rFonts w:ascii="Arial" w:cs="Arial" w:eastAsia="Arial" w:hAnsi="Arial"/>
          <w:sz w:val="18"/>
          <w:szCs w:val="18"/>
          <w:i w:val="1"/>
          <w:iCs w:val="1"/>
          <w:color w:val="auto"/>
        </w:rPr>
      </w:pPr>
    </w:p>
    <w:p>
      <w:pPr>
        <w:ind w:left="2060" w:hanging="425"/>
        <w:spacing w:after="0" w:line="246" w:lineRule="auto"/>
        <w:tabs>
          <w:tab w:leader="none" w:pos="20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Reconciliation of the Group’s total comprehensive income reported in accordance with the previous GAAP to FRS (continued)</w:t>
      </w:r>
    </w:p>
    <w:p>
      <w:pPr>
        <w:spacing w:after="0" w:line="224" w:lineRule="exact"/>
        <w:rPr>
          <w:sz w:val="20"/>
          <w:szCs w:val="20"/>
          <w:color w:val="auto"/>
        </w:rPr>
      </w:pPr>
    </w:p>
    <w:p>
      <w:pPr>
        <w:ind w:left="2500" w:hanging="432"/>
        <w:spacing w:after="0"/>
        <w:tabs>
          <w:tab w:leader="none" w:pos="25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Presentation of Expenses</w:t>
      </w:r>
    </w:p>
    <w:p>
      <w:pPr>
        <w:spacing w:after="0" w:line="211" w:lineRule="exact"/>
        <w:rPr>
          <w:rFonts w:ascii="Arial" w:cs="Arial" w:eastAsia="Arial" w:hAnsi="Arial"/>
          <w:sz w:val="18"/>
          <w:szCs w:val="18"/>
          <w:color w:val="auto"/>
        </w:rPr>
      </w:pPr>
    </w:p>
    <w:p>
      <w:pPr>
        <w:jc w:val="both"/>
        <w:ind w:left="2520"/>
        <w:spacing w:after="0" w:line="239" w:lineRule="auto"/>
        <w:rPr>
          <w:rFonts w:ascii="Arial" w:cs="Arial" w:eastAsia="Arial" w:hAnsi="Arial"/>
          <w:sz w:val="18"/>
          <w:szCs w:val="18"/>
          <w:color w:val="auto"/>
        </w:rPr>
      </w:pPr>
      <w:r>
        <w:rPr>
          <w:rFonts w:ascii="Arial" w:cs="Arial" w:eastAsia="Arial" w:hAnsi="Arial"/>
          <w:sz w:val="18"/>
          <w:szCs w:val="18"/>
          <w:color w:val="auto"/>
        </w:rPr>
        <w:t>Under the previous GAAP, expenses are presented in a multiple-step format. Under FRS, the Group has reclassified expenses into their functional groups. Expenses based on nature are disclosed in Note 5 of this FRS financial statements. The following explanatory notes reconcile the difference between expenses reported under FRS to those reported under the previous GAAP.</w:t>
      </w:r>
    </w:p>
    <w:p>
      <w:pPr>
        <w:spacing w:after="0" w:line="229" w:lineRule="exact"/>
        <w:rPr>
          <w:sz w:val="20"/>
          <w:szCs w:val="20"/>
          <w:color w:val="auto"/>
        </w:rPr>
      </w:pPr>
    </w:p>
    <w:p>
      <w:pPr>
        <w:ind w:left="2060"/>
        <w:spacing w:after="0"/>
        <w:tabs>
          <w:tab w:leader="none" w:pos="2480" w:val="left"/>
        </w:tabs>
        <w:rPr>
          <w:sz w:val="20"/>
          <w:szCs w:val="20"/>
          <w:color w:val="auto"/>
        </w:rPr>
      </w:pPr>
      <w:r>
        <w:rPr>
          <w:rFonts w:ascii="Arial" w:cs="Arial" w:eastAsia="Arial" w:hAnsi="Arial"/>
          <w:sz w:val="18"/>
          <w:szCs w:val="18"/>
          <w:color w:val="auto"/>
        </w:rPr>
        <w:t>B1</w:t>
        <w:tab/>
        <w:t>Classification of Cost of sales</w:t>
      </w:r>
    </w:p>
    <w:p>
      <w:pPr>
        <w:spacing w:after="0" w:line="212" w:lineRule="exact"/>
        <w:rPr>
          <w:sz w:val="20"/>
          <w:szCs w:val="20"/>
          <w:color w:val="auto"/>
        </w:rPr>
      </w:pPr>
    </w:p>
    <w:p>
      <w:pPr>
        <w:jc w:val="both"/>
        <w:ind w:left="2520"/>
        <w:spacing w:after="0" w:line="239" w:lineRule="auto"/>
        <w:rPr>
          <w:sz w:val="20"/>
          <w:szCs w:val="20"/>
          <w:color w:val="auto"/>
        </w:rPr>
      </w:pPr>
      <w:r>
        <w:rPr>
          <w:rFonts w:ascii="Arial" w:cs="Arial" w:eastAsia="Arial" w:hAnsi="Arial"/>
          <w:sz w:val="18"/>
          <w:szCs w:val="18"/>
          <w:color w:val="auto"/>
        </w:rPr>
        <w:t>Cost of sales amounting to US$7,300 million for the financial year ended 30 October 2016 under FRS represents the aggregated line items under the previous GAAP of “Cost of products sold”, “Purchase accounting effect on inventory”, “Amortisation of acquisition-related intangible assets” and “Restructuring charges” in the financial year.</w:t>
      </w:r>
    </w:p>
    <w:p>
      <w:pPr>
        <w:spacing w:after="0" w:line="229" w:lineRule="exact"/>
        <w:rPr>
          <w:sz w:val="20"/>
          <w:szCs w:val="20"/>
          <w:color w:val="auto"/>
        </w:rPr>
      </w:pPr>
    </w:p>
    <w:p>
      <w:pPr>
        <w:ind w:left="2060"/>
        <w:spacing w:after="0"/>
        <w:tabs>
          <w:tab w:leader="none" w:pos="2480" w:val="left"/>
        </w:tabs>
        <w:rPr>
          <w:sz w:val="20"/>
          <w:szCs w:val="20"/>
          <w:color w:val="auto"/>
        </w:rPr>
      </w:pPr>
      <w:r>
        <w:rPr>
          <w:rFonts w:ascii="Arial" w:cs="Arial" w:eastAsia="Arial" w:hAnsi="Arial"/>
          <w:sz w:val="18"/>
          <w:szCs w:val="18"/>
          <w:color w:val="auto"/>
        </w:rPr>
        <w:t>B2</w:t>
        <w:tab/>
        <w:t>Classification of Other expenses</w:t>
      </w:r>
    </w:p>
    <w:p>
      <w:pPr>
        <w:spacing w:after="0" w:line="212" w:lineRule="exact"/>
        <w:rPr>
          <w:sz w:val="20"/>
          <w:szCs w:val="20"/>
          <w:color w:val="auto"/>
        </w:rPr>
      </w:pPr>
    </w:p>
    <w:p>
      <w:pPr>
        <w:jc w:val="both"/>
        <w:ind w:left="2520"/>
        <w:spacing w:after="0"/>
        <w:rPr>
          <w:sz w:val="20"/>
          <w:szCs w:val="20"/>
          <w:color w:val="auto"/>
        </w:rPr>
      </w:pPr>
      <w:r>
        <w:rPr>
          <w:rFonts w:ascii="Arial" w:cs="Arial" w:eastAsia="Arial" w:hAnsi="Arial"/>
          <w:sz w:val="18"/>
          <w:szCs w:val="18"/>
          <w:color w:val="auto"/>
        </w:rPr>
        <w:t>Other expenses amounting to US$2,869 million for the financial year ended 30 October 2016 under FRS represent the aggregated line items under the previous GAAP of “Amortisation of acquisition-related intangible assets” and “Restructuring, impairment and disposal charges” in the financial year.</w:t>
      </w:r>
    </w:p>
    <w:p>
      <w:pPr>
        <w:spacing w:after="0" w:line="230" w:lineRule="exact"/>
        <w:rPr>
          <w:sz w:val="20"/>
          <w:szCs w:val="20"/>
          <w:color w:val="auto"/>
        </w:rPr>
      </w:pPr>
    </w:p>
    <w:p>
      <w:pPr>
        <w:ind w:left="2060"/>
        <w:spacing w:after="0"/>
        <w:tabs>
          <w:tab w:leader="none" w:pos="2480" w:val="left"/>
        </w:tabs>
        <w:rPr>
          <w:sz w:val="20"/>
          <w:szCs w:val="20"/>
          <w:color w:val="auto"/>
        </w:rPr>
      </w:pPr>
      <w:r>
        <w:rPr>
          <w:rFonts w:ascii="Arial" w:cs="Arial" w:eastAsia="Arial" w:hAnsi="Arial"/>
          <w:sz w:val="18"/>
          <w:szCs w:val="18"/>
          <w:color w:val="auto"/>
        </w:rPr>
        <w:t>B3</w:t>
        <w:tab/>
        <w:t>Classification of Finance costs</w:t>
      </w:r>
    </w:p>
    <w:p>
      <w:pPr>
        <w:spacing w:after="0" w:line="212" w:lineRule="exact"/>
        <w:rPr>
          <w:sz w:val="20"/>
          <w:szCs w:val="20"/>
          <w:color w:val="auto"/>
        </w:rPr>
      </w:pPr>
    </w:p>
    <w:p>
      <w:pPr>
        <w:jc w:val="both"/>
        <w:ind w:left="2520"/>
        <w:spacing w:after="0"/>
        <w:rPr>
          <w:sz w:val="20"/>
          <w:szCs w:val="20"/>
          <w:color w:val="auto"/>
        </w:rPr>
      </w:pPr>
      <w:r>
        <w:rPr>
          <w:rFonts w:ascii="Arial" w:cs="Arial" w:eastAsia="Arial" w:hAnsi="Arial"/>
          <w:sz w:val="18"/>
          <w:szCs w:val="18"/>
          <w:color w:val="auto"/>
        </w:rPr>
        <w:t>Finance costs amounting to US$708 million for the financial year ended 30 October 2016 under FRS represent the aggregated line items under the previous GAAP of “Interest expense” and “Loss on extinguishment of debt” in the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Basis of preparation </w:t>
      </w:r>
      <w:r>
        <w:rPr>
          <w:rFonts w:ascii="Arial" w:cs="Arial" w:eastAsia="Arial" w:hAnsi="Arial"/>
          <w:sz w:val="17"/>
          <w:szCs w:val="17"/>
          <w:color w:val="auto"/>
        </w:rPr>
        <w:t>(continued)</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FRS 101 first-time adoption of Financial Reporting Standards </w:t>
      </w:r>
      <w:r>
        <w:rPr>
          <w:rFonts w:ascii="Arial" w:cs="Arial" w:eastAsia="Arial" w:hAnsi="Arial"/>
          <w:sz w:val="18"/>
          <w:szCs w:val="18"/>
          <w:color w:val="auto"/>
        </w:rPr>
        <w:t>(continued)</w:t>
      </w:r>
    </w:p>
    <w:p>
      <w:pPr>
        <w:spacing w:after="0" w:line="148" w:lineRule="exact"/>
        <w:rPr>
          <w:sz w:val="20"/>
          <w:szCs w:val="20"/>
          <w:color w:val="auto"/>
        </w:rPr>
      </w:pPr>
    </w:p>
    <w:p>
      <w:pPr>
        <w:ind w:left="1620" w:hanging="538"/>
        <w:spacing w:after="0"/>
        <w:tabs>
          <w:tab w:leader="none" w:pos="1620"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Summary of financial impact </w:t>
      </w:r>
      <w:r>
        <w:rPr>
          <w:rFonts w:ascii="Arial" w:cs="Arial" w:eastAsia="Arial" w:hAnsi="Arial"/>
          <w:sz w:val="18"/>
          <w:szCs w:val="18"/>
          <w:color w:val="auto"/>
        </w:rPr>
        <w:t>(continued)</w:t>
      </w:r>
    </w:p>
    <w:p>
      <w:pPr>
        <w:spacing w:after="0" w:line="162"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result and impact of transition to FRS on the Company’s financial statements are as follow:</w:t>
      </w:r>
    </w:p>
    <w:p>
      <w:pPr>
        <w:spacing w:after="0" w:line="226"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Expla-</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74"/>
              <w:spacing w:after="0"/>
              <w:rPr>
                <w:sz w:val="20"/>
                <w:szCs w:val="20"/>
                <w:color w:val="auto"/>
              </w:rPr>
            </w:pPr>
            <w:r>
              <w:rPr>
                <w:rFonts w:ascii="Arial" w:cs="Arial" w:eastAsia="Arial" w:hAnsi="Arial"/>
                <w:sz w:val="14"/>
                <w:szCs w:val="14"/>
                <w:color w:val="auto"/>
              </w:rPr>
              <w:t>30 October 2016</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jc w:val="right"/>
              <w:ind w:right="54"/>
              <w:spacing w:after="0"/>
              <w:rPr>
                <w:sz w:val="20"/>
                <w:szCs w:val="20"/>
                <w:color w:val="auto"/>
              </w:rPr>
            </w:pPr>
            <w:r>
              <w:rPr>
                <w:rFonts w:ascii="Arial" w:cs="Arial" w:eastAsia="Arial" w:hAnsi="Arial"/>
                <w:sz w:val="14"/>
                <w:szCs w:val="14"/>
                <w:color w:val="auto"/>
              </w:rPr>
              <w:t>2 November 2015</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natory</w:t>
            </w:r>
          </w:p>
        </w:tc>
        <w:tc>
          <w:tcPr>
            <w:tcW w:w="1140" w:type="dxa"/>
            <w:vAlign w:val="bottom"/>
            <w:gridSpan w:val="2"/>
          </w:tcPr>
          <w:p>
            <w:pPr>
              <w:jc w:val="center"/>
              <w:ind w:left="15"/>
              <w:spacing w:after="0"/>
              <w:rPr>
                <w:sz w:val="20"/>
                <w:szCs w:val="20"/>
                <w:color w:val="auto"/>
              </w:rPr>
            </w:pPr>
            <w:r>
              <w:rPr>
                <w:rFonts w:ascii="Arial" w:cs="Arial" w:eastAsia="Arial" w:hAnsi="Arial"/>
                <w:sz w:val="14"/>
                <w:szCs w:val="14"/>
                <w:color w:val="auto"/>
              </w:rPr>
              <w:t>As previously</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ind w:left="33"/>
              <w:spacing w:after="0"/>
              <w:rPr>
                <w:sz w:val="20"/>
                <w:szCs w:val="20"/>
                <w:color w:val="auto"/>
              </w:rPr>
            </w:pPr>
            <w:r>
              <w:rPr>
                <w:rFonts w:ascii="Arial" w:cs="Arial" w:eastAsia="Arial" w:hAnsi="Arial"/>
                <w:sz w:val="14"/>
                <w:szCs w:val="14"/>
                <w:color w:val="auto"/>
              </w:rPr>
              <w:t>As previously</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Note</w:t>
            </w:r>
          </w:p>
        </w:tc>
        <w:tc>
          <w:tcPr>
            <w:tcW w:w="180" w:type="dxa"/>
            <w:vAlign w:val="bottom"/>
          </w:tcPr>
          <w:p>
            <w:pPr>
              <w:spacing w:after="0"/>
              <w:rPr>
                <w:sz w:val="14"/>
                <w:szCs w:val="14"/>
                <w:color w:val="auto"/>
              </w:rPr>
            </w:pPr>
          </w:p>
        </w:tc>
        <w:tc>
          <w:tcPr>
            <w:tcW w:w="960" w:type="dxa"/>
            <w:vAlign w:val="bottom"/>
          </w:tcPr>
          <w:p>
            <w:pPr>
              <w:jc w:val="center"/>
              <w:ind w:right="32"/>
              <w:spacing w:after="0"/>
              <w:rPr>
                <w:sz w:val="20"/>
                <w:szCs w:val="20"/>
                <w:color w:val="auto"/>
              </w:rPr>
            </w:pPr>
            <w:r>
              <w:rPr>
                <w:rFonts w:ascii="Arial" w:cs="Arial" w:eastAsia="Arial" w:hAnsi="Arial"/>
                <w:sz w:val="14"/>
                <w:szCs w:val="14"/>
                <w:color w:val="auto"/>
              </w:rPr>
              <w:t>reported</w:t>
            </w:r>
          </w:p>
        </w:tc>
        <w:tc>
          <w:tcPr>
            <w:tcW w:w="1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As restated</w:t>
            </w:r>
          </w:p>
        </w:tc>
        <w:tc>
          <w:tcPr>
            <w:tcW w:w="1120" w:type="dxa"/>
            <w:vAlign w:val="bottom"/>
          </w:tcPr>
          <w:p>
            <w:pPr>
              <w:jc w:val="center"/>
              <w:ind w:left="33"/>
              <w:spacing w:after="0"/>
              <w:rPr>
                <w:sz w:val="20"/>
                <w:szCs w:val="20"/>
                <w:color w:val="auto"/>
              </w:rPr>
            </w:pPr>
            <w:r>
              <w:rPr>
                <w:rFonts w:ascii="Arial" w:cs="Arial" w:eastAsia="Arial" w:hAnsi="Arial"/>
                <w:sz w:val="14"/>
                <w:szCs w:val="14"/>
                <w:color w:val="auto"/>
              </w:rPr>
              <w:t>reported</w:t>
            </w:r>
          </w:p>
        </w:tc>
        <w:tc>
          <w:tcPr>
            <w:tcW w:w="13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32"/>
              <w:spacing w:after="0"/>
              <w:rPr>
                <w:sz w:val="20"/>
                <w:szCs w:val="20"/>
                <w:color w:val="auto"/>
              </w:rPr>
            </w:pPr>
            <w:r>
              <w:rPr>
                <w:rFonts w:ascii="Arial" w:cs="Arial" w:eastAsia="Arial" w:hAnsi="Arial"/>
                <w:sz w:val="14"/>
                <w:szCs w:val="14"/>
                <w:i w:val="1"/>
                <w:iCs w:val="1"/>
                <w:color w:val="auto"/>
              </w:rPr>
              <w:t>(a)</w:t>
            </w:r>
          </w:p>
        </w:tc>
        <w:tc>
          <w:tcPr>
            <w:tcW w:w="1320" w:type="dxa"/>
            <w:vAlign w:val="bottom"/>
          </w:tcPr>
          <w:p>
            <w:pPr>
              <w:jc w:val="right"/>
              <w:ind w:right="494"/>
              <w:spacing w:after="0"/>
              <w:rPr>
                <w:sz w:val="20"/>
                <w:szCs w:val="20"/>
                <w:color w:val="auto"/>
              </w:rPr>
            </w:pPr>
            <w:r>
              <w:rPr>
                <w:rFonts w:ascii="Arial" w:cs="Arial" w:eastAsia="Arial" w:hAnsi="Arial"/>
                <w:sz w:val="14"/>
                <w:szCs w:val="14"/>
                <w:i w:val="1"/>
                <w:iCs w:val="1"/>
                <w:color w:val="auto"/>
              </w:rPr>
              <w:t>(b)</w:t>
            </w:r>
          </w:p>
        </w:tc>
        <w:tc>
          <w:tcPr>
            <w:tcW w:w="1120" w:type="dxa"/>
            <w:vAlign w:val="bottom"/>
          </w:tcPr>
          <w:p>
            <w:pPr>
              <w:jc w:val="center"/>
              <w:ind w:right="14"/>
              <w:spacing w:after="0"/>
              <w:rPr>
                <w:sz w:val="20"/>
                <w:szCs w:val="20"/>
                <w:color w:val="auto"/>
              </w:rPr>
            </w:pPr>
            <w:r>
              <w:rPr>
                <w:rFonts w:ascii="Arial" w:cs="Arial" w:eastAsia="Arial" w:hAnsi="Arial"/>
                <w:sz w:val="14"/>
                <w:szCs w:val="14"/>
                <w:i w:val="1"/>
                <w:iCs w:val="1"/>
                <w:color w:val="auto"/>
              </w:rPr>
              <w:t>(c) = (a)+(b)</w:t>
            </w:r>
          </w:p>
        </w:tc>
        <w:tc>
          <w:tcPr>
            <w:tcW w:w="1120" w:type="dxa"/>
            <w:vAlign w:val="bottom"/>
          </w:tcPr>
          <w:p>
            <w:pPr>
              <w:jc w:val="center"/>
              <w:ind w:left="33"/>
              <w:spacing w:after="0"/>
              <w:rPr>
                <w:sz w:val="20"/>
                <w:szCs w:val="20"/>
                <w:color w:val="auto"/>
              </w:rPr>
            </w:pPr>
            <w:r>
              <w:rPr>
                <w:rFonts w:ascii="Arial" w:cs="Arial" w:eastAsia="Arial" w:hAnsi="Arial"/>
                <w:sz w:val="14"/>
                <w:szCs w:val="14"/>
                <w:i w:val="1"/>
                <w:iCs w:val="1"/>
                <w:color w:val="auto"/>
              </w:rPr>
              <w:t>(d)</w:t>
            </w:r>
          </w:p>
        </w:tc>
        <w:tc>
          <w:tcPr>
            <w:tcW w:w="1360" w:type="dxa"/>
            <w:vAlign w:val="bottom"/>
          </w:tcPr>
          <w:p>
            <w:pPr>
              <w:jc w:val="right"/>
              <w:ind w:right="514"/>
              <w:spacing w:after="0"/>
              <w:rPr>
                <w:sz w:val="20"/>
                <w:szCs w:val="20"/>
                <w:color w:val="auto"/>
              </w:rPr>
            </w:pPr>
            <w:r>
              <w:rPr>
                <w:rFonts w:ascii="Arial" w:cs="Arial" w:eastAsia="Arial" w:hAnsi="Arial"/>
                <w:sz w:val="14"/>
                <w:szCs w:val="14"/>
                <w:i w:val="1"/>
                <w:iCs w:val="1"/>
                <w:color w:val="auto"/>
              </w:rPr>
              <w:t>(e)</w:t>
            </w:r>
          </w:p>
        </w:tc>
        <w:tc>
          <w:tcPr>
            <w:tcW w:w="980" w:type="dxa"/>
            <w:vAlign w:val="bottom"/>
            <w:gridSpan w:val="2"/>
          </w:tcPr>
          <w:p>
            <w:pPr>
              <w:jc w:val="center"/>
              <w:spacing w:after="0"/>
              <w:rPr>
                <w:sz w:val="20"/>
                <w:szCs w:val="20"/>
                <w:color w:val="auto"/>
              </w:rPr>
            </w:pPr>
            <w:r>
              <w:rPr>
                <w:rFonts w:ascii="Arial" w:cs="Arial" w:eastAsia="Arial" w:hAnsi="Arial"/>
                <w:sz w:val="14"/>
                <w:szCs w:val="14"/>
                <w:i w:val="1"/>
                <w:iCs w:val="1"/>
                <w:color w:val="auto"/>
              </w:rPr>
              <w:t>(f) = (d)+(e)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52"/>
              <w:spacing w:after="0" w:line="157" w:lineRule="exact"/>
              <w:rPr>
                <w:sz w:val="20"/>
                <w:szCs w:val="20"/>
                <w:color w:val="auto"/>
              </w:rPr>
            </w:pPr>
            <w:r>
              <w:rPr>
                <w:rFonts w:ascii="Arial" w:cs="Arial" w:eastAsia="Arial" w:hAnsi="Arial"/>
                <w:sz w:val="14"/>
                <w:szCs w:val="14"/>
                <w:color w:val="auto"/>
              </w:rPr>
              <w:t>US$ millions</w:t>
            </w:r>
          </w:p>
        </w:tc>
        <w:tc>
          <w:tcPr>
            <w:tcW w:w="1320" w:type="dxa"/>
            <w:vAlign w:val="bottom"/>
          </w:tcPr>
          <w:p>
            <w:pPr>
              <w:jc w:val="right"/>
              <w:ind w:right="174"/>
              <w:spacing w:after="0" w:line="157" w:lineRule="exact"/>
              <w:rPr>
                <w:sz w:val="20"/>
                <w:szCs w:val="20"/>
                <w:color w:val="auto"/>
              </w:rPr>
            </w:pPr>
            <w:r>
              <w:rPr>
                <w:rFonts w:ascii="Arial" w:cs="Arial" w:eastAsia="Arial" w:hAnsi="Arial"/>
                <w:sz w:val="14"/>
                <w:szCs w:val="14"/>
                <w:color w:val="auto"/>
              </w:rPr>
              <w:t>US$ millions</w:t>
            </w:r>
          </w:p>
        </w:tc>
        <w:tc>
          <w:tcPr>
            <w:tcW w:w="1120" w:type="dxa"/>
            <w:vAlign w:val="bottom"/>
          </w:tcPr>
          <w:p>
            <w:pPr>
              <w:jc w:val="center"/>
              <w:ind w:right="14"/>
              <w:spacing w:after="0" w:line="157" w:lineRule="exact"/>
              <w:rPr>
                <w:sz w:val="20"/>
                <w:szCs w:val="20"/>
                <w:color w:val="auto"/>
              </w:rPr>
            </w:pPr>
            <w:r>
              <w:rPr>
                <w:rFonts w:ascii="Arial" w:cs="Arial" w:eastAsia="Arial" w:hAnsi="Arial"/>
                <w:sz w:val="14"/>
                <w:szCs w:val="14"/>
                <w:color w:val="auto"/>
              </w:rPr>
              <w:t>US$ millions</w:t>
            </w:r>
          </w:p>
        </w:tc>
        <w:tc>
          <w:tcPr>
            <w:tcW w:w="1120" w:type="dxa"/>
            <w:vAlign w:val="bottom"/>
          </w:tcPr>
          <w:p>
            <w:pPr>
              <w:jc w:val="center"/>
              <w:ind w:left="13"/>
              <w:spacing w:after="0" w:line="157" w:lineRule="exact"/>
              <w:rPr>
                <w:sz w:val="20"/>
                <w:szCs w:val="20"/>
                <w:color w:val="auto"/>
              </w:rPr>
            </w:pPr>
            <w:r>
              <w:rPr>
                <w:rFonts w:ascii="Arial" w:cs="Arial" w:eastAsia="Arial" w:hAnsi="Arial"/>
                <w:sz w:val="14"/>
                <w:szCs w:val="14"/>
                <w:color w:val="auto"/>
              </w:rPr>
              <w:t>US$ millions</w:t>
            </w:r>
          </w:p>
        </w:tc>
        <w:tc>
          <w:tcPr>
            <w:tcW w:w="1360" w:type="dxa"/>
            <w:vAlign w:val="bottom"/>
          </w:tcPr>
          <w:p>
            <w:pPr>
              <w:jc w:val="right"/>
              <w:ind w:right="214"/>
              <w:spacing w:after="0" w:line="157" w:lineRule="exact"/>
              <w:rPr>
                <w:sz w:val="20"/>
                <w:szCs w:val="20"/>
                <w:color w:val="auto"/>
              </w:rPr>
            </w:pPr>
            <w:r>
              <w:rPr>
                <w:rFonts w:ascii="Arial" w:cs="Arial" w:eastAsia="Arial" w:hAnsi="Arial"/>
                <w:sz w:val="14"/>
                <w:szCs w:val="14"/>
                <w:color w:val="auto"/>
              </w:rPr>
              <w:t>US$ millions</w:t>
            </w:r>
          </w:p>
        </w:tc>
        <w:tc>
          <w:tcPr>
            <w:tcW w:w="98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US$ millions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6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Non-current asset</w:t>
            </w: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960" w:type="dxa"/>
            <w:vAlign w:val="bottom"/>
            <w:gridSpan w:val="3"/>
          </w:tcPr>
          <w:p>
            <w:pPr>
              <w:spacing w:after="0" w:line="123" w:lineRule="exact"/>
              <w:rPr>
                <w:sz w:val="20"/>
                <w:szCs w:val="20"/>
                <w:color w:val="auto"/>
              </w:rPr>
            </w:pPr>
            <w:r>
              <w:rPr>
                <w:rFonts w:ascii="Arial" w:cs="Arial" w:eastAsia="Arial" w:hAnsi="Arial"/>
                <w:sz w:val="13"/>
                <w:szCs w:val="13"/>
                <w:color w:val="auto"/>
              </w:rPr>
              <w:t>Cost of investments in</w:t>
            </w:r>
          </w:p>
        </w:tc>
        <w:tc>
          <w:tcPr>
            <w:tcW w:w="880" w:type="dxa"/>
            <w:vAlign w:val="bottom"/>
            <w:vMerge w:val="restart"/>
          </w:tcPr>
          <w:p>
            <w:pPr>
              <w:jc w:val="center"/>
              <w:ind w:left="34"/>
              <w:spacing w:after="0"/>
              <w:rPr>
                <w:sz w:val="20"/>
                <w:szCs w:val="20"/>
                <w:color w:val="auto"/>
              </w:rPr>
            </w:pPr>
            <w:r>
              <w:rPr>
                <w:rFonts w:ascii="Arial" w:cs="Arial" w:eastAsia="Arial" w:hAnsi="Arial"/>
                <w:sz w:val="13"/>
                <w:szCs w:val="13"/>
                <w:b w:val="1"/>
                <w:bCs w:val="1"/>
                <w:color w:val="auto"/>
              </w:rPr>
              <w:t>C1</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3"/>
          </w:tcPr>
          <w:p>
            <w:pPr>
              <w:ind w:left="80"/>
              <w:spacing w:after="0"/>
              <w:rPr>
                <w:sz w:val="20"/>
                <w:szCs w:val="20"/>
                <w:color w:val="auto"/>
              </w:rPr>
            </w:pPr>
            <w:r>
              <w:rPr>
                <w:rFonts w:ascii="Arial" w:cs="Arial" w:eastAsia="Arial" w:hAnsi="Arial"/>
                <w:sz w:val="13"/>
                <w:szCs w:val="13"/>
                <w:color w:val="auto"/>
              </w:rPr>
              <w:t>subsidiaries</w:t>
            </w:r>
          </w:p>
        </w:tc>
        <w:tc>
          <w:tcPr>
            <w:tcW w:w="880" w:type="dxa"/>
            <w:vAlign w:val="bottom"/>
            <w:vMerge w:val="continue"/>
          </w:tcPr>
          <w:p>
            <w:pPr>
              <w:spacing w:after="0"/>
              <w:rPr>
                <w:sz w:val="13"/>
                <w:szCs w:val="13"/>
                <w:color w:val="auto"/>
              </w:rPr>
            </w:pPr>
          </w:p>
        </w:tc>
        <w:tc>
          <w:tcPr>
            <w:tcW w:w="1140" w:type="dxa"/>
            <w:vAlign w:val="bottom"/>
            <w:gridSpan w:val="2"/>
          </w:tcPr>
          <w:p>
            <w:pPr>
              <w:jc w:val="right"/>
              <w:ind w:right="32"/>
              <w:spacing w:after="0"/>
              <w:rPr>
                <w:sz w:val="20"/>
                <w:szCs w:val="20"/>
                <w:color w:val="auto"/>
              </w:rPr>
            </w:pPr>
            <w:r>
              <w:rPr>
                <w:rFonts w:ascii="Arial" w:cs="Arial" w:eastAsia="Arial" w:hAnsi="Arial"/>
                <w:sz w:val="13"/>
                <w:szCs w:val="13"/>
                <w:color w:val="auto"/>
              </w:rPr>
              <w:t>18,958</w:t>
            </w:r>
          </w:p>
        </w:tc>
        <w:tc>
          <w:tcPr>
            <w:tcW w:w="1320" w:type="dxa"/>
            <w:vAlign w:val="bottom"/>
          </w:tcPr>
          <w:p>
            <w:pPr>
              <w:jc w:val="right"/>
              <w:ind w:right="174"/>
              <w:spacing w:after="0"/>
              <w:rPr>
                <w:sz w:val="20"/>
                <w:szCs w:val="20"/>
                <w:color w:val="auto"/>
              </w:rPr>
            </w:pPr>
            <w:r>
              <w:rPr>
                <w:rFonts w:ascii="Arial" w:cs="Arial" w:eastAsia="Arial" w:hAnsi="Arial"/>
                <w:sz w:val="13"/>
                <w:szCs w:val="13"/>
                <w:color w:val="auto"/>
              </w:rPr>
              <w:t>2,271</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21,229</w:t>
            </w:r>
          </w:p>
        </w:tc>
        <w:tc>
          <w:tcPr>
            <w:tcW w:w="1120" w:type="dxa"/>
            <w:vAlign w:val="bottom"/>
          </w:tcPr>
          <w:p>
            <w:pPr>
              <w:jc w:val="right"/>
              <w:ind w:right="13"/>
              <w:spacing w:after="0"/>
              <w:rPr>
                <w:sz w:val="20"/>
                <w:szCs w:val="20"/>
                <w:color w:val="auto"/>
              </w:rPr>
            </w:pPr>
            <w:r>
              <w:rPr>
                <w:rFonts w:ascii="Arial" w:cs="Arial" w:eastAsia="Arial" w:hAnsi="Arial"/>
                <w:sz w:val="13"/>
                <w:szCs w:val="13"/>
                <w:color w:val="auto"/>
              </w:rPr>
              <w:t>4,121</w:t>
            </w:r>
          </w:p>
        </w:tc>
        <w:tc>
          <w:tcPr>
            <w:tcW w:w="136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4,121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340" w:type="dxa"/>
            <w:vAlign w:val="bottom"/>
            <w:tcBorders>
              <w:bottom w:val="single" w:sz="8" w:color="auto"/>
            </w:tcBorders>
            <w:shd w:val="clear" w:color="auto" w:fill="CCEEFF"/>
          </w:tcPr>
          <w:p>
            <w:pPr>
              <w:spacing w:after="0" w:line="122" w:lineRule="exact"/>
              <w:rPr>
                <w:sz w:val="20"/>
                <w:szCs w:val="20"/>
                <w:color w:val="auto"/>
              </w:rPr>
            </w:pPr>
            <w:r>
              <w:rPr>
                <w:rFonts w:ascii="Arial" w:cs="Arial" w:eastAsia="Arial" w:hAnsi="Arial"/>
                <w:sz w:val="13"/>
                <w:szCs w:val="13"/>
                <w:b w:val="1"/>
                <w:bCs w:val="1"/>
                <w:color w:val="auto"/>
                <w:w w:val="80"/>
              </w:rPr>
              <w:t>Equity</w:t>
            </w:r>
          </w:p>
        </w:tc>
        <w:tc>
          <w:tcPr>
            <w:tcW w:w="1620" w:type="dxa"/>
            <w:vAlign w:val="bottom"/>
            <w:tcBorders>
              <w:bottom w:val="single" w:sz="8" w:color="CCEEFF"/>
            </w:tcBorders>
            <w:gridSpan w:val="2"/>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136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60" w:type="dxa"/>
            <w:vAlign w:val="bottom"/>
            <w:gridSpan w:val="3"/>
          </w:tcPr>
          <w:p>
            <w:pPr>
              <w:spacing w:after="0" w:line="123" w:lineRule="exact"/>
              <w:rPr>
                <w:sz w:val="20"/>
                <w:szCs w:val="20"/>
                <w:color w:val="auto"/>
              </w:rPr>
            </w:pPr>
            <w:r>
              <w:rPr>
                <w:rFonts w:ascii="Arial" w:cs="Arial" w:eastAsia="Arial" w:hAnsi="Arial"/>
                <w:sz w:val="13"/>
                <w:szCs w:val="13"/>
                <w:color w:val="auto"/>
              </w:rPr>
              <w:t>(Accumulated deficits)/Retained</w:t>
            </w:r>
          </w:p>
        </w:tc>
        <w:tc>
          <w:tcPr>
            <w:tcW w:w="880" w:type="dxa"/>
            <w:vAlign w:val="bottom"/>
            <w:vMerge w:val="restart"/>
          </w:tcPr>
          <w:p>
            <w:pPr>
              <w:jc w:val="center"/>
              <w:ind w:left="34"/>
              <w:spacing w:after="0"/>
              <w:rPr>
                <w:sz w:val="20"/>
                <w:szCs w:val="20"/>
                <w:color w:val="auto"/>
              </w:rPr>
            </w:pPr>
            <w:r>
              <w:rPr>
                <w:rFonts w:ascii="Arial" w:cs="Arial" w:eastAsia="Arial" w:hAnsi="Arial"/>
                <w:sz w:val="13"/>
                <w:szCs w:val="13"/>
                <w:b w:val="1"/>
                <w:bCs w:val="1"/>
                <w:color w:val="auto"/>
              </w:rPr>
              <w:t>C1</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3"/>
          </w:tcPr>
          <w:p>
            <w:pPr>
              <w:ind w:left="80"/>
              <w:spacing w:after="0" w:line="141" w:lineRule="exact"/>
              <w:rPr>
                <w:sz w:val="20"/>
                <w:szCs w:val="20"/>
                <w:color w:val="auto"/>
              </w:rPr>
            </w:pPr>
            <w:r>
              <w:rPr>
                <w:rFonts w:ascii="Arial" w:cs="Arial" w:eastAsia="Arial" w:hAnsi="Arial"/>
                <w:sz w:val="13"/>
                <w:szCs w:val="13"/>
                <w:color w:val="auto"/>
              </w:rPr>
              <w:t>profits</w:t>
            </w:r>
          </w:p>
        </w:tc>
        <w:tc>
          <w:tcPr>
            <w:tcW w:w="880" w:type="dxa"/>
            <w:vAlign w:val="bottom"/>
            <w:vMerge w:val="continue"/>
          </w:tcPr>
          <w:p>
            <w:pPr>
              <w:spacing w:after="0"/>
              <w:rPr>
                <w:sz w:val="12"/>
                <w:szCs w:val="12"/>
                <w:color w:val="auto"/>
              </w:rPr>
            </w:pPr>
          </w:p>
        </w:tc>
        <w:tc>
          <w:tcPr>
            <w:tcW w:w="1140" w:type="dxa"/>
            <w:vAlign w:val="bottom"/>
            <w:gridSpan w:val="2"/>
          </w:tcPr>
          <w:p>
            <w:pPr>
              <w:jc w:val="right"/>
              <w:ind w:right="32"/>
              <w:spacing w:after="0" w:line="141" w:lineRule="exact"/>
              <w:rPr>
                <w:sz w:val="20"/>
                <w:szCs w:val="20"/>
                <w:color w:val="auto"/>
              </w:rPr>
            </w:pPr>
            <w:r>
              <w:rPr>
                <w:rFonts w:ascii="Arial" w:cs="Arial" w:eastAsia="Arial" w:hAnsi="Arial"/>
                <w:sz w:val="13"/>
                <w:szCs w:val="13"/>
                <w:color w:val="auto"/>
              </w:rPr>
              <w:t>(215)</w:t>
            </w:r>
          </w:p>
        </w:tc>
        <w:tc>
          <w:tcPr>
            <w:tcW w:w="1320" w:type="dxa"/>
            <w:vAlign w:val="bottom"/>
          </w:tcPr>
          <w:p>
            <w:pPr>
              <w:jc w:val="right"/>
              <w:ind w:right="174"/>
              <w:spacing w:after="0" w:line="141" w:lineRule="exact"/>
              <w:rPr>
                <w:sz w:val="20"/>
                <w:szCs w:val="20"/>
                <w:color w:val="auto"/>
              </w:rPr>
            </w:pPr>
            <w:r>
              <w:rPr>
                <w:rFonts w:ascii="Arial" w:cs="Arial" w:eastAsia="Arial" w:hAnsi="Arial"/>
                <w:sz w:val="13"/>
                <w:szCs w:val="13"/>
                <w:color w:val="auto"/>
              </w:rPr>
              <w:t>2,292</w:t>
            </w:r>
          </w:p>
        </w:tc>
        <w:tc>
          <w:tcPr>
            <w:tcW w:w="1120" w:type="dxa"/>
            <w:vAlign w:val="bottom"/>
          </w:tcPr>
          <w:p>
            <w:pPr>
              <w:jc w:val="right"/>
              <w:ind w:right="114"/>
              <w:spacing w:after="0" w:line="141" w:lineRule="exact"/>
              <w:rPr>
                <w:sz w:val="20"/>
                <w:szCs w:val="20"/>
                <w:color w:val="auto"/>
              </w:rPr>
            </w:pPr>
            <w:r>
              <w:rPr>
                <w:rFonts w:ascii="Arial" w:cs="Arial" w:eastAsia="Arial" w:hAnsi="Arial"/>
                <w:sz w:val="13"/>
                <w:szCs w:val="13"/>
                <w:color w:val="auto"/>
              </w:rPr>
              <w:t>2,077</w:t>
            </w:r>
          </w:p>
        </w:tc>
        <w:tc>
          <w:tcPr>
            <w:tcW w:w="1120" w:type="dxa"/>
            <w:vAlign w:val="bottom"/>
          </w:tcPr>
          <w:p>
            <w:pPr>
              <w:jc w:val="right"/>
              <w:ind w:right="13"/>
              <w:spacing w:after="0" w:line="141" w:lineRule="exact"/>
              <w:rPr>
                <w:sz w:val="20"/>
                <w:szCs w:val="20"/>
                <w:color w:val="auto"/>
              </w:rPr>
            </w:pPr>
            <w:r>
              <w:rPr>
                <w:rFonts w:ascii="Arial" w:cs="Arial" w:eastAsia="Arial" w:hAnsi="Arial"/>
                <w:sz w:val="13"/>
                <w:szCs w:val="13"/>
                <w:color w:val="auto"/>
              </w:rPr>
              <w:t>2,240</w:t>
            </w:r>
          </w:p>
        </w:tc>
        <w:tc>
          <w:tcPr>
            <w:tcW w:w="1360" w:type="dxa"/>
            <w:vAlign w:val="bottom"/>
          </w:tcPr>
          <w:p>
            <w:pPr>
              <w:jc w:val="right"/>
              <w:ind w:right="194"/>
              <w:spacing w:after="0" w:line="141"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41" w:lineRule="exact"/>
              <w:rPr>
                <w:sz w:val="20"/>
                <w:szCs w:val="20"/>
                <w:color w:val="auto"/>
              </w:rPr>
            </w:pPr>
            <w:r>
              <w:rPr>
                <w:rFonts w:ascii="Arial" w:cs="Arial" w:eastAsia="Arial" w:hAnsi="Arial"/>
                <w:sz w:val="13"/>
                <w:szCs w:val="13"/>
                <w:color w:val="auto"/>
              </w:rPr>
              <w:t>2,240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Share Capital</w:t>
            </w:r>
          </w:p>
        </w:tc>
        <w:tc>
          <w:tcPr>
            <w:tcW w:w="880" w:type="dxa"/>
            <w:vAlign w:val="bottom"/>
            <w:shd w:val="clear" w:color="auto" w:fill="CCEEFF"/>
          </w:tcPr>
          <w:p>
            <w:pPr>
              <w:jc w:val="center"/>
              <w:ind w:left="34"/>
              <w:spacing w:after="0" w:line="135" w:lineRule="exact"/>
              <w:rPr>
                <w:sz w:val="20"/>
                <w:szCs w:val="20"/>
                <w:color w:val="auto"/>
              </w:rPr>
            </w:pPr>
            <w:r>
              <w:rPr>
                <w:rFonts w:ascii="Arial" w:cs="Arial" w:eastAsia="Arial" w:hAnsi="Arial"/>
                <w:sz w:val="13"/>
                <w:szCs w:val="13"/>
                <w:b w:val="1"/>
                <w:bCs w:val="1"/>
                <w:color w:val="auto"/>
              </w:rPr>
              <w:t>C2</w:t>
            </w:r>
          </w:p>
        </w:tc>
        <w:tc>
          <w:tcPr>
            <w:tcW w:w="1140" w:type="dxa"/>
            <w:vAlign w:val="bottom"/>
            <w:gridSpan w:val="2"/>
            <w:shd w:val="clear" w:color="auto" w:fill="CCEEFF"/>
          </w:tcPr>
          <w:p>
            <w:pPr>
              <w:jc w:val="right"/>
              <w:ind w:right="32"/>
              <w:spacing w:after="0" w:line="135" w:lineRule="exact"/>
              <w:rPr>
                <w:sz w:val="20"/>
                <w:szCs w:val="20"/>
                <w:color w:val="auto"/>
              </w:rPr>
            </w:pPr>
            <w:r>
              <w:rPr>
                <w:rFonts w:ascii="Arial" w:cs="Arial" w:eastAsia="Arial" w:hAnsi="Arial"/>
                <w:sz w:val="13"/>
                <w:szCs w:val="13"/>
                <w:color w:val="auto"/>
              </w:rPr>
              <w:t>19,241</w:t>
            </w:r>
          </w:p>
        </w:tc>
        <w:tc>
          <w:tcPr>
            <w:tcW w:w="1320" w:type="dxa"/>
            <w:vAlign w:val="bottom"/>
            <w:shd w:val="clear" w:color="auto" w:fill="CCEEFF"/>
          </w:tcPr>
          <w:p>
            <w:pPr>
              <w:jc w:val="right"/>
              <w:ind w:right="174"/>
              <w:spacing w:after="0" w:line="135" w:lineRule="exact"/>
              <w:rPr>
                <w:sz w:val="20"/>
                <w:szCs w:val="20"/>
                <w:color w:val="auto"/>
              </w:rPr>
            </w:pPr>
            <w:r>
              <w:rPr>
                <w:rFonts w:ascii="Arial" w:cs="Arial" w:eastAsia="Arial" w:hAnsi="Arial"/>
                <w:sz w:val="13"/>
                <w:szCs w:val="13"/>
                <w:color w:val="auto"/>
              </w:rPr>
              <w:t>(779)</w:t>
            </w:r>
          </w:p>
        </w:tc>
        <w:tc>
          <w:tcPr>
            <w:tcW w:w="1120" w:type="dxa"/>
            <w:vAlign w:val="bottom"/>
            <w:shd w:val="clear" w:color="auto" w:fill="CCEEFF"/>
          </w:tcPr>
          <w:p>
            <w:pPr>
              <w:jc w:val="right"/>
              <w:ind w:right="114"/>
              <w:spacing w:after="0" w:line="135" w:lineRule="exact"/>
              <w:rPr>
                <w:sz w:val="20"/>
                <w:szCs w:val="20"/>
                <w:color w:val="auto"/>
              </w:rPr>
            </w:pPr>
            <w:r>
              <w:rPr>
                <w:rFonts w:ascii="Arial" w:cs="Arial" w:eastAsia="Arial" w:hAnsi="Arial"/>
                <w:sz w:val="13"/>
                <w:szCs w:val="13"/>
                <w:color w:val="auto"/>
              </w:rPr>
              <w:t>18,462</w:t>
            </w:r>
          </w:p>
        </w:tc>
        <w:tc>
          <w:tcPr>
            <w:tcW w:w="1120" w:type="dxa"/>
            <w:vAlign w:val="bottom"/>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2,547</w:t>
            </w:r>
          </w:p>
        </w:tc>
        <w:tc>
          <w:tcPr>
            <w:tcW w:w="1360" w:type="dxa"/>
            <w:vAlign w:val="bottom"/>
            <w:shd w:val="clear" w:color="auto" w:fill="CCEEFF"/>
          </w:tcPr>
          <w:p>
            <w:pPr>
              <w:jc w:val="right"/>
              <w:ind w:right="194"/>
              <w:spacing w:after="0" w:line="135" w:lineRule="exact"/>
              <w:rPr>
                <w:sz w:val="20"/>
                <w:szCs w:val="20"/>
                <w:color w:val="auto"/>
              </w:rPr>
            </w:pPr>
            <w:r>
              <w:rPr>
                <w:rFonts w:ascii="Arial" w:cs="Arial" w:eastAsia="Arial" w:hAnsi="Arial"/>
                <w:sz w:val="13"/>
                <w:szCs w:val="13"/>
                <w:color w:val="auto"/>
              </w:rPr>
              <w:t>(2,547)</w:t>
            </w: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3"/>
          </w:tcPr>
          <w:p>
            <w:pPr>
              <w:spacing w:after="0" w:line="135" w:lineRule="exact"/>
              <w:rPr>
                <w:sz w:val="20"/>
                <w:szCs w:val="20"/>
                <w:color w:val="auto"/>
              </w:rPr>
            </w:pPr>
            <w:r>
              <w:rPr>
                <w:rFonts w:ascii="Arial" w:cs="Arial" w:eastAsia="Arial" w:hAnsi="Arial"/>
                <w:sz w:val="13"/>
                <w:szCs w:val="13"/>
                <w:color w:val="auto"/>
              </w:rPr>
              <w:t>Other reserves</w:t>
            </w:r>
          </w:p>
        </w:tc>
        <w:tc>
          <w:tcPr>
            <w:tcW w:w="880" w:type="dxa"/>
            <w:vAlign w:val="bottom"/>
          </w:tcPr>
          <w:p>
            <w:pPr>
              <w:jc w:val="center"/>
              <w:ind w:left="34"/>
              <w:spacing w:after="0" w:line="135" w:lineRule="exact"/>
              <w:rPr>
                <w:sz w:val="20"/>
                <w:szCs w:val="20"/>
                <w:color w:val="auto"/>
              </w:rPr>
            </w:pPr>
            <w:r>
              <w:rPr>
                <w:rFonts w:ascii="Arial" w:cs="Arial" w:eastAsia="Arial" w:hAnsi="Arial"/>
                <w:sz w:val="13"/>
                <w:szCs w:val="13"/>
                <w:b w:val="1"/>
                <w:bCs w:val="1"/>
                <w:color w:val="auto"/>
                <w:w w:val="93"/>
              </w:rPr>
              <w:t>C1, C2</w:t>
            </w:r>
          </w:p>
        </w:tc>
        <w:tc>
          <w:tcPr>
            <w:tcW w:w="1140" w:type="dxa"/>
            <w:vAlign w:val="bottom"/>
            <w:gridSpan w:val="2"/>
          </w:tcPr>
          <w:p>
            <w:pPr>
              <w:jc w:val="right"/>
              <w:ind w:right="32"/>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174"/>
              <w:spacing w:after="0" w:line="135" w:lineRule="exact"/>
              <w:rPr>
                <w:sz w:val="20"/>
                <w:szCs w:val="20"/>
                <w:color w:val="auto"/>
              </w:rPr>
            </w:pPr>
            <w:r>
              <w:rPr>
                <w:rFonts w:ascii="Arial" w:cs="Arial" w:eastAsia="Arial" w:hAnsi="Arial"/>
                <w:sz w:val="13"/>
                <w:szCs w:val="13"/>
                <w:color w:val="auto"/>
              </w:rPr>
              <w:t>624</w:t>
            </w:r>
          </w:p>
        </w:tc>
        <w:tc>
          <w:tcPr>
            <w:tcW w:w="1120" w:type="dxa"/>
            <w:vAlign w:val="bottom"/>
          </w:tcPr>
          <w:p>
            <w:pPr>
              <w:jc w:val="right"/>
              <w:ind w:right="114"/>
              <w:spacing w:after="0" w:line="135" w:lineRule="exact"/>
              <w:rPr>
                <w:sz w:val="20"/>
                <w:szCs w:val="20"/>
                <w:color w:val="auto"/>
              </w:rPr>
            </w:pPr>
            <w:r>
              <w:rPr>
                <w:rFonts w:ascii="Arial" w:cs="Arial" w:eastAsia="Arial" w:hAnsi="Arial"/>
                <w:sz w:val="13"/>
                <w:szCs w:val="13"/>
                <w:color w:val="auto"/>
              </w:rPr>
              <w:t>624</w:t>
            </w:r>
          </w:p>
        </w:tc>
        <w:tc>
          <w:tcPr>
            <w:tcW w:w="1120" w:type="dxa"/>
            <w:vAlign w:val="bottom"/>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1360" w:type="dxa"/>
            <w:vAlign w:val="bottom"/>
          </w:tcPr>
          <w:p>
            <w:pPr>
              <w:jc w:val="right"/>
              <w:ind w:right="194"/>
              <w:spacing w:after="0" w:line="135" w:lineRule="exact"/>
              <w:rPr>
                <w:sz w:val="20"/>
                <w:szCs w:val="20"/>
                <w:color w:val="auto"/>
              </w:rPr>
            </w:pPr>
            <w:r>
              <w:rPr>
                <w:rFonts w:ascii="Arial" w:cs="Arial" w:eastAsia="Arial" w:hAnsi="Arial"/>
                <w:sz w:val="13"/>
                <w:szCs w:val="13"/>
                <w:color w:val="auto"/>
              </w:rPr>
              <w:t>2,474</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2,474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Accumulated other</w:t>
            </w:r>
          </w:p>
        </w:tc>
        <w:tc>
          <w:tcPr>
            <w:tcW w:w="880" w:type="dxa"/>
            <w:vAlign w:val="bottom"/>
            <w:vMerge w:val="restart"/>
            <w:shd w:val="clear" w:color="auto" w:fill="CCEEFF"/>
          </w:tcPr>
          <w:p>
            <w:pPr>
              <w:jc w:val="center"/>
              <w:ind w:left="34"/>
              <w:spacing w:after="0"/>
              <w:rPr>
                <w:sz w:val="20"/>
                <w:szCs w:val="20"/>
                <w:color w:val="auto"/>
              </w:rPr>
            </w:pPr>
            <w:r>
              <w:rPr>
                <w:rFonts w:ascii="Arial" w:cs="Arial" w:eastAsia="Arial" w:hAnsi="Arial"/>
                <w:sz w:val="13"/>
                <w:szCs w:val="13"/>
                <w:b w:val="1"/>
                <w:bCs w:val="1"/>
                <w:color w:val="auto"/>
                <w:w w:val="93"/>
              </w:rPr>
              <w:t>C1, C2</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3"/>
            <w:shd w:val="clear" w:color="auto" w:fill="CCEEFF"/>
          </w:tcPr>
          <w:p>
            <w:pPr>
              <w:ind w:left="80"/>
              <w:spacing w:after="0" w:line="141" w:lineRule="exact"/>
              <w:rPr>
                <w:sz w:val="20"/>
                <w:szCs w:val="20"/>
                <w:color w:val="auto"/>
              </w:rPr>
            </w:pPr>
            <w:r>
              <w:rPr>
                <w:rFonts w:ascii="Arial" w:cs="Arial" w:eastAsia="Arial" w:hAnsi="Arial"/>
                <w:sz w:val="13"/>
                <w:szCs w:val="13"/>
                <w:color w:val="auto"/>
              </w:rPr>
              <w:t>comprehensive loss</w:t>
            </w:r>
          </w:p>
        </w:tc>
        <w:tc>
          <w:tcPr>
            <w:tcW w:w="88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32"/>
              <w:spacing w:after="0" w:line="141" w:lineRule="exact"/>
              <w:rPr>
                <w:sz w:val="20"/>
                <w:szCs w:val="20"/>
                <w:color w:val="auto"/>
              </w:rPr>
            </w:pPr>
            <w:r>
              <w:rPr>
                <w:rFonts w:ascii="Arial" w:cs="Arial" w:eastAsia="Arial" w:hAnsi="Arial"/>
                <w:sz w:val="13"/>
                <w:szCs w:val="13"/>
                <w:color w:val="auto"/>
              </w:rPr>
              <w:t>(134)</w:t>
            </w:r>
          </w:p>
        </w:tc>
        <w:tc>
          <w:tcPr>
            <w:tcW w:w="1320" w:type="dxa"/>
            <w:vAlign w:val="bottom"/>
            <w:tcBorders>
              <w:bottom w:val="single" w:sz="8" w:color="auto"/>
            </w:tcBorders>
            <w:shd w:val="clear" w:color="auto" w:fill="CCEEFF"/>
          </w:tcPr>
          <w:p>
            <w:pPr>
              <w:jc w:val="right"/>
              <w:ind w:right="174"/>
              <w:spacing w:after="0" w:line="141" w:lineRule="exact"/>
              <w:rPr>
                <w:sz w:val="20"/>
                <w:szCs w:val="20"/>
                <w:color w:val="auto"/>
              </w:rPr>
            </w:pPr>
            <w:r>
              <w:rPr>
                <w:rFonts w:ascii="Arial" w:cs="Arial" w:eastAsia="Arial" w:hAnsi="Arial"/>
                <w:sz w:val="13"/>
                <w:szCs w:val="13"/>
                <w:color w:val="auto"/>
              </w:rPr>
              <w:t>134</w:t>
            </w:r>
          </w:p>
        </w:tc>
        <w:tc>
          <w:tcPr>
            <w:tcW w:w="1120" w:type="dxa"/>
            <w:vAlign w:val="bottom"/>
            <w:tcBorders>
              <w:bottom w:val="single" w:sz="8" w:color="auto"/>
            </w:tcBorders>
            <w:shd w:val="clear" w:color="auto" w:fill="CCEEFF"/>
          </w:tcPr>
          <w:p>
            <w:pPr>
              <w:jc w:val="right"/>
              <w:ind w:right="114"/>
              <w:spacing w:after="0" w:line="141"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13"/>
              <w:spacing w:after="0" w:line="141" w:lineRule="exact"/>
              <w:rPr>
                <w:sz w:val="20"/>
                <w:szCs w:val="20"/>
                <w:color w:val="auto"/>
              </w:rPr>
            </w:pPr>
            <w:r>
              <w:rPr>
                <w:rFonts w:ascii="Arial" w:cs="Arial" w:eastAsia="Arial" w:hAnsi="Arial"/>
                <w:sz w:val="13"/>
                <w:szCs w:val="13"/>
                <w:color w:val="auto"/>
              </w:rPr>
              <w:t>(73)</w:t>
            </w:r>
          </w:p>
        </w:tc>
        <w:tc>
          <w:tcPr>
            <w:tcW w:w="1360" w:type="dxa"/>
            <w:vAlign w:val="bottom"/>
            <w:tcBorders>
              <w:bottom w:val="single" w:sz="8" w:color="auto"/>
            </w:tcBorders>
            <w:shd w:val="clear" w:color="auto" w:fill="CCEEFF"/>
          </w:tcPr>
          <w:p>
            <w:pPr>
              <w:jc w:val="right"/>
              <w:ind w:right="194"/>
              <w:spacing w:after="0" w:line="141" w:lineRule="exact"/>
              <w:rPr>
                <w:sz w:val="20"/>
                <w:szCs w:val="20"/>
                <w:color w:val="auto"/>
              </w:rPr>
            </w:pPr>
            <w:r>
              <w:rPr>
                <w:rFonts w:ascii="Arial" w:cs="Arial" w:eastAsia="Arial" w:hAnsi="Arial"/>
                <w:sz w:val="13"/>
                <w:szCs w:val="13"/>
                <w:color w:val="auto"/>
              </w:rPr>
              <w:t>73</w:t>
            </w:r>
          </w:p>
        </w:tc>
        <w:tc>
          <w:tcPr>
            <w:tcW w:w="9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bottom w:val="single" w:sz="8" w:color="auto"/>
            </w:tcBorders>
          </w:tcPr>
          <w:p>
            <w:pPr>
              <w:jc w:val="right"/>
              <w:ind w:right="32"/>
              <w:spacing w:after="0" w:line="143" w:lineRule="exact"/>
              <w:rPr>
                <w:sz w:val="20"/>
                <w:szCs w:val="20"/>
                <w:color w:val="auto"/>
              </w:rPr>
            </w:pPr>
            <w:r>
              <w:rPr>
                <w:rFonts w:ascii="Arial" w:cs="Arial" w:eastAsia="Arial" w:hAnsi="Arial"/>
                <w:sz w:val="13"/>
                <w:szCs w:val="13"/>
                <w:color w:val="auto"/>
              </w:rPr>
              <w:t>18,892</w:t>
            </w:r>
          </w:p>
        </w:tc>
        <w:tc>
          <w:tcPr>
            <w:tcW w:w="1320" w:type="dxa"/>
            <w:vAlign w:val="bottom"/>
            <w:tcBorders>
              <w:bottom w:val="single" w:sz="8" w:color="auto"/>
            </w:tcBorders>
          </w:tcPr>
          <w:p>
            <w:pPr>
              <w:jc w:val="right"/>
              <w:ind w:right="174"/>
              <w:spacing w:after="0" w:line="143" w:lineRule="exact"/>
              <w:rPr>
                <w:sz w:val="20"/>
                <w:szCs w:val="20"/>
                <w:color w:val="auto"/>
              </w:rPr>
            </w:pPr>
            <w:r>
              <w:rPr>
                <w:rFonts w:ascii="Arial" w:cs="Arial" w:eastAsia="Arial" w:hAnsi="Arial"/>
                <w:sz w:val="13"/>
                <w:szCs w:val="13"/>
                <w:color w:val="auto"/>
              </w:rPr>
              <w:t>2,271</w:t>
            </w:r>
          </w:p>
        </w:tc>
        <w:tc>
          <w:tcPr>
            <w:tcW w:w="1120" w:type="dxa"/>
            <w:vAlign w:val="bottom"/>
            <w:tcBorders>
              <w:bottom w:val="single" w:sz="8" w:color="auto"/>
            </w:tcBorders>
          </w:tcPr>
          <w:p>
            <w:pPr>
              <w:jc w:val="right"/>
              <w:ind w:right="114"/>
              <w:spacing w:after="0" w:line="143" w:lineRule="exact"/>
              <w:rPr>
                <w:sz w:val="20"/>
                <w:szCs w:val="20"/>
                <w:color w:val="auto"/>
              </w:rPr>
            </w:pPr>
            <w:r>
              <w:rPr>
                <w:rFonts w:ascii="Arial" w:cs="Arial" w:eastAsia="Arial" w:hAnsi="Arial"/>
                <w:sz w:val="13"/>
                <w:szCs w:val="13"/>
                <w:color w:val="auto"/>
              </w:rPr>
              <w:t>21,163</w:t>
            </w:r>
          </w:p>
        </w:tc>
        <w:tc>
          <w:tcPr>
            <w:tcW w:w="1120" w:type="dxa"/>
            <w:vAlign w:val="bottom"/>
            <w:tcBorders>
              <w:bottom w:val="single" w:sz="8" w:color="auto"/>
            </w:tcBorders>
          </w:tcPr>
          <w:p>
            <w:pPr>
              <w:jc w:val="right"/>
              <w:ind w:right="13"/>
              <w:spacing w:after="0" w:line="143" w:lineRule="exact"/>
              <w:rPr>
                <w:sz w:val="20"/>
                <w:szCs w:val="20"/>
                <w:color w:val="auto"/>
              </w:rPr>
            </w:pPr>
            <w:r>
              <w:rPr>
                <w:rFonts w:ascii="Arial" w:cs="Arial" w:eastAsia="Arial" w:hAnsi="Arial"/>
                <w:sz w:val="13"/>
                <w:szCs w:val="13"/>
                <w:color w:val="auto"/>
              </w:rPr>
              <w:t>4,714</w:t>
            </w:r>
          </w:p>
        </w:tc>
        <w:tc>
          <w:tcPr>
            <w:tcW w:w="1360" w:type="dxa"/>
            <w:vAlign w:val="bottom"/>
            <w:tcBorders>
              <w:bottom w:val="single" w:sz="8" w:color="auto"/>
            </w:tcBorders>
          </w:tcPr>
          <w:p>
            <w:pPr>
              <w:jc w:val="right"/>
              <w:ind w:right="194"/>
              <w:spacing w:after="0" w:line="143"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4,714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180" w:hanging="220"/>
        <w:spacing w:after="0"/>
        <w:tabs>
          <w:tab w:leader="none" w:pos="21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Represents figures less than a million.</w:t>
      </w:r>
    </w:p>
    <w:p>
      <w:pPr>
        <w:spacing w:after="0" w:line="207" w:lineRule="exact"/>
        <w:rPr>
          <w:sz w:val="20"/>
          <w:szCs w:val="20"/>
          <w:color w:val="auto"/>
        </w:rPr>
      </w:pPr>
    </w:p>
    <w:p>
      <w:pPr>
        <w:ind w:left="2060"/>
        <w:spacing w:after="0"/>
        <w:tabs>
          <w:tab w:leader="none" w:pos="2480" w:val="left"/>
        </w:tabs>
        <w:rPr>
          <w:sz w:val="20"/>
          <w:szCs w:val="20"/>
          <w:color w:val="auto"/>
        </w:rPr>
      </w:pPr>
      <w:r>
        <w:rPr>
          <w:rFonts w:ascii="Arial" w:cs="Arial" w:eastAsia="Arial" w:hAnsi="Arial"/>
          <w:sz w:val="18"/>
          <w:szCs w:val="18"/>
          <w:color w:val="auto"/>
        </w:rPr>
        <w:t>C1</w:t>
        <w:tab/>
        <w:t>Deemed cost of investments in subsidiaries</w:t>
      </w:r>
    </w:p>
    <w:p>
      <w:pPr>
        <w:spacing w:after="0" w:line="171" w:lineRule="exact"/>
        <w:rPr>
          <w:sz w:val="20"/>
          <w:szCs w:val="20"/>
          <w:color w:val="auto"/>
        </w:rPr>
      </w:pPr>
    </w:p>
    <w:p>
      <w:pPr>
        <w:jc w:val="both"/>
        <w:ind w:left="2520" w:right="20"/>
        <w:spacing w:after="0" w:line="246" w:lineRule="auto"/>
        <w:rPr>
          <w:sz w:val="20"/>
          <w:szCs w:val="20"/>
          <w:color w:val="auto"/>
        </w:rPr>
      </w:pPr>
      <w:r>
        <w:rPr>
          <w:rFonts w:ascii="Arial" w:cs="Arial" w:eastAsia="Arial" w:hAnsi="Arial"/>
          <w:sz w:val="18"/>
          <w:szCs w:val="18"/>
          <w:color w:val="auto"/>
        </w:rPr>
        <w:t>The Group has elected to adopt deemed cost for investments in subsidiaries as described in Note 2.1(a)(ii) at the date of transition.</w:t>
      </w:r>
    </w:p>
    <w:p>
      <w:pPr>
        <w:spacing w:after="0" w:line="170" w:lineRule="exact"/>
        <w:rPr>
          <w:sz w:val="20"/>
          <w:szCs w:val="20"/>
          <w:color w:val="auto"/>
        </w:rPr>
      </w:pPr>
    </w:p>
    <w:p>
      <w:pPr>
        <w:jc w:val="both"/>
        <w:ind w:left="2520" w:right="20"/>
        <w:spacing w:after="0" w:line="236" w:lineRule="auto"/>
        <w:rPr>
          <w:sz w:val="20"/>
          <w:szCs w:val="20"/>
          <w:color w:val="auto"/>
        </w:rPr>
      </w:pPr>
      <w:r>
        <w:rPr>
          <w:rFonts w:ascii="Arial" w:cs="Arial" w:eastAsia="Arial" w:hAnsi="Arial"/>
          <w:sz w:val="18"/>
          <w:szCs w:val="18"/>
          <w:color w:val="auto"/>
        </w:rPr>
        <w:t>As of 30 October 2016, the carrying amount of the cost of investments in subsidiaries is accounted for at costs less accumulated impairment losses in accordance with accounting policy described in Note 2.3. As a result, the carrying amount of the cost of investments increased by US$2,271 million. This is due to the reversal of accounting entries made under the previous GAAP for the share of the Company’s subsidiaries’ accumulated losses and dividends amounting to US$2,292 million and the share of the Company’s subsidiaries’ other reserves and accumulated other comprehensive loss amounting to a net amount of US$21 million. Under the previous GAAP, these amounts were recorded in the cost of investments in subsidiaries using the equity method of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98425</wp:posOffset>
            </wp:positionV>
            <wp:extent cx="6997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Basis of preparation </w:t>
      </w:r>
      <w:r>
        <w:rPr>
          <w:rFonts w:ascii="Arial" w:cs="Arial" w:eastAsia="Arial" w:hAnsi="Arial"/>
          <w:sz w:val="17"/>
          <w:szCs w:val="17"/>
          <w:color w:val="auto"/>
        </w:rPr>
        <w:t>(continued)</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FRS 101 first-time adoption of Financial Reporting Standards </w:t>
      </w:r>
      <w:r>
        <w:rPr>
          <w:rFonts w:ascii="Arial" w:cs="Arial" w:eastAsia="Arial" w:hAnsi="Arial"/>
          <w:sz w:val="18"/>
          <w:szCs w:val="18"/>
          <w:color w:val="auto"/>
        </w:rPr>
        <w:t>(continued)</w:t>
      </w:r>
    </w:p>
    <w:p>
      <w:pPr>
        <w:spacing w:after="0" w:line="148" w:lineRule="exact"/>
        <w:rPr>
          <w:sz w:val="20"/>
          <w:szCs w:val="20"/>
          <w:color w:val="auto"/>
        </w:rPr>
      </w:pPr>
    </w:p>
    <w:p>
      <w:pPr>
        <w:ind w:left="1620" w:hanging="538"/>
        <w:spacing w:after="0"/>
        <w:tabs>
          <w:tab w:leader="none" w:pos="1620" w:val="left"/>
        </w:tabs>
        <w:numPr>
          <w:ilvl w:val="0"/>
          <w:numId w:val="1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Summary of financial impact </w:t>
      </w:r>
      <w:r>
        <w:rPr>
          <w:rFonts w:ascii="Arial" w:cs="Arial" w:eastAsia="Arial" w:hAnsi="Arial"/>
          <w:sz w:val="18"/>
          <w:szCs w:val="18"/>
          <w:color w:val="auto"/>
        </w:rPr>
        <w:t>(continued)</w:t>
      </w:r>
    </w:p>
    <w:p>
      <w:pPr>
        <w:spacing w:after="0" w:line="256"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result and impact of transition to FRS on the Company’s financial statements are as follow: (continued)</w:t>
      </w:r>
    </w:p>
    <w:p>
      <w:pPr>
        <w:spacing w:after="0" w:line="239" w:lineRule="exact"/>
        <w:rPr>
          <w:sz w:val="20"/>
          <w:szCs w:val="20"/>
          <w:color w:val="auto"/>
        </w:rPr>
      </w:pPr>
    </w:p>
    <w:p>
      <w:pPr>
        <w:ind w:left="2060"/>
        <w:spacing w:after="0"/>
        <w:tabs>
          <w:tab w:leader="none" w:pos="2480" w:val="left"/>
        </w:tabs>
        <w:rPr>
          <w:sz w:val="20"/>
          <w:szCs w:val="20"/>
          <w:color w:val="auto"/>
        </w:rPr>
      </w:pPr>
      <w:r>
        <w:rPr>
          <w:rFonts w:ascii="Arial" w:cs="Arial" w:eastAsia="Arial" w:hAnsi="Arial"/>
          <w:sz w:val="18"/>
          <w:szCs w:val="18"/>
          <w:color w:val="auto"/>
        </w:rPr>
        <w:t>C2</w:t>
        <w:tab/>
        <w:t>Classification of other reserves</w:t>
      </w:r>
    </w:p>
    <w:p>
      <w:pPr>
        <w:spacing w:after="0" w:line="212" w:lineRule="exact"/>
        <w:rPr>
          <w:sz w:val="20"/>
          <w:szCs w:val="20"/>
          <w:color w:val="auto"/>
        </w:rPr>
      </w:pPr>
    </w:p>
    <w:p>
      <w:pPr>
        <w:jc w:val="both"/>
        <w:ind w:left="2520"/>
        <w:spacing w:after="0"/>
        <w:rPr>
          <w:sz w:val="20"/>
          <w:szCs w:val="20"/>
          <w:color w:val="auto"/>
        </w:rPr>
      </w:pPr>
      <w:r>
        <w:rPr>
          <w:rFonts w:ascii="Arial" w:cs="Arial" w:eastAsia="Arial" w:hAnsi="Arial"/>
          <w:sz w:val="18"/>
          <w:szCs w:val="18"/>
          <w:color w:val="auto"/>
        </w:rPr>
        <w:t>The Company has changed the presentation of certain amounts under “Share Capital” to reflect FRS 1 requirement to disclose the ordinary class of share capital and other reserves in equity which is described in detail in Note 32.</w:t>
      </w:r>
    </w:p>
    <w:p>
      <w:pPr>
        <w:spacing w:after="0" w:line="203" w:lineRule="exact"/>
        <w:rPr>
          <w:sz w:val="20"/>
          <w:szCs w:val="20"/>
          <w:color w:val="auto"/>
        </w:rPr>
      </w:pPr>
    </w:p>
    <w:p>
      <w:pPr>
        <w:jc w:val="both"/>
        <w:ind w:left="2520"/>
        <w:spacing w:after="0"/>
        <w:rPr>
          <w:sz w:val="20"/>
          <w:szCs w:val="20"/>
          <w:color w:val="auto"/>
        </w:rPr>
      </w:pPr>
      <w:r>
        <w:rPr>
          <w:rFonts w:ascii="Arial" w:cs="Arial" w:eastAsia="Arial" w:hAnsi="Arial"/>
          <w:sz w:val="18"/>
          <w:szCs w:val="18"/>
          <w:color w:val="auto"/>
        </w:rPr>
        <w:t>US$779 million and US$2,547 million of “Share Capital” under the previous GAAP are reclassified to be presented as “Other reserves” in the balance sheet presented as at 30 October 2016 and 2 November 2015, respectively.</w:t>
      </w:r>
    </w:p>
    <w:p>
      <w:pPr>
        <w:spacing w:after="0" w:line="203" w:lineRule="exact"/>
        <w:rPr>
          <w:sz w:val="20"/>
          <w:szCs w:val="20"/>
          <w:color w:val="auto"/>
        </w:rPr>
      </w:pPr>
    </w:p>
    <w:p>
      <w:pPr>
        <w:jc w:val="both"/>
        <w:ind w:left="2520"/>
        <w:spacing w:after="0"/>
        <w:rPr>
          <w:sz w:val="20"/>
          <w:szCs w:val="20"/>
          <w:color w:val="auto"/>
        </w:rPr>
      </w:pPr>
      <w:r>
        <w:rPr>
          <w:rFonts w:ascii="Arial" w:cs="Arial" w:eastAsia="Arial" w:hAnsi="Arial"/>
          <w:sz w:val="18"/>
          <w:szCs w:val="18"/>
          <w:color w:val="auto"/>
        </w:rPr>
        <w:t>US$134 million and US$73 million of “Accumulated other comprehensive loss” under the previous GAAP are reclassified to be presented as “Other reserves” in the balance sheet presented as at 30 October 2016 and 2 November 2015, respectively.</w:t>
      </w:r>
    </w:p>
    <w:p>
      <w:pPr>
        <w:spacing w:after="0" w:line="208"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Revenue recognition</w:t>
      </w:r>
    </w:p>
    <w:p>
      <w:pPr>
        <w:spacing w:after="0" w:line="234"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Sales comprise the fair value of the consideration received or receivable for the sale of goods and rendering of services in the ordinary course of the Group’s activities. Sales are presented, net of value-added tax, rebates and discounts, and after eliminating sales within the Group.</w:t>
      </w:r>
    </w:p>
    <w:p>
      <w:pPr>
        <w:spacing w:after="0" w:line="203" w:lineRule="exact"/>
        <w:rPr>
          <w:sz w:val="20"/>
          <w:szCs w:val="20"/>
          <w:color w:val="auto"/>
        </w:rPr>
      </w:pPr>
    </w:p>
    <w:p>
      <w:pPr>
        <w:jc w:val="both"/>
        <w:ind w:left="980"/>
        <w:spacing w:after="0" w:line="239" w:lineRule="auto"/>
        <w:rPr>
          <w:sz w:val="20"/>
          <w:szCs w:val="20"/>
          <w:color w:val="auto"/>
        </w:rPr>
      </w:pPr>
      <w:r>
        <w:rPr>
          <w:rFonts w:ascii="Arial" w:cs="Arial" w:eastAsia="Arial" w:hAnsi="Arial"/>
          <w:sz w:val="18"/>
          <w:szCs w:val="18"/>
          <w:color w:val="auto"/>
        </w:rPr>
        <w:t>The Group assesses its role as an agent or principal for each transaction and in an agency arrangement the amounts collected on behalf of the principal are excluded from revenue. The Group recognises revenue when the amount of revenue and related cost can be reliably measured, it is probable that the collectability of the related receivables is reasonably assured and when the specific criteria for each of the Group’s activities are met as follows:</w:t>
      </w:r>
    </w:p>
    <w:p>
      <w:pPr>
        <w:spacing w:after="0" w:line="116" w:lineRule="exact"/>
        <w:rPr>
          <w:sz w:val="20"/>
          <w:szCs w:val="20"/>
          <w:color w:val="auto"/>
        </w:rPr>
      </w:pPr>
    </w:p>
    <w:p>
      <w:pPr>
        <w:ind w:left="1620" w:hanging="538"/>
        <w:spacing w:after="0"/>
        <w:tabs>
          <w:tab w:leader="none" w:pos="1620" w:val="left"/>
        </w:tabs>
        <w:numPr>
          <w:ilvl w:val="0"/>
          <w:numId w:val="132"/>
        </w:numPr>
        <w:rPr>
          <w:rFonts w:ascii="Arial" w:cs="Arial" w:eastAsia="Arial" w:hAnsi="Arial"/>
          <w:sz w:val="18"/>
          <w:szCs w:val="18"/>
          <w:i w:val="1"/>
          <w:iCs w:val="1"/>
          <w:color w:val="auto"/>
        </w:rPr>
      </w:pPr>
      <w:r>
        <w:rPr>
          <w:rFonts w:ascii="Arial" w:cs="Arial" w:eastAsia="Arial" w:hAnsi="Arial"/>
          <w:sz w:val="18"/>
          <w:szCs w:val="18"/>
          <w:i w:val="1"/>
          <w:iCs w:val="1"/>
          <w:color w:val="auto"/>
        </w:rPr>
        <w:t>Sale of goods</w:t>
      </w:r>
    </w:p>
    <w:p>
      <w:pPr>
        <w:spacing w:after="0" w:line="157" w:lineRule="exact"/>
        <w:rPr>
          <w:rFonts w:ascii="Arial" w:cs="Arial" w:eastAsia="Arial" w:hAnsi="Arial"/>
          <w:sz w:val="18"/>
          <w:szCs w:val="18"/>
          <w:i w:val="1"/>
          <w:iCs w:val="1"/>
          <w:color w:val="auto"/>
        </w:rPr>
      </w:pPr>
    </w:p>
    <w:p>
      <w:pPr>
        <w:ind w:left="1640"/>
        <w:spacing w:after="0"/>
        <w:rPr>
          <w:rFonts w:ascii="Arial" w:cs="Arial" w:eastAsia="Arial" w:hAnsi="Arial"/>
          <w:sz w:val="18"/>
          <w:szCs w:val="18"/>
          <w:i w:val="1"/>
          <w:iCs w:val="1"/>
          <w:color w:val="auto"/>
        </w:rPr>
      </w:pPr>
      <w:r>
        <w:rPr>
          <w:rFonts w:ascii="Arial" w:cs="Arial" w:eastAsia="Arial" w:hAnsi="Arial"/>
          <w:sz w:val="18"/>
          <w:szCs w:val="18"/>
          <w:color w:val="auto"/>
        </w:rPr>
        <w:t>The Group recognises revenue related to sales of products, net of trade discounts and allowances, provided that</w:t>
      </w:r>
    </w:p>
    <w:p>
      <w:pPr>
        <w:ind w:left="1860" w:hanging="224"/>
        <w:spacing w:after="0" w:line="234" w:lineRule="auto"/>
        <w:tabs>
          <w:tab w:leader="none" w:pos="18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persuasive evidence of an arrangement exists, (ii) delivery has occurred and title and risk of loss have transferred,</w:t>
      </w:r>
    </w:p>
    <w:p>
      <w:pPr>
        <w:jc w:val="both"/>
        <w:ind w:left="1640" w:hanging="4"/>
        <w:spacing w:after="0"/>
        <w:tabs>
          <w:tab w:leader="none" w:pos="197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price is fixed or determinable and (iv) collectability is reasonably assured. Delivery is considered to have occurred when title and risk of loss have transferred to the customer. The Group considers the price to be determinable when the price is not subject to refund or adjustments or when any such adjustments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(continued)</w:t>
      </w:r>
    </w:p>
    <w:p>
      <w:pPr>
        <w:spacing w:after="0" w:line="148" w:lineRule="exact"/>
        <w:rPr>
          <w:sz w:val="20"/>
          <w:szCs w:val="20"/>
          <w:color w:val="auto"/>
        </w:rPr>
      </w:pPr>
    </w:p>
    <w:p>
      <w:pPr>
        <w:ind w:left="1620" w:hanging="538"/>
        <w:spacing w:after="0"/>
        <w:tabs>
          <w:tab w:leader="none" w:pos="1620" w:val="left"/>
        </w:tabs>
        <w:numPr>
          <w:ilvl w:val="0"/>
          <w:numId w:val="1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 of goods </w:t>
      </w:r>
      <w:r>
        <w:rPr>
          <w:rFonts w:ascii="Arial" w:cs="Arial" w:eastAsia="Arial" w:hAnsi="Arial"/>
          <w:sz w:val="18"/>
          <w:szCs w:val="18"/>
          <w:color w:val="auto"/>
        </w:rPr>
        <w:t>(continued)</w:t>
      </w:r>
    </w:p>
    <w:p>
      <w:pPr>
        <w:spacing w:after="0" w:line="162" w:lineRule="exact"/>
        <w:rPr>
          <w:rFonts w:ascii="Arial" w:cs="Arial" w:eastAsia="Arial" w:hAnsi="Arial"/>
          <w:sz w:val="18"/>
          <w:szCs w:val="18"/>
          <w:i w:val="1"/>
          <w:iCs w:val="1"/>
          <w:color w:val="auto"/>
        </w:rPr>
      </w:pPr>
    </w:p>
    <w:p>
      <w:pPr>
        <w:jc w:val="both"/>
        <w:ind w:left="1640"/>
        <w:spacing w:after="0" w:line="236" w:lineRule="auto"/>
        <w:rPr>
          <w:rFonts w:ascii="Arial" w:cs="Arial" w:eastAsia="Arial" w:hAnsi="Arial"/>
          <w:sz w:val="18"/>
          <w:szCs w:val="18"/>
          <w:i w:val="1"/>
          <w:iCs w:val="1"/>
          <w:color w:val="auto"/>
        </w:rPr>
      </w:pPr>
      <w:r>
        <w:rPr>
          <w:rFonts w:ascii="Arial" w:cs="Arial" w:eastAsia="Arial" w:hAnsi="Arial"/>
          <w:sz w:val="18"/>
          <w:szCs w:val="18"/>
          <w:color w:val="auto"/>
        </w:rPr>
        <w:t>estimated. The Group evaluates the creditworthiness of its customers to determine that appropriate credit limits are established prior to the acceptance of an order. Revenue, including sales to resellers and distributors, is reduced for estimated returns and distributor allowances. The Group recognises revenue from sales of products to distributors upon delivery of product to the distributors. An allowance for distributor credits covering price adjustments is made based on an estimate of historical experience rates as well as considering economic conditions and contractual terms. To date, actual distributor claims activity has been materially consistent with the provisions made based on historical estimates. The Group also records reductions of revenue for rebates, in the same period that the related revenue is recorded. The Group accrues 100% of potential rebates at the time of sale and does not apply a breakage factor. The Group reverses the accrual of unclaimed rebate amounts as specific rebate programs contractually end and when unclaimed rebates are no longer subject to payment and will not be paid. Thus, the reversal of unclaimed rebates may have a positive impact on the Group’s net revenue and results of operations in subsequent periods.</w:t>
      </w:r>
    </w:p>
    <w:p>
      <w:pPr>
        <w:spacing w:after="0" w:line="120" w:lineRule="exact"/>
        <w:rPr>
          <w:rFonts w:ascii="Arial" w:cs="Arial" w:eastAsia="Arial" w:hAnsi="Arial"/>
          <w:sz w:val="18"/>
          <w:szCs w:val="18"/>
          <w:i w:val="1"/>
          <w:iCs w:val="1"/>
          <w:color w:val="auto"/>
        </w:rPr>
      </w:pPr>
    </w:p>
    <w:p>
      <w:pPr>
        <w:ind w:left="1620" w:hanging="538"/>
        <w:spacing w:after="0"/>
        <w:tabs>
          <w:tab w:leader="none" w:pos="1620" w:val="left"/>
        </w:tabs>
        <w:numPr>
          <w:ilvl w:val="0"/>
          <w:numId w:val="135"/>
        </w:numPr>
        <w:rPr>
          <w:rFonts w:ascii="Arial" w:cs="Arial" w:eastAsia="Arial" w:hAnsi="Arial"/>
          <w:sz w:val="18"/>
          <w:szCs w:val="18"/>
          <w:i w:val="1"/>
          <w:iCs w:val="1"/>
          <w:color w:val="auto"/>
        </w:rPr>
      </w:pPr>
      <w:r>
        <w:rPr>
          <w:rFonts w:ascii="Arial" w:cs="Arial" w:eastAsia="Arial" w:hAnsi="Arial"/>
          <w:sz w:val="18"/>
          <w:szCs w:val="18"/>
          <w:i w:val="1"/>
          <w:iCs w:val="1"/>
          <w:color w:val="auto"/>
        </w:rPr>
        <w:t>Licensing of intellectual property</w:t>
      </w:r>
    </w:p>
    <w:p>
      <w:pPr>
        <w:spacing w:after="0" w:line="162" w:lineRule="exact"/>
        <w:rPr>
          <w:rFonts w:ascii="Arial" w:cs="Arial" w:eastAsia="Arial" w:hAnsi="Arial"/>
          <w:sz w:val="18"/>
          <w:szCs w:val="18"/>
          <w:i w:val="1"/>
          <w:iCs w:val="1"/>
          <w:color w:val="auto"/>
        </w:rPr>
      </w:pPr>
    </w:p>
    <w:p>
      <w:pPr>
        <w:jc w:val="both"/>
        <w:ind w:left="1640"/>
        <w:spacing w:after="0" w:line="236" w:lineRule="auto"/>
        <w:rPr>
          <w:rFonts w:ascii="Arial" w:cs="Arial" w:eastAsia="Arial" w:hAnsi="Arial"/>
          <w:sz w:val="18"/>
          <w:szCs w:val="18"/>
          <w:i w:val="1"/>
          <w:iCs w:val="1"/>
          <w:color w:val="auto"/>
        </w:rPr>
      </w:pPr>
      <w:r>
        <w:rPr>
          <w:rFonts w:ascii="Arial" w:cs="Arial" w:eastAsia="Arial" w:hAnsi="Arial"/>
          <w:sz w:val="18"/>
          <w:szCs w:val="18"/>
          <w:color w:val="auto"/>
        </w:rPr>
        <w:t>The Group recognises revenue from the sales and licensing of its intellectual property when the following fundamental criteria are met: (i) persuasive evidence of an arrangement exists, (ii) delivery has occurred, (iii) the sales price is fixed or determinable, and (iv) collection of resulting receivables is reasonably assured. Revenue from upfront payments for the licensing of the Group’s patents is recognised when the arrangement is mutually signed, if there is no future delivery or future performance obligation and all other criteria are met. Revenue from guaranteed royalty streams are recognised when paid, or collection is reasonably assured and all other criteria are met. When patent licensing arrangements include royalties for future sales of the licensees’ products using the Group’s licensed patented technology, revenue is recognised when the royalty report is received from the licensee, at which time the sales price is determinable, provided that all other criteria have been met.</w:t>
      </w:r>
    </w:p>
    <w:p>
      <w:pPr>
        <w:spacing w:after="0" w:line="121" w:lineRule="exact"/>
        <w:rPr>
          <w:rFonts w:ascii="Arial" w:cs="Arial" w:eastAsia="Arial" w:hAnsi="Arial"/>
          <w:sz w:val="18"/>
          <w:szCs w:val="18"/>
          <w:i w:val="1"/>
          <w:iCs w:val="1"/>
          <w:color w:val="auto"/>
        </w:rPr>
      </w:pPr>
    </w:p>
    <w:p>
      <w:pPr>
        <w:ind w:left="1620" w:hanging="538"/>
        <w:spacing w:after="0"/>
        <w:tabs>
          <w:tab w:leader="none" w:pos="1620" w:val="left"/>
        </w:tabs>
        <w:numPr>
          <w:ilvl w:val="0"/>
          <w:numId w:val="135"/>
        </w:numPr>
        <w:rPr>
          <w:rFonts w:ascii="Arial" w:cs="Arial" w:eastAsia="Arial" w:hAnsi="Arial"/>
          <w:sz w:val="18"/>
          <w:szCs w:val="18"/>
          <w:i w:val="1"/>
          <w:iCs w:val="1"/>
          <w:color w:val="auto"/>
        </w:rPr>
      </w:pPr>
      <w:r>
        <w:rPr>
          <w:rFonts w:ascii="Arial" w:cs="Arial" w:eastAsia="Arial" w:hAnsi="Arial"/>
          <w:sz w:val="18"/>
          <w:szCs w:val="18"/>
          <w:i w:val="1"/>
          <w:iCs w:val="1"/>
          <w:color w:val="auto"/>
        </w:rPr>
        <w:t>Revenue from development agreement</w:t>
      </w:r>
    </w:p>
    <w:p>
      <w:pPr>
        <w:spacing w:after="0" w:line="148" w:lineRule="exact"/>
        <w:rPr>
          <w:rFonts w:ascii="Arial" w:cs="Arial" w:eastAsia="Arial" w:hAnsi="Arial"/>
          <w:sz w:val="18"/>
          <w:szCs w:val="18"/>
          <w:i w:val="1"/>
          <w:iCs w:val="1"/>
          <w:color w:val="auto"/>
        </w:rPr>
      </w:pPr>
    </w:p>
    <w:p>
      <w:pPr>
        <w:jc w:val="both"/>
        <w:ind w:left="1640"/>
        <w:spacing w:after="0" w:line="238" w:lineRule="auto"/>
        <w:rPr>
          <w:rFonts w:ascii="Arial" w:cs="Arial" w:eastAsia="Arial" w:hAnsi="Arial"/>
          <w:sz w:val="18"/>
          <w:szCs w:val="18"/>
          <w:i w:val="1"/>
          <w:iCs w:val="1"/>
          <w:color w:val="auto"/>
        </w:rPr>
      </w:pPr>
      <w:r>
        <w:rPr>
          <w:rFonts w:ascii="Arial" w:cs="Arial" w:eastAsia="Arial" w:hAnsi="Arial"/>
          <w:sz w:val="18"/>
          <w:szCs w:val="18"/>
          <w:color w:val="auto"/>
        </w:rPr>
        <w:t>The Group enters into development agreements with some of its customers and recognises revenue from these agreements upon completion and acceptance by the customer of contract deliverables or as services are provided, depending on the terms of the arrangement. Revenue is deferred for any amounts billed or received prior to completion or delivery of services. As the Group retains the intellectual property generated from these development agreements, costs related to these arrangements are included in 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Group accounting</w:t>
      </w:r>
    </w:p>
    <w:p>
      <w:pPr>
        <w:spacing w:after="0" w:line="243" w:lineRule="exact"/>
        <w:rPr>
          <w:sz w:val="20"/>
          <w:szCs w:val="20"/>
          <w:color w:val="auto"/>
        </w:rPr>
      </w:pPr>
    </w:p>
    <w:p>
      <w:pPr>
        <w:ind w:left="1620" w:hanging="538"/>
        <w:spacing w:after="0"/>
        <w:tabs>
          <w:tab w:leader="none" w:pos="1620" w:val="left"/>
        </w:tabs>
        <w:numPr>
          <w:ilvl w:val="0"/>
          <w:numId w:val="137"/>
        </w:numPr>
        <w:rPr>
          <w:rFonts w:ascii="Arial" w:cs="Arial" w:eastAsia="Arial" w:hAnsi="Arial"/>
          <w:sz w:val="18"/>
          <w:szCs w:val="18"/>
          <w:i w:val="1"/>
          <w:iCs w:val="1"/>
          <w:color w:val="auto"/>
        </w:rPr>
      </w:pPr>
      <w:r>
        <w:rPr>
          <w:rFonts w:ascii="Arial" w:cs="Arial" w:eastAsia="Arial" w:hAnsi="Arial"/>
          <w:sz w:val="18"/>
          <w:szCs w:val="18"/>
          <w:i w:val="1"/>
          <w:iCs w:val="1"/>
          <w:color w:val="auto"/>
        </w:rPr>
        <w:t>Subsidiaries</w:t>
      </w:r>
    </w:p>
    <w:p>
      <w:pPr>
        <w:spacing w:after="0" w:line="238"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37"/>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w:t>
      </w:r>
    </w:p>
    <w:p>
      <w:pPr>
        <w:spacing w:after="0" w:line="229" w:lineRule="exact"/>
        <w:rPr>
          <w:rFonts w:ascii="Arial" w:cs="Arial" w:eastAsia="Arial" w:hAnsi="Arial"/>
          <w:sz w:val="18"/>
          <w:szCs w:val="18"/>
          <w:i w:val="1"/>
          <w:iCs w:val="1"/>
          <w:color w:val="auto"/>
        </w:rPr>
      </w:pPr>
    </w:p>
    <w:p>
      <w:pPr>
        <w:jc w:val="both"/>
        <w:ind w:left="208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Subsidiaries are all entities (including structured entities) over which the Group has control. The Group controls an entity when the Group is exposed to, or has rights to, variable returns from its involvement with the entity and has the ability to affect those returns through its power over the entity. Subsidiaries are fully consolidated from the date on which control is transferred to the Group. They are deconsolidated from the date on that control ceases.</w:t>
      </w:r>
    </w:p>
    <w:p>
      <w:pPr>
        <w:spacing w:after="0" w:line="201" w:lineRule="exact"/>
        <w:rPr>
          <w:rFonts w:ascii="Arial" w:cs="Arial" w:eastAsia="Arial" w:hAnsi="Arial"/>
          <w:sz w:val="18"/>
          <w:szCs w:val="18"/>
          <w:i w:val="1"/>
          <w:iCs w:val="1"/>
          <w:color w:val="auto"/>
        </w:rPr>
      </w:pPr>
    </w:p>
    <w:p>
      <w:pPr>
        <w:jc w:val="both"/>
        <w:ind w:left="208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In preparing the consolidated financial statements, transactions, balances and unrealised gains on transactions between group entities are eliminated. Unrealised losses are also eliminated unless the transaction provides evidence of an impairment indicator of the transferred asset. Accounting policies of subsidiaries have been changed where necessary to ensure consistency with the policies adopted by the Group.</w:t>
      </w:r>
    </w:p>
    <w:p>
      <w:pPr>
        <w:spacing w:after="0" w:line="201" w:lineRule="exact"/>
        <w:rPr>
          <w:rFonts w:ascii="Arial" w:cs="Arial" w:eastAsia="Arial" w:hAnsi="Arial"/>
          <w:sz w:val="18"/>
          <w:szCs w:val="18"/>
          <w:i w:val="1"/>
          <w:iCs w:val="1"/>
          <w:color w:val="auto"/>
        </w:rPr>
      </w:pPr>
    </w:p>
    <w:p>
      <w:pPr>
        <w:jc w:val="both"/>
        <w:ind w:left="2080"/>
        <w:spacing w:after="0" w:line="238" w:lineRule="auto"/>
        <w:rPr>
          <w:rFonts w:ascii="Arial" w:cs="Arial" w:eastAsia="Arial" w:hAnsi="Arial"/>
          <w:sz w:val="18"/>
          <w:szCs w:val="18"/>
          <w:i w:val="1"/>
          <w:iCs w:val="1"/>
          <w:color w:val="auto"/>
        </w:rPr>
      </w:pPr>
      <w:r>
        <w:rPr>
          <w:rFonts w:ascii="Arial" w:cs="Arial" w:eastAsia="Arial" w:hAnsi="Arial"/>
          <w:sz w:val="18"/>
          <w:szCs w:val="18"/>
          <w:color w:val="auto"/>
        </w:rPr>
        <w:t>Non-controlling interests comprise the portion of a subsidiary’s net results of operations and its net assets, which is attributable to the interests that are not owned directly or indirectly by the equity holders of the Company. They are shown separately in the consolidated statement of comprehensive income, statement of changes in equity, and balance sheet. Total comprehensive income is attributed to the non-controlling interests based on their respective interests in a subsidiary, even if this results in the non-controlling interests having a deficit balance.</w:t>
      </w:r>
    </w:p>
    <w:p>
      <w:pPr>
        <w:spacing w:after="0" w:line="211"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37"/>
        </w:numPr>
        <w:rPr>
          <w:rFonts w:ascii="Arial" w:cs="Arial" w:eastAsia="Arial" w:hAnsi="Arial"/>
          <w:sz w:val="18"/>
          <w:szCs w:val="18"/>
          <w:i w:val="1"/>
          <w:iCs w:val="1"/>
          <w:color w:val="auto"/>
        </w:rPr>
      </w:pPr>
      <w:r>
        <w:rPr>
          <w:rFonts w:ascii="Arial" w:cs="Arial" w:eastAsia="Arial" w:hAnsi="Arial"/>
          <w:sz w:val="18"/>
          <w:szCs w:val="18"/>
          <w:i w:val="1"/>
          <w:iCs w:val="1"/>
          <w:color w:val="auto"/>
        </w:rPr>
        <w:t>Acquisitions</w:t>
      </w:r>
    </w:p>
    <w:p>
      <w:pPr>
        <w:spacing w:after="0" w:line="229" w:lineRule="exact"/>
        <w:rPr>
          <w:rFonts w:ascii="Arial" w:cs="Arial" w:eastAsia="Arial" w:hAnsi="Arial"/>
          <w:sz w:val="18"/>
          <w:szCs w:val="18"/>
          <w:i w:val="1"/>
          <w:iCs w:val="1"/>
          <w:color w:val="auto"/>
        </w:rPr>
      </w:pPr>
    </w:p>
    <w:p>
      <w:pPr>
        <w:jc w:val="both"/>
        <w:ind w:left="2080"/>
        <w:spacing w:after="0" w:line="236" w:lineRule="auto"/>
        <w:rPr>
          <w:rFonts w:ascii="Arial" w:cs="Arial" w:eastAsia="Arial" w:hAnsi="Arial"/>
          <w:sz w:val="18"/>
          <w:szCs w:val="18"/>
          <w:i w:val="1"/>
          <w:iCs w:val="1"/>
          <w:color w:val="auto"/>
        </w:rPr>
      </w:pPr>
      <w:r>
        <w:rPr>
          <w:rFonts w:ascii="Arial" w:cs="Arial" w:eastAsia="Arial" w:hAnsi="Arial"/>
          <w:sz w:val="18"/>
          <w:szCs w:val="18"/>
          <w:color w:val="auto"/>
        </w:rPr>
        <w:t>The acquisition method of accounting is used to account for business combinations entered into by the Group. The consideration transferred for the acquisition of a subsidiary or business comprises the fair value of the assets transferred, the liabilities incurred and the equity interests issued by the Group. The consideration transferred also includes any contingent consideration arrangement and any pre-existing equity interest in the subsidiary measured at their fair values at the acquisition date. Acquisition-related costs are expensed as incurred. Identifiable assets acquired and liabilities and contingent liabilities assumed in a business combination are, with limited exceptions, measured initially at their fair values at the acquisition date. On an acquisition-by-acquisition basis, the Group recognises any non-controlling interest in the acquiree at the date of acquisition either at fair value or at the non-controlling interest’s proportionate share of the acquiree’s identifiable net assets.</w:t>
      </w:r>
    </w:p>
    <w:p>
      <w:pPr>
        <w:spacing w:after="0" w:line="207" w:lineRule="exact"/>
        <w:rPr>
          <w:rFonts w:ascii="Arial" w:cs="Arial" w:eastAsia="Arial" w:hAnsi="Arial"/>
          <w:sz w:val="18"/>
          <w:szCs w:val="18"/>
          <w:i w:val="1"/>
          <w:iCs w:val="1"/>
          <w:color w:val="auto"/>
        </w:rPr>
      </w:pPr>
    </w:p>
    <w:p>
      <w:pPr>
        <w:jc w:val="both"/>
        <w:ind w:left="208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The excess of (a) the consideration transferred, the amount of any non-controlling interest in the acquiree and the acquisition-date fair value of any previous equity interest in the acquiree over the (b) fair value of the identifiable net assets acquired is recorded as goodwill. Please refer to Note 2.5(a) for the subsequent accounting policy on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 xml:space="preserve">Group accounting </w:t>
      </w:r>
      <w:r>
        <w:rPr>
          <w:rFonts w:ascii="Arial" w:cs="Arial" w:eastAsia="Arial" w:hAnsi="Arial"/>
          <w:sz w:val="17"/>
          <w:szCs w:val="17"/>
          <w:color w:val="auto"/>
        </w:rPr>
        <w:t>(continued)</w:t>
      </w:r>
    </w:p>
    <w:p>
      <w:pPr>
        <w:spacing w:after="0" w:line="148" w:lineRule="exact"/>
        <w:rPr>
          <w:sz w:val="20"/>
          <w:szCs w:val="20"/>
          <w:color w:val="auto"/>
        </w:rPr>
      </w:pPr>
    </w:p>
    <w:p>
      <w:pPr>
        <w:ind w:left="1520" w:hanging="546"/>
        <w:spacing w:after="0"/>
        <w:tabs>
          <w:tab w:leader="none" w:pos="1520" w:val="left"/>
        </w:tabs>
        <w:numPr>
          <w:ilvl w:val="0"/>
          <w:numId w:val="1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Subsidiaries </w:t>
      </w:r>
      <w:r>
        <w:rPr>
          <w:rFonts w:ascii="Arial" w:cs="Arial" w:eastAsia="Arial" w:hAnsi="Arial"/>
          <w:sz w:val="18"/>
          <w:szCs w:val="18"/>
          <w:color w:val="auto"/>
        </w:rPr>
        <w:t>(continued)</w:t>
      </w:r>
    </w:p>
    <w:p>
      <w:pPr>
        <w:spacing w:after="0" w:line="144" w:lineRule="exact"/>
        <w:rPr>
          <w:rFonts w:ascii="Arial" w:cs="Arial" w:eastAsia="Arial" w:hAnsi="Arial"/>
          <w:sz w:val="18"/>
          <w:szCs w:val="18"/>
          <w:i w:val="1"/>
          <w:iCs w:val="1"/>
          <w:color w:val="auto"/>
        </w:rPr>
      </w:pPr>
    </w:p>
    <w:p>
      <w:pPr>
        <w:ind w:left="2060" w:hanging="425"/>
        <w:spacing w:after="0"/>
        <w:tabs>
          <w:tab w:leader="none" w:pos="2060" w:val="left"/>
        </w:tabs>
        <w:numPr>
          <w:ilvl w:val="2"/>
          <w:numId w:val="139"/>
        </w:numPr>
        <w:rPr>
          <w:rFonts w:ascii="Arial" w:cs="Arial" w:eastAsia="Arial" w:hAnsi="Arial"/>
          <w:sz w:val="18"/>
          <w:szCs w:val="18"/>
          <w:i w:val="1"/>
          <w:iCs w:val="1"/>
          <w:color w:val="auto"/>
        </w:rPr>
      </w:pPr>
      <w:r>
        <w:rPr>
          <w:rFonts w:ascii="Arial" w:cs="Arial" w:eastAsia="Arial" w:hAnsi="Arial"/>
          <w:sz w:val="18"/>
          <w:szCs w:val="18"/>
          <w:i w:val="1"/>
          <w:iCs w:val="1"/>
          <w:color w:val="auto"/>
        </w:rPr>
        <w:t>Disposals</w:t>
      </w:r>
    </w:p>
    <w:p>
      <w:pPr>
        <w:spacing w:after="0" w:line="229" w:lineRule="exact"/>
        <w:rPr>
          <w:rFonts w:ascii="Arial" w:cs="Arial" w:eastAsia="Arial" w:hAnsi="Arial"/>
          <w:sz w:val="18"/>
          <w:szCs w:val="18"/>
          <w:i w:val="1"/>
          <w:iCs w:val="1"/>
          <w:color w:val="auto"/>
        </w:rPr>
      </w:pPr>
    </w:p>
    <w:p>
      <w:pPr>
        <w:jc w:val="both"/>
        <w:ind w:left="208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When a change in the Group’s ownership interest in a subsidiary results in a loss of control over the subsidiary, the assets and liabilities of the subsidiary including any goodwill are derecognised. Amounts previously recognised in other comprehensive income in respect of that entity are also reclassified to profit or loss or transferred directly to retained earnings if required by a specific Standard.</w:t>
      </w:r>
    </w:p>
    <w:p>
      <w:pPr>
        <w:spacing w:after="0" w:line="201" w:lineRule="exact"/>
        <w:rPr>
          <w:rFonts w:ascii="Arial" w:cs="Arial" w:eastAsia="Arial" w:hAnsi="Arial"/>
          <w:sz w:val="18"/>
          <w:szCs w:val="18"/>
          <w:i w:val="1"/>
          <w:iCs w:val="1"/>
          <w:color w:val="auto"/>
        </w:rPr>
      </w:pPr>
    </w:p>
    <w:p>
      <w:pPr>
        <w:ind w:left="208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Any retained equity interest in the entity is re-measured at fair value. The difference between the carrying amount of the retained interest at the date when control is lost and its fair value is recognised in profit or loss.</w:t>
      </w:r>
    </w:p>
    <w:p>
      <w:pPr>
        <w:spacing w:after="0" w:line="196" w:lineRule="exact"/>
        <w:rPr>
          <w:rFonts w:ascii="Arial" w:cs="Arial" w:eastAsia="Arial" w:hAnsi="Arial"/>
          <w:sz w:val="18"/>
          <w:szCs w:val="18"/>
          <w:i w:val="1"/>
          <w:iCs w:val="1"/>
          <w:color w:val="auto"/>
        </w:rPr>
      </w:pPr>
    </w:p>
    <w:p>
      <w:pPr>
        <w:ind w:left="2080"/>
        <w:spacing w:after="0"/>
        <w:rPr>
          <w:rFonts w:ascii="Arial" w:cs="Arial" w:eastAsia="Arial" w:hAnsi="Arial"/>
          <w:sz w:val="18"/>
          <w:szCs w:val="18"/>
          <w:i w:val="1"/>
          <w:iCs w:val="1"/>
          <w:color w:val="auto"/>
        </w:rPr>
      </w:pPr>
      <w:r>
        <w:rPr>
          <w:rFonts w:ascii="Arial" w:cs="Arial" w:eastAsia="Arial" w:hAnsi="Arial"/>
          <w:sz w:val="18"/>
          <w:szCs w:val="18"/>
          <w:color w:val="auto"/>
        </w:rPr>
        <w:t>Please refer to Note 2.7 for the subsequent accounting policy on investments in subsidiaries.</w:t>
      </w:r>
    </w:p>
    <w:p>
      <w:pPr>
        <w:spacing w:after="0" w:line="220" w:lineRule="exact"/>
        <w:rPr>
          <w:rFonts w:ascii="Arial" w:cs="Arial" w:eastAsia="Arial" w:hAnsi="Arial"/>
          <w:sz w:val="18"/>
          <w:szCs w:val="18"/>
          <w:i w:val="1"/>
          <w:iCs w:val="1"/>
          <w:color w:val="auto"/>
        </w:rPr>
      </w:pPr>
    </w:p>
    <w:p>
      <w:pPr>
        <w:ind w:left="1620" w:hanging="538"/>
        <w:spacing w:after="0"/>
        <w:tabs>
          <w:tab w:leader="none" w:pos="1620" w:val="left"/>
        </w:tabs>
        <w:numPr>
          <w:ilvl w:val="1"/>
          <w:numId w:val="139"/>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Transactions with non-controlling interests</w:t>
      </w:r>
    </w:p>
    <w:p>
      <w:pPr>
        <w:spacing w:after="0" w:line="229" w:lineRule="exact"/>
        <w:rPr>
          <w:rFonts w:ascii="Arial" w:cs="Arial" w:eastAsia="Arial" w:hAnsi="Arial"/>
          <w:sz w:val="18"/>
          <w:szCs w:val="18"/>
          <w:i w:val="1"/>
          <w:iCs w:val="1"/>
          <w:color w:val="auto"/>
        </w:rPr>
      </w:pPr>
    </w:p>
    <w:p>
      <w:pPr>
        <w:jc w:val="both"/>
        <w:ind w:left="164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Changes in the Group’s ownership interest in a subsidiary that do not result in a loss of control over the subsidiary are accounted for as transactions with equity owners of the Company. Any difference between the change in the carrying amounts of the non-controlling interest and the fair value of the consideration paid or received is recognised within equity attributable to the equity holders of the Company.</w:t>
      </w:r>
    </w:p>
    <w:p>
      <w:pPr>
        <w:spacing w:after="0" w:line="207"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Property, plant and equipment</w:t>
      </w:r>
    </w:p>
    <w:p>
      <w:pPr>
        <w:spacing w:after="0" w:line="243" w:lineRule="exact"/>
        <w:rPr>
          <w:sz w:val="20"/>
          <w:szCs w:val="20"/>
          <w:color w:val="auto"/>
        </w:rPr>
      </w:pPr>
    </w:p>
    <w:p>
      <w:pPr>
        <w:ind w:left="1620" w:hanging="538"/>
        <w:spacing w:after="0"/>
        <w:tabs>
          <w:tab w:leader="none" w:pos="1620" w:val="left"/>
        </w:tabs>
        <w:numPr>
          <w:ilvl w:val="0"/>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Measurement</w:t>
      </w:r>
    </w:p>
    <w:p>
      <w:pPr>
        <w:spacing w:after="0" w:line="238"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Land and buildings</w:t>
      </w:r>
    </w:p>
    <w:p>
      <w:pPr>
        <w:spacing w:after="0" w:line="229" w:lineRule="exact"/>
        <w:rPr>
          <w:rFonts w:ascii="Arial" w:cs="Arial" w:eastAsia="Arial" w:hAnsi="Arial"/>
          <w:sz w:val="18"/>
          <w:szCs w:val="18"/>
          <w:i w:val="1"/>
          <w:iCs w:val="1"/>
          <w:color w:val="auto"/>
        </w:rPr>
      </w:pPr>
    </w:p>
    <w:p>
      <w:pPr>
        <w:ind w:left="208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Land and buildings are initially recognised at cost. Buildings are subsequently carried at the revalued amounts less accumulated depreciation and accumulated impairment losses.</w:t>
      </w:r>
    </w:p>
    <w:p>
      <w:pPr>
        <w:spacing w:after="0" w:line="205"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Other property, plant and equipment</w:t>
      </w:r>
    </w:p>
    <w:p>
      <w:pPr>
        <w:spacing w:after="0" w:line="229" w:lineRule="exact"/>
        <w:rPr>
          <w:rFonts w:ascii="Arial" w:cs="Arial" w:eastAsia="Arial" w:hAnsi="Arial"/>
          <w:sz w:val="18"/>
          <w:szCs w:val="18"/>
          <w:i w:val="1"/>
          <w:iCs w:val="1"/>
          <w:color w:val="auto"/>
        </w:rPr>
      </w:pPr>
    </w:p>
    <w:p>
      <w:pPr>
        <w:ind w:left="208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All other items of property, plant and equipment are initially recognised at cost and subsequently carried at cost less accumulated depreciation and accumulated 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(continued)</w:t>
      </w:r>
    </w:p>
    <w:p>
      <w:pPr>
        <w:spacing w:after="0" w:line="148" w:lineRule="exact"/>
        <w:rPr>
          <w:sz w:val="20"/>
          <w:szCs w:val="20"/>
          <w:color w:val="auto"/>
        </w:rPr>
      </w:pPr>
    </w:p>
    <w:p>
      <w:pPr>
        <w:ind w:left="1620" w:hanging="538"/>
        <w:spacing w:after="0"/>
        <w:tabs>
          <w:tab w:leader="none" w:pos="1620" w:val="left"/>
        </w:tabs>
        <w:numPr>
          <w:ilvl w:val="0"/>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Measurement </w:t>
      </w:r>
      <w:r>
        <w:rPr>
          <w:rFonts w:ascii="Arial" w:cs="Arial" w:eastAsia="Arial" w:hAnsi="Arial"/>
          <w:sz w:val="18"/>
          <w:szCs w:val="18"/>
          <w:color w:val="auto"/>
        </w:rPr>
        <w:t>(continued)</w:t>
      </w:r>
    </w:p>
    <w:p>
      <w:pPr>
        <w:spacing w:after="0" w:line="144"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Components of costs</w:t>
      </w:r>
    </w:p>
    <w:p>
      <w:pPr>
        <w:spacing w:after="0" w:line="229" w:lineRule="exact"/>
        <w:rPr>
          <w:rFonts w:ascii="Arial" w:cs="Arial" w:eastAsia="Arial" w:hAnsi="Arial"/>
          <w:sz w:val="18"/>
          <w:szCs w:val="18"/>
          <w:i w:val="1"/>
          <w:iCs w:val="1"/>
          <w:color w:val="auto"/>
        </w:rPr>
      </w:pPr>
    </w:p>
    <w:p>
      <w:pPr>
        <w:jc w:val="both"/>
        <w:ind w:left="208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The cost of an item of property, plant and equipment initially recognised includes its purchase price and any cost that is directly attributable to bringing the asset to the location and condition necessary for it to be capable of operating in the manner intended by management. Cost also includes borrowing costs (refer to Note 2.6 on borrowing costs).</w:t>
      </w:r>
    </w:p>
    <w:p>
      <w:pPr>
        <w:spacing w:after="0" w:line="210" w:lineRule="exact"/>
        <w:rPr>
          <w:rFonts w:ascii="Arial" w:cs="Arial" w:eastAsia="Arial" w:hAnsi="Arial"/>
          <w:sz w:val="18"/>
          <w:szCs w:val="18"/>
          <w:i w:val="1"/>
          <w:iCs w:val="1"/>
          <w:color w:val="auto"/>
        </w:rPr>
      </w:pPr>
    </w:p>
    <w:p>
      <w:pPr>
        <w:ind w:left="1620" w:hanging="538"/>
        <w:spacing w:after="0"/>
        <w:tabs>
          <w:tab w:leader="none" w:pos="1620" w:val="left"/>
        </w:tabs>
        <w:numPr>
          <w:ilvl w:val="0"/>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Depreciation</w:t>
      </w:r>
    </w:p>
    <w:p>
      <w:pPr>
        <w:spacing w:after="0" w:line="229"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Freehold land is not depreciated. Depreciation on other items of property, plant and equipment is calculated using the straight-line method to allocate their depreciable amounts over their estimated useful lives as follows:</w:t>
      </w:r>
    </w:p>
    <w:p>
      <w:pPr>
        <w:spacing w:after="0" w:line="220"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Arial" w:cs="Arial" w:eastAsia="Arial" w:hAnsi="Arial"/>
                <w:sz w:val="18"/>
                <w:szCs w:val="18"/>
                <w:color w:val="auto"/>
              </w:rPr>
              <w:t>Main Category</w:t>
            </w:r>
          </w:p>
        </w:tc>
        <w:tc>
          <w:tcPr>
            <w:tcW w:w="3740" w:type="dxa"/>
            <w:vAlign w:val="bottom"/>
            <w:gridSpan w:val="3"/>
          </w:tcPr>
          <w:p>
            <w:pPr>
              <w:jc w:val="right"/>
              <w:ind w:right="60"/>
              <w:spacing w:after="0"/>
              <w:rPr>
                <w:sz w:val="20"/>
                <w:szCs w:val="20"/>
                <w:color w:val="auto"/>
              </w:rPr>
            </w:pPr>
            <w:r>
              <w:rPr>
                <w:rFonts w:ascii="Arial" w:cs="Arial" w:eastAsia="Arial" w:hAnsi="Arial"/>
                <w:sz w:val="18"/>
                <w:szCs w:val="18"/>
                <w:color w:val="auto"/>
              </w:rPr>
              <w:t>Useful lives</w:t>
            </w:r>
          </w:p>
        </w:tc>
      </w:tr>
      <w:tr>
        <w:trPr>
          <w:trHeight w:val="182"/>
        </w:trPr>
        <w:tc>
          <w:tcPr>
            <w:tcW w:w="11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Land</w:t>
            </w:r>
          </w:p>
        </w:tc>
        <w:tc>
          <w:tcPr>
            <w:tcW w:w="46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8-40 years</w:t>
            </w:r>
          </w:p>
        </w:tc>
        <w:tc>
          <w:tcPr>
            <w:tcW w:w="80" w:type="dxa"/>
            <w:vAlign w:val="bottom"/>
          </w:tcPr>
          <w:p>
            <w:pPr>
              <w:spacing w:after="0"/>
              <w:rPr>
                <w:sz w:val="15"/>
                <w:szCs w:val="15"/>
                <w:color w:val="auto"/>
              </w:rPr>
            </w:pPr>
          </w:p>
        </w:tc>
      </w:tr>
      <w:tr>
        <w:trPr>
          <w:trHeight w:val="203"/>
        </w:trPr>
        <w:tc>
          <w:tcPr>
            <w:tcW w:w="5840" w:type="dxa"/>
            <w:vAlign w:val="bottom"/>
            <w:gridSpan w:val="2"/>
          </w:tcPr>
          <w:p>
            <w:pPr>
              <w:spacing w:after="0" w:line="202" w:lineRule="exact"/>
              <w:rPr>
                <w:sz w:val="20"/>
                <w:szCs w:val="20"/>
                <w:color w:val="auto"/>
              </w:rPr>
            </w:pPr>
            <w:r>
              <w:rPr>
                <w:rFonts w:ascii="Arial" w:cs="Arial" w:eastAsia="Arial" w:hAnsi="Arial"/>
                <w:sz w:val="18"/>
                <w:szCs w:val="18"/>
                <w:color w:val="auto"/>
              </w:rPr>
              <w:t>Buildings and leasehold improvements</w:t>
            </w:r>
          </w:p>
        </w:tc>
        <w:tc>
          <w:tcPr>
            <w:tcW w:w="276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15-40 years</w:t>
            </w:r>
          </w:p>
        </w:tc>
      </w:tr>
      <w:tr>
        <w:trPr>
          <w:trHeight w:val="217"/>
        </w:trPr>
        <w:tc>
          <w:tcPr>
            <w:tcW w:w="58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27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3-10 years</w:t>
            </w:r>
          </w:p>
        </w:tc>
      </w:tr>
    </w:tbl>
    <w:p>
      <w:pPr>
        <w:spacing w:after="0" w:line="202" w:lineRule="exact"/>
        <w:rPr>
          <w:sz w:val="20"/>
          <w:szCs w:val="20"/>
          <w:color w:val="auto"/>
        </w:rPr>
      </w:pPr>
    </w:p>
    <w:p>
      <w:pPr>
        <w:jc w:val="both"/>
        <w:ind w:left="1640"/>
        <w:spacing w:after="0"/>
        <w:rPr>
          <w:sz w:val="20"/>
          <w:szCs w:val="20"/>
          <w:color w:val="auto"/>
        </w:rPr>
      </w:pPr>
      <w:r>
        <w:rPr>
          <w:rFonts w:ascii="Arial" w:cs="Arial" w:eastAsia="Arial" w:hAnsi="Arial"/>
          <w:sz w:val="18"/>
          <w:szCs w:val="18"/>
          <w:color w:val="auto"/>
        </w:rPr>
        <w:t>The residual values, estimated useful lives and depreciation method of property, plant and equipment are reviewed, and adjusted as appropriate, at each balance sheet date. The effects of any revision are recognised in profit or loss when the changes arise.</w:t>
      </w:r>
    </w:p>
    <w:p>
      <w:pPr>
        <w:spacing w:after="0" w:line="230" w:lineRule="exact"/>
        <w:rPr>
          <w:sz w:val="20"/>
          <w:szCs w:val="20"/>
          <w:color w:val="auto"/>
        </w:rPr>
      </w:pPr>
    </w:p>
    <w:p>
      <w:pPr>
        <w:ind w:left="1620" w:hanging="538"/>
        <w:spacing w:after="0"/>
        <w:tabs>
          <w:tab w:leader="none" w:pos="1620" w:val="left"/>
        </w:tabs>
        <w:numPr>
          <w:ilvl w:val="0"/>
          <w:numId w:val="143"/>
        </w:numPr>
        <w:rPr>
          <w:rFonts w:ascii="Arial" w:cs="Arial" w:eastAsia="Arial" w:hAnsi="Arial"/>
          <w:sz w:val="18"/>
          <w:szCs w:val="18"/>
          <w:i w:val="1"/>
          <w:iCs w:val="1"/>
          <w:color w:val="auto"/>
        </w:rPr>
      </w:pPr>
      <w:r>
        <w:rPr>
          <w:rFonts w:ascii="Arial" w:cs="Arial" w:eastAsia="Arial" w:hAnsi="Arial"/>
          <w:sz w:val="18"/>
          <w:szCs w:val="18"/>
          <w:color w:val="auto"/>
        </w:rPr>
        <w:t>Subsequent expenditure</w:t>
      </w:r>
    </w:p>
    <w:p>
      <w:pPr>
        <w:spacing w:after="0" w:line="211" w:lineRule="exact"/>
        <w:rPr>
          <w:rFonts w:ascii="Arial" w:cs="Arial" w:eastAsia="Arial" w:hAnsi="Arial"/>
          <w:sz w:val="18"/>
          <w:szCs w:val="18"/>
          <w:i w:val="1"/>
          <w:iCs w:val="1"/>
          <w:color w:val="auto"/>
        </w:rPr>
      </w:pPr>
    </w:p>
    <w:p>
      <w:pPr>
        <w:jc w:val="both"/>
        <w:ind w:left="164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Subsequent expenditure relating to property, plant and equipment that has already been recognised is added to the carrying amount of the asset only when it is probable that future economic benefits associated with the item will flow to the entity and the cost of the item can be measured reliably. All other repair and maintenance expenses are recognised in profit or loss when incurred.</w:t>
      </w:r>
    </w:p>
    <w:p>
      <w:pPr>
        <w:spacing w:after="0" w:line="210" w:lineRule="exact"/>
        <w:rPr>
          <w:rFonts w:ascii="Arial" w:cs="Arial" w:eastAsia="Arial" w:hAnsi="Arial"/>
          <w:sz w:val="18"/>
          <w:szCs w:val="18"/>
          <w:i w:val="1"/>
          <w:iCs w:val="1"/>
          <w:color w:val="auto"/>
        </w:rPr>
      </w:pPr>
    </w:p>
    <w:p>
      <w:pPr>
        <w:ind w:left="1620" w:hanging="538"/>
        <w:spacing w:after="0"/>
        <w:tabs>
          <w:tab w:leader="none" w:pos="1620" w:val="left"/>
        </w:tabs>
        <w:numPr>
          <w:ilvl w:val="0"/>
          <w:numId w:val="143"/>
        </w:numPr>
        <w:rPr>
          <w:rFonts w:ascii="Arial" w:cs="Arial" w:eastAsia="Arial" w:hAnsi="Arial"/>
          <w:sz w:val="18"/>
          <w:szCs w:val="18"/>
          <w:i w:val="1"/>
          <w:iCs w:val="1"/>
          <w:color w:val="auto"/>
        </w:rPr>
      </w:pPr>
      <w:r>
        <w:rPr>
          <w:rFonts w:ascii="Arial" w:cs="Arial" w:eastAsia="Arial" w:hAnsi="Arial"/>
          <w:sz w:val="18"/>
          <w:szCs w:val="18"/>
          <w:i w:val="1"/>
          <w:iCs w:val="1"/>
          <w:color w:val="auto"/>
        </w:rPr>
        <w:t>Disposal</w:t>
      </w:r>
    </w:p>
    <w:p>
      <w:pPr>
        <w:spacing w:after="0" w:line="229"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On disposal of an item of property, plant and equipment, the difference between the disposal proceeds and its carrying amount is recognised in profit or loss within “other gains and (losses)”.</w:t>
      </w:r>
    </w:p>
    <w:p>
      <w:pPr>
        <w:spacing w:after="0" w:line="202"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b w:val="1"/>
          <w:bCs w:val="1"/>
          <w:color w:val="auto"/>
        </w:rPr>
        <w:t>Intangible assets</w:t>
      </w:r>
    </w:p>
    <w:p>
      <w:pPr>
        <w:spacing w:after="0" w:line="243" w:lineRule="exact"/>
        <w:rPr>
          <w:sz w:val="20"/>
          <w:szCs w:val="20"/>
          <w:color w:val="auto"/>
        </w:rPr>
      </w:pPr>
    </w:p>
    <w:p>
      <w:pPr>
        <w:ind w:left="1620" w:hanging="538"/>
        <w:spacing w:after="0"/>
        <w:tabs>
          <w:tab w:leader="none" w:pos="1620" w:val="left"/>
        </w:tabs>
        <w:numPr>
          <w:ilvl w:val="0"/>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Goodwill</w:t>
      </w:r>
    </w:p>
    <w:p>
      <w:pPr>
        <w:spacing w:after="0" w:line="229"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Goodwill on acquisitions of subsidiaries and businesses, represents the excess of (i) the sum of the consideration transferred, the amount of any non-controlling interest in the acquiree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b w:val="1"/>
          <w:bCs w:val="1"/>
          <w:color w:val="auto"/>
        </w:rPr>
        <w:t xml:space="preserve">Intangible assets </w:t>
      </w:r>
      <w:r>
        <w:rPr>
          <w:rFonts w:ascii="Arial" w:cs="Arial" w:eastAsia="Arial" w:hAnsi="Arial"/>
          <w:sz w:val="17"/>
          <w:szCs w:val="17"/>
          <w:color w:val="auto"/>
        </w:rPr>
        <w:t>(continued)</w:t>
      </w:r>
    </w:p>
    <w:p>
      <w:pPr>
        <w:spacing w:after="0" w:line="148" w:lineRule="exact"/>
        <w:rPr>
          <w:sz w:val="20"/>
          <w:szCs w:val="20"/>
          <w:color w:val="auto"/>
        </w:rPr>
      </w:pPr>
    </w:p>
    <w:p>
      <w:pPr>
        <w:ind w:left="1620" w:hanging="538"/>
        <w:spacing w:after="0"/>
        <w:tabs>
          <w:tab w:leader="none" w:pos="1620"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(continued)</w:t>
      </w:r>
    </w:p>
    <w:p>
      <w:pPr>
        <w:spacing w:after="0" w:line="162" w:lineRule="exact"/>
        <w:rPr>
          <w:rFonts w:ascii="Arial" w:cs="Arial" w:eastAsia="Arial" w:hAnsi="Arial"/>
          <w:sz w:val="18"/>
          <w:szCs w:val="18"/>
          <w:i w:val="1"/>
          <w:iCs w:val="1"/>
          <w:color w:val="auto"/>
        </w:rPr>
      </w:pPr>
    </w:p>
    <w:p>
      <w:pPr>
        <w:jc w:val="both"/>
        <w:ind w:left="1640"/>
        <w:spacing w:after="0"/>
        <w:rPr>
          <w:rFonts w:ascii="Arial" w:cs="Arial" w:eastAsia="Arial" w:hAnsi="Arial"/>
          <w:sz w:val="18"/>
          <w:szCs w:val="18"/>
          <w:i w:val="1"/>
          <w:iCs w:val="1"/>
          <w:color w:val="auto"/>
        </w:rPr>
      </w:pPr>
      <w:r>
        <w:rPr>
          <w:rFonts w:ascii="Arial" w:cs="Arial" w:eastAsia="Arial" w:hAnsi="Arial"/>
          <w:sz w:val="18"/>
          <w:szCs w:val="18"/>
          <w:color w:val="auto"/>
        </w:rPr>
        <w:t>acquisition-date fair value of any previous equity interest in the acquiree over (ii) the fair value of the identifiable net assets acquired. Goodwill on subsidiaries is recognised separately as intangible assets and carried at cost less accumulated impairment losses.</w:t>
      </w:r>
    </w:p>
    <w:p>
      <w:pPr>
        <w:spacing w:after="0" w:line="202" w:lineRule="exact"/>
        <w:rPr>
          <w:rFonts w:ascii="Arial" w:cs="Arial" w:eastAsia="Arial" w:hAnsi="Arial"/>
          <w:sz w:val="18"/>
          <w:szCs w:val="18"/>
          <w:i w:val="1"/>
          <w:iCs w:val="1"/>
          <w:color w:val="auto"/>
        </w:rPr>
      </w:pPr>
    </w:p>
    <w:p>
      <w:pPr>
        <w:ind w:left="1640"/>
        <w:spacing w:after="0"/>
        <w:rPr>
          <w:rFonts w:ascii="Arial" w:cs="Arial" w:eastAsia="Arial" w:hAnsi="Arial"/>
          <w:sz w:val="18"/>
          <w:szCs w:val="18"/>
          <w:i w:val="1"/>
          <w:iCs w:val="1"/>
          <w:color w:val="auto"/>
        </w:rPr>
      </w:pPr>
      <w:r>
        <w:rPr>
          <w:rFonts w:ascii="Arial" w:cs="Arial" w:eastAsia="Arial" w:hAnsi="Arial"/>
          <w:sz w:val="18"/>
          <w:szCs w:val="18"/>
          <w:color w:val="auto"/>
        </w:rPr>
        <w:t>Gains and losses on the disposal of subsidiaries include the carrying amount of goodwill relating to the entity sold.</w:t>
      </w:r>
    </w:p>
    <w:p>
      <w:pPr>
        <w:spacing w:after="0" w:line="220" w:lineRule="exact"/>
        <w:rPr>
          <w:rFonts w:ascii="Arial" w:cs="Arial" w:eastAsia="Arial" w:hAnsi="Arial"/>
          <w:sz w:val="18"/>
          <w:szCs w:val="18"/>
          <w:i w:val="1"/>
          <w:iCs w:val="1"/>
          <w:color w:val="auto"/>
        </w:rPr>
      </w:pPr>
    </w:p>
    <w:p>
      <w:pPr>
        <w:ind w:left="1620" w:hanging="538"/>
        <w:spacing w:after="0"/>
        <w:tabs>
          <w:tab w:leader="none" w:pos="1620"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Acquired identified finite-lived intangible assets</w:t>
      </w:r>
    </w:p>
    <w:p>
      <w:pPr>
        <w:spacing w:after="0" w:line="229" w:lineRule="exact"/>
        <w:rPr>
          <w:rFonts w:ascii="Arial" w:cs="Arial" w:eastAsia="Arial" w:hAnsi="Arial"/>
          <w:sz w:val="18"/>
          <w:szCs w:val="18"/>
          <w:i w:val="1"/>
          <w:iCs w:val="1"/>
          <w:color w:val="auto"/>
        </w:rPr>
      </w:pPr>
    </w:p>
    <w:p>
      <w:pPr>
        <w:jc w:val="both"/>
        <w:ind w:left="1640"/>
        <w:spacing w:after="0" w:line="238" w:lineRule="auto"/>
        <w:rPr>
          <w:rFonts w:ascii="Arial" w:cs="Arial" w:eastAsia="Arial" w:hAnsi="Arial"/>
          <w:sz w:val="18"/>
          <w:szCs w:val="18"/>
          <w:i w:val="1"/>
          <w:iCs w:val="1"/>
          <w:color w:val="auto"/>
        </w:rPr>
      </w:pPr>
      <w:r>
        <w:rPr>
          <w:rFonts w:ascii="Arial" w:cs="Arial" w:eastAsia="Arial" w:hAnsi="Arial"/>
          <w:sz w:val="18"/>
          <w:szCs w:val="18"/>
          <w:color w:val="auto"/>
        </w:rPr>
        <w:t>Identified finite-lived intangible asset acquired such as developed technology, customer contracts and related relationships, order backlog and trade name, are initially recognised at cost and are subsequently carried at cost less accumulated amortisation and accumulated impairment losses. These costs are amortised to profit or loss using the straight-line method over periods up to 25 years, which is the shorter of their estimated useful lives and periods of contractual rights.</w:t>
      </w:r>
    </w:p>
    <w:p>
      <w:pPr>
        <w:spacing w:after="0" w:line="211" w:lineRule="exact"/>
        <w:rPr>
          <w:rFonts w:ascii="Arial" w:cs="Arial" w:eastAsia="Arial" w:hAnsi="Arial"/>
          <w:sz w:val="18"/>
          <w:szCs w:val="18"/>
          <w:i w:val="1"/>
          <w:iCs w:val="1"/>
          <w:color w:val="auto"/>
        </w:rPr>
      </w:pPr>
    </w:p>
    <w:p>
      <w:pPr>
        <w:ind w:left="1620" w:hanging="538"/>
        <w:spacing w:after="0"/>
        <w:tabs>
          <w:tab w:leader="none" w:pos="1620"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In-process research and development</w:t>
      </w:r>
    </w:p>
    <w:p>
      <w:pPr>
        <w:spacing w:after="0" w:line="229" w:lineRule="exact"/>
        <w:rPr>
          <w:rFonts w:ascii="Arial" w:cs="Arial" w:eastAsia="Arial" w:hAnsi="Arial"/>
          <w:sz w:val="18"/>
          <w:szCs w:val="18"/>
          <w:i w:val="1"/>
          <w:iCs w:val="1"/>
          <w:color w:val="auto"/>
        </w:rPr>
      </w:pPr>
    </w:p>
    <w:p>
      <w:pPr>
        <w:jc w:val="both"/>
        <w:ind w:left="1640"/>
        <w:spacing w:after="0"/>
        <w:rPr>
          <w:rFonts w:ascii="Arial" w:cs="Arial" w:eastAsia="Arial" w:hAnsi="Arial"/>
          <w:sz w:val="18"/>
          <w:szCs w:val="18"/>
          <w:i w:val="1"/>
          <w:iCs w:val="1"/>
          <w:color w:val="auto"/>
        </w:rPr>
      </w:pPr>
      <w:r>
        <w:rPr>
          <w:rFonts w:ascii="Arial" w:cs="Arial" w:eastAsia="Arial" w:hAnsi="Arial"/>
          <w:sz w:val="18"/>
          <w:szCs w:val="18"/>
          <w:color w:val="auto"/>
        </w:rPr>
        <w:t>Purchased in-process research and development (“IPR&amp;D”) projects are capitalised at fair value as an indefinite lived intangible asset and assessed for impairment thereafter. Upon completion of each underlying project, IPR&amp;D assets are reclassified to acquired identified finite-lived intangible assets and amortised over their estimated useful lives.</w:t>
      </w:r>
    </w:p>
    <w:p>
      <w:pPr>
        <w:spacing w:after="0" w:line="208"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b w:val="1"/>
          <w:bCs w:val="1"/>
          <w:color w:val="auto"/>
        </w:rPr>
        <w:t>Borrowing costs</w:t>
      </w:r>
    </w:p>
    <w:p>
      <w:pPr>
        <w:spacing w:after="0" w:line="234" w:lineRule="exact"/>
        <w:rPr>
          <w:sz w:val="20"/>
          <w:szCs w:val="20"/>
          <w:color w:val="auto"/>
        </w:rPr>
      </w:pPr>
    </w:p>
    <w:p>
      <w:pPr>
        <w:jc w:val="both"/>
        <w:ind w:left="980"/>
        <w:spacing w:after="0" w:line="246" w:lineRule="auto"/>
        <w:rPr>
          <w:sz w:val="20"/>
          <w:szCs w:val="20"/>
          <w:color w:val="auto"/>
        </w:rPr>
      </w:pPr>
      <w:r>
        <w:rPr>
          <w:rFonts w:ascii="Arial" w:cs="Arial" w:eastAsia="Arial" w:hAnsi="Arial"/>
          <w:sz w:val="18"/>
          <w:szCs w:val="18"/>
          <w:color w:val="auto"/>
        </w:rPr>
        <w:t>Borrowing costs are recognised in profit or loss using the effective interest method except for those costs that are directly attributable to the construction or development of properties and assets under construction.</w:t>
      </w:r>
    </w:p>
    <w:p>
      <w:pPr>
        <w:spacing w:after="0" w:line="197" w:lineRule="exact"/>
        <w:rPr>
          <w:sz w:val="20"/>
          <w:szCs w:val="20"/>
          <w:color w:val="auto"/>
        </w:rPr>
      </w:pPr>
    </w:p>
    <w:p>
      <w:pPr>
        <w:jc w:val="both"/>
        <w:ind w:left="980"/>
        <w:spacing w:after="0" w:line="239" w:lineRule="auto"/>
        <w:rPr>
          <w:sz w:val="20"/>
          <w:szCs w:val="20"/>
          <w:color w:val="auto"/>
        </w:rPr>
      </w:pPr>
      <w:r>
        <w:rPr>
          <w:rFonts w:ascii="Arial" w:cs="Arial" w:eastAsia="Arial" w:hAnsi="Arial"/>
          <w:sz w:val="18"/>
          <w:szCs w:val="18"/>
          <w:color w:val="auto"/>
        </w:rPr>
        <w:t>The actual borrowing costs incurred during the period up to the issuance of the temporary occupation permit less any investment income on temporary investment of these borrowings, are capitalised in the cost of the property under development. Borrowing costs on general borrowings are capitalised by applying a capitalisation rate to construction or development expenditures that are financed by general borrowings.</w:t>
      </w:r>
    </w:p>
    <w:p>
      <w:pPr>
        <w:spacing w:after="0" w:line="207"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b w:val="1"/>
          <w:bCs w:val="1"/>
          <w:color w:val="auto"/>
        </w:rPr>
        <w:t>Investments in subsidiaries</w:t>
      </w:r>
    </w:p>
    <w:p>
      <w:pPr>
        <w:spacing w:after="0" w:line="234"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Investments in subsidiaries are carried at cost less accumulated impairment losses in the Company’s balance sheet. On disposal of such investments, the difference between disposal proceeds and the carrying amounts of the investments are recognised in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b w:val="1"/>
          <w:bCs w:val="1"/>
          <w:color w:val="auto"/>
        </w:rPr>
        <w:t>Impairment of non-financial assets</w:t>
      </w:r>
    </w:p>
    <w:p>
      <w:pPr>
        <w:spacing w:after="0" w:line="243" w:lineRule="exact"/>
        <w:rPr>
          <w:sz w:val="20"/>
          <w:szCs w:val="20"/>
          <w:color w:val="auto"/>
        </w:rPr>
      </w:pPr>
    </w:p>
    <w:p>
      <w:pPr>
        <w:ind w:left="1620" w:hanging="538"/>
        <w:spacing w:after="0"/>
        <w:tabs>
          <w:tab w:leader="none" w:pos="1620" w:val="left"/>
        </w:tabs>
        <w:numPr>
          <w:ilvl w:val="0"/>
          <w:numId w:val="148"/>
        </w:numPr>
        <w:rPr>
          <w:rFonts w:ascii="Arial" w:cs="Arial" w:eastAsia="Arial" w:hAnsi="Arial"/>
          <w:sz w:val="18"/>
          <w:szCs w:val="18"/>
          <w:i w:val="1"/>
          <w:iCs w:val="1"/>
          <w:color w:val="auto"/>
        </w:rPr>
      </w:pPr>
      <w:r>
        <w:rPr>
          <w:rFonts w:ascii="Arial" w:cs="Arial" w:eastAsia="Arial" w:hAnsi="Arial"/>
          <w:sz w:val="18"/>
          <w:szCs w:val="18"/>
          <w:i w:val="1"/>
          <w:iCs w:val="1"/>
          <w:color w:val="auto"/>
        </w:rPr>
        <w:t>Goodwill</w:t>
      </w:r>
    </w:p>
    <w:p>
      <w:pPr>
        <w:spacing w:after="0" w:line="229"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Goodwill recognised separately as an intangible asset is tested for impairment annually and whenever there is indication that the goodwill may be impaired.</w:t>
      </w:r>
    </w:p>
    <w:p>
      <w:pPr>
        <w:spacing w:after="0" w:line="196"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For the purpose of impairment testing of goodwill, goodwill is allocated to each of the Group’s cash-generating-units (“CGU”) expected to benefit from synergies arising from the business combination.</w:t>
      </w:r>
    </w:p>
    <w:p>
      <w:pPr>
        <w:spacing w:after="0" w:line="196" w:lineRule="exact"/>
        <w:rPr>
          <w:rFonts w:ascii="Arial" w:cs="Arial" w:eastAsia="Arial" w:hAnsi="Arial"/>
          <w:sz w:val="18"/>
          <w:szCs w:val="18"/>
          <w:i w:val="1"/>
          <w:iCs w:val="1"/>
          <w:color w:val="auto"/>
        </w:rPr>
      </w:pPr>
    </w:p>
    <w:p>
      <w:pPr>
        <w:jc w:val="both"/>
        <w:ind w:left="1640"/>
        <w:spacing w:after="0"/>
        <w:rPr>
          <w:rFonts w:ascii="Arial" w:cs="Arial" w:eastAsia="Arial" w:hAnsi="Arial"/>
          <w:sz w:val="18"/>
          <w:szCs w:val="18"/>
          <w:i w:val="1"/>
          <w:iCs w:val="1"/>
          <w:color w:val="auto"/>
        </w:rPr>
      </w:pPr>
      <w:r>
        <w:rPr>
          <w:rFonts w:ascii="Arial" w:cs="Arial" w:eastAsia="Arial" w:hAnsi="Arial"/>
          <w:sz w:val="18"/>
          <w:szCs w:val="18"/>
          <w:color w:val="auto"/>
        </w:rPr>
        <w:t>An impairment loss is recognised when the carrying amount of a CGU, including the goodwill, exceeds the recoverable amount of the CGU. The recoverable amount of a CGU is the higher of the CGU’s fair value less cost to sell and value-in-use.</w:t>
      </w:r>
    </w:p>
    <w:p>
      <w:pPr>
        <w:spacing w:after="0" w:line="202"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The total impairment loss of a CGU is allocated first to reduce the carrying amount of goodwill allocated to the CGU and then to the other assets of the CGU pro-rata on the basis of the carrying amount of each asset in the CGU.</w:t>
      </w:r>
    </w:p>
    <w:p>
      <w:pPr>
        <w:spacing w:after="0" w:line="196" w:lineRule="exact"/>
        <w:rPr>
          <w:rFonts w:ascii="Arial" w:cs="Arial" w:eastAsia="Arial" w:hAnsi="Arial"/>
          <w:sz w:val="18"/>
          <w:szCs w:val="18"/>
          <w:i w:val="1"/>
          <w:iCs w:val="1"/>
          <w:color w:val="auto"/>
        </w:rPr>
      </w:pPr>
    </w:p>
    <w:p>
      <w:pPr>
        <w:ind w:left="1640"/>
        <w:spacing w:after="0"/>
        <w:rPr>
          <w:rFonts w:ascii="Arial" w:cs="Arial" w:eastAsia="Arial" w:hAnsi="Arial"/>
          <w:sz w:val="18"/>
          <w:szCs w:val="18"/>
          <w:i w:val="1"/>
          <w:iCs w:val="1"/>
          <w:color w:val="auto"/>
        </w:rPr>
      </w:pPr>
      <w:r>
        <w:rPr>
          <w:rFonts w:ascii="Arial" w:cs="Arial" w:eastAsia="Arial" w:hAnsi="Arial"/>
          <w:sz w:val="18"/>
          <w:szCs w:val="18"/>
          <w:color w:val="auto"/>
        </w:rPr>
        <w:t>An impairment loss on goodwill is recognised as an expense and is not reversed in a subsequent period.</w:t>
      </w:r>
    </w:p>
    <w:p>
      <w:pPr>
        <w:spacing w:after="0" w:line="220" w:lineRule="exact"/>
        <w:rPr>
          <w:rFonts w:ascii="Arial" w:cs="Arial" w:eastAsia="Arial" w:hAnsi="Arial"/>
          <w:sz w:val="18"/>
          <w:szCs w:val="18"/>
          <w:i w:val="1"/>
          <w:iCs w:val="1"/>
          <w:color w:val="auto"/>
        </w:rPr>
      </w:pPr>
    </w:p>
    <w:p>
      <w:pPr>
        <w:ind w:left="1620" w:hanging="538"/>
        <w:spacing w:after="0"/>
        <w:tabs>
          <w:tab w:leader="none" w:pos="1620" w:val="left"/>
        </w:tabs>
        <w:numPr>
          <w:ilvl w:val="0"/>
          <w:numId w:val="148"/>
        </w:numPr>
        <w:rPr>
          <w:rFonts w:ascii="Arial" w:cs="Arial" w:eastAsia="Arial" w:hAnsi="Arial"/>
          <w:sz w:val="18"/>
          <w:szCs w:val="18"/>
          <w:i w:val="1"/>
          <w:iCs w:val="1"/>
          <w:color w:val="auto"/>
        </w:rPr>
      </w:pPr>
      <w:r>
        <w:rPr>
          <w:rFonts w:ascii="Arial" w:cs="Arial" w:eastAsia="Arial" w:hAnsi="Arial"/>
          <w:sz w:val="18"/>
          <w:szCs w:val="18"/>
          <w:i w:val="1"/>
          <w:iCs w:val="1"/>
          <w:color w:val="auto"/>
        </w:rPr>
        <w:t>Intangible assets Property, plant and equipment Investments in subsidiaries</w:t>
      </w:r>
    </w:p>
    <w:p>
      <w:pPr>
        <w:spacing w:after="0" w:line="229"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Intangible assets, property, plant and equipment and investments in subsidiaries are tested for impairment whenever there is any objective evidence or indication that these assets may be impaired.</w:t>
      </w:r>
    </w:p>
    <w:p>
      <w:pPr>
        <w:spacing w:after="0" w:line="196" w:lineRule="exact"/>
        <w:rPr>
          <w:rFonts w:ascii="Arial" w:cs="Arial" w:eastAsia="Arial" w:hAnsi="Arial"/>
          <w:sz w:val="18"/>
          <w:szCs w:val="18"/>
          <w:i w:val="1"/>
          <w:iCs w:val="1"/>
          <w:color w:val="auto"/>
        </w:rPr>
      </w:pPr>
    </w:p>
    <w:p>
      <w:pPr>
        <w:jc w:val="both"/>
        <w:ind w:left="164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For the purpose of impairment testing, the recoverable amount (i.e. the higher of the fair value less cost to sell and the value-in-use) is determined on an individual asset basis unless the asset does not generate cash inflows that are largely independent of those from other assets. If this is the case, the recoverable amount is determined for the CGU to which the asset belongs.</w:t>
      </w:r>
    </w:p>
    <w:p>
      <w:pPr>
        <w:spacing w:after="0" w:line="201"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If the recoverable amount of the asset (or CGU) is estimated to be less than its carrying amount, the carrying amount of the asset (or CGU) is reduced to its recoverable amount.</w:t>
      </w:r>
    </w:p>
    <w:p>
      <w:pPr>
        <w:spacing w:after="0" w:line="196"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The difference between the carrying amount and recoverable amount is recognised as an impairment loss in profit or loss.</w:t>
      </w:r>
    </w:p>
    <w:p>
      <w:pPr>
        <w:spacing w:after="0" w:line="196" w:lineRule="exact"/>
        <w:rPr>
          <w:rFonts w:ascii="Arial" w:cs="Arial" w:eastAsia="Arial" w:hAnsi="Arial"/>
          <w:sz w:val="18"/>
          <w:szCs w:val="18"/>
          <w:i w:val="1"/>
          <w:iCs w:val="1"/>
          <w:color w:val="auto"/>
        </w:rPr>
      </w:pPr>
    </w:p>
    <w:p>
      <w:pPr>
        <w:jc w:val="both"/>
        <w:ind w:left="1640"/>
        <w:spacing w:after="0" w:line="238" w:lineRule="auto"/>
        <w:rPr>
          <w:rFonts w:ascii="Arial" w:cs="Arial" w:eastAsia="Arial" w:hAnsi="Arial"/>
          <w:sz w:val="18"/>
          <w:szCs w:val="18"/>
          <w:i w:val="1"/>
          <w:iCs w:val="1"/>
          <w:color w:val="auto"/>
        </w:rPr>
      </w:pPr>
      <w:r>
        <w:rPr>
          <w:rFonts w:ascii="Arial" w:cs="Arial" w:eastAsia="Arial" w:hAnsi="Arial"/>
          <w:sz w:val="18"/>
          <w:szCs w:val="18"/>
          <w:color w:val="auto"/>
        </w:rPr>
        <w:t>An impairment loss for an asset other than goodwill is reversed only if, there has been a change in the estimates used to determine the asset’s recoverable amount since the last impairment loss was recognised. The carrying amount of this asset is increased to its revised recoverable amount, provided that this amount does not exceed the carrying amount that would have been determined (net of any accumulated amortisation or depreciation) had no impairment loss been recognised for the asset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b w:val="1"/>
          <w:bCs w:val="1"/>
          <w:color w:val="auto"/>
        </w:rPr>
        <w:t xml:space="preserve">Impairment of non-financial assets </w:t>
      </w:r>
      <w:r>
        <w:rPr>
          <w:rFonts w:ascii="Arial" w:cs="Arial" w:eastAsia="Arial" w:hAnsi="Arial"/>
          <w:sz w:val="17"/>
          <w:szCs w:val="17"/>
          <w:color w:val="auto"/>
        </w:rPr>
        <w:t>(continued)</w:t>
      </w:r>
    </w:p>
    <w:p>
      <w:pPr>
        <w:spacing w:after="0" w:line="148" w:lineRule="exact"/>
        <w:rPr>
          <w:sz w:val="20"/>
          <w:szCs w:val="20"/>
          <w:color w:val="auto"/>
        </w:rPr>
      </w:pPr>
    </w:p>
    <w:p>
      <w:pPr>
        <w:ind w:left="1620" w:hanging="538"/>
        <w:spacing w:after="0"/>
        <w:tabs>
          <w:tab w:leader="none" w:pos="1620" w:val="left"/>
        </w:tabs>
        <w:numPr>
          <w:ilvl w:val="0"/>
          <w:numId w:val="15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Intangible assets Property, plant and equipment Investments in subsidiaries </w:t>
      </w:r>
      <w:r>
        <w:rPr>
          <w:rFonts w:ascii="Arial" w:cs="Arial" w:eastAsia="Arial" w:hAnsi="Arial"/>
          <w:sz w:val="18"/>
          <w:szCs w:val="18"/>
          <w:color w:val="auto"/>
        </w:rPr>
        <w:t>(continued)</w:t>
      </w:r>
    </w:p>
    <w:p>
      <w:pPr>
        <w:spacing w:after="0" w:line="162" w:lineRule="exact"/>
        <w:rPr>
          <w:rFonts w:ascii="Arial" w:cs="Arial" w:eastAsia="Arial" w:hAnsi="Arial"/>
          <w:sz w:val="18"/>
          <w:szCs w:val="18"/>
          <w:i w:val="1"/>
          <w:iCs w:val="1"/>
          <w:color w:val="auto"/>
        </w:rPr>
      </w:pPr>
    </w:p>
    <w:p>
      <w:pPr>
        <w:jc w:val="both"/>
        <w:ind w:left="164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A reversal of impairment loss for an asset other than goodwill is recognised in profit or loss, unless the asset is carried at revalued amount, in which case, such reversal is treated as a revaluation increase. However, to the extent that an impairment loss on the same revalued asset was previously recognised as an expense, a reversal of that impairment is also recognised in profit or loss.</w:t>
      </w:r>
    </w:p>
    <w:p>
      <w:pPr>
        <w:spacing w:after="0" w:line="201" w:lineRule="exact"/>
        <w:rPr>
          <w:rFonts w:ascii="Arial" w:cs="Arial" w:eastAsia="Arial" w:hAnsi="Arial"/>
          <w:sz w:val="18"/>
          <w:szCs w:val="18"/>
          <w:i w:val="1"/>
          <w:iCs w:val="1"/>
          <w:color w:val="auto"/>
        </w:rPr>
      </w:pPr>
    </w:p>
    <w:p>
      <w:pPr>
        <w:jc w:val="both"/>
        <w:ind w:left="1640"/>
        <w:spacing w:after="0" w:line="238" w:lineRule="auto"/>
        <w:rPr>
          <w:rFonts w:ascii="Arial" w:cs="Arial" w:eastAsia="Arial" w:hAnsi="Arial"/>
          <w:sz w:val="18"/>
          <w:szCs w:val="18"/>
          <w:i w:val="1"/>
          <w:iCs w:val="1"/>
          <w:color w:val="auto"/>
        </w:rPr>
      </w:pPr>
      <w:r>
        <w:rPr>
          <w:rFonts w:ascii="Arial" w:cs="Arial" w:eastAsia="Arial" w:hAnsi="Arial"/>
          <w:sz w:val="18"/>
          <w:szCs w:val="18"/>
          <w:color w:val="auto"/>
        </w:rPr>
        <w:t>Purchased IPR&amp;D projects are capitalised at fair value as an indefinite lived intangible asset and assessed for impairment thereafter. If an IPR&amp;D project is abandoned, the Group recognises the carrying value of the related intangible asset in the consolidated statements of comprehensive income in the period it is abandoned. On a quarterly basis, the Group monitors factors and changes in circumstances that could indicate carrying amounts of long-lived assets, including purchased intangible assets, and property, plant and equipment, may not be recoverable.</w:t>
      </w:r>
    </w:p>
    <w:p>
      <w:pPr>
        <w:spacing w:after="0" w:line="202" w:lineRule="exact"/>
        <w:rPr>
          <w:rFonts w:ascii="Arial" w:cs="Arial" w:eastAsia="Arial" w:hAnsi="Arial"/>
          <w:sz w:val="18"/>
          <w:szCs w:val="18"/>
          <w:i w:val="1"/>
          <w:iCs w:val="1"/>
          <w:color w:val="auto"/>
        </w:rPr>
      </w:pPr>
    </w:p>
    <w:p>
      <w:pPr>
        <w:jc w:val="both"/>
        <w:ind w:left="1640"/>
        <w:spacing w:after="0" w:line="237" w:lineRule="auto"/>
        <w:rPr>
          <w:rFonts w:ascii="Arial" w:cs="Arial" w:eastAsia="Arial" w:hAnsi="Arial"/>
          <w:sz w:val="18"/>
          <w:szCs w:val="18"/>
          <w:i w:val="1"/>
          <w:iCs w:val="1"/>
          <w:color w:val="auto"/>
        </w:rPr>
      </w:pPr>
      <w:r>
        <w:rPr>
          <w:rFonts w:ascii="Arial" w:cs="Arial" w:eastAsia="Arial" w:hAnsi="Arial"/>
          <w:sz w:val="18"/>
          <w:szCs w:val="18"/>
          <w:color w:val="auto"/>
        </w:rPr>
        <w:t>Factors the Group considers important which could trigger an impairment review include (i) significant under-performance relative to historical or projected future operating results, (ii) significant changes in the manner of the use of the acquired assets or the strategy for the overall business, and (iii) significant negative industry or economic trends. An impairment loss must be measured if the sum of the expected future cash flows (undiscounted and before interest) from the use and eventual disposition of the asset (or asset group) is less than the net book value of the asset (or asset group). The amount of the impairment loss will generally be measured as the difference between the net book value of the asset (or asset group) and the estimated fair value.</w:t>
      </w:r>
    </w:p>
    <w:p>
      <w:pPr>
        <w:spacing w:after="0" w:line="208"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Financial assets</w:t>
      </w:r>
    </w:p>
    <w:p>
      <w:pPr>
        <w:spacing w:after="0" w:line="243" w:lineRule="exact"/>
        <w:rPr>
          <w:sz w:val="20"/>
          <w:szCs w:val="20"/>
          <w:color w:val="auto"/>
        </w:rPr>
      </w:pPr>
    </w:p>
    <w:p>
      <w:pPr>
        <w:ind w:left="1620" w:hanging="538"/>
        <w:spacing w:after="0"/>
        <w:tabs>
          <w:tab w:leader="none" w:pos="1620" w:val="left"/>
        </w:tabs>
        <w:numPr>
          <w:ilvl w:val="0"/>
          <w:numId w:val="151"/>
        </w:numPr>
        <w:rPr>
          <w:rFonts w:ascii="Arial" w:cs="Arial" w:eastAsia="Arial" w:hAnsi="Arial"/>
          <w:sz w:val="18"/>
          <w:szCs w:val="18"/>
          <w:i w:val="1"/>
          <w:iCs w:val="1"/>
          <w:color w:val="auto"/>
        </w:rPr>
      </w:pPr>
      <w:r>
        <w:rPr>
          <w:rFonts w:ascii="Arial" w:cs="Arial" w:eastAsia="Arial" w:hAnsi="Arial"/>
          <w:sz w:val="18"/>
          <w:szCs w:val="18"/>
          <w:i w:val="1"/>
          <w:iCs w:val="1"/>
          <w:color w:val="auto"/>
        </w:rPr>
        <w:t>Classification</w:t>
      </w:r>
    </w:p>
    <w:p>
      <w:pPr>
        <w:spacing w:after="0" w:line="229"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The Group classifies its financial assets as loans and receivables. The classification depends on the purpose for which the assets were acquired. Management determines the classification of its financial assets at initial recognition.</w:t>
      </w:r>
    </w:p>
    <w:p>
      <w:pPr>
        <w:spacing w:after="0" w:line="178" w:lineRule="exact"/>
        <w:rPr>
          <w:rFonts w:ascii="Arial" w:cs="Arial" w:eastAsia="Arial" w:hAnsi="Arial"/>
          <w:sz w:val="18"/>
          <w:szCs w:val="18"/>
          <w:i w:val="1"/>
          <w:iCs w:val="1"/>
          <w:color w:val="auto"/>
        </w:rPr>
      </w:pPr>
    </w:p>
    <w:p>
      <w:pPr>
        <w:ind w:left="16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Loans and receivables</w:t>
      </w:r>
    </w:p>
    <w:p>
      <w:pPr>
        <w:spacing w:after="0" w:line="229" w:lineRule="exact"/>
        <w:rPr>
          <w:rFonts w:ascii="Arial" w:cs="Arial" w:eastAsia="Arial" w:hAnsi="Arial"/>
          <w:sz w:val="18"/>
          <w:szCs w:val="18"/>
          <w:i w:val="1"/>
          <w:iCs w:val="1"/>
          <w:color w:val="auto"/>
        </w:rPr>
      </w:pPr>
    </w:p>
    <w:p>
      <w:pPr>
        <w:jc w:val="both"/>
        <w:ind w:left="164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Loans and receivables are non-derivative financial assets with fixed or determinable payments that are not quoted in an active market. They are presented as current assets, except for those expected to be realised later than 12 months after the balance sheet date which are presented as non-current assets. Loans and receivables are presented as “trade receivables and other current assets” (Note 13) and “cash and cash equivalents” (Note 12) on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 xml:space="preserve">Financial assets </w:t>
      </w:r>
      <w:r>
        <w:rPr>
          <w:rFonts w:ascii="Arial" w:cs="Arial" w:eastAsia="Arial" w:hAnsi="Arial"/>
          <w:sz w:val="17"/>
          <w:szCs w:val="17"/>
          <w:color w:val="auto"/>
        </w:rPr>
        <w:t>(continued)</w:t>
      </w:r>
    </w:p>
    <w:p>
      <w:pPr>
        <w:spacing w:after="0" w:line="148" w:lineRule="exact"/>
        <w:rPr>
          <w:sz w:val="20"/>
          <w:szCs w:val="20"/>
          <w:color w:val="auto"/>
        </w:rPr>
      </w:pPr>
    </w:p>
    <w:p>
      <w:pPr>
        <w:ind w:left="1620" w:hanging="538"/>
        <w:spacing w:after="0"/>
        <w:tabs>
          <w:tab w:leader="none" w:pos="1620" w:val="left"/>
        </w:tabs>
        <w:numPr>
          <w:ilvl w:val="0"/>
          <w:numId w:val="153"/>
        </w:numPr>
        <w:rPr>
          <w:rFonts w:ascii="Arial" w:cs="Arial" w:eastAsia="Arial" w:hAnsi="Arial"/>
          <w:sz w:val="18"/>
          <w:szCs w:val="18"/>
          <w:i w:val="1"/>
          <w:iCs w:val="1"/>
          <w:color w:val="auto"/>
        </w:rPr>
      </w:pPr>
      <w:r>
        <w:rPr>
          <w:rFonts w:ascii="Arial" w:cs="Arial" w:eastAsia="Arial" w:hAnsi="Arial"/>
          <w:sz w:val="18"/>
          <w:szCs w:val="18"/>
          <w:i w:val="1"/>
          <w:iCs w:val="1"/>
          <w:color w:val="auto"/>
        </w:rPr>
        <w:t>Recognition and derecognition</w:t>
      </w:r>
    </w:p>
    <w:p>
      <w:pPr>
        <w:spacing w:after="0" w:line="229" w:lineRule="exact"/>
        <w:rPr>
          <w:rFonts w:ascii="Arial" w:cs="Arial" w:eastAsia="Arial" w:hAnsi="Arial"/>
          <w:sz w:val="18"/>
          <w:szCs w:val="18"/>
          <w:i w:val="1"/>
          <w:iCs w:val="1"/>
          <w:color w:val="auto"/>
        </w:rPr>
      </w:pPr>
    </w:p>
    <w:p>
      <w:pPr>
        <w:jc w:val="both"/>
        <w:ind w:left="164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Financial assets are derecognised when the rights to receive cash flows from the financial assets have expired or have been transferred and the Group has transferred substantially all risks and rewards of ownership. On disposal of a financial asset, the difference between the carrying amount and the sale proceeds is recognised in profit or loss. Any amount previously recognised in other comprehensive income relating to that asset is reclassified to profit or loss.</w:t>
      </w:r>
    </w:p>
    <w:p>
      <w:pPr>
        <w:spacing w:after="0" w:line="210" w:lineRule="exact"/>
        <w:rPr>
          <w:rFonts w:ascii="Arial" w:cs="Arial" w:eastAsia="Arial" w:hAnsi="Arial"/>
          <w:sz w:val="18"/>
          <w:szCs w:val="18"/>
          <w:i w:val="1"/>
          <w:iCs w:val="1"/>
          <w:color w:val="auto"/>
        </w:rPr>
      </w:pPr>
    </w:p>
    <w:p>
      <w:pPr>
        <w:ind w:left="1620" w:hanging="538"/>
        <w:spacing w:after="0"/>
        <w:tabs>
          <w:tab w:leader="none" w:pos="1620" w:val="left"/>
        </w:tabs>
        <w:numPr>
          <w:ilvl w:val="0"/>
          <w:numId w:val="153"/>
        </w:numPr>
        <w:rPr>
          <w:rFonts w:ascii="Arial" w:cs="Arial" w:eastAsia="Arial" w:hAnsi="Arial"/>
          <w:sz w:val="18"/>
          <w:szCs w:val="18"/>
          <w:i w:val="1"/>
          <w:iCs w:val="1"/>
          <w:color w:val="auto"/>
        </w:rPr>
      </w:pPr>
      <w:r>
        <w:rPr>
          <w:rFonts w:ascii="Arial" w:cs="Arial" w:eastAsia="Arial" w:hAnsi="Arial"/>
          <w:sz w:val="18"/>
          <w:szCs w:val="18"/>
          <w:i w:val="1"/>
          <w:iCs w:val="1"/>
          <w:color w:val="auto"/>
        </w:rPr>
        <w:t>Initial measurement</w:t>
      </w:r>
    </w:p>
    <w:p>
      <w:pPr>
        <w:spacing w:after="0" w:line="229" w:lineRule="exact"/>
        <w:rPr>
          <w:rFonts w:ascii="Arial" w:cs="Arial" w:eastAsia="Arial" w:hAnsi="Arial"/>
          <w:sz w:val="18"/>
          <w:szCs w:val="18"/>
          <w:i w:val="1"/>
          <w:iCs w:val="1"/>
          <w:color w:val="auto"/>
        </w:rPr>
      </w:pPr>
    </w:p>
    <w:p>
      <w:pPr>
        <w:jc w:val="both"/>
        <w:ind w:left="1640"/>
        <w:spacing w:after="0"/>
        <w:rPr>
          <w:rFonts w:ascii="Arial" w:cs="Arial" w:eastAsia="Arial" w:hAnsi="Arial"/>
          <w:sz w:val="18"/>
          <w:szCs w:val="18"/>
          <w:i w:val="1"/>
          <w:iCs w:val="1"/>
          <w:color w:val="auto"/>
        </w:rPr>
      </w:pPr>
      <w:r>
        <w:rPr>
          <w:rFonts w:ascii="Arial" w:cs="Arial" w:eastAsia="Arial" w:hAnsi="Arial"/>
          <w:sz w:val="18"/>
          <w:szCs w:val="18"/>
          <w:color w:val="auto"/>
        </w:rPr>
        <w:t>Financial assets are initially recognised at fair value plus transaction costs except for financial assets at fair value through profit or loss, which are recognised at fair value. Transaction costs for financial assets at fair value through profit or loss are recognised immediately as expenses.</w:t>
      </w:r>
    </w:p>
    <w:p>
      <w:pPr>
        <w:spacing w:after="0" w:line="211" w:lineRule="exact"/>
        <w:rPr>
          <w:rFonts w:ascii="Arial" w:cs="Arial" w:eastAsia="Arial" w:hAnsi="Arial"/>
          <w:sz w:val="18"/>
          <w:szCs w:val="18"/>
          <w:i w:val="1"/>
          <w:iCs w:val="1"/>
          <w:color w:val="auto"/>
        </w:rPr>
      </w:pPr>
    </w:p>
    <w:p>
      <w:pPr>
        <w:ind w:left="1620" w:hanging="538"/>
        <w:spacing w:after="0"/>
        <w:tabs>
          <w:tab w:leader="none" w:pos="1620" w:val="left"/>
        </w:tabs>
        <w:numPr>
          <w:ilvl w:val="0"/>
          <w:numId w:val="153"/>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w:t>
      </w:r>
    </w:p>
    <w:p>
      <w:pPr>
        <w:spacing w:after="0" w:line="229"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The Group assesses at each balance sheet date whether there is objective evidence that a financial asset or a group of financial assets is impaired and recognises an allowance for impairment when such evidence exists.</w:t>
      </w:r>
    </w:p>
    <w:p>
      <w:pPr>
        <w:spacing w:after="0" w:line="205"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53"/>
        </w:numPr>
        <w:rPr>
          <w:rFonts w:ascii="Arial" w:cs="Arial" w:eastAsia="Arial" w:hAnsi="Arial"/>
          <w:sz w:val="18"/>
          <w:szCs w:val="18"/>
          <w:i w:val="1"/>
          <w:iCs w:val="1"/>
          <w:color w:val="auto"/>
        </w:rPr>
      </w:pPr>
      <w:r>
        <w:rPr>
          <w:rFonts w:ascii="Arial" w:cs="Arial" w:eastAsia="Arial" w:hAnsi="Arial"/>
          <w:sz w:val="18"/>
          <w:szCs w:val="18"/>
          <w:i w:val="1"/>
          <w:iCs w:val="1"/>
          <w:color w:val="auto"/>
        </w:rPr>
        <w:t>Loans and receivables financial assets</w:t>
      </w:r>
    </w:p>
    <w:p>
      <w:pPr>
        <w:spacing w:after="0" w:line="229" w:lineRule="exact"/>
        <w:rPr>
          <w:rFonts w:ascii="Arial" w:cs="Arial" w:eastAsia="Arial" w:hAnsi="Arial"/>
          <w:sz w:val="18"/>
          <w:szCs w:val="18"/>
          <w:i w:val="1"/>
          <w:iCs w:val="1"/>
          <w:color w:val="auto"/>
        </w:rPr>
      </w:pPr>
    </w:p>
    <w:p>
      <w:pPr>
        <w:ind w:left="208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Significant financial difficulties of the debtor, probability that the debtor will enter bankruptcy and default or significant delay in payments are objective evidence that these financial assets are impaired.</w:t>
      </w:r>
    </w:p>
    <w:p>
      <w:pPr>
        <w:spacing w:after="0" w:line="196" w:lineRule="exact"/>
        <w:rPr>
          <w:rFonts w:ascii="Arial" w:cs="Arial" w:eastAsia="Arial" w:hAnsi="Arial"/>
          <w:sz w:val="18"/>
          <w:szCs w:val="18"/>
          <w:i w:val="1"/>
          <w:iCs w:val="1"/>
          <w:color w:val="auto"/>
        </w:rPr>
      </w:pPr>
    </w:p>
    <w:p>
      <w:pPr>
        <w:jc w:val="both"/>
        <w:ind w:left="2080"/>
        <w:spacing w:after="0" w:line="238" w:lineRule="auto"/>
        <w:rPr>
          <w:rFonts w:ascii="Arial" w:cs="Arial" w:eastAsia="Arial" w:hAnsi="Arial"/>
          <w:sz w:val="18"/>
          <w:szCs w:val="18"/>
          <w:i w:val="1"/>
          <w:iCs w:val="1"/>
          <w:color w:val="auto"/>
        </w:rPr>
      </w:pPr>
      <w:r>
        <w:rPr>
          <w:rFonts w:ascii="Arial" w:cs="Arial" w:eastAsia="Arial" w:hAnsi="Arial"/>
          <w:sz w:val="18"/>
          <w:szCs w:val="18"/>
          <w:color w:val="auto"/>
        </w:rPr>
        <w:t>The carrying amount of these assets is reduced through the use of an impairment allowance account which is calculated as the difference between the carrying amount and the present value of estimated future cash flows, discounted at the original effective interest rate. When the asset becomes uncollectible, it is written off against the allowance account. Subsequent recoveries of amounts previously written off are recognised against the same line item in profit or loss.</w:t>
      </w:r>
    </w:p>
    <w:p>
      <w:pPr>
        <w:spacing w:after="0" w:line="202" w:lineRule="exact"/>
        <w:rPr>
          <w:rFonts w:ascii="Arial" w:cs="Arial" w:eastAsia="Arial" w:hAnsi="Arial"/>
          <w:sz w:val="18"/>
          <w:szCs w:val="18"/>
          <w:i w:val="1"/>
          <w:iCs w:val="1"/>
          <w:color w:val="auto"/>
        </w:rPr>
      </w:pPr>
    </w:p>
    <w:p>
      <w:pPr>
        <w:jc w:val="both"/>
        <w:ind w:left="208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The impairment allowance is reduced through profit or loss in a subsequent period when the amount of impairment loss decreases and the related decrease can be objectively measured. The carrying amount of the asset previously impaired is increased to the extent that the new carrying amount does not exceed the amortised cost had no impairment been recognised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7"/>
          <w:szCs w:val="17"/>
          <w:b w:val="1"/>
          <w:bCs w:val="1"/>
          <w:color w:val="auto"/>
        </w:rPr>
        <w:t>Offsetting of financial instruments</w:t>
      </w:r>
    </w:p>
    <w:p>
      <w:pPr>
        <w:spacing w:after="0" w:line="234" w:lineRule="exact"/>
        <w:rPr>
          <w:sz w:val="20"/>
          <w:szCs w:val="20"/>
          <w:color w:val="auto"/>
        </w:rPr>
      </w:pPr>
    </w:p>
    <w:p>
      <w:pPr>
        <w:jc w:val="both"/>
        <w:ind w:left="980"/>
        <w:spacing w:after="0" w:line="246" w:lineRule="auto"/>
        <w:rPr>
          <w:sz w:val="20"/>
          <w:szCs w:val="20"/>
          <w:color w:val="auto"/>
        </w:rPr>
      </w:pPr>
      <w:r>
        <w:rPr>
          <w:rFonts w:ascii="Arial" w:cs="Arial" w:eastAsia="Arial" w:hAnsi="Arial"/>
          <w:sz w:val="18"/>
          <w:szCs w:val="18"/>
          <w:color w:val="auto"/>
        </w:rPr>
        <w:t>Financial assets and liabilities are offset and the net amount reported in the balance sheet when there is a legally enforceable right to offset and there is an intention to settle on a net basis or realise the asset and settle the liability simultaneously.</w:t>
      </w:r>
    </w:p>
    <w:p>
      <w:pPr>
        <w:spacing w:after="0" w:line="202"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b w:val="1"/>
          <w:bCs w:val="1"/>
          <w:color w:val="auto"/>
        </w:rPr>
        <w:t>Financial guarantees</w:t>
      </w:r>
    </w:p>
    <w:p>
      <w:pPr>
        <w:spacing w:after="0" w:line="234"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The Company has issued corporate guarantees to banks for bank borrowings of its subsidiaries. These guarantees are financial guarantees as they require the Company to reimburse the banks if the subsidiaries fail to make principal or interest payments when due in accordance with the terms of their borrowings.</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Financial guarantees are initially recognised at their fair values plus transaction costs in the Company’s balance sheet.</w:t>
      </w:r>
    </w:p>
    <w:p>
      <w:pPr>
        <w:spacing w:after="0" w:line="212"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Financial guarantees are subsequently amortised to profit or loss over the period of the subsidiaries’ borrowings, unless it is probable that the Company will reimburse the banks for an amount higher than the unamortised amount. In this case, the financial guarantees shall be carried at the expected amount payable to the banks in the Company’s balance sheet.</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Intra-group transactions are eliminated on consolidation.</w:t>
      </w:r>
    </w:p>
    <w:p>
      <w:pPr>
        <w:spacing w:after="0" w:line="217"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b w:val="1"/>
          <w:bCs w:val="1"/>
          <w:color w:val="auto"/>
        </w:rPr>
        <w:t>Borrowings</w:t>
      </w:r>
    </w:p>
    <w:p>
      <w:pPr>
        <w:spacing w:after="0" w:line="234" w:lineRule="exact"/>
        <w:rPr>
          <w:sz w:val="20"/>
          <w:szCs w:val="20"/>
          <w:color w:val="auto"/>
        </w:rPr>
      </w:pPr>
    </w:p>
    <w:p>
      <w:pPr>
        <w:jc w:val="both"/>
        <w:ind w:left="980"/>
        <w:spacing w:after="0" w:line="246" w:lineRule="auto"/>
        <w:rPr>
          <w:sz w:val="20"/>
          <w:szCs w:val="20"/>
          <w:color w:val="auto"/>
        </w:rPr>
      </w:pPr>
      <w:r>
        <w:rPr>
          <w:rFonts w:ascii="Arial" w:cs="Arial" w:eastAsia="Arial" w:hAnsi="Arial"/>
          <w:sz w:val="18"/>
          <w:szCs w:val="18"/>
          <w:color w:val="auto"/>
        </w:rPr>
        <w:t>Borrowings are presented as current liabilities unless the Group has an unconditional right to defer settlement for at least 12 months after the balance sheet date, in which case they are presented as non-current liabilities.</w:t>
      </w:r>
    </w:p>
    <w:p>
      <w:pPr>
        <w:spacing w:after="0" w:line="197"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Borrowings are initially recognised at fair value (net of transaction costs) and subsequently carried at amortised cost. Any difference between the proceeds (net of transaction costs) and the redemption value is recognised in profit or loss over the period of the borrowings using the effective interest method.</w:t>
      </w:r>
    </w:p>
    <w:p>
      <w:pPr>
        <w:spacing w:after="0" w:line="208"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b w:val="1"/>
          <w:bCs w:val="1"/>
          <w:color w:val="auto"/>
        </w:rPr>
        <w:t>Trade and other payables</w:t>
      </w:r>
    </w:p>
    <w:p>
      <w:pPr>
        <w:spacing w:after="0" w:line="234"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Trade and other payables represent liabilities for goods and services provided to the Group prior to the end of financial year which are unpaid. They are classified as current liabilities if payment is due within one year or less (or in the normal operating cycle of the business if longer). Otherwise, they are presented as non-current liabilities.</w:t>
      </w:r>
    </w:p>
    <w:p>
      <w:pPr>
        <w:spacing w:after="0" w:line="203" w:lineRule="exact"/>
        <w:rPr>
          <w:sz w:val="20"/>
          <w:szCs w:val="20"/>
          <w:color w:val="auto"/>
        </w:rPr>
      </w:pPr>
    </w:p>
    <w:p>
      <w:pPr>
        <w:jc w:val="both"/>
        <w:ind w:left="980"/>
        <w:spacing w:after="0" w:line="246" w:lineRule="auto"/>
        <w:rPr>
          <w:sz w:val="20"/>
          <w:szCs w:val="20"/>
          <w:color w:val="auto"/>
        </w:rPr>
      </w:pPr>
      <w:r>
        <w:rPr>
          <w:rFonts w:ascii="Arial" w:cs="Arial" w:eastAsia="Arial" w:hAnsi="Arial"/>
          <w:sz w:val="18"/>
          <w:szCs w:val="18"/>
          <w:color w:val="auto"/>
        </w:rPr>
        <w:t>Trade and other payables are initially recognised at fair value, and subsequently carried at amortised cost using the effective interest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7"/>
          <w:szCs w:val="17"/>
          <w:b w:val="1"/>
          <w:bCs w:val="1"/>
          <w:color w:val="auto"/>
        </w:rPr>
        <w:t>Leases</w:t>
      </w:r>
    </w:p>
    <w:p>
      <w:pPr>
        <w:spacing w:after="0" w:line="243" w:lineRule="exact"/>
        <w:rPr>
          <w:sz w:val="20"/>
          <w:szCs w:val="20"/>
          <w:color w:val="auto"/>
        </w:rPr>
      </w:pPr>
    </w:p>
    <w:p>
      <w:pPr>
        <w:ind w:left="1620" w:hanging="538"/>
        <w:spacing w:after="0"/>
        <w:tabs>
          <w:tab w:leader="none" w:pos="1620" w:val="left"/>
        </w:tabs>
        <w:numPr>
          <w:ilvl w:val="0"/>
          <w:numId w:val="156"/>
        </w:numPr>
        <w:rPr>
          <w:rFonts w:ascii="Arial" w:cs="Arial" w:eastAsia="Arial" w:hAnsi="Arial"/>
          <w:sz w:val="18"/>
          <w:szCs w:val="18"/>
          <w:i w:val="1"/>
          <w:iCs w:val="1"/>
          <w:color w:val="auto"/>
        </w:rPr>
      </w:pPr>
      <w:r>
        <w:rPr>
          <w:rFonts w:ascii="Arial" w:cs="Arial" w:eastAsia="Arial" w:hAnsi="Arial"/>
          <w:sz w:val="18"/>
          <w:szCs w:val="18"/>
          <w:i w:val="1"/>
          <w:iCs w:val="1"/>
          <w:color w:val="auto"/>
        </w:rPr>
        <w:t>When the Group is the lessee</w:t>
      </w:r>
    </w:p>
    <w:p>
      <w:pPr>
        <w:spacing w:after="0" w:line="229"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The Group leases certain buildings, machinery and equipment under finance leases and buildings, machinery and equipment under operating leases from non-related parties.</w:t>
      </w:r>
    </w:p>
    <w:p>
      <w:pPr>
        <w:spacing w:after="0" w:line="205"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56"/>
        </w:numPr>
        <w:rPr>
          <w:rFonts w:ascii="Arial" w:cs="Arial" w:eastAsia="Arial" w:hAnsi="Arial"/>
          <w:sz w:val="18"/>
          <w:szCs w:val="18"/>
          <w:i w:val="1"/>
          <w:iCs w:val="1"/>
          <w:color w:val="auto"/>
        </w:rPr>
      </w:pPr>
      <w:r>
        <w:rPr>
          <w:rFonts w:ascii="Arial" w:cs="Arial" w:eastAsia="Arial" w:hAnsi="Arial"/>
          <w:sz w:val="18"/>
          <w:szCs w:val="18"/>
          <w:i w:val="1"/>
          <w:iCs w:val="1"/>
          <w:color w:val="auto"/>
        </w:rPr>
        <w:t>Lessee - Finance leases</w:t>
      </w:r>
    </w:p>
    <w:p>
      <w:pPr>
        <w:spacing w:after="0" w:line="229" w:lineRule="exact"/>
        <w:rPr>
          <w:rFonts w:ascii="Arial" w:cs="Arial" w:eastAsia="Arial" w:hAnsi="Arial"/>
          <w:sz w:val="18"/>
          <w:szCs w:val="18"/>
          <w:i w:val="1"/>
          <w:iCs w:val="1"/>
          <w:color w:val="auto"/>
        </w:rPr>
      </w:pPr>
    </w:p>
    <w:p>
      <w:pPr>
        <w:ind w:left="208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Leases where the Group assumes substantially all risks and rewards incidental to ownership of the leased assets are classified as finance leases.</w:t>
      </w:r>
    </w:p>
    <w:p>
      <w:pPr>
        <w:spacing w:after="0" w:line="196" w:lineRule="exact"/>
        <w:rPr>
          <w:rFonts w:ascii="Arial" w:cs="Arial" w:eastAsia="Arial" w:hAnsi="Arial"/>
          <w:sz w:val="18"/>
          <w:szCs w:val="18"/>
          <w:i w:val="1"/>
          <w:iCs w:val="1"/>
          <w:color w:val="auto"/>
        </w:rPr>
      </w:pPr>
    </w:p>
    <w:p>
      <w:pPr>
        <w:jc w:val="both"/>
        <w:ind w:left="208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The leased assets and the corresponding lease liabilities (net of finance charges) under finance leases are recognised on the balance sheet as plant and equipment and borrowings, respectively, at the inception of the leases based on the lower of the fair value of the leased assets and the present value of the minimum lease payments.</w:t>
      </w:r>
    </w:p>
    <w:p>
      <w:pPr>
        <w:spacing w:after="0" w:line="201" w:lineRule="exact"/>
        <w:rPr>
          <w:rFonts w:ascii="Arial" w:cs="Arial" w:eastAsia="Arial" w:hAnsi="Arial"/>
          <w:sz w:val="18"/>
          <w:szCs w:val="18"/>
          <w:i w:val="1"/>
          <w:iCs w:val="1"/>
          <w:color w:val="auto"/>
        </w:rPr>
      </w:pPr>
    </w:p>
    <w:p>
      <w:pPr>
        <w:jc w:val="both"/>
        <w:ind w:left="2080"/>
        <w:spacing w:after="0"/>
        <w:rPr>
          <w:rFonts w:ascii="Arial" w:cs="Arial" w:eastAsia="Arial" w:hAnsi="Arial"/>
          <w:sz w:val="18"/>
          <w:szCs w:val="18"/>
          <w:i w:val="1"/>
          <w:iCs w:val="1"/>
          <w:color w:val="auto"/>
        </w:rPr>
      </w:pPr>
      <w:r>
        <w:rPr>
          <w:rFonts w:ascii="Arial" w:cs="Arial" w:eastAsia="Arial" w:hAnsi="Arial"/>
          <w:sz w:val="18"/>
          <w:szCs w:val="18"/>
          <w:color w:val="auto"/>
        </w:rPr>
        <w:t>Each lease payment is apportioned between the finance expense and the reduction of the outstanding lease liability. The finance expense is recognised in profit or loss on a basis that reflects a constant periodic rate of interest on the finance lease liability.</w:t>
      </w:r>
    </w:p>
    <w:p>
      <w:pPr>
        <w:spacing w:after="0" w:line="211" w:lineRule="exact"/>
        <w:rPr>
          <w:rFonts w:ascii="Arial" w:cs="Arial" w:eastAsia="Arial" w:hAnsi="Arial"/>
          <w:sz w:val="18"/>
          <w:szCs w:val="18"/>
          <w:i w:val="1"/>
          <w:iCs w:val="1"/>
          <w:color w:val="auto"/>
        </w:rPr>
      </w:pPr>
    </w:p>
    <w:p>
      <w:pPr>
        <w:ind w:left="2060" w:hanging="425"/>
        <w:spacing w:after="0"/>
        <w:tabs>
          <w:tab w:leader="none" w:pos="2060" w:val="left"/>
        </w:tabs>
        <w:numPr>
          <w:ilvl w:val="1"/>
          <w:numId w:val="156"/>
        </w:numPr>
        <w:rPr>
          <w:rFonts w:ascii="Arial" w:cs="Arial" w:eastAsia="Arial" w:hAnsi="Arial"/>
          <w:sz w:val="18"/>
          <w:szCs w:val="18"/>
          <w:i w:val="1"/>
          <w:iCs w:val="1"/>
          <w:color w:val="auto"/>
        </w:rPr>
      </w:pPr>
      <w:r>
        <w:rPr>
          <w:rFonts w:ascii="Arial" w:cs="Arial" w:eastAsia="Arial" w:hAnsi="Arial"/>
          <w:sz w:val="18"/>
          <w:szCs w:val="18"/>
          <w:i w:val="1"/>
          <w:iCs w:val="1"/>
          <w:color w:val="auto"/>
        </w:rPr>
        <w:t>Lessee - Operating leases</w:t>
      </w:r>
    </w:p>
    <w:p>
      <w:pPr>
        <w:spacing w:after="0" w:line="229" w:lineRule="exact"/>
        <w:rPr>
          <w:rFonts w:ascii="Arial" w:cs="Arial" w:eastAsia="Arial" w:hAnsi="Arial"/>
          <w:sz w:val="18"/>
          <w:szCs w:val="18"/>
          <w:i w:val="1"/>
          <w:iCs w:val="1"/>
          <w:color w:val="auto"/>
        </w:rPr>
      </w:pPr>
    </w:p>
    <w:p>
      <w:pPr>
        <w:jc w:val="both"/>
        <w:ind w:left="2080"/>
        <w:spacing w:after="0"/>
        <w:rPr>
          <w:rFonts w:ascii="Arial" w:cs="Arial" w:eastAsia="Arial" w:hAnsi="Arial"/>
          <w:sz w:val="18"/>
          <w:szCs w:val="18"/>
          <w:i w:val="1"/>
          <w:iCs w:val="1"/>
          <w:color w:val="auto"/>
        </w:rPr>
      </w:pPr>
      <w:r>
        <w:rPr>
          <w:rFonts w:ascii="Arial" w:cs="Arial" w:eastAsia="Arial" w:hAnsi="Arial"/>
          <w:sz w:val="18"/>
          <w:szCs w:val="18"/>
          <w:color w:val="auto"/>
        </w:rPr>
        <w:t>Leases where substantially all risks and rewards incidental to ownership are retained by the lessors are classified as operating leases. Payments made under operating leases (net of any incentives received from the lessors) are recognised in profit or loss on a straight-line basis over the period of the lease.</w:t>
      </w:r>
    </w:p>
    <w:p>
      <w:pPr>
        <w:spacing w:after="0" w:line="202" w:lineRule="exact"/>
        <w:rPr>
          <w:rFonts w:ascii="Arial" w:cs="Arial" w:eastAsia="Arial" w:hAnsi="Arial"/>
          <w:sz w:val="18"/>
          <w:szCs w:val="18"/>
          <w:i w:val="1"/>
          <w:iCs w:val="1"/>
          <w:color w:val="auto"/>
        </w:rPr>
      </w:pPr>
    </w:p>
    <w:p>
      <w:pPr>
        <w:ind w:left="2080"/>
        <w:spacing w:after="0"/>
        <w:rPr>
          <w:rFonts w:ascii="Arial" w:cs="Arial" w:eastAsia="Arial" w:hAnsi="Arial"/>
          <w:sz w:val="18"/>
          <w:szCs w:val="18"/>
          <w:i w:val="1"/>
          <w:iCs w:val="1"/>
          <w:color w:val="auto"/>
        </w:rPr>
      </w:pPr>
      <w:r>
        <w:rPr>
          <w:rFonts w:ascii="Arial" w:cs="Arial" w:eastAsia="Arial" w:hAnsi="Arial"/>
          <w:sz w:val="18"/>
          <w:szCs w:val="18"/>
          <w:color w:val="auto"/>
        </w:rPr>
        <w:t>Contingent rents are recognised as an expense in profit or loss when incurred.</w:t>
      </w:r>
    </w:p>
    <w:p>
      <w:pPr>
        <w:spacing w:after="0" w:line="217"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7"/>
          <w:szCs w:val="17"/>
          <w:b w:val="1"/>
          <w:bCs w:val="1"/>
          <w:color w:val="auto"/>
        </w:rPr>
        <w:t>Inventories</w:t>
      </w:r>
    </w:p>
    <w:p>
      <w:pPr>
        <w:spacing w:after="0" w:line="234" w:lineRule="exact"/>
        <w:rPr>
          <w:sz w:val="20"/>
          <w:szCs w:val="20"/>
          <w:color w:val="auto"/>
        </w:rPr>
      </w:pPr>
    </w:p>
    <w:p>
      <w:pPr>
        <w:jc w:val="both"/>
        <w:ind w:left="980"/>
        <w:spacing w:after="0" w:line="239" w:lineRule="auto"/>
        <w:rPr>
          <w:sz w:val="20"/>
          <w:szCs w:val="20"/>
          <w:color w:val="auto"/>
        </w:rPr>
      </w:pPr>
      <w:r>
        <w:rPr>
          <w:rFonts w:ascii="Arial" w:cs="Arial" w:eastAsia="Arial" w:hAnsi="Arial"/>
          <w:sz w:val="18"/>
          <w:szCs w:val="18"/>
          <w:color w:val="auto"/>
        </w:rPr>
        <w:t>Inventories are carried at the lower of cost and net realisable value. Cost is determined using the first-in, first-out method. The cost of finished goods and work-in-progress comprises raw materials, direct labour, other direct costs and related production overheads (based on normal operating capacity) but excludes borrowing costs. Net realisable value is the estimated selling price in the ordinary course of business, less the estimated costs of completion and applicable variable selling expenses.</w:t>
      </w:r>
    </w:p>
    <w:p>
      <w:pPr>
        <w:spacing w:after="0" w:line="207"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7"/>
          <w:szCs w:val="17"/>
          <w:b w:val="1"/>
          <w:bCs w:val="1"/>
          <w:color w:val="auto"/>
        </w:rPr>
        <w:t>Income taxes</w:t>
      </w:r>
    </w:p>
    <w:p>
      <w:pPr>
        <w:spacing w:after="0" w:line="234" w:lineRule="exact"/>
        <w:rPr>
          <w:sz w:val="20"/>
          <w:szCs w:val="20"/>
          <w:color w:val="auto"/>
        </w:rPr>
      </w:pPr>
    </w:p>
    <w:p>
      <w:pPr>
        <w:jc w:val="both"/>
        <w:ind w:left="980"/>
        <w:spacing w:after="0" w:line="246" w:lineRule="auto"/>
        <w:rPr>
          <w:sz w:val="20"/>
          <w:szCs w:val="20"/>
          <w:color w:val="auto"/>
        </w:rPr>
      </w:pPr>
      <w:r>
        <w:rPr>
          <w:rFonts w:ascii="Arial" w:cs="Arial" w:eastAsia="Arial" w:hAnsi="Arial"/>
          <w:sz w:val="18"/>
          <w:szCs w:val="18"/>
          <w:color w:val="auto"/>
        </w:rPr>
        <w:t>Current income tax for current and prior periods is recognised at the amount expected to be paid to or recovered from the tax authorities, using the tax rates and tax laws that have been enacted or substantively enacted by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(continued)</w:t>
      </w:r>
    </w:p>
    <w:p>
      <w:pPr>
        <w:spacing w:after="0" w:line="166" w:lineRule="exact"/>
        <w:rPr>
          <w:sz w:val="20"/>
          <w:szCs w:val="20"/>
          <w:color w:val="auto"/>
        </w:rPr>
      </w:pPr>
    </w:p>
    <w:p>
      <w:pPr>
        <w:jc w:val="both"/>
        <w:ind w:left="980"/>
        <w:spacing w:after="0" w:line="239" w:lineRule="auto"/>
        <w:rPr>
          <w:sz w:val="20"/>
          <w:szCs w:val="20"/>
          <w:color w:val="auto"/>
        </w:rPr>
      </w:pPr>
      <w:r>
        <w:rPr>
          <w:rFonts w:ascii="Arial" w:cs="Arial" w:eastAsia="Arial" w:hAnsi="Arial"/>
          <w:sz w:val="18"/>
          <w:szCs w:val="18"/>
          <w:color w:val="auto"/>
        </w:rPr>
        <w:t>Deferred income tax is recognised for all temporary differences arising between the tax bases of assets and liabilities and their carrying amounts in the financial statements except when the deferred income tax arises from the initial recognition of goodwill or an asset or liability in a transaction that is not a business combination and affects neither accounting nor taxable profit or loss at the time of the transaction.</w:t>
      </w:r>
    </w:p>
    <w:p>
      <w:pPr>
        <w:spacing w:after="0" w:line="202"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A deferred income tax liability is recognised on temporary differences arising on investments in subsidiaries, except where the Group is able to control the timing of the reversal of the temporary difference and it is probable that the temporary difference will not reverse in the foreseeable future.</w:t>
      </w:r>
    </w:p>
    <w:p>
      <w:pPr>
        <w:spacing w:after="0" w:line="203" w:lineRule="exact"/>
        <w:rPr>
          <w:sz w:val="20"/>
          <w:szCs w:val="20"/>
          <w:color w:val="auto"/>
        </w:rPr>
      </w:pPr>
    </w:p>
    <w:p>
      <w:pPr>
        <w:jc w:val="both"/>
        <w:ind w:left="980"/>
        <w:spacing w:after="0" w:line="246" w:lineRule="auto"/>
        <w:rPr>
          <w:sz w:val="20"/>
          <w:szCs w:val="20"/>
          <w:color w:val="auto"/>
        </w:rPr>
      </w:pPr>
      <w:r>
        <w:rPr>
          <w:rFonts w:ascii="Arial" w:cs="Arial" w:eastAsia="Arial" w:hAnsi="Arial"/>
          <w:sz w:val="18"/>
          <w:szCs w:val="18"/>
          <w:color w:val="auto"/>
        </w:rPr>
        <w:t>A deferred income tax asset is recognised to the extent that it is probable that future taxable profit will be available against which the deductible temporary differences and tax losses can be utilised.</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Deferred income tax is measured:</w:t>
      </w:r>
    </w:p>
    <w:p>
      <w:pPr>
        <w:spacing w:after="0" w:line="239" w:lineRule="exact"/>
        <w:rPr>
          <w:sz w:val="20"/>
          <w:szCs w:val="20"/>
          <w:color w:val="auto"/>
        </w:rPr>
      </w:pPr>
    </w:p>
    <w:p>
      <w:pPr>
        <w:jc w:val="both"/>
        <w:ind w:left="1620" w:hanging="538"/>
        <w:spacing w:after="0"/>
        <w:tabs>
          <w:tab w:leader="none" w:pos="1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at the tax rates that are expected to apply when the related deferred income tax asset is realised or the deferred income tax liability is settled, based on tax rates and tax laws that have been enacted or substantively enacted by the balance sheet date; and</w:t>
      </w:r>
    </w:p>
    <w:p>
      <w:pPr>
        <w:spacing w:after="0" w:line="229" w:lineRule="exact"/>
        <w:rPr>
          <w:rFonts w:ascii="Arial" w:cs="Arial" w:eastAsia="Arial" w:hAnsi="Arial"/>
          <w:sz w:val="18"/>
          <w:szCs w:val="18"/>
          <w:color w:val="auto"/>
        </w:rPr>
      </w:pPr>
    </w:p>
    <w:p>
      <w:pPr>
        <w:jc w:val="both"/>
        <w:ind w:left="1620" w:hanging="538"/>
        <w:spacing w:after="0"/>
        <w:tabs>
          <w:tab w:leader="none" w:pos="1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the tax consequence that will follow from the manner in which the Group expects, at the balance sheet date, to recover or settle the carrying amounts of its assets and liabilities measured at fair value is presumed to be recovered entirely through sale.</w:t>
      </w:r>
    </w:p>
    <w:p>
      <w:pPr>
        <w:spacing w:after="0" w:line="203"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Current and deferred income taxes are recognised as income or expense in profit or loss, except to the extent that the tax arises from a business combination or a transaction which is recognised directly in equity. Deferred tax arising from a business combination is adjusted against goodwill on acquisition.</w:t>
      </w:r>
    </w:p>
    <w:p>
      <w:pPr>
        <w:spacing w:after="0" w:line="203"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The Group accounts for investment tax credits (for example, productivity and innovative credit) similar to accounting for other tax credits where deferred tax asset is recognised for unused tax credits to the extent that it is probable that future taxable profit will be available against which the unused tax credit can be utilised.</w:t>
      </w:r>
    </w:p>
    <w:p>
      <w:pPr>
        <w:spacing w:after="0" w:line="208"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7"/>
          <w:szCs w:val="17"/>
          <w:b w:val="1"/>
          <w:bCs w:val="1"/>
          <w:color w:val="auto"/>
        </w:rPr>
        <w:t>Provisions</w:t>
      </w:r>
    </w:p>
    <w:p>
      <w:pPr>
        <w:spacing w:after="0" w:line="234"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Provisions for warranty, accrued rebates and restructuring liabilities are recognised when the Group has a present legal or constructive obligation as a result of past events, it is more likely than not that an outflow of resources will be required to settle the obligation and the amount has been reliably estimated.</w:t>
      </w:r>
    </w:p>
    <w:p>
      <w:pPr>
        <w:spacing w:after="0" w:line="203" w:lineRule="exact"/>
        <w:rPr>
          <w:sz w:val="20"/>
          <w:szCs w:val="20"/>
          <w:color w:val="auto"/>
        </w:rPr>
      </w:pPr>
    </w:p>
    <w:p>
      <w:pPr>
        <w:jc w:val="both"/>
        <w:ind w:left="980"/>
        <w:spacing w:after="0" w:line="239" w:lineRule="auto"/>
        <w:rPr>
          <w:sz w:val="20"/>
          <w:szCs w:val="20"/>
          <w:color w:val="auto"/>
        </w:rPr>
      </w:pPr>
      <w:r>
        <w:rPr>
          <w:rFonts w:ascii="Arial" w:cs="Arial" w:eastAsia="Arial" w:hAnsi="Arial"/>
          <w:sz w:val="18"/>
          <w:szCs w:val="18"/>
          <w:color w:val="auto"/>
        </w:rPr>
        <w:t>Other provisions are measured at the present value of the expenditure expected to be required to settle the obligation using a pre-tax discount rate that reflects the current market assessment of the time value of money and the risks specific to the obligation. The increase in the provision due to the passage of time is recognised in the statement of comprehensive income as finance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7"/>
          <w:szCs w:val="17"/>
          <w:b w:val="1"/>
          <w:bCs w:val="1"/>
          <w:color w:val="auto"/>
        </w:rPr>
        <w:t xml:space="preserve">Provisions </w:t>
      </w:r>
      <w:r>
        <w:rPr>
          <w:rFonts w:ascii="Arial" w:cs="Arial" w:eastAsia="Arial" w:hAnsi="Arial"/>
          <w:sz w:val="17"/>
          <w:szCs w:val="17"/>
          <w:color w:val="auto"/>
        </w:rPr>
        <w:t>(continued)</w:t>
      </w:r>
    </w:p>
    <w:p>
      <w:pPr>
        <w:spacing w:after="0" w:line="166" w:lineRule="exact"/>
        <w:rPr>
          <w:sz w:val="20"/>
          <w:szCs w:val="20"/>
          <w:color w:val="auto"/>
        </w:rPr>
      </w:pPr>
    </w:p>
    <w:p>
      <w:pPr>
        <w:ind w:left="980"/>
        <w:spacing w:after="0" w:line="246" w:lineRule="auto"/>
        <w:rPr>
          <w:sz w:val="20"/>
          <w:szCs w:val="20"/>
          <w:color w:val="auto"/>
        </w:rPr>
      </w:pPr>
      <w:r>
        <w:rPr>
          <w:rFonts w:ascii="Arial" w:cs="Arial" w:eastAsia="Arial" w:hAnsi="Arial"/>
          <w:sz w:val="18"/>
          <w:szCs w:val="18"/>
          <w:color w:val="auto"/>
        </w:rPr>
        <w:t>Changes in the estimated timing or amount of the expenditure or discount rate are recognised in profit or loss when the changes arise.</w:t>
      </w:r>
    </w:p>
    <w:p>
      <w:pPr>
        <w:spacing w:after="0" w:line="202"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7"/>
          <w:szCs w:val="17"/>
          <w:b w:val="1"/>
          <w:bCs w:val="1"/>
          <w:color w:val="auto"/>
        </w:rPr>
        <w:t>Employee compensation</w:t>
      </w:r>
    </w:p>
    <w:p>
      <w:pPr>
        <w:spacing w:after="0" w:line="23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Employee benefits are recognised as an expense, unless the cost qualifies to be capitalised as an asset.</w:t>
      </w:r>
    </w:p>
    <w:p>
      <w:pPr>
        <w:spacing w:after="0" w:line="221" w:lineRule="exact"/>
        <w:rPr>
          <w:sz w:val="20"/>
          <w:szCs w:val="20"/>
          <w:color w:val="auto"/>
        </w:rPr>
      </w:pPr>
    </w:p>
    <w:p>
      <w:pPr>
        <w:ind w:left="1620" w:hanging="538"/>
        <w:spacing w:after="0"/>
        <w:tabs>
          <w:tab w:leader="none" w:pos="1620" w:val="left"/>
        </w:tabs>
        <w:numPr>
          <w:ilvl w:val="0"/>
          <w:numId w:val="160"/>
        </w:numPr>
        <w:rPr>
          <w:rFonts w:ascii="Arial" w:cs="Arial" w:eastAsia="Arial" w:hAnsi="Arial"/>
          <w:sz w:val="18"/>
          <w:szCs w:val="18"/>
          <w:i w:val="1"/>
          <w:iCs w:val="1"/>
          <w:color w:val="auto"/>
        </w:rPr>
      </w:pPr>
      <w:r>
        <w:rPr>
          <w:rFonts w:ascii="Arial" w:cs="Arial" w:eastAsia="Arial" w:hAnsi="Arial"/>
          <w:sz w:val="18"/>
          <w:szCs w:val="18"/>
          <w:i w:val="1"/>
          <w:iCs w:val="1"/>
          <w:color w:val="auto"/>
        </w:rPr>
        <w:t>Defined contribution plans</w:t>
      </w:r>
    </w:p>
    <w:p>
      <w:pPr>
        <w:spacing w:after="0" w:line="229" w:lineRule="exact"/>
        <w:rPr>
          <w:rFonts w:ascii="Arial" w:cs="Arial" w:eastAsia="Arial" w:hAnsi="Arial"/>
          <w:sz w:val="18"/>
          <w:szCs w:val="18"/>
          <w:i w:val="1"/>
          <w:iCs w:val="1"/>
          <w:color w:val="auto"/>
        </w:rPr>
      </w:pPr>
    </w:p>
    <w:p>
      <w:pPr>
        <w:jc w:val="both"/>
        <w:ind w:left="1640"/>
        <w:spacing w:after="0"/>
        <w:rPr>
          <w:rFonts w:ascii="Arial" w:cs="Arial" w:eastAsia="Arial" w:hAnsi="Arial"/>
          <w:sz w:val="18"/>
          <w:szCs w:val="18"/>
          <w:i w:val="1"/>
          <w:iCs w:val="1"/>
          <w:color w:val="auto"/>
        </w:rPr>
      </w:pPr>
      <w:r>
        <w:rPr>
          <w:rFonts w:ascii="Arial" w:cs="Arial" w:eastAsia="Arial" w:hAnsi="Arial"/>
          <w:sz w:val="18"/>
          <w:szCs w:val="18"/>
          <w:color w:val="auto"/>
        </w:rPr>
        <w:t>Defined contribution plans are post-employment benefit plans under which the Group pays fixed contributions into separate entities such as the Central Provident Fund on a mandatory, contractual or voluntary basis. The Group has no further payment obligations once the contributions have been paid.</w:t>
      </w:r>
    </w:p>
    <w:p>
      <w:pPr>
        <w:spacing w:after="0" w:line="211" w:lineRule="exact"/>
        <w:rPr>
          <w:rFonts w:ascii="Arial" w:cs="Arial" w:eastAsia="Arial" w:hAnsi="Arial"/>
          <w:sz w:val="18"/>
          <w:szCs w:val="18"/>
          <w:i w:val="1"/>
          <w:iCs w:val="1"/>
          <w:color w:val="auto"/>
        </w:rPr>
      </w:pPr>
    </w:p>
    <w:p>
      <w:pPr>
        <w:ind w:left="1620" w:hanging="538"/>
        <w:spacing w:after="0"/>
        <w:tabs>
          <w:tab w:leader="none" w:pos="1620" w:val="left"/>
        </w:tabs>
        <w:numPr>
          <w:ilvl w:val="0"/>
          <w:numId w:val="160"/>
        </w:numPr>
        <w:rPr>
          <w:rFonts w:ascii="Arial" w:cs="Arial" w:eastAsia="Arial" w:hAnsi="Arial"/>
          <w:sz w:val="18"/>
          <w:szCs w:val="18"/>
          <w:i w:val="1"/>
          <w:iCs w:val="1"/>
          <w:color w:val="auto"/>
        </w:rPr>
      </w:pPr>
      <w:r>
        <w:rPr>
          <w:rFonts w:ascii="Arial" w:cs="Arial" w:eastAsia="Arial" w:hAnsi="Arial"/>
          <w:sz w:val="18"/>
          <w:szCs w:val="18"/>
          <w:i w:val="1"/>
          <w:iCs w:val="1"/>
          <w:color w:val="auto"/>
        </w:rPr>
        <w:t>Share-based compensation</w:t>
      </w:r>
    </w:p>
    <w:p>
      <w:pPr>
        <w:spacing w:after="0" w:line="229" w:lineRule="exact"/>
        <w:rPr>
          <w:rFonts w:ascii="Arial" w:cs="Arial" w:eastAsia="Arial" w:hAnsi="Arial"/>
          <w:sz w:val="18"/>
          <w:szCs w:val="18"/>
          <w:i w:val="1"/>
          <w:iCs w:val="1"/>
          <w:color w:val="auto"/>
        </w:rPr>
      </w:pPr>
    </w:p>
    <w:p>
      <w:pPr>
        <w:jc w:val="both"/>
        <w:ind w:left="1640"/>
        <w:spacing w:after="0" w:line="236" w:lineRule="auto"/>
        <w:rPr>
          <w:rFonts w:ascii="Arial" w:cs="Arial" w:eastAsia="Arial" w:hAnsi="Arial"/>
          <w:sz w:val="18"/>
          <w:szCs w:val="18"/>
          <w:i w:val="1"/>
          <w:iCs w:val="1"/>
          <w:color w:val="auto"/>
        </w:rPr>
      </w:pPr>
      <w:r>
        <w:rPr>
          <w:rFonts w:ascii="Arial" w:cs="Arial" w:eastAsia="Arial" w:hAnsi="Arial"/>
          <w:sz w:val="18"/>
          <w:szCs w:val="18"/>
          <w:color w:val="auto"/>
        </w:rPr>
        <w:t>The Group operates an equity-settled, share-based compensation plan. The value of the employee services received in exchange for the grant of options is recognised as an expense with a corresponding increase in the share option reserve over the vesting period. The total amount to be recognised over the vesting period is determined by reference to the fair value of the options granted on grant date. Non-market vesting conditions are included in the estimation of the number of shares under options that are expected to become exercisable on the vesting date. At each balance sheet date, the Group revises its estimates of the number of shares under options that are expected to become exercisable on the vesting date and recognises the impact of the revision of the estimates in profit or loss, with a corresponding adjustment to the share option reserve over the remaining vesting period.</w:t>
      </w:r>
    </w:p>
    <w:p>
      <w:pPr>
        <w:spacing w:after="0" w:line="208"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When the options are exercised, the proceeds received (net of transaction costs) and the related balance previously recognised in the share option reserve are credited to share capital account.</w:t>
      </w:r>
    </w:p>
    <w:p>
      <w:pPr>
        <w:spacing w:after="0" w:line="205" w:lineRule="exact"/>
        <w:rPr>
          <w:rFonts w:ascii="Arial" w:cs="Arial" w:eastAsia="Arial" w:hAnsi="Arial"/>
          <w:sz w:val="18"/>
          <w:szCs w:val="18"/>
          <w:i w:val="1"/>
          <w:iCs w:val="1"/>
          <w:color w:val="auto"/>
        </w:rPr>
      </w:pPr>
    </w:p>
    <w:p>
      <w:pPr>
        <w:ind w:left="1620" w:hanging="538"/>
        <w:spacing w:after="0"/>
        <w:tabs>
          <w:tab w:leader="none" w:pos="1620" w:val="left"/>
        </w:tabs>
        <w:numPr>
          <w:ilvl w:val="0"/>
          <w:numId w:val="160"/>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benefits</w:t>
      </w:r>
    </w:p>
    <w:p>
      <w:pPr>
        <w:spacing w:after="0" w:line="229" w:lineRule="exact"/>
        <w:rPr>
          <w:rFonts w:ascii="Arial" w:cs="Arial" w:eastAsia="Arial" w:hAnsi="Arial"/>
          <w:sz w:val="18"/>
          <w:szCs w:val="18"/>
          <w:i w:val="1"/>
          <w:iCs w:val="1"/>
          <w:color w:val="auto"/>
        </w:rPr>
      </w:pPr>
    </w:p>
    <w:p>
      <w:pPr>
        <w:jc w:val="both"/>
        <w:ind w:left="1640"/>
        <w:spacing w:after="0" w:line="237" w:lineRule="auto"/>
        <w:rPr>
          <w:rFonts w:ascii="Arial" w:cs="Arial" w:eastAsia="Arial" w:hAnsi="Arial"/>
          <w:sz w:val="18"/>
          <w:szCs w:val="18"/>
          <w:i w:val="1"/>
          <w:iCs w:val="1"/>
          <w:color w:val="auto"/>
        </w:rPr>
      </w:pPr>
      <w:r>
        <w:rPr>
          <w:rFonts w:ascii="Arial" w:cs="Arial" w:eastAsia="Arial" w:hAnsi="Arial"/>
          <w:sz w:val="18"/>
          <w:szCs w:val="18"/>
          <w:color w:val="auto"/>
        </w:rPr>
        <w:t>Termination benefits are those benefits which are payable when employment is terminated before the normal retirement date, or whenever an employee accepts voluntary redundancy in exchange for these benefits. The Group recognises termination benefits at the earlier of the following dates: (a) when the Group can no longer withdraw the offer of those benefits; and (b) when the Group recognises costs for a restructuring that is within the scope of FRS 37 and involves the payment of termination benefits. In the case of an offer made to encourage voluntary redundancy, the termination benefits are measured based on the number of employees expected to accept the offer. Benefits falling due more than 12 months after the end of the reporting period are discounted to their present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7"/>
          <w:szCs w:val="17"/>
          <w:b w:val="1"/>
          <w:bCs w:val="1"/>
          <w:color w:val="auto"/>
        </w:rPr>
        <w:t xml:space="preserve">Employee compensation </w:t>
      </w:r>
      <w:r>
        <w:rPr>
          <w:rFonts w:ascii="Arial" w:cs="Arial" w:eastAsia="Arial" w:hAnsi="Arial"/>
          <w:sz w:val="17"/>
          <w:szCs w:val="17"/>
          <w:color w:val="auto"/>
        </w:rPr>
        <w:t>(continued)</w:t>
      </w:r>
    </w:p>
    <w:p>
      <w:pPr>
        <w:spacing w:after="0" w:line="148" w:lineRule="exact"/>
        <w:rPr>
          <w:sz w:val="20"/>
          <w:szCs w:val="20"/>
          <w:color w:val="auto"/>
        </w:rPr>
      </w:pPr>
    </w:p>
    <w:p>
      <w:pPr>
        <w:ind w:left="1620" w:hanging="538"/>
        <w:spacing w:after="0"/>
        <w:tabs>
          <w:tab w:leader="none" w:pos="1620" w:val="left"/>
        </w:tabs>
        <w:numPr>
          <w:ilvl w:val="0"/>
          <w:numId w:val="162"/>
        </w:numPr>
        <w:rPr>
          <w:rFonts w:ascii="Arial" w:cs="Arial" w:eastAsia="Arial" w:hAnsi="Arial"/>
          <w:sz w:val="18"/>
          <w:szCs w:val="18"/>
          <w:i w:val="1"/>
          <w:iCs w:val="1"/>
          <w:color w:val="auto"/>
        </w:rPr>
      </w:pPr>
      <w:r>
        <w:rPr>
          <w:rFonts w:ascii="Arial" w:cs="Arial" w:eastAsia="Arial" w:hAnsi="Arial"/>
          <w:sz w:val="18"/>
          <w:szCs w:val="18"/>
          <w:i w:val="1"/>
          <w:iCs w:val="1"/>
          <w:color w:val="auto"/>
        </w:rPr>
        <w:t>Defined benefit plans</w:t>
      </w:r>
    </w:p>
    <w:p>
      <w:pPr>
        <w:spacing w:after="0" w:line="229" w:lineRule="exact"/>
        <w:rPr>
          <w:rFonts w:ascii="Arial" w:cs="Arial" w:eastAsia="Arial" w:hAnsi="Arial"/>
          <w:sz w:val="18"/>
          <w:szCs w:val="18"/>
          <w:i w:val="1"/>
          <w:iCs w:val="1"/>
          <w:color w:val="auto"/>
        </w:rPr>
      </w:pPr>
    </w:p>
    <w:p>
      <w:pPr>
        <w:jc w:val="both"/>
        <w:ind w:left="1640"/>
        <w:spacing w:after="0"/>
        <w:rPr>
          <w:rFonts w:ascii="Arial" w:cs="Arial" w:eastAsia="Arial" w:hAnsi="Arial"/>
          <w:sz w:val="18"/>
          <w:szCs w:val="18"/>
          <w:i w:val="1"/>
          <w:iCs w:val="1"/>
          <w:color w:val="auto"/>
        </w:rPr>
      </w:pPr>
      <w:r>
        <w:rPr>
          <w:rFonts w:ascii="Arial" w:cs="Arial" w:eastAsia="Arial" w:hAnsi="Arial"/>
          <w:sz w:val="18"/>
          <w:szCs w:val="18"/>
          <w:color w:val="auto"/>
        </w:rPr>
        <w:t>The Group’s net obligation in respect of defined benefit plans is calculated separately for each plan by estimating the amount of future benefit that employees have earned in the current and prior periods, discounting that amount and deducting the fair value of any plan assets.</w:t>
      </w:r>
    </w:p>
    <w:p>
      <w:pPr>
        <w:spacing w:after="0" w:line="202" w:lineRule="exact"/>
        <w:rPr>
          <w:rFonts w:ascii="Arial" w:cs="Arial" w:eastAsia="Arial" w:hAnsi="Arial"/>
          <w:sz w:val="18"/>
          <w:szCs w:val="18"/>
          <w:i w:val="1"/>
          <w:iCs w:val="1"/>
          <w:color w:val="auto"/>
        </w:rPr>
      </w:pPr>
    </w:p>
    <w:p>
      <w:pPr>
        <w:jc w:val="both"/>
        <w:ind w:left="1640"/>
        <w:spacing w:after="0" w:line="238" w:lineRule="auto"/>
        <w:rPr>
          <w:rFonts w:ascii="Arial" w:cs="Arial" w:eastAsia="Arial" w:hAnsi="Arial"/>
          <w:sz w:val="18"/>
          <w:szCs w:val="18"/>
          <w:i w:val="1"/>
          <w:iCs w:val="1"/>
          <w:color w:val="auto"/>
        </w:rPr>
      </w:pPr>
      <w:r>
        <w:rPr>
          <w:rFonts w:ascii="Arial" w:cs="Arial" w:eastAsia="Arial" w:hAnsi="Arial"/>
          <w:sz w:val="18"/>
          <w:szCs w:val="18"/>
          <w:color w:val="auto"/>
        </w:rPr>
        <w:t>The calculation of defined benefit obligations is performed annually by a qualified actuary using the projected unit credit method. When the calculation results in a potential asset for the Group, the recognised asset is limited to the present value of economic benefits available in the form of any future refunds from the plan or reductions in future contributions to the plan. To calculate the present value of economic benefits, consideration is given to any applicable minimum funding requirements.</w:t>
      </w:r>
    </w:p>
    <w:p>
      <w:pPr>
        <w:spacing w:after="0" w:line="202" w:lineRule="exact"/>
        <w:rPr>
          <w:rFonts w:ascii="Arial" w:cs="Arial" w:eastAsia="Arial" w:hAnsi="Arial"/>
          <w:sz w:val="18"/>
          <w:szCs w:val="18"/>
          <w:i w:val="1"/>
          <w:iCs w:val="1"/>
          <w:color w:val="auto"/>
        </w:rPr>
      </w:pPr>
    </w:p>
    <w:p>
      <w:pPr>
        <w:jc w:val="both"/>
        <w:ind w:left="1640"/>
        <w:spacing w:after="0" w:line="236" w:lineRule="auto"/>
        <w:rPr>
          <w:rFonts w:ascii="Arial" w:cs="Arial" w:eastAsia="Arial" w:hAnsi="Arial"/>
          <w:sz w:val="18"/>
          <w:szCs w:val="18"/>
          <w:i w:val="1"/>
          <w:iCs w:val="1"/>
          <w:color w:val="auto"/>
        </w:rPr>
      </w:pPr>
      <w:r>
        <w:rPr>
          <w:rFonts w:ascii="Arial" w:cs="Arial" w:eastAsia="Arial" w:hAnsi="Arial"/>
          <w:sz w:val="18"/>
          <w:szCs w:val="18"/>
          <w:color w:val="auto"/>
        </w:rPr>
        <w:t>Re-measurements of the net defined benefit liability, which comprise actuarial gains and losses, the return on plan assets (excluding interest) and the effect of the asset ceiling (if any, excluding interest), are recognised immediately in Other Comprehensive Income. The Group determines the net interest expense (income) on the net defined benefit liability (asset) for the period by applying the discount rate used to measure the defined benefit obligation at the beginning of the annual period to the then net defined benefit liability/(asset), taking into account any changes in the net defined benefit liability/(asset) during the period as a result of contributions and benefit payments. Net interest expense and other expenses related to defined benefit plans are recognised in profit or loss. Actuarial gains and losses arising from experience adjustments and changes in actuarial assumptions are charged to other comprehensive income in the period when they arise. The experience adjustments are not to be reclassified to profit or loss in a subsequent period.</w:t>
      </w:r>
    </w:p>
    <w:p>
      <w:pPr>
        <w:spacing w:after="0" w:line="234" w:lineRule="exact"/>
        <w:rPr>
          <w:rFonts w:ascii="Arial" w:cs="Arial" w:eastAsia="Arial" w:hAnsi="Arial"/>
          <w:sz w:val="18"/>
          <w:szCs w:val="18"/>
          <w:i w:val="1"/>
          <w:iCs w:val="1"/>
          <w:color w:val="auto"/>
        </w:rPr>
      </w:pPr>
    </w:p>
    <w:p>
      <w:pPr>
        <w:ind w:left="2180" w:hanging="545"/>
        <w:spacing w:after="0"/>
        <w:tabs>
          <w:tab w:leader="none" w:pos="21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211" w:lineRule="exact"/>
        <w:rPr>
          <w:rFonts w:ascii="Arial" w:cs="Arial" w:eastAsia="Arial" w:hAnsi="Arial"/>
          <w:sz w:val="18"/>
          <w:szCs w:val="18"/>
          <w:color w:val="auto"/>
        </w:rPr>
      </w:pPr>
    </w:p>
    <w:p>
      <w:pPr>
        <w:jc w:val="both"/>
        <w:ind w:left="2180"/>
        <w:spacing w:after="0"/>
        <w:rPr>
          <w:rFonts w:ascii="Arial" w:cs="Arial" w:eastAsia="Arial" w:hAnsi="Arial"/>
          <w:sz w:val="18"/>
          <w:szCs w:val="18"/>
          <w:color w:val="auto"/>
        </w:rPr>
      </w:pPr>
      <w:r>
        <w:rPr>
          <w:rFonts w:ascii="Arial" w:cs="Arial" w:eastAsia="Arial" w:hAnsi="Arial"/>
          <w:sz w:val="18"/>
          <w:szCs w:val="18"/>
          <w:color w:val="auto"/>
        </w:rPr>
        <w:t>Post-retirement benefit plan assets and liabilities are estimates of benefits that the Group expects to pay to eligible retirees. The Group considers various factors in determining the value of the post-retirement net assets, including the number of employees that the Group expects to receive benefits and other actuarial assumptions.</w:t>
      </w:r>
    </w:p>
    <w:p>
      <w:pPr>
        <w:spacing w:after="0" w:line="229" w:lineRule="exact"/>
        <w:rPr>
          <w:rFonts w:ascii="Arial" w:cs="Arial" w:eastAsia="Arial" w:hAnsi="Arial"/>
          <w:sz w:val="18"/>
          <w:szCs w:val="18"/>
          <w:color w:val="auto"/>
        </w:rPr>
      </w:pPr>
    </w:p>
    <w:p>
      <w:pPr>
        <w:ind w:left="2180" w:hanging="545"/>
        <w:spacing w:after="0"/>
        <w:tabs>
          <w:tab w:leader="none" w:pos="21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Defined benefit pension plans</w:t>
      </w:r>
    </w:p>
    <w:p>
      <w:pPr>
        <w:spacing w:after="0" w:line="211" w:lineRule="exact"/>
        <w:rPr>
          <w:rFonts w:ascii="Arial" w:cs="Arial" w:eastAsia="Arial" w:hAnsi="Arial"/>
          <w:sz w:val="18"/>
          <w:szCs w:val="18"/>
          <w:color w:val="auto"/>
        </w:rPr>
      </w:pPr>
    </w:p>
    <w:p>
      <w:pPr>
        <w:jc w:val="both"/>
        <w:ind w:left="2180"/>
        <w:spacing w:after="0" w:line="238" w:lineRule="auto"/>
        <w:rPr>
          <w:rFonts w:ascii="Arial" w:cs="Arial" w:eastAsia="Arial" w:hAnsi="Arial"/>
          <w:sz w:val="18"/>
          <w:szCs w:val="18"/>
          <w:color w:val="auto"/>
        </w:rPr>
      </w:pPr>
      <w:r>
        <w:rPr>
          <w:rFonts w:ascii="Arial" w:cs="Arial" w:eastAsia="Arial" w:hAnsi="Arial"/>
          <w:sz w:val="18"/>
          <w:szCs w:val="18"/>
          <w:color w:val="auto"/>
        </w:rPr>
        <w:t>The Group considers various factors in determining the respective pension liabilities and net periodic benefit costs, including the number of employees that the Group expects to receive benefits, their salary levels and years of service, the expected return on plan assets, the discount rate, the timing of the payment of benefits, and other actuarial assumptions. If the actual results and events of the retirement benefit plans differ from current assumptions, the benefit obligations may be over- or under-valued. The key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7"/>
          <w:szCs w:val="17"/>
          <w:b w:val="1"/>
          <w:bCs w:val="1"/>
          <w:color w:val="auto"/>
        </w:rPr>
        <w:t xml:space="preserve">Employee compensation </w:t>
      </w:r>
      <w:r>
        <w:rPr>
          <w:rFonts w:ascii="Arial" w:cs="Arial" w:eastAsia="Arial" w:hAnsi="Arial"/>
          <w:sz w:val="17"/>
          <w:szCs w:val="17"/>
          <w:color w:val="auto"/>
        </w:rPr>
        <w:t>(continued)</w:t>
      </w:r>
    </w:p>
    <w:p>
      <w:pPr>
        <w:spacing w:after="0" w:line="148" w:lineRule="exact"/>
        <w:rPr>
          <w:sz w:val="20"/>
          <w:szCs w:val="20"/>
          <w:color w:val="auto"/>
        </w:rPr>
      </w:pPr>
    </w:p>
    <w:p>
      <w:pPr>
        <w:ind w:left="1620" w:hanging="538"/>
        <w:spacing w:after="0"/>
        <w:tabs>
          <w:tab w:leader="none" w:pos="1620" w:val="left"/>
        </w:tabs>
        <w:numPr>
          <w:ilvl w:val="0"/>
          <w:numId w:val="16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Defined benefit plans </w:t>
      </w:r>
      <w:r>
        <w:rPr>
          <w:rFonts w:ascii="Arial" w:cs="Arial" w:eastAsia="Arial" w:hAnsi="Arial"/>
          <w:sz w:val="18"/>
          <w:szCs w:val="18"/>
          <w:color w:val="auto"/>
        </w:rPr>
        <w:t>(continued)</w:t>
      </w:r>
    </w:p>
    <w:p>
      <w:pPr>
        <w:spacing w:after="0" w:line="144" w:lineRule="exact"/>
        <w:rPr>
          <w:rFonts w:ascii="Arial" w:cs="Arial" w:eastAsia="Arial" w:hAnsi="Arial"/>
          <w:sz w:val="18"/>
          <w:szCs w:val="18"/>
          <w:i w:val="1"/>
          <w:iCs w:val="1"/>
          <w:color w:val="auto"/>
        </w:rPr>
      </w:pPr>
    </w:p>
    <w:p>
      <w:pPr>
        <w:ind w:left="2180" w:hanging="545"/>
        <w:spacing w:after="0"/>
        <w:tabs>
          <w:tab w:leader="none" w:pos="21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Defined benefit pension plans </w:t>
      </w:r>
      <w:r>
        <w:rPr>
          <w:rFonts w:ascii="Arial" w:cs="Arial" w:eastAsia="Arial" w:hAnsi="Arial"/>
          <w:sz w:val="18"/>
          <w:szCs w:val="18"/>
          <w:i w:val="1"/>
          <w:iCs w:val="1"/>
          <w:color w:val="auto"/>
        </w:rPr>
        <w:t>(continued)</w:t>
      </w:r>
    </w:p>
    <w:p>
      <w:pPr>
        <w:spacing w:after="0" w:line="162" w:lineRule="exact"/>
        <w:rPr>
          <w:rFonts w:ascii="Arial" w:cs="Arial" w:eastAsia="Arial" w:hAnsi="Arial"/>
          <w:sz w:val="18"/>
          <w:szCs w:val="18"/>
          <w:color w:val="auto"/>
        </w:rPr>
      </w:pPr>
    </w:p>
    <w:p>
      <w:pPr>
        <w:jc w:val="both"/>
        <w:ind w:left="2180"/>
        <w:spacing w:after="0"/>
        <w:rPr>
          <w:rFonts w:ascii="Arial" w:cs="Arial" w:eastAsia="Arial" w:hAnsi="Arial"/>
          <w:sz w:val="18"/>
          <w:szCs w:val="18"/>
          <w:color w:val="auto"/>
        </w:rPr>
      </w:pPr>
      <w:r>
        <w:rPr>
          <w:rFonts w:ascii="Arial" w:cs="Arial" w:eastAsia="Arial" w:hAnsi="Arial"/>
          <w:sz w:val="18"/>
          <w:szCs w:val="18"/>
          <w:color w:val="auto"/>
        </w:rPr>
        <w:t>assumptions are the discount rate and the expected rate of return on plan assets. The assumptions discussed below are for the U.S. retirement benefit plans. For the non-U.S. plans, the Group chooses assumptions specific to each country.</w:t>
      </w:r>
    </w:p>
    <w:p>
      <w:pPr>
        <w:spacing w:after="0" w:line="202" w:lineRule="exact"/>
        <w:rPr>
          <w:rFonts w:ascii="Arial" w:cs="Arial" w:eastAsia="Arial" w:hAnsi="Arial"/>
          <w:sz w:val="18"/>
          <w:szCs w:val="18"/>
          <w:color w:val="auto"/>
        </w:rPr>
      </w:pPr>
    </w:p>
    <w:p>
      <w:pPr>
        <w:jc w:val="both"/>
        <w:ind w:left="2180"/>
        <w:spacing w:after="0" w:line="237" w:lineRule="auto"/>
        <w:rPr>
          <w:rFonts w:ascii="Arial" w:cs="Arial" w:eastAsia="Arial" w:hAnsi="Arial"/>
          <w:sz w:val="18"/>
          <w:szCs w:val="18"/>
          <w:color w:val="auto"/>
        </w:rPr>
      </w:pPr>
      <w:r>
        <w:rPr>
          <w:rFonts w:ascii="Arial" w:cs="Arial" w:eastAsia="Arial" w:hAnsi="Arial"/>
          <w:sz w:val="18"/>
          <w:szCs w:val="18"/>
          <w:color w:val="auto"/>
        </w:rPr>
        <w:t>The U.S. discount rates are based on the results of matching expected plan benefit payments with cash flows from a hypothetical yield curve constructed with high-quality corporate bond yields. The Group bases the salary increase assumptions on historical experience and future expectations. In developing the expected rate of return, the Group considers long-term compound annualized returns based on historical market data, historical and expected returns on the various categories of plan assets, and the target investment portfolio allocation among debt, equity securities and other investments.</w:t>
      </w:r>
    </w:p>
    <w:p>
      <w:pPr>
        <w:spacing w:after="0" w:line="21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7"/>
          <w:szCs w:val="17"/>
          <w:b w:val="1"/>
          <w:bCs w:val="1"/>
          <w:color w:val="auto"/>
        </w:rPr>
        <w:t>Currency translation</w:t>
      </w:r>
    </w:p>
    <w:p>
      <w:pPr>
        <w:spacing w:after="0" w:line="243" w:lineRule="exact"/>
        <w:rPr>
          <w:sz w:val="20"/>
          <w:szCs w:val="20"/>
          <w:color w:val="auto"/>
        </w:rPr>
      </w:pPr>
    </w:p>
    <w:p>
      <w:pPr>
        <w:ind w:left="1620" w:hanging="538"/>
        <w:spacing w:after="0"/>
        <w:tabs>
          <w:tab w:leader="none" w:pos="1620" w:val="left"/>
        </w:tabs>
        <w:numPr>
          <w:ilvl w:val="0"/>
          <w:numId w:val="165"/>
        </w:numPr>
        <w:rPr>
          <w:rFonts w:ascii="Arial" w:cs="Arial" w:eastAsia="Arial" w:hAnsi="Arial"/>
          <w:sz w:val="18"/>
          <w:szCs w:val="18"/>
          <w:i w:val="1"/>
          <w:iCs w:val="1"/>
          <w:color w:val="auto"/>
        </w:rPr>
      </w:pPr>
      <w:r>
        <w:rPr>
          <w:rFonts w:ascii="Arial" w:cs="Arial" w:eastAsia="Arial" w:hAnsi="Arial"/>
          <w:sz w:val="18"/>
          <w:szCs w:val="18"/>
          <w:i w:val="1"/>
          <w:iCs w:val="1"/>
          <w:color w:val="auto"/>
        </w:rPr>
        <w:t>Functional and presentation currency</w:t>
      </w:r>
    </w:p>
    <w:p>
      <w:pPr>
        <w:spacing w:after="0" w:line="229" w:lineRule="exact"/>
        <w:rPr>
          <w:rFonts w:ascii="Arial" w:cs="Arial" w:eastAsia="Arial" w:hAnsi="Arial"/>
          <w:sz w:val="18"/>
          <w:szCs w:val="18"/>
          <w:i w:val="1"/>
          <w:iCs w:val="1"/>
          <w:color w:val="auto"/>
        </w:rPr>
      </w:pPr>
    </w:p>
    <w:p>
      <w:pPr>
        <w:jc w:val="both"/>
        <w:ind w:left="1640"/>
        <w:spacing w:after="0"/>
        <w:rPr>
          <w:rFonts w:ascii="Arial" w:cs="Arial" w:eastAsia="Arial" w:hAnsi="Arial"/>
          <w:sz w:val="18"/>
          <w:szCs w:val="18"/>
          <w:i w:val="1"/>
          <w:iCs w:val="1"/>
          <w:color w:val="auto"/>
        </w:rPr>
      </w:pPr>
      <w:r>
        <w:rPr>
          <w:rFonts w:ascii="Arial" w:cs="Arial" w:eastAsia="Arial" w:hAnsi="Arial"/>
          <w:sz w:val="18"/>
          <w:szCs w:val="18"/>
          <w:color w:val="auto"/>
        </w:rPr>
        <w:t>Items included in the financial statements of each entity in the Group are measured using the currency of the primary economic environment in which the entity operates (“functional currency”). The financial statements are presented in U.S. dollar which is the functional currency of the Company.</w:t>
      </w:r>
    </w:p>
    <w:p>
      <w:pPr>
        <w:spacing w:after="0" w:line="211" w:lineRule="exact"/>
        <w:rPr>
          <w:rFonts w:ascii="Arial" w:cs="Arial" w:eastAsia="Arial" w:hAnsi="Arial"/>
          <w:sz w:val="18"/>
          <w:szCs w:val="18"/>
          <w:i w:val="1"/>
          <w:iCs w:val="1"/>
          <w:color w:val="auto"/>
        </w:rPr>
      </w:pPr>
    </w:p>
    <w:p>
      <w:pPr>
        <w:ind w:left="1620" w:hanging="538"/>
        <w:spacing w:after="0"/>
        <w:tabs>
          <w:tab w:leader="none" w:pos="1620" w:val="left"/>
        </w:tabs>
        <w:numPr>
          <w:ilvl w:val="0"/>
          <w:numId w:val="165"/>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Transactions and balances</w:t>
      </w:r>
    </w:p>
    <w:p>
      <w:pPr>
        <w:spacing w:after="0" w:line="229" w:lineRule="exact"/>
        <w:rPr>
          <w:rFonts w:ascii="Arial" w:cs="Arial" w:eastAsia="Arial" w:hAnsi="Arial"/>
          <w:sz w:val="18"/>
          <w:szCs w:val="18"/>
          <w:i w:val="1"/>
          <w:iCs w:val="1"/>
          <w:color w:val="auto"/>
        </w:rPr>
      </w:pPr>
    </w:p>
    <w:p>
      <w:pPr>
        <w:jc w:val="both"/>
        <w:ind w:left="1640"/>
        <w:spacing w:after="0" w:line="237" w:lineRule="auto"/>
        <w:rPr>
          <w:rFonts w:ascii="Arial" w:cs="Arial" w:eastAsia="Arial" w:hAnsi="Arial"/>
          <w:sz w:val="18"/>
          <w:szCs w:val="18"/>
          <w:i w:val="1"/>
          <w:iCs w:val="1"/>
          <w:color w:val="auto"/>
        </w:rPr>
      </w:pPr>
      <w:r>
        <w:rPr>
          <w:rFonts w:ascii="Arial" w:cs="Arial" w:eastAsia="Arial" w:hAnsi="Arial"/>
          <w:sz w:val="18"/>
          <w:szCs w:val="18"/>
          <w:color w:val="auto"/>
        </w:rPr>
        <w:t>Transactions in a currency other than the functional currency (“foreign currency”) are translated into the functional currency using the exchange rates at the dates of the transactions. Currency exchange differences resulting from the settlement of such transactions and from the translation of monetary assets and liabilities denominated in foreign currencies at the closing rates at the balance sheet date are recognised in profit or loss. However, in the consolidated financial statements, currency translation differences arising from borrowings in foreign currencies and other currency instruments designated and qualifying as net investment hedges and net investment in foreign operations, are recognised in other comprehensive income and accumulated in the currency translation reserve.</w:t>
      </w:r>
    </w:p>
    <w:p>
      <w:pPr>
        <w:spacing w:after="0" w:line="203" w:lineRule="exact"/>
        <w:rPr>
          <w:rFonts w:ascii="Arial" w:cs="Arial" w:eastAsia="Arial" w:hAnsi="Arial"/>
          <w:sz w:val="18"/>
          <w:szCs w:val="18"/>
          <w:i w:val="1"/>
          <w:iCs w:val="1"/>
          <w:color w:val="auto"/>
        </w:rPr>
      </w:pPr>
    </w:p>
    <w:p>
      <w:pPr>
        <w:jc w:val="both"/>
        <w:ind w:left="1640"/>
        <w:spacing w:after="0"/>
        <w:rPr>
          <w:rFonts w:ascii="Arial" w:cs="Arial" w:eastAsia="Arial" w:hAnsi="Arial"/>
          <w:sz w:val="18"/>
          <w:szCs w:val="18"/>
          <w:i w:val="1"/>
          <w:iCs w:val="1"/>
          <w:color w:val="auto"/>
        </w:rPr>
      </w:pPr>
      <w:r>
        <w:rPr>
          <w:rFonts w:ascii="Arial" w:cs="Arial" w:eastAsia="Arial" w:hAnsi="Arial"/>
          <w:sz w:val="18"/>
          <w:szCs w:val="18"/>
          <w:color w:val="auto"/>
        </w:rPr>
        <w:t>When a foreign operation is disposed of or any loan forming part of the net investment of the foreign operation is repaid, a proportionate share of the accumulated currency translation differences is reclassified to profit or loss, as part of the gain or loss on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7"/>
          <w:szCs w:val="17"/>
          <w:b w:val="1"/>
          <w:bCs w:val="1"/>
          <w:color w:val="auto"/>
        </w:rPr>
        <w:t xml:space="preserve">Currency translation </w:t>
      </w:r>
      <w:r>
        <w:rPr>
          <w:rFonts w:ascii="Arial" w:cs="Arial" w:eastAsia="Arial" w:hAnsi="Arial"/>
          <w:sz w:val="17"/>
          <w:szCs w:val="17"/>
          <w:color w:val="auto"/>
        </w:rPr>
        <w:t>(continued)</w:t>
      </w:r>
    </w:p>
    <w:p>
      <w:pPr>
        <w:spacing w:after="0" w:line="148" w:lineRule="exact"/>
        <w:rPr>
          <w:sz w:val="20"/>
          <w:szCs w:val="20"/>
          <w:color w:val="auto"/>
        </w:rPr>
      </w:pPr>
    </w:p>
    <w:p>
      <w:pPr>
        <w:ind w:left="1620" w:hanging="538"/>
        <w:spacing w:after="0"/>
        <w:tabs>
          <w:tab w:leader="none" w:pos="1620" w:val="left"/>
        </w:tabs>
        <w:numPr>
          <w:ilvl w:val="0"/>
          <w:numId w:val="16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Transactions and balances </w:t>
      </w:r>
      <w:r>
        <w:rPr>
          <w:rFonts w:ascii="Arial" w:cs="Arial" w:eastAsia="Arial" w:hAnsi="Arial"/>
          <w:sz w:val="18"/>
          <w:szCs w:val="18"/>
          <w:color w:val="auto"/>
        </w:rPr>
        <w:t>(continued)</w:t>
      </w:r>
    </w:p>
    <w:p>
      <w:pPr>
        <w:spacing w:after="0" w:line="162" w:lineRule="exact"/>
        <w:rPr>
          <w:rFonts w:ascii="Arial" w:cs="Arial" w:eastAsia="Arial" w:hAnsi="Arial"/>
          <w:sz w:val="18"/>
          <w:szCs w:val="18"/>
          <w:i w:val="1"/>
          <w:iCs w:val="1"/>
          <w:color w:val="auto"/>
        </w:rPr>
      </w:pPr>
    </w:p>
    <w:p>
      <w:pPr>
        <w:jc w:val="both"/>
        <w:ind w:left="1640"/>
        <w:spacing w:after="0"/>
        <w:rPr>
          <w:rFonts w:ascii="Arial" w:cs="Arial" w:eastAsia="Arial" w:hAnsi="Arial"/>
          <w:sz w:val="18"/>
          <w:szCs w:val="18"/>
          <w:i w:val="1"/>
          <w:iCs w:val="1"/>
          <w:color w:val="auto"/>
        </w:rPr>
      </w:pPr>
      <w:r>
        <w:rPr>
          <w:rFonts w:ascii="Arial" w:cs="Arial" w:eastAsia="Arial" w:hAnsi="Arial"/>
          <w:sz w:val="18"/>
          <w:szCs w:val="18"/>
          <w:color w:val="auto"/>
        </w:rPr>
        <w:t>Foreign exchange gains and losses that relate to borrowings are presented in the income statement within “finance cost”. All other foreign exchange gains and losses impacting profit or loss are presented in the income statement within “other gains and losses”.</w:t>
      </w:r>
    </w:p>
    <w:p>
      <w:pPr>
        <w:spacing w:after="0" w:line="202"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Non-monetary items measured at fair values in foreign currencies are translated using the exchange rates at the date when the fair values are determined.</w:t>
      </w:r>
    </w:p>
    <w:p>
      <w:pPr>
        <w:spacing w:after="0" w:line="205" w:lineRule="exact"/>
        <w:rPr>
          <w:rFonts w:ascii="Arial" w:cs="Arial" w:eastAsia="Arial" w:hAnsi="Arial"/>
          <w:sz w:val="18"/>
          <w:szCs w:val="18"/>
          <w:i w:val="1"/>
          <w:iCs w:val="1"/>
          <w:color w:val="auto"/>
        </w:rPr>
      </w:pPr>
    </w:p>
    <w:p>
      <w:pPr>
        <w:ind w:left="1620" w:hanging="538"/>
        <w:spacing w:after="0"/>
        <w:tabs>
          <w:tab w:leader="none" w:pos="1620" w:val="left"/>
        </w:tabs>
        <w:numPr>
          <w:ilvl w:val="0"/>
          <w:numId w:val="167"/>
        </w:numPr>
        <w:rPr>
          <w:rFonts w:ascii="Arial" w:cs="Arial" w:eastAsia="Arial" w:hAnsi="Arial"/>
          <w:sz w:val="18"/>
          <w:szCs w:val="18"/>
          <w:i w:val="1"/>
          <w:iCs w:val="1"/>
          <w:color w:val="auto"/>
        </w:rPr>
      </w:pPr>
      <w:r>
        <w:rPr>
          <w:rFonts w:ascii="Arial" w:cs="Arial" w:eastAsia="Arial" w:hAnsi="Arial"/>
          <w:sz w:val="18"/>
          <w:szCs w:val="18"/>
          <w:i w:val="1"/>
          <w:iCs w:val="1"/>
          <w:color w:val="auto"/>
        </w:rPr>
        <w:t>Translation of Group entities’ financial statements</w:t>
      </w:r>
    </w:p>
    <w:p>
      <w:pPr>
        <w:spacing w:after="0" w:line="229" w:lineRule="exact"/>
        <w:rPr>
          <w:rFonts w:ascii="Arial" w:cs="Arial" w:eastAsia="Arial" w:hAnsi="Arial"/>
          <w:sz w:val="18"/>
          <w:szCs w:val="18"/>
          <w:i w:val="1"/>
          <w:iCs w:val="1"/>
          <w:color w:val="auto"/>
        </w:rPr>
      </w:pPr>
    </w:p>
    <w:p>
      <w:pPr>
        <w:jc w:val="both"/>
        <w:ind w:left="1640"/>
        <w:spacing w:after="0"/>
        <w:rPr>
          <w:rFonts w:ascii="Arial" w:cs="Arial" w:eastAsia="Arial" w:hAnsi="Arial"/>
          <w:sz w:val="18"/>
          <w:szCs w:val="18"/>
          <w:i w:val="1"/>
          <w:iCs w:val="1"/>
          <w:color w:val="auto"/>
        </w:rPr>
      </w:pPr>
      <w:r>
        <w:rPr>
          <w:rFonts w:ascii="Arial" w:cs="Arial" w:eastAsia="Arial" w:hAnsi="Arial"/>
          <w:sz w:val="18"/>
          <w:szCs w:val="18"/>
          <w:color w:val="auto"/>
        </w:rPr>
        <w:t>The results and financial position of all the Group entities (none of which has the currency of a hyperinflationary economy) that have a functional currency different from the presentation currency are translated into the presentation currency as follows:</w:t>
      </w:r>
    </w:p>
    <w:p>
      <w:pPr>
        <w:spacing w:after="0" w:line="229" w:lineRule="exact"/>
        <w:rPr>
          <w:rFonts w:ascii="Arial" w:cs="Arial" w:eastAsia="Arial" w:hAnsi="Arial"/>
          <w:sz w:val="18"/>
          <w:szCs w:val="18"/>
          <w:i w:val="1"/>
          <w:iCs w:val="1"/>
          <w:color w:val="auto"/>
        </w:rPr>
      </w:pPr>
    </w:p>
    <w:p>
      <w:pPr>
        <w:ind w:left="2180" w:hanging="545"/>
        <w:spacing w:after="0"/>
        <w:tabs>
          <w:tab w:leader="none" w:pos="21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assets and liabilities are translated at the closing exchange rates at the reporting date;</w:t>
      </w:r>
    </w:p>
    <w:p>
      <w:pPr>
        <w:spacing w:after="0" w:line="238" w:lineRule="exact"/>
        <w:rPr>
          <w:rFonts w:ascii="Arial" w:cs="Arial" w:eastAsia="Arial" w:hAnsi="Arial"/>
          <w:sz w:val="18"/>
          <w:szCs w:val="18"/>
          <w:color w:val="auto"/>
        </w:rPr>
      </w:pPr>
    </w:p>
    <w:p>
      <w:pPr>
        <w:jc w:val="both"/>
        <w:ind w:left="2180" w:hanging="545"/>
        <w:spacing w:after="0"/>
        <w:tabs>
          <w:tab w:leader="none" w:pos="21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income and expenses are translated at average exchange rates (unless the average is not a reasonable approximation of the cumulative effect of the rates prevailing on the transaction dates, in which case income and expenses are translated using the exchange rates at the dates of the transactions); and</w:t>
      </w:r>
    </w:p>
    <w:p>
      <w:pPr>
        <w:spacing w:after="0" w:line="229" w:lineRule="exact"/>
        <w:rPr>
          <w:rFonts w:ascii="Arial" w:cs="Arial" w:eastAsia="Arial" w:hAnsi="Arial"/>
          <w:sz w:val="18"/>
          <w:szCs w:val="18"/>
          <w:color w:val="auto"/>
        </w:rPr>
      </w:pPr>
    </w:p>
    <w:p>
      <w:pPr>
        <w:jc w:val="both"/>
        <w:ind w:left="2180" w:hanging="545"/>
        <w:spacing w:after="0"/>
        <w:tabs>
          <w:tab w:leader="none" w:pos="21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resulting currency translation differences are recognised in other comprehensive income and accumulated in the currency translation reserve. These currency translation differences are reclassified to profit or loss on disposal or partial disposal of the entity giving rise to such reserve.</w:t>
      </w:r>
    </w:p>
    <w:p>
      <w:pPr>
        <w:spacing w:after="0" w:line="203" w:lineRule="exact"/>
        <w:rPr>
          <w:sz w:val="20"/>
          <w:szCs w:val="20"/>
          <w:color w:val="auto"/>
        </w:rPr>
      </w:pPr>
    </w:p>
    <w:p>
      <w:pPr>
        <w:jc w:val="both"/>
        <w:ind w:left="980"/>
        <w:spacing w:after="0" w:line="246" w:lineRule="auto"/>
        <w:rPr>
          <w:sz w:val="20"/>
          <w:szCs w:val="20"/>
          <w:color w:val="auto"/>
        </w:rPr>
      </w:pPr>
      <w:r>
        <w:rPr>
          <w:rFonts w:ascii="Arial" w:cs="Arial" w:eastAsia="Arial" w:hAnsi="Arial"/>
          <w:sz w:val="18"/>
          <w:szCs w:val="18"/>
          <w:color w:val="auto"/>
        </w:rPr>
        <w:t>Goodwill and fair value adjustments arising on the acquisition of foreign operations are treated as assets and liabilities of the foreign operations and translated at the closing rates at the reporting date.</w:t>
      </w:r>
    </w:p>
    <w:p>
      <w:pPr>
        <w:spacing w:after="0" w:line="197" w:lineRule="exact"/>
        <w:rPr>
          <w:sz w:val="20"/>
          <w:szCs w:val="20"/>
          <w:color w:val="auto"/>
        </w:rPr>
      </w:pPr>
    </w:p>
    <w:p>
      <w:pPr>
        <w:jc w:val="both"/>
        <w:ind w:left="980"/>
        <w:spacing w:after="0" w:line="239" w:lineRule="auto"/>
        <w:rPr>
          <w:sz w:val="20"/>
          <w:szCs w:val="20"/>
          <w:color w:val="auto"/>
        </w:rPr>
      </w:pPr>
      <w:r>
        <w:rPr>
          <w:rFonts w:ascii="Arial" w:cs="Arial" w:eastAsia="Arial" w:hAnsi="Arial"/>
          <w:sz w:val="18"/>
          <w:szCs w:val="18"/>
          <w:color w:val="auto"/>
        </w:rPr>
        <w:t>Broadcom operates in a U.S. dollar functional currency environment. As such, foreign currency assets and liabilities are re-measured into U.S. dollar at current exchange rates except for non-monetary items such as inventory and property, plant and equipment, which are re-measured at historical exchange rates. The effects of foreign currency re-measurement were not material for any period presented.</w:t>
      </w:r>
    </w:p>
    <w:p>
      <w:pPr>
        <w:spacing w:after="0" w:line="207"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7"/>
          <w:szCs w:val="17"/>
          <w:b w:val="1"/>
          <w:bCs w:val="1"/>
          <w:color w:val="auto"/>
        </w:rPr>
        <w:t>Segment reporting</w:t>
      </w:r>
    </w:p>
    <w:p>
      <w:pPr>
        <w:spacing w:after="0" w:line="234"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Operating segments are reported in a manner consistent with the internal reporting provided to the Chief Executive Officer of Broadcom, who has been identified as the Chief Operating Decision Maker (“CODM”) who is responsible for allocating resources and assessing performance of the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(continued)</w:t>
      </w:r>
    </w:p>
    <w:p>
      <w:pPr>
        <w:spacing w:after="0" w:line="14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7"/>
          <w:szCs w:val="17"/>
          <w:b w:val="1"/>
          <w:bCs w:val="1"/>
          <w:color w:val="auto"/>
        </w:rPr>
        <w:t>Cash and cash equivalents</w:t>
      </w:r>
    </w:p>
    <w:p>
      <w:pPr>
        <w:spacing w:after="0" w:line="234" w:lineRule="exact"/>
        <w:rPr>
          <w:sz w:val="20"/>
          <w:szCs w:val="20"/>
          <w:color w:val="auto"/>
        </w:rPr>
      </w:pPr>
    </w:p>
    <w:p>
      <w:pPr>
        <w:jc w:val="both"/>
        <w:ind w:left="980"/>
        <w:spacing w:after="0" w:line="239" w:lineRule="auto"/>
        <w:rPr>
          <w:sz w:val="20"/>
          <w:szCs w:val="20"/>
          <w:color w:val="auto"/>
        </w:rPr>
      </w:pPr>
      <w:r>
        <w:rPr>
          <w:rFonts w:ascii="Arial" w:cs="Arial" w:eastAsia="Arial" w:hAnsi="Arial"/>
          <w:sz w:val="18"/>
          <w:szCs w:val="18"/>
          <w:color w:val="auto"/>
        </w:rPr>
        <w:t>For the purpose of presentation in the consolidated statement of cash flows, cash and cash equivalents include cash on hand and deposits with financial institutions which are subjected to an insignificant risk of change in value. For cash subjected to restriction, assessment is made on the economic substance of the restriction and whether they meet the definition of cash and cash equivalents.</w:t>
      </w:r>
    </w:p>
    <w:p>
      <w:pPr>
        <w:spacing w:after="0" w:line="207"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7"/>
          <w:szCs w:val="17"/>
          <w:b w:val="1"/>
          <w:bCs w:val="1"/>
          <w:color w:val="auto"/>
        </w:rPr>
        <w:t>Share capital</w:t>
      </w:r>
    </w:p>
    <w:p>
      <w:pPr>
        <w:spacing w:after="0" w:line="234" w:lineRule="exact"/>
        <w:rPr>
          <w:sz w:val="20"/>
          <w:szCs w:val="20"/>
          <w:color w:val="auto"/>
        </w:rPr>
      </w:pPr>
    </w:p>
    <w:p>
      <w:pPr>
        <w:jc w:val="both"/>
        <w:ind w:left="980"/>
        <w:spacing w:after="0" w:line="246" w:lineRule="auto"/>
        <w:rPr>
          <w:sz w:val="20"/>
          <w:szCs w:val="20"/>
          <w:color w:val="auto"/>
        </w:rPr>
      </w:pPr>
      <w:r>
        <w:rPr>
          <w:rFonts w:ascii="Arial" w:cs="Arial" w:eastAsia="Arial" w:hAnsi="Arial"/>
          <w:sz w:val="18"/>
          <w:szCs w:val="18"/>
          <w:color w:val="auto"/>
        </w:rPr>
        <w:t>Ordinary shares are classified as equity. Incremental costs directly attributable to the issuance of new ordinary shares are deducted against the share capital account.</w:t>
      </w:r>
    </w:p>
    <w:p>
      <w:pPr>
        <w:spacing w:after="0" w:line="202"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b w:val="1"/>
          <w:bCs w:val="1"/>
          <w:color w:val="auto"/>
        </w:rPr>
        <w:t>Dividends to Company’s shareholders</w:t>
      </w:r>
    </w:p>
    <w:p>
      <w:pPr>
        <w:spacing w:after="0" w:line="23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Dividends to the Company’s shareholders are recognised when the dividends are approved for payment.</w:t>
      </w:r>
    </w:p>
    <w:p>
      <w:pPr>
        <w:spacing w:after="0" w:line="217"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7"/>
          <w:szCs w:val="17"/>
          <w:b w:val="1"/>
          <w:bCs w:val="1"/>
          <w:color w:val="auto"/>
        </w:rPr>
        <w:t>Capital reorganisation</w:t>
      </w:r>
    </w:p>
    <w:p>
      <w:pPr>
        <w:spacing w:after="0" w:line="234" w:lineRule="exact"/>
        <w:rPr>
          <w:sz w:val="20"/>
          <w:szCs w:val="20"/>
          <w:color w:val="auto"/>
        </w:rPr>
      </w:pPr>
    </w:p>
    <w:p>
      <w:pPr>
        <w:jc w:val="both"/>
        <w:ind w:left="980"/>
        <w:spacing w:after="0" w:line="246" w:lineRule="auto"/>
        <w:rPr>
          <w:sz w:val="20"/>
          <w:szCs w:val="20"/>
          <w:color w:val="auto"/>
        </w:rPr>
      </w:pPr>
      <w:r>
        <w:rPr>
          <w:rFonts w:ascii="Arial" w:cs="Arial" w:eastAsia="Arial" w:hAnsi="Arial"/>
          <w:sz w:val="18"/>
          <w:szCs w:val="18"/>
          <w:color w:val="auto"/>
        </w:rPr>
        <w:t>On 1 February 2016, Broadcom effected the Avago Scheme as described in Note 31. Upon completion of the Avago Scheme, shareholders of Avago became shareholders of Broadcom.</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Avago Scheme has been accounted for as a capital reorganisation and is presented as follows:</w:t>
      </w:r>
    </w:p>
    <w:p>
      <w:pPr>
        <w:spacing w:after="0" w:line="239" w:lineRule="exact"/>
        <w:rPr>
          <w:sz w:val="20"/>
          <w:szCs w:val="20"/>
          <w:color w:val="auto"/>
        </w:rPr>
      </w:pPr>
    </w:p>
    <w:p>
      <w:pPr>
        <w:ind w:left="1520" w:hanging="438"/>
        <w:spacing w:after="0" w:line="246" w:lineRule="auto"/>
        <w:tabs>
          <w:tab w:leader="none" w:pos="1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share capital as of 2 November 2015 amounts to US$2 and represents the share capital of Broadcom before the Avago Scheme.</w:t>
      </w:r>
    </w:p>
    <w:p>
      <w:pPr>
        <w:spacing w:after="0" w:line="223" w:lineRule="exact"/>
        <w:rPr>
          <w:rFonts w:ascii="Arial" w:cs="Arial" w:eastAsia="Arial" w:hAnsi="Arial"/>
          <w:sz w:val="18"/>
          <w:szCs w:val="18"/>
          <w:color w:val="auto"/>
        </w:rPr>
      </w:pPr>
    </w:p>
    <w:p>
      <w:pPr>
        <w:ind w:left="1520" w:hanging="438"/>
        <w:spacing w:after="0" w:line="246" w:lineRule="auto"/>
        <w:tabs>
          <w:tab w:leader="none" w:pos="1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capital reserve as of 2 November 2015 amounts to US$2,547 million and represents the share capital of Avago before the Avago Scheme that would be registered as the legal capital of Broadcom after the Avago Scheme.</w:t>
      </w:r>
    </w:p>
    <w:p>
      <w:pPr>
        <w:spacing w:after="0" w:line="223" w:lineRule="exact"/>
        <w:rPr>
          <w:rFonts w:ascii="Arial" w:cs="Arial" w:eastAsia="Arial" w:hAnsi="Arial"/>
          <w:sz w:val="18"/>
          <w:szCs w:val="18"/>
          <w:color w:val="auto"/>
        </w:rPr>
      </w:pPr>
    </w:p>
    <w:p>
      <w:pPr>
        <w:jc w:val="both"/>
        <w:ind w:left="1520" w:hanging="438"/>
        <w:spacing w:after="0"/>
        <w:tabs>
          <w:tab w:leader="none" w:pos="1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Pursuant to the Avago Scheme, all issued ordinary shares of Avago were exchanged on a one-for-one basis for newly issued ordinary shares of Broadcom on 1 February 2016. This is represented by a reclassification of US$2,547 million from the capital reserve to the share capital of Broadcom.</w:t>
      </w:r>
    </w:p>
    <w:p>
      <w:pPr>
        <w:spacing w:after="0" w:line="229" w:lineRule="exact"/>
        <w:rPr>
          <w:rFonts w:ascii="Arial" w:cs="Arial" w:eastAsia="Arial" w:hAnsi="Arial"/>
          <w:sz w:val="18"/>
          <w:szCs w:val="18"/>
          <w:color w:val="auto"/>
        </w:rPr>
      </w:pPr>
    </w:p>
    <w:p>
      <w:pPr>
        <w:jc w:val="both"/>
        <w:ind w:left="1520" w:hanging="438"/>
        <w:spacing w:after="0" w:line="239" w:lineRule="auto"/>
        <w:tabs>
          <w:tab w:leader="none" w:pos="1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consolidated balance sheets of the Group as at 2 November 2015 and 30 October 2016, the consolidated statements of comprehensive income, the consolidated statements of change in equity and the consolidated statements of cash flow of the Group for the financial year ended 2 November 2015 and 30 October 2016 have been prepared as if Avago had been part of the Group throughout those financial years.</w:t>
      </w:r>
    </w:p>
    <w:p>
      <w:pPr>
        <w:spacing w:after="0" w:line="228" w:lineRule="exact"/>
        <w:rPr>
          <w:rFonts w:ascii="Arial" w:cs="Arial" w:eastAsia="Arial" w:hAnsi="Arial"/>
          <w:sz w:val="18"/>
          <w:szCs w:val="18"/>
          <w:color w:val="auto"/>
        </w:rPr>
      </w:pPr>
    </w:p>
    <w:p>
      <w:pPr>
        <w:ind w:left="1520" w:hanging="438"/>
        <w:spacing w:after="0" w:line="246" w:lineRule="auto"/>
        <w:tabs>
          <w:tab w:leader="none" w:pos="1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assets and liabilities of Avago are brought into the Group’s books based on their existing carrying values in the consolidated financial statements of Avago.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estimates, assumptions and judgements</w:t>
      </w:r>
    </w:p>
    <w:p>
      <w:pPr>
        <w:spacing w:after="0" w:line="166" w:lineRule="exact"/>
        <w:rPr>
          <w:rFonts w:ascii="Arial" w:cs="Arial" w:eastAsia="Arial" w:hAnsi="Arial"/>
          <w:sz w:val="18"/>
          <w:szCs w:val="18"/>
          <w:b w:val="1"/>
          <w:bCs w:val="1"/>
          <w:color w:val="auto"/>
        </w:rPr>
      </w:pPr>
    </w:p>
    <w:p>
      <w:pPr>
        <w:ind w:left="9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Estimates, assumptions and judgements are continually evaluated and are based on historical experience and other factors, including expectations of future events that are believed to be reasonable under the circumstances.</w:t>
      </w:r>
    </w:p>
    <w:p>
      <w:pPr>
        <w:spacing w:after="0" w:line="20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estimates and assumptions</w:t>
      </w:r>
    </w:p>
    <w:p>
      <w:pPr>
        <w:spacing w:after="0" w:line="242" w:lineRule="exact"/>
        <w:rPr>
          <w:rFonts w:ascii="Arial" w:cs="Arial" w:eastAsia="Arial" w:hAnsi="Arial"/>
          <w:sz w:val="18"/>
          <w:szCs w:val="18"/>
          <w:b w:val="1"/>
          <w:bCs w:val="1"/>
          <w:color w:val="auto"/>
        </w:rPr>
      </w:pPr>
    </w:p>
    <w:p>
      <w:pPr>
        <w:ind w:left="1620" w:hanging="538"/>
        <w:spacing w:after="0"/>
        <w:tabs>
          <w:tab w:leader="none" w:pos="1620" w:val="left"/>
        </w:tabs>
        <w:numPr>
          <w:ilvl w:val="1"/>
          <w:numId w:val="170"/>
        </w:numPr>
        <w:rPr>
          <w:rFonts w:ascii="Arial" w:cs="Arial" w:eastAsia="Arial" w:hAnsi="Arial"/>
          <w:sz w:val="18"/>
          <w:szCs w:val="18"/>
          <w:i w:val="1"/>
          <w:iCs w:val="1"/>
          <w:color w:val="auto"/>
        </w:rPr>
      </w:pPr>
      <w:r>
        <w:rPr>
          <w:rFonts w:ascii="Arial" w:cs="Arial" w:eastAsia="Arial" w:hAnsi="Arial"/>
          <w:sz w:val="18"/>
          <w:szCs w:val="18"/>
          <w:i w:val="1"/>
          <w:iCs w:val="1"/>
          <w:color w:val="auto"/>
        </w:rPr>
        <w:t>Revenue recognition</w:t>
      </w:r>
    </w:p>
    <w:p>
      <w:pPr>
        <w:spacing w:after="0" w:line="229" w:lineRule="exact"/>
        <w:rPr>
          <w:rFonts w:ascii="Arial" w:cs="Arial" w:eastAsia="Arial" w:hAnsi="Arial"/>
          <w:sz w:val="18"/>
          <w:szCs w:val="18"/>
          <w:i w:val="1"/>
          <w:iCs w:val="1"/>
          <w:color w:val="auto"/>
        </w:rPr>
      </w:pPr>
    </w:p>
    <w:p>
      <w:pPr>
        <w:jc w:val="both"/>
        <w:ind w:left="1640"/>
        <w:spacing w:after="0" w:line="237" w:lineRule="auto"/>
        <w:rPr>
          <w:rFonts w:ascii="Arial" w:cs="Arial" w:eastAsia="Arial" w:hAnsi="Arial"/>
          <w:sz w:val="18"/>
          <w:szCs w:val="18"/>
          <w:i w:val="1"/>
          <w:iCs w:val="1"/>
          <w:color w:val="auto"/>
        </w:rPr>
      </w:pPr>
      <w:r>
        <w:rPr>
          <w:rFonts w:ascii="Arial" w:cs="Arial" w:eastAsia="Arial" w:hAnsi="Arial"/>
          <w:sz w:val="18"/>
          <w:szCs w:val="18"/>
          <w:color w:val="auto"/>
        </w:rPr>
        <w:t>Broadcom recognises revenue from sales of products to distributors upon delivery of product to the distributors. An allowance for distributor credits covering price adjustments is made based on estimate of historical experience rates as well as considering economic conditions and contractual terms. To date, actual distributor claims activity has been materially consistent with the provisions Broadcom has made based on historical estimates. However, because of the inherent nature of estimates, there is always a risk that there could be significant differences between actual amounts and estimates. Different judgments or estimates could result in variances that might be significant to reported operating results.</w:t>
      </w:r>
    </w:p>
    <w:p>
      <w:pPr>
        <w:spacing w:after="0" w:line="203" w:lineRule="exact"/>
        <w:rPr>
          <w:rFonts w:ascii="Arial" w:cs="Arial" w:eastAsia="Arial" w:hAnsi="Arial"/>
          <w:sz w:val="18"/>
          <w:szCs w:val="18"/>
          <w:i w:val="1"/>
          <w:iCs w:val="1"/>
          <w:color w:val="auto"/>
        </w:rPr>
      </w:pPr>
    </w:p>
    <w:p>
      <w:pPr>
        <w:jc w:val="both"/>
        <w:ind w:left="1640"/>
        <w:spacing w:after="0" w:line="238" w:lineRule="auto"/>
        <w:rPr>
          <w:rFonts w:ascii="Arial" w:cs="Arial" w:eastAsia="Arial" w:hAnsi="Arial"/>
          <w:sz w:val="18"/>
          <w:szCs w:val="18"/>
          <w:i w:val="1"/>
          <w:iCs w:val="1"/>
          <w:color w:val="auto"/>
        </w:rPr>
      </w:pPr>
      <w:r>
        <w:rPr>
          <w:rFonts w:ascii="Arial" w:cs="Arial" w:eastAsia="Arial" w:hAnsi="Arial"/>
          <w:sz w:val="18"/>
          <w:szCs w:val="18"/>
          <w:color w:val="auto"/>
        </w:rPr>
        <w:t>Broadcom also records reductions of revenue for rebates, in the same period that the related revenue is recorded. Broadcom accrues 100% of potential rebates at the time of sale and do not apply a breakage factor. The accrual of unclaimed rebate amounts is reversed as specific rebate programs contractually end and when it is assessed that the unclaimed rebates are no longer subject to payment and will not be paid. Thus the reversal of unclaimed rebates may have a positive impact on the net revenue and net income in subsequent periods.</w:t>
      </w:r>
    </w:p>
    <w:p>
      <w:pPr>
        <w:spacing w:after="0" w:line="211" w:lineRule="exact"/>
        <w:rPr>
          <w:rFonts w:ascii="Arial" w:cs="Arial" w:eastAsia="Arial" w:hAnsi="Arial"/>
          <w:sz w:val="18"/>
          <w:szCs w:val="18"/>
          <w:i w:val="1"/>
          <w:iCs w:val="1"/>
          <w:color w:val="auto"/>
        </w:rPr>
      </w:pPr>
    </w:p>
    <w:p>
      <w:pPr>
        <w:ind w:left="1620" w:hanging="538"/>
        <w:spacing w:after="0"/>
        <w:tabs>
          <w:tab w:leader="none" w:pos="1620" w:val="left"/>
        </w:tabs>
        <w:numPr>
          <w:ilvl w:val="1"/>
          <w:numId w:val="170"/>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combinations</w:t>
      </w:r>
    </w:p>
    <w:p>
      <w:pPr>
        <w:spacing w:after="0" w:line="229" w:lineRule="exact"/>
        <w:rPr>
          <w:rFonts w:ascii="Arial" w:cs="Arial" w:eastAsia="Arial" w:hAnsi="Arial"/>
          <w:sz w:val="18"/>
          <w:szCs w:val="18"/>
          <w:i w:val="1"/>
          <w:iCs w:val="1"/>
          <w:color w:val="auto"/>
        </w:rPr>
      </w:pPr>
    </w:p>
    <w:p>
      <w:pPr>
        <w:jc w:val="both"/>
        <w:ind w:left="1640"/>
        <w:spacing w:after="0" w:line="236" w:lineRule="auto"/>
        <w:rPr>
          <w:rFonts w:ascii="Arial" w:cs="Arial" w:eastAsia="Arial" w:hAnsi="Arial"/>
          <w:sz w:val="18"/>
          <w:szCs w:val="18"/>
          <w:i w:val="1"/>
          <w:iCs w:val="1"/>
          <w:color w:val="auto"/>
        </w:rPr>
      </w:pPr>
      <w:r>
        <w:rPr>
          <w:rFonts w:ascii="Arial" w:cs="Arial" w:eastAsia="Arial" w:hAnsi="Arial"/>
          <w:sz w:val="18"/>
          <w:szCs w:val="18"/>
          <w:color w:val="auto"/>
        </w:rPr>
        <w:t>Accounting for business combinations requires management to make significant estimates and assumptions, especially at the acquisition date, including estimates for intangible assets, contractual obligations assumed, restructuring liabilities, pre-acquisition contingencies and contingent consideration, where applicable. Although the assumptions and estimates made in the past have been reasonable and appropriate, they are based, in part, on historical experience and information obtained from the management of the acquired companies and are inherently uncertain. Critical estimates in valuing certain of the intangible assets acquired include, but are not limited to: future expected cash flows from product sales, customer contracts and acquired technologies, expected costs to develop in-process research and development into commercially viable products, estimated cash flows from the projects when completed, and discount rates. The discount rates used to discount expected future cash flows to present value are typically derived from a weighted-average cost of capital analysis and adjusted to reflect inherent risks. Unanticipated events and circumstances may occur that may affect the accuracy or validity of such assumptions, estimates or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96520</wp:posOffset>
            </wp:positionV>
            <wp:extent cx="6997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right="4160" w:hanging="776"/>
        <w:spacing w:after="0" w:line="409" w:lineRule="auto"/>
        <w:tabs>
          <w:tab w:leader="none" w:pos="978"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Critical accounting estimates, assumptions and judgements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Critical accounting estimates and assumptions </w:t>
      </w:r>
      <w:r>
        <w:rPr>
          <w:rFonts w:ascii="Arial" w:cs="Arial" w:eastAsia="Arial" w:hAnsi="Arial"/>
          <w:sz w:val="18"/>
          <w:szCs w:val="18"/>
          <w:color w:val="auto"/>
        </w:rPr>
        <w:t>(continued)</w:t>
      </w:r>
    </w:p>
    <w:p>
      <w:pPr>
        <w:ind w:left="1620" w:hanging="538"/>
        <w:spacing w:after="0"/>
        <w:tabs>
          <w:tab w:leader="none" w:pos="1620" w:val="left"/>
        </w:tabs>
        <w:numPr>
          <w:ilvl w:val="1"/>
          <w:numId w:val="171"/>
        </w:numPr>
        <w:rPr>
          <w:rFonts w:ascii="Arial" w:cs="Arial" w:eastAsia="Arial" w:hAnsi="Arial"/>
          <w:sz w:val="18"/>
          <w:szCs w:val="18"/>
          <w:i w:val="1"/>
          <w:iCs w:val="1"/>
          <w:color w:val="auto"/>
        </w:rPr>
      </w:pPr>
      <w:r>
        <w:rPr>
          <w:rFonts w:ascii="Arial" w:cs="Arial" w:eastAsia="Arial" w:hAnsi="Arial"/>
          <w:sz w:val="18"/>
          <w:szCs w:val="18"/>
          <w:i w:val="1"/>
          <w:iCs w:val="1"/>
          <w:color w:val="auto"/>
        </w:rPr>
        <w:t>Valuation of goodwill</w:t>
      </w:r>
    </w:p>
    <w:p>
      <w:pPr>
        <w:spacing w:after="0" w:line="162" w:lineRule="exact"/>
        <w:rPr>
          <w:rFonts w:ascii="Arial" w:cs="Arial" w:eastAsia="Arial" w:hAnsi="Arial"/>
          <w:sz w:val="18"/>
          <w:szCs w:val="18"/>
          <w:i w:val="1"/>
          <w:iCs w:val="1"/>
          <w:color w:val="auto"/>
        </w:rPr>
      </w:pPr>
    </w:p>
    <w:p>
      <w:pPr>
        <w:jc w:val="both"/>
        <w:ind w:left="1640"/>
        <w:spacing w:after="0" w:line="236" w:lineRule="auto"/>
        <w:rPr>
          <w:rFonts w:ascii="Arial" w:cs="Arial" w:eastAsia="Arial" w:hAnsi="Arial"/>
          <w:sz w:val="18"/>
          <w:szCs w:val="18"/>
          <w:i w:val="1"/>
          <w:iCs w:val="1"/>
          <w:color w:val="auto"/>
        </w:rPr>
      </w:pPr>
      <w:r>
        <w:rPr>
          <w:rFonts w:ascii="Arial" w:cs="Arial" w:eastAsia="Arial" w:hAnsi="Arial"/>
          <w:sz w:val="18"/>
          <w:szCs w:val="18"/>
          <w:color w:val="auto"/>
        </w:rPr>
        <w:t>Broadcom performs an annual impairment review of goodwill during the fourth financial quarter of each year, and more frequently if indicators for impairment exist. The process of evaluating the potential impairment of goodwill is highly subjective and requires significant judgment. To review for impairment Broadcom assesses qualitative factors to determine whether events or circumstances lead to a determination that the fair value of any of cash generating units (“CGU”) is less than its carrying amount. The qualitative assessment of the recoverability of goodwill, whether performed annually or based on specific events or circumstances, considers various macroeconomic, industry-specific and company-specific factors. Those factors include: (i) severe adverse industry or economic trends; (ii) significant company-specific actions, including exiting an activity in conjunction with restructuring of operations; (iii) current, historical or projected deterioration of financial performance; or (iv) a sustained decrease in market capitalisation below net book value.</w:t>
      </w:r>
    </w:p>
    <w:p>
      <w:pPr>
        <w:spacing w:after="0" w:line="206" w:lineRule="exact"/>
        <w:rPr>
          <w:rFonts w:ascii="Arial" w:cs="Arial" w:eastAsia="Arial" w:hAnsi="Arial"/>
          <w:sz w:val="18"/>
          <w:szCs w:val="18"/>
          <w:i w:val="1"/>
          <w:iCs w:val="1"/>
          <w:color w:val="auto"/>
        </w:rPr>
      </w:pPr>
    </w:p>
    <w:p>
      <w:pPr>
        <w:ind w:left="164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Management will assess and compute the fair value of goodwill allocated to each cash generating unit (“CGU”) taking into account the qualitative factor discussed above.</w:t>
      </w:r>
    </w:p>
    <w:p>
      <w:pPr>
        <w:spacing w:after="0" w:line="196" w:lineRule="exact"/>
        <w:rPr>
          <w:rFonts w:ascii="Arial" w:cs="Arial" w:eastAsia="Arial" w:hAnsi="Arial"/>
          <w:sz w:val="18"/>
          <w:szCs w:val="18"/>
          <w:i w:val="1"/>
          <w:iCs w:val="1"/>
          <w:color w:val="auto"/>
        </w:rPr>
      </w:pPr>
    </w:p>
    <w:p>
      <w:pPr>
        <w:jc w:val="both"/>
        <w:ind w:left="1640"/>
        <w:spacing w:after="0" w:line="236" w:lineRule="auto"/>
        <w:rPr>
          <w:rFonts w:ascii="Arial" w:cs="Arial" w:eastAsia="Arial" w:hAnsi="Arial"/>
          <w:sz w:val="18"/>
          <w:szCs w:val="18"/>
          <w:i w:val="1"/>
          <w:iCs w:val="1"/>
          <w:color w:val="auto"/>
        </w:rPr>
      </w:pPr>
      <w:r>
        <w:rPr>
          <w:rFonts w:ascii="Arial" w:cs="Arial" w:eastAsia="Arial" w:hAnsi="Arial"/>
          <w:sz w:val="18"/>
          <w:szCs w:val="18"/>
          <w:color w:val="auto"/>
        </w:rPr>
        <w:t>Determining the fair value of a CGU involves the use of significant estimates and assumptions. Management’s goodwill impairment test uses the income approach to estimate a CGU’s fair value. The income approach is based on the discounted cash flow method that uses the CGU estimates for forecasted future financial performance including revenues, operating expenses, and taxes, as well as working capital and capital asset requirements. These estimates are developed as part of Broadcom’s long-term planning process based on assumed market segment growth rates and assumed segment share, estimated costs based on historical data and various internal estimates. Projected cash flows are then discounted to a present value employing a discount rate that properly accounts for the estimated market weighted-average cost of capital, as well as any risk unique to the subjected cash flows.</w:t>
      </w:r>
    </w:p>
    <w:p>
      <w:pPr>
        <w:spacing w:after="0" w:line="217" w:lineRule="exact"/>
        <w:rPr>
          <w:rFonts w:ascii="Arial" w:cs="Arial" w:eastAsia="Arial" w:hAnsi="Arial"/>
          <w:sz w:val="18"/>
          <w:szCs w:val="18"/>
          <w:i w:val="1"/>
          <w:iCs w:val="1"/>
          <w:color w:val="auto"/>
        </w:rPr>
      </w:pPr>
    </w:p>
    <w:p>
      <w:pPr>
        <w:ind w:left="1620" w:hanging="538"/>
        <w:spacing w:after="0"/>
        <w:tabs>
          <w:tab w:leader="none" w:pos="1620" w:val="left"/>
        </w:tabs>
        <w:numPr>
          <w:ilvl w:val="1"/>
          <w:numId w:val="171"/>
        </w:numPr>
        <w:rPr>
          <w:rFonts w:ascii="Arial" w:cs="Arial" w:eastAsia="Arial" w:hAnsi="Arial"/>
          <w:sz w:val="18"/>
          <w:szCs w:val="18"/>
          <w:i w:val="1"/>
          <w:iCs w:val="1"/>
          <w:color w:val="auto"/>
        </w:rPr>
      </w:pPr>
      <w:r>
        <w:rPr>
          <w:rFonts w:ascii="Arial" w:cs="Arial" w:eastAsia="Arial" w:hAnsi="Arial"/>
          <w:sz w:val="18"/>
          <w:szCs w:val="18"/>
          <w:i w:val="1"/>
          <w:iCs w:val="1"/>
          <w:color w:val="auto"/>
        </w:rPr>
        <w:t>Income taxes</w:t>
      </w:r>
    </w:p>
    <w:p>
      <w:pPr>
        <w:spacing w:after="0" w:line="229" w:lineRule="exact"/>
        <w:rPr>
          <w:rFonts w:ascii="Arial" w:cs="Arial" w:eastAsia="Arial" w:hAnsi="Arial"/>
          <w:sz w:val="18"/>
          <w:szCs w:val="18"/>
          <w:i w:val="1"/>
          <w:iCs w:val="1"/>
          <w:color w:val="auto"/>
        </w:rPr>
      </w:pPr>
    </w:p>
    <w:p>
      <w:pPr>
        <w:jc w:val="both"/>
        <w:ind w:left="1640"/>
        <w:spacing w:after="0" w:line="237" w:lineRule="auto"/>
        <w:rPr>
          <w:rFonts w:ascii="Arial" w:cs="Arial" w:eastAsia="Arial" w:hAnsi="Arial"/>
          <w:sz w:val="18"/>
          <w:szCs w:val="18"/>
          <w:i w:val="1"/>
          <w:iCs w:val="1"/>
          <w:color w:val="auto"/>
        </w:rPr>
      </w:pPr>
      <w:r>
        <w:rPr>
          <w:rFonts w:ascii="Arial" w:cs="Arial" w:eastAsia="Arial" w:hAnsi="Arial"/>
          <w:sz w:val="18"/>
          <w:szCs w:val="18"/>
          <w:color w:val="auto"/>
        </w:rPr>
        <w:t>Significant management judgment is required in developing provision for income taxes, including the determination of deferred tax assets and liabilities and the assessment of recoverability of deferred tax assets. Management has considered projected future taxable income and ongoing prudent and feasible tax planning strategies in assessing the recoverability of deferred tax assets. If management determines, in the future, that a deferred tax asset balance cannot be recovered, an adjustment to the deferred tax assets would increase the tax expense in the period in which such determination is made. In evaluating the exposure associated with various tax filing positions, an accrual of income tax liability is made when such positions do not meet the more-likely-than-not threshold for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right="4180" w:hanging="776"/>
        <w:spacing w:after="0" w:line="409" w:lineRule="auto"/>
        <w:tabs>
          <w:tab w:leader="none" w:pos="978"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Critical accounting estimates, assumptions and judgements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Critical accounting estimates and assumptions </w:t>
      </w:r>
      <w:r>
        <w:rPr>
          <w:rFonts w:ascii="Arial" w:cs="Arial" w:eastAsia="Arial" w:hAnsi="Arial"/>
          <w:sz w:val="18"/>
          <w:szCs w:val="18"/>
          <w:color w:val="auto"/>
        </w:rPr>
        <w:t>(continued)</w:t>
      </w:r>
    </w:p>
    <w:p>
      <w:pPr>
        <w:spacing w:after="0" w:line="1" w:lineRule="exact"/>
        <w:rPr>
          <w:sz w:val="20"/>
          <w:szCs w:val="20"/>
          <w:color w:val="auto"/>
        </w:rPr>
      </w:pPr>
    </w:p>
    <w:p>
      <w:pPr>
        <w:ind w:left="1520" w:hanging="438"/>
        <w:spacing w:after="0"/>
        <w:tabs>
          <w:tab w:leader="none" w:pos="1520" w:val="left"/>
        </w:tabs>
        <w:numPr>
          <w:ilvl w:val="0"/>
          <w:numId w:val="17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(continued)</w:t>
      </w:r>
    </w:p>
    <w:p>
      <w:pPr>
        <w:spacing w:after="0" w:line="162" w:lineRule="exact"/>
        <w:rPr>
          <w:sz w:val="20"/>
          <w:szCs w:val="20"/>
          <w:color w:val="auto"/>
        </w:rPr>
      </w:pPr>
    </w:p>
    <w:p>
      <w:pPr>
        <w:jc w:val="both"/>
        <w:ind w:left="1640" w:right="20"/>
        <w:spacing w:after="0" w:line="237" w:lineRule="auto"/>
        <w:rPr>
          <w:sz w:val="20"/>
          <w:szCs w:val="20"/>
          <w:color w:val="auto"/>
        </w:rPr>
      </w:pPr>
      <w:r>
        <w:rPr>
          <w:rFonts w:ascii="Arial" w:cs="Arial" w:eastAsia="Arial" w:hAnsi="Arial"/>
          <w:sz w:val="18"/>
          <w:szCs w:val="18"/>
          <w:color w:val="auto"/>
        </w:rPr>
        <w:t>The calculation of tax liabilities involves dealing with uncertainties in the application of complex tax law and regulations in a multitude of jurisdictions. Broadcom recognises potential liabilities for anticipated tax audit issues in Singapore and other tax jurisdictions based on management’s estimate of whether, and the extent to which, additional taxes and interest will be due. If estimation of income tax liabilities proves to be less than the actual amount ultimately assessed, a further charge to tax expense would be required. If the payment of these amounts ultimately proves to be unnecessary, the reversal of the accrued liabilities would result in tax benefits being recognised in the period when it is determined that the liabilities no longer exist.</w:t>
      </w:r>
    </w:p>
    <w:p>
      <w:pPr>
        <w:spacing w:after="0" w:line="203" w:lineRule="exact"/>
        <w:rPr>
          <w:sz w:val="20"/>
          <w:szCs w:val="20"/>
          <w:color w:val="auto"/>
        </w:rPr>
      </w:pPr>
    </w:p>
    <w:p>
      <w:pPr>
        <w:jc w:val="both"/>
        <w:ind w:left="1640" w:right="20"/>
        <w:spacing w:after="0" w:line="239" w:lineRule="auto"/>
        <w:rPr>
          <w:sz w:val="20"/>
          <w:szCs w:val="20"/>
          <w:color w:val="auto"/>
        </w:rPr>
      </w:pPr>
      <w:r>
        <w:rPr>
          <w:rFonts w:ascii="Arial" w:cs="Arial" w:eastAsia="Arial" w:hAnsi="Arial"/>
          <w:sz w:val="18"/>
          <w:szCs w:val="18"/>
          <w:color w:val="auto"/>
        </w:rPr>
        <w:t>The Group is subjected to Singapore income tax examination for financial years 2011 and later. The Group’s acquired companies are subject to tax examinations in major jurisdictions outside Singapore for financial years 2010 and later. Management has identified a gross unrecognised tax benefits of US$2,256 million for financial year 2017 and US$1,983 million for financial year 2016).</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4.</w:t>
            </w:r>
          </w:p>
        </w:tc>
        <w:tc>
          <w:tcPr>
            <w:tcW w:w="4440" w:type="dxa"/>
            <w:vAlign w:val="bottom"/>
            <w:gridSpan w:val="2"/>
          </w:tcPr>
          <w:p>
            <w:pPr>
              <w:ind w:left="320"/>
              <w:spacing w:after="0"/>
              <w:rPr>
                <w:sz w:val="20"/>
                <w:szCs w:val="20"/>
                <w:color w:val="auto"/>
              </w:rPr>
            </w:pPr>
            <w:r>
              <w:rPr>
                <w:rFonts w:ascii="Arial" w:cs="Arial" w:eastAsia="Arial" w:hAnsi="Arial"/>
                <w:sz w:val="18"/>
                <w:szCs w:val="18"/>
                <w:b w:val="1"/>
                <w:bCs w:val="1"/>
                <w:color w:val="auto"/>
              </w:rPr>
              <w:t>Revenue</w:t>
            </w:r>
          </w:p>
        </w:tc>
        <w:tc>
          <w:tcPr>
            <w:tcW w:w="2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20" w:type="dxa"/>
            <w:vAlign w:val="bottom"/>
            <w:gridSpan w:val="2"/>
            <w:vMerge w:val="restart"/>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920" w:type="dxa"/>
            <w:vAlign w:val="bottom"/>
            <w:gridSpan w:val="2"/>
          </w:tcPr>
          <w:p>
            <w:pPr>
              <w:jc w:val="right"/>
              <w:ind w:right="1310"/>
              <w:spacing w:after="0"/>
              <w:rPr>
                <w:sz w:val="20"/>
                <w:szCs w:val="20"/>
                <w:color w:val="auto"/>
              </w:rPr>
            </w:pPr>
            <w:r>
              <w:rPr>
                <w:rFonts w:ascii="Arial" w:cs="Arial" w:eastAsia="Arial" w:hAnsi="Arial"/>
                <w:sz w:val="18"/>
                <w:szCs w:val="18"/>
                <w:color w:val="auto"/>
                <w:w w:val="99"/>
              </w:rPr>
              <w:t>Group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4220" w:type="dxa"/>
            <w:vAlign w:val="bottom"/>
            <w:gridSpan w:val="2"/>
            <w:vMerge w:val="continue"/>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0" w:type="dxa"/>
            <w:vAlign w:val="bottom"/>
          </w:tcPr>
          <w:p>
            <w:pPr>
              <w:jc w:val="right"/>
              <w:ind w:right="350"/>
              <w:spacing w:after="0" w:line="161"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b w:val="1"/>
                <w:bCs w:val="1"/>
                <w:color w:val="auto"/>
              </w:rPr>
              <w:t>(US$ millions)</w:t>
            </w:r>
          </w:p>
        </w:tc>
        <w:tc>
          <w:tcPr>
            <w:tcW w:w="5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goods</w:t>
            </w:r>
          </w:p>
        </w:tc>
        <w:tc>
          <w:tcPr>
            <w:tcW w:w="42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17,036</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12,790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00" w:type="dxa"/>
            <w:vAlign w:val="bottom"/>
          </w:tcPr>
          <w:p>
            <w:pPr>
              <w:spacing w:after="0" w:line="202" w:lineRule="exact"/>
              <w:rPr>
                <w:sz w:val="20"/>
                <w:szCs w:val="20"/>
                <w:color w:val="auto"/>
              </w:rPr>
            </w:pPr>
            <w:r>
              <w:rPr>
                <w:rFonts w:ascii="Arial" w:cs="Arial" w:eastAsia="Arial" w:hAnsi="Arial"/>
                <w:sz w:val="18"/>
                <w:szCs w:val="18"/>
                <w:color w:val="auto"/>
              </w:rPr>
              <w:t>Revenue from licensing of intellectual property</w:t>
            </w:r>
          </w:p>
        </w:tc>
        <w:tc>
          <w:tcPr>
            <w:tcW w:w="422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338</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development agreement</w:t>
            </w:r>
          </w:p>
        </w:tc>
        <w:tc>
          <w:tcPr>
            <w:tcW w:w="42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262</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21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b w:val="1"/>
                <w:bCs w:val="1"/>
                <w:color w:val="auto"/>
              </w:rPr>
              <w:t>17,636</w:t>
            </w:r>
          </w:p>
        </w:tc>
        <w:tc>
          <w:tcPr>
            <w:tcW w:w="19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13,240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20" w:type="dxa"/>
            <w:vAlign w:val="bottom"/>
            <w:gridSpan w:val="2"/>
          </w:tcPr>
          <w:p>
            <w:pPr>
              <w:jc w:val="right"/>
              <w:ind w:right="3330"/>
              <w:spacing w:after="0"/>
              <w:rPr>
                <w:sz w:val="20"/>
                <w:szCs w:val="20"/>
                <w:color w:val="auto"/>
              </w:rPr>
            </w:pPr>
            <w:r>
              <w:rPr>
                <w:rFonts w:ascii="Arial" w:cs="Arial" w:eastAsia="Arial" w:hAnsi="Arial"/>
                <w:sz w:val="18"/>
                <w:szCs w:val="18"/>
                <w:color w:val="auto"/>
              </w:rPr>
              <w:t>A-54</w:t>
            </w: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980" w:hanging="776"/>
        <w:spacing w:after="0"/>
        <w:tabs>
          <w:tab w:leader="none" w:pos="9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Expenses by nature</w:t>
      </w:r>
    </w:p>
    <w:p>
      <w:pPr>
        <w:spacing w:after="0" w:line="233" w:lineRule="exact"/>
        <w:rPr>
          <w:rFonts w:ascii="Arial" w:cs="Arial" w:eastAsia="Arial" w:hAnsi="Arial"/>
          <w:sz w:val="18"/>
          <w:szCs w:val="18"/>
          <w:b w:val="1"/>
          <w:bCs w:val="1"/>
          <w:color w:val="auto"/>
        </w:rPr>
      </w:pPr>
    </w:p>
    <w:p>
      <w:pPr>
        <w:ind w:left="98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major components of cost of products sold, research and development, selling, general and administrative and other expenses include the following:</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80"/>
        <w:spacing w:after="0"/>
        <w:rPr>
          <w:sz w:val="20"/>
          <w:szCs w:val="20"/>
          <w:color w:val="auto"/>
        </w:rPr>
      </w:pPr>
      <w:r>
        <w:rPr>
          <w:rFonts w:ascii="Arial" w:cs="Arial" w:eastAsia="Arial" w:hAnsi="Arial"/>
          <w:sz w:val="20"/>
          <w:szCs w:val="20"/>
          <w:color w:val="auto"/>
        </w:rPr>
        <w:t>Purchases of inventories and construction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-142875</wp:posOffset>
            </wp:positionV>
            <wp:extent cx="6500495"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500495" cy="137160"/>
                    </a:xfrm>
                    <a:prstGeom prst="rect">
                      <a:avLst/>
                    </a:prstGeom>
                    <a:noFill/>
                  </pic:spPr>
                </pic:pic>
              </a:graphicData>
            </a:graphic>
          </wp:anchor>
        </w:drawing>
      </w:r>
    </w:p>
    <w:p>
      <w:pPr>
        <w:ind w:left="980"/>
        <w:spacing w:after="0"/>
        <w:rPr>
          <w:sz w:val="20"/>
          <w:szCs w:val="20"/>
          <w:color w:val="auto"/>
        </w:rPr>
      </w:pPr>
      <w:r>
        <w:rPr>
          <w:rFonts w:ascii="Arial" w:cs="Arial" w:eastAsia="Arial" w:hAnsi="Arial"/>
          <w:sz w:val="20"/>
          <w:szCs w:val="20"/>
          <w:color w:val="auto"/>
        </w:rPr>
        <w:t>Amortisation of intangible assets (Note 18(d))</w:t>
      </w:r>
    </w:p>
    <w:p>
      <w:pPr>
        <w:ind w:left="980"/>
        <w:spacing w:after="0" w:line="225" w:lineRule="auto"/>
        <w:rPr>
          <w:sz w:val="20"/>
          <w:szCs w:val="20"/>
          <w:color w:val="auto"/>
        </w:rPr>
      </w:pPr>
      <w:r>
        <w:rPr>
          <w:rFonts w:ascii="Arial" w:cs="Arial" w:eastAsia="Arial" w:hAnsi="Arial"/>
          <w:sz w:val="20"/>
          <w:szCs w:val="20"/>
          <w:color w:val="auto"/>
        </w:rPr>
        <w:t>Depreciation of property, plant and equipment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-133985</wp:posOffset>
            </wp:positionV>
            <wp:extent cx="6500495"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500495" cy="137160"/>
                    </a:xfrm>
                    <a:prstGeom prst="rect">
                      <a:avLst/>
                    </a:prstGeom>
                    <a:noFill/>
                  </pic:spPr>
                </pic:pic>
              </a:graphicData>
            </a:graphic>
          </wp:anchor>
        </w:drawing>
      </w:r>
    </w:p>
    <w:p>
      <w:pPr>
        <w:ind w:left="980"/>
        <w:spacing w:after="0" w:line="226" w:lineRule="auto"/>
        <w:rPr>
          <w:sz w:val="20"/>
          <w:szCs w:val="20"/>
          <w:color w:val="auto"/>
        </w:rPr>
      </w:pPr>
      <w:r>
        <w:rPr>
          <w:rFonts w:ascii="Arial" w:cs="Arial" w:eastAsia="Arial" w:hAnsi="Arial"/>
          <w:sz w:val="20"/>
          <w:szCs w:val="20"/>
          <w:color w:val="auto"/>
        </w:rPr>
        <w:t>Write-off of property, plant and equipment (Note 17)</w:t>
      </w:r>
    </w:p>
    <w:p>
      <w:pPr>
        <w:ind w:left="980"/>
        <w:spacing w:after="0"/>
        <w:rPr>
          <w:sz w:val="20"/>
          <w:szCs w:val="20"/>
          <w:color w:val="auto"/>
        </w:rPr>
      </w:pPr>
      <w:r>
        <w:rPr>
          <w:rFonts w:ascii="Arial" w:cs="Arial" w:eastAsia="Arial" w:hAnsi="Arial"/>
          <w:sz w:val="19"/>
          <w:szCs w:val="19"/>
          <w:color w:val="auto"/>
        </w:rPr>
        <w:t>Write-off and impairment of intangible assets (Note 18(b),(c))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-135890</wp:posOffset>
            </wp:positionV>
            <wp:extent cx="6500495"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500495" cy="137160"/>
                    </a:xfrm>
                    <a:prstGeom prst="rect">
                      <a:avLst/>
                    </a:prstGeom>
                    <a:noFill/>
                  </pic:spPr>
                </pic:pic>
              </a:graphicData>
            </a:graphic>
          </wp:anchor>
        </w:drawing>
      </w:r>
    </w:p>
    <w:p>
      <w:pPr>
        <w:ind w:left="980"/>
        <w:spacing w:after="0"/>
        <w:rPr>
          <w:sz w:val="20"/>
          <w:szCs w:val="20"/>
          <w:color w:val="auto"/>
        </w:rPr>
      </w:pPr>
      <w:r>
        <w:rPr>
          <w:rFonts w:ascii="Arial" w:cs="Arial" w:eastAsia="Arial" w:hAnsi="Arial"/>
          <w:sz w:val="20"/>
          <w:szCs w:val="20"/>
          <w:color w:val="auto"/>
        </w:rPr>
        <w:t>Total amortisation, depreciation and impairment</w:t>
      </w:r>
    </w:p>
    <w:p>
      <w:pPr>
        <w:ind w:left="980"/>
        <w:spacing w:after="0" w:line="225" w:lineRule="auto"/>
        <w:rPr>
          <w:sz w:val="20"/>
          <w:szCs w:val="20"/>
          <w:color w:val="auto"/>
        </w:rPr>
      </w:pPr>
      <w:r>
        <w:rPr>
          <w:rFonts w:ascii="Arial" w:cs="Arial" w:eastAsia="Arial" w:hAnsi="Arial"/>
          <w:sz w:val="20"/>
          <w:szCs w:val="20"/>
          <w:color w:val="auto"/>
        </w:rPr>
        <w:t>Employee compensation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-133985</wp:posOffset>
            </wp:positionV>
            <wp:extent cx="6500495"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500495" cy="137160"/>
                    </a:xfrm>
                    <a:prstGeom prst="rect">
                      <a:avLst/>
                    </a:prstGeom>
                    <a:noFill/>
                  </pic:spPr>
                </pic:pic>
              </a:graphicData>
            </a:graphic>
          </wp:anchor>
        </w:drawing>
      </w:r>
    </w:p>
    <w:p>
      <w:pPr>
        <w:ind w:left="980"/>
        <w:spacing w:after="0" w:line="225" w:lineRule="auto"/>
        <w:rPr>
          <w:sz w:val="20"/>
          <w:szCs w:val="20"/>
          <w:color w:val="auto"/>
        </w:rPr>
      </w:pPr>
      <w:r>
        <w:rPr>
          <w:rFonts w:ascii="Arial" w:cs="Arial" w:eastAsia="Arial" w:hAnsi="Arial"/>
          <w:sz w:val="20"/>
          <w:szCs w:val="20"/>
          <w:color w:val="auto"/>
        </w:rPr>
        <w:t>Sub-contractor charges</w:t>
      </w:r>
    </w:p>
    <w:p>
      <w:pPr>
        <w:ind w:left="980"/>
        <w:spacing w:after="0" w:line="226" w:lineRule="auto"/>
        <w:rPr>
          <w:sz w:val="20"/>
          <w:szCs w:val="20"/>
          <w:color w:val="auto"/>
        </w:rPr>
      </w:pPr>
      <w:r>
        <w:rPr>
          <w:rFonts w:ascii="Arial" w:cs="Arial" w:eastAsia="Arial" w:hAnsi="Arial"/>
          <w:sz w:val="20"/>
          <w:szCs w:val="20"/>
          <w:color w:val="auto"/>
        </w:rPr>
        <w:t>Rental expense on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-133985</wp:posOffset>
            </wp:positionV>
            <wp:extent cx="6500495"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500495" cy="137160"/>
                    </a:xfrm>
                    <a:prstGeom prst="rect">
                      <a:avLst/>
                    </a:prstGeom>
                    <a:noFill/>
                  </pic:spPr>
                </pic:pic>
              </a:graphicData>
            </a:graphic>
          </wp:anchor>
        </w:drawing>
      </w:r>
    </w:p>
    <w:p>
      <w:pPr>
        <w:ind w:left="980"/>
        <w:spacing w:after="0" w:line="226" w:lineRule="auto"/>
        <w:rPr>
          <w:sz w:val="20"/>
          <w:szCs w:val="20"/>
          <w:color w:val="auto"/>
        </w:rPr>
      </w:pPr>
      <w:r>
        <w:rPr>
          <w:rFonts w:ascii="Arial" w:cs="Arial" w:eastAsia="Arial" w:hAnsi="Arial"/>
          <w:sz w:val="20"/>
          <w:szCs w:val="20"/>
          <w:color w:val="auto"/>
        </w:rPr>
        <w:t>Manufacturing supplies</w:t>
      </w:r>
    </w:p>
    <w:p>
      <w:pPr>
        <w:ind w:left="980"/>
        <w:spacing w:after="0" w:line="225" w:lineRule="auto"/>
        <w:rPr>
          <w:sz w:val="20"/>
          <w:szCs w:val="20"/>
          <w:color w:val="auto"/>
        </w:rPr>
      </w:pPr>
      <w:r>
        <w:rPr>
          <w:rFonts w:ascii="Arial" w:cs="Arial" w:eastAsia="Arial" w:hAnsi="Arial"/>
          <w:sz w:val="20"/>
          <w:szCs w:val="20"/>
          <w:color w:val="auto"/>
        </w:rPr>
        <w:t>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-133985</wp:posOffset>
            </wp:positionV>
            <wp:extent cx="6500495"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500495" cy="137160"/>
                    </a:xfrm>
                    <a:prstGeom prst="rect">
                      <a:avLst/>
                    </a:prstGeom>
                    <a:noFill/>
                  </pic:spPr>
                </pic:pic>
              </a:graphicData>
            </a:graphic>
          </wp:anchor>
        </w:drawing>
      </w:r>
    </w:p>
    <w:p>
      <w:pPr>
        <w:ind w:left="980"/>
        <w:spacing w:after="0" w:line="226" w:lineRule="auto"/>
        <w:rPr>
          <w:sz w:val="20"/>
          <w:szCs w:val="20"/>
          <w:color w:val="auto"/>
        </w:rPr>
      </w:pPr>
      <w:r>
        <w:rPr>
          <w:rFonts w:ascii="Arial" w:cs="Arial" w:eastAsia="Arial" w:hAnsi="Arial"/>
          <w:sz w:val="20"/>
          <w:szCs w:val="20"/>
          <w:color w:val="auto"/>
        </w:rPr>
        <w:t>Restructuring expense</w:t>
      </w:r>
    </w:p>
    <w:p>
      <w:pPr>
        <w:ind w:left="980"/>
        <w:spacing w:after="0"/>
        <w:rPr>
          <w:sz w:val="20"/>
          <w:szCs w:val="20"/>
          <w:color w:val="auto"/>
        </w:rPr>
      </w:pPr>
      <w:r>
        <w:rPr>
          <w:rFonts w:ascii="Arial" w:cs="Arial" w:eastAsia="Arial" w:hAnsi="Arial"/>
          <w:sz w:val="20"/>
          <w:szCs w:val="20"/>
          <w:color w:val="auto"/>
        </w:rPr>
        <w:t>Litigation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-142875</wp:posOffset>
            </wp:positionV>
            <wp:extent cx="6500495"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5004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vMerge w:val="restart"/>
          </w:tcPr>
          <w:p>
            <w:pPr>
              <w:jc w:val="right"/>
              <w:ind w:right="262"/>
              <w:spacing w:after="0"/>
              <w:rPr>
                <w:sz w:val="20"/>
                <w:szCs w:val="20"/>
                <w:color w:val="auto"/>
              </w:rPr>
            </w:pPr>
            <w:r>
              <w:rPr>
                <w:rFonts w:ascii="Arial" w:cs="Arial" w:eastAsia="Arial" w:hAnsi="Arial"/>
                <w:sz w:val="20"/>
                <w:szCs w:val="20"/>
                <w:b w:val="1"/>
                <w:bCs w:val="1"/>
                <w:color w:val="auto"/>
              </w:rPr>
              <w:t>2017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7"/>
              </w:rPr>
              <w:t>Group</w:t>
            </w:r>
          </w:p>
        </w:tc>
        <w:tc>
          <w:tcPr>
            <w:tcW w:w="1580" w:type="dxa"/>
            <w:vAlign w:val="bottom"/>
            <w:vMerge w:val="restart"/>
          </w:tcPr>
          <w:p>
            <w:pPr>
              <w:jc w:val="right"/>
              <w:ind w:right="642"/>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173"/>
        </w:trPr>
        <w:tc>
          <w:tcPr>
            <w:tcW w:w="20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jc w:val="center"/>
              <w:ind w:left="222"/>
              <w:spacing w:after="0"/>
              <w:rPr>
                <w:sz w:val="20"/>
                <w:szCs w:val="20"/>
                <w:color w:val="auto"/>
              </w:rPr>
            </w:pPr>
            <w:r>
              <w:rPr>
                <w:rFonts w:ascii="Arial" w:cs="Arial" w:eastAsia="Arial" w:hAnsi="Arial"/>
                <w:sz w:val="18"/>
                <w:szCs w:val="18"/>
                <w:b w:val="1"/>
                <w:bCs w:val="1"/>
                <w:color w:val="auto"/>
                <w:w w:val="99"/>
              </w:rPr>
              <w:t>(US$ millions)</w:t>
            </w:r>
          </w:p>
        </w:tc>
        <w:tc>
          <w:tcPr>
            <w:tcW w:w="1580" w:type="dxa"/>
            <w:vAlign w:val="bottom"/>
          </w:tcPr>
          <w:p>
            <w:pPr>
              <w:jc w:val="right"/>
              <w:ind w:right="302"/>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324"/>
        </w:trPr>
        <w:tc>
          <w:tcPr>
            <w:tcW w:w="260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20"/>
                <w:szCs w:val="20"/>
                <w:b w:val="1"/>
                <w:bCs w:val="1"/>
                <w:color w:val="auto"/>
              </w:rPr>
              <w:t>5,735</w:t>
            </w:r>
          </w:p>
        </w:tc>
        <w:tc>
          <w:tcPr>
            <w:tcW w:w="15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5,650</w:t>
            </w:r>
          </w:p>
        </w:tc>
        <w:tc>
          <w:tcPr>
            <w:tcW w:w="0" w:type="dxa"/>
            <w:vAlign w:val="bottom"/>
          </w:tcPr>
          <w:p>
            <w:pPr>
              <w:spacing w:after="0"/>
              <w:rPr>
                <w:sz w:val="1"/>
                <w:szCs w:val="1"/>
                <w:color w:val="auto"/>
              </w:rPr>
            </w:pPr>
          </w:p>
        </w:tc>
      </w:tr>
      <w:tr>
        <w:trPr>
          <w:trHeight w:val="182"/>
        </w:trPr>
        <w:tc>
          <w:tcPr>
            <w:tcW w:w="2600" w:type="dxa"/>
            <w:vAlign w:val="bottom"/>
            <w:tcBorders>
              <w:left w:val="single" w:sz="8" w:color="auto"/>
            </w:tcBorders>
            <w:gridSpan w:val="2"/>
          </w:tcPr>
          <w:p>
            <w:pPr>
              <w:jc w:val="right"/>
              <w:ind w:right="441"/>
              <w:spacing w:after="0" w:line="182" w:lineRule="exact"/>
              <w:rPr>
                <w:sz w:val="20"/>
                <w:szCs w:val="20"/>
                <w:color w:val="auto"/>
              </w:rPr>
            </w:pPr>
            <w:r>
              <w:rPr>
                <w:rFonts w:ascii="Arial" w:cs="Arial" w:eastAsia="Arial" w:hAnsi="Arial"/>
                <w:sz w:val="20"/>
                <w:szCs w:val="20"/>
                <w:b w:val="1"/>
                <w:bCs w:val="1"/>
                <w:color w:val="auto"/>
              </w:rPr>
              <w:t>4,285</w:t>
            </w:r>
          </w:p>
        </w:tc>
        <w:tc>
          <w:tcPr>
            <w:tcW w:w="1580" w:type="dxa"/>
            <w:vAlign w:val="bottom"/>
            <w:tcBorders>
              <w:right w:val="single" w:sz="8" w:color="auto"/>
            </w:tcBorders>
          </w:tcPr>
          <w:p>
            <w:pPr>
              <w:jc w:val="right"/>
              <w:ind w:right="302"/>
              <w:spacing w:after="0" w:line="182" w:lineRule="exact"/>
              <w:rPr>
                <w:sz w:val="20"/>
                <w:szCs w:val="20"/>
                <w:color w:val="auto"/>
              </w:rPr>
            </w:pPr>
            <w:r>
              <w:rPr>
                <w:rFonts w:ascii="Arial" w:cs="Arial" w:eastAsia="Arial" w:hAnsi="Arial"/>
                <w:sz w:val="20"/>
                <w:szCs w:val="20"/>
                <w:color w:val="auto"/>
              </w:rPr>
              <w:t>2,638</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tcBorders>
            <w:gridSpan w:val="2"/>
          </w:tcPr>
          <w:p>
            <w:pPr>
              <w:jc w:val="right"/>
              <w:ind w:right="441"/>
              <w:spacing w:after="0" w:line="216" w:lineRule="exact"/>
              <w:rPr>
                <w:sz w:val="20"/>
                <w:szCs w:val="20"/>
                <w:color w:val="auto"/>
              </w:rPr>
            </w:pPr>
            <w:r>
              <w:rPr>
                <w:rFonts w:ascii="Arial" w:cs="Arial" w:eastAsia="Arial" w:hAnsi="Arial"/>
                <w:sz w:val="20"/>
                <w:szCs w:val="20"/>
                <w:b w:val="1"/>
                <w:bCs w:val="1"/>
                <w:color w:val="auto"/>
              </w:rPr>
              <w:t>451</w:t>
            </w:r>
          </w:p>
        </w:tc>
        <w:tc>
          <w:tcPr>
            <w:tcW w:w="1580" w:type="dxa"/>
            <w:vAlign w:val="bottom"/>
            <w:tcBorders>
              <w:right w:val="single" w:sz="8" w:color="auto"/>
            </w:tcBorders>
          </w:tcPr>
          <w:p>
            <w:pPr>
              <w:jc w:val="right"/>
              <w:ind w:right="302"/>
              <w:spacing w:after="0" w:line="216" w:lineRule="exact"/>
              <w:rPr>
                <w:sz w:val="20"/>
                <w:szCs w:val="20"/>
                <w:color w:val="auto"/>
              </w:rPr>
            </w:pPr>
            <w:r>
              <w:rPr>
                <w:rFonts w:ascii="Arial" w:cs="Arial" w:eastAsia="Arial" w:hAnsi="Arial"/>
                <w:sz w:val="20"/>
                <w:szCs w:val="20"/>
                <w:color w:val="auto"/>
              </w:rPr>
              <w:t>402</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tcBorders>
            <w:gridSpan w:val="2"/>
          </w:tcPr>
          <w:p>
            <w:pPr>
              <w:jc w:val="right"/>
              <w:ind w:right="441"/>
              <w:spacing w:after="0" w:line="216" w:lineRule="exact"/>
              <w:rPr>
                <w:sz w:val="20"/>
                <w:szCs w:val="20"/>
                <w:color w:val="auto"/>
              </w:rPr>
            </w:pPr>
            <w:r>
              <w:rPr>
                <w:rFonts w:ascii="Arial" w:cs="Arial" w:eastAsia="Arial" w:hAnsi="Arial"/>
                <w:sz w:val="20"/>
                <w:szCs w:val="20"/>
                <w:b w:val="1"/>
                <w:bCs w:val="1"/>
                <w:color w:val="auto"/>
              </w:rPr>
              <w:t>15</w:t>
            </w:r>
          </w:p>
        </w:tc>
        <w:tc>
          <w:tcPr>
            <w:tcW w:w="1580" w:type="dxa"/>
            <w:vAlign w:val="bottom"/>
            <w:tcBorders>
              <w:right w:val="single" w:sz="8" w:color="auto"/>
            </w:tcBorders>
          </w:tcPr>
          <w:p>
            <w:pPr>
              <w:jc w:val="right"/>
              <w:ind w:right="302"/>
              <w:spacing w:after="0" w:line="216" w:lineRule="exact"/>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57"/>
        </w:trPr>
        <w:tc>
          <w:tcPr>
            <w:tcW w:w="2600" w:type="dxa"/>
            <w:vAlign w:val="bottom"/>
            <w:tcBorders>
              <w:left w:val="single" w:sz="8" w:color="auto"/>
              <w:bottom w:val="single" w:sz="8" w:color="auto"/>
            </w:tcBorders>
            <w:gridSpan w:val="2"/>
          </w:tcPr>
          <w:p>
            <w:pPr>
              <w:jc w:val="right"/>
              <w:ind w:right="441"/>
              <w:spacing w:after="0"/>
              <w:rPr>
                <w:sz w:val="20"/>
                <w:szCs w:val="20"/>
                <w:color w:val="auto"/>
              </w:rPr>
            </w:pPr>
            <w:r>
              <w:rPr>
                <w:rFonts w:ascii="Arial" w:cs="Arial" w:eastAsia="Arial" w:hAnsi="Arial"/>
                <w:sz w:val="20"/>
                <w:szCs w:val="20"/>
                <w:b w:val="1"/>
                <w:bCs w:val="1"/>
                <w:color w:val="auto"/>
              </w:rPr>
              <w:t>13</w:t>
            </w:r>
          </w:p>
        </w:tc>
        <w:tc>
          <w:tcPr>
            <w:tcW w:w="1580" w:type="dxa"/>
            <w:vAlign w:val="bottom"/>
            <w:tcBorders>
              <w:bottom w:val="single" w:sz="8" w:color="auto"/>
              <w:right w:val="single" w:sz="8" w:color="auto"/>
            </w:tcBorders>
          </w:tcPr>
          <w:p>
            <w:pPr>
              <w:jc w:val="right"/>
              <w:ind w:right="302"/>
              <w:spacing w:after="0"/>
              <w:rPr>
                <w:sz w:val="20"/>
                <w:szCs w:val="20"/>
                <w:color w:val="auto"/>
              </w:rPr>
            </w:pPr>
            <w:r>
              <w:rPr>
                <w:rFonts w:ascii="Arial" w:cs="Arial" w:eastAsia="Arial" w:hAnsi="Arial"/>
                <w:sz w:val="20"/>
                <w:szCs w:val="20"/>
                <w:color w:val="auto"/>
              </w:rPr>
              <w:t>423</w:t>
            </w:r>
          </w:p>
        </w:tc>
        <w:tc>
          <w:tcPr>
            <w:tcW w:w="0" w:type="dxa"/>
            <w:vAlign w:val="bottom"/>
          </w:tcPr>
          <w:p>
            <w:pPr>
              <w:spacing w:after="0"/>
              <w:rPr>
                <w:sz w:val="1"/>
                <w:szCs w:val="1"/>
                <w:color w:val="auto"/>
              </w:rPr>
            </w:pPr>
          </w:p>
        </w:tc>
      </w:tr>
      <w:tr>
        <w:trPr>
          <w:trHeight w:val="182"/>
        </w:trPr>
        <w:tc>
          <w:tcPr>
            <w:tcW w:w="2600" w:type="dxa"/>
            <w:vAlign w:val="bottom"/>
            <w:gridSpan w:val="2"/>
          </w:tcPr>
          <w:p>
            <w:pPr>
              <w:jc w:val="right"/>
              <w:ind w:right="441"/>
              <w:spacing w:after="0" w:line="182" w:lineRule="exact"/>
              <w:rPr>
                <w:sz w:val="20"/>
                <w:szCs w:val="20"/>
                <w:color w:val="auto"/>
              </w:rPr>
            </w:pPr>
            <w:r>
              <w:rPr>
                <w:rFonts w:ascii="Arial" w:cs="Arial" w:eastAsia="Arial" w:hAnsi="Arial"/>
                <w:sz w:val="20"/>
                <w:szCs w:val="20"/>
                <w:b w:val="1"/>
                <w:bCs w:val="1"/>
                <w:color w:val="auto"/>
              </w:rPr>
              <w:t>4,764</w:t>
            </w:r>
          </w:p>
        </w:tc>
        <w:tc>
          <w:tcPr>
            <w:tcW w:w="1580" w:type="dxa"/>
            <w:vAlign w:val="bottom"/>
          </w:tcPr>
          <w:p>
            <w:pPr>
              <w:jc w:val="right"/>
              <w:ind w:right="302"/>
              <w:spacing w:after="0" w:line="182" w:lineRule="exact"/>
              <w:rPr>
                <w:sz w:val="20"/>
                <w:szCs w:val="20"/>
                <w:color w:val="auto"/>
              </w:rPr>
            </w:pPr>
            <w:r>
              <w:rPr>
                <w:rFonts w:ascii="Arial" w:cs="Arial" w:eastAsia="Arial" w:hAnsi="Arial"/>
                <w:sz w:val="20"/>
                <w:szCs w:val="20"/>
                <w:color w:val="auto"/>
              </w:rPr>
              <w:t>3,614</w:t>
            </w:r>
          </w:p>
        </w:tc>
        <w:tc>
          <w:tcPr>
            <w:tcW w:w="0" w:type="dxa"/>
            <w:vAlign w:val="bottom"/>
          </w:tcPr>
          <w:p>
            <w:pPr>
              <w:spacing w:after="0"/>
              <w:rPr>
                <w:sz w:val="1"/>
                <w:szCs w:val="1"/>
                <w:color w:val="auto"/>
              </w:rPr>
            </w:pPr>
          </w:p>
        </w:tc>
      </w:tr>
      <w:tr>
        <w:trPr>
          <w:trHeight w:val="216"/>
        </w:trPr>
        <w:tc>
          <w:tcPr>
            <w:tcW w:w="2600" w:type="dxa"/>
            <w:vAlign w:val="bottom"/>
            <w:gridSpan w:val="2"/>
          </w:tcPr>
          <w:p>
            <w:pPr>
              <w:jc w:val="right"/>
              <w:ind w:right="441"/>
              <w:spacing w:after="0" w:line="216" w:lineRule="exact"/>
              <w:rPr>
                <w:sz w:val="20"/>
                <w:szCs w:val="20"/>
                <w:color w:val="auto"/>
              </w:rPr>
            </w:pPr>
            <w:r>
              <w:rPr>
                <w:rFonts w:ascii="Arial" w:cs="Arial" w:eastAsia="Arial" w:hAnsi="Arial"/>
                <w:sz w:val="20"/>
                <w:szCs w:val="20"/>
                <w:b w:val="1"/>
                <w:bCs w:val="1"/>
                <w:color w:val="auto"/>
              </w:rPr>
              <w:t>3,297</w:t>
            </w:r>
          </w:p>
        </w:tc>
        <w:tc>
          <w:tcPr>
            <w:tcW w:w="1580" w:type="dxa"/>
            <w:vAlign w:val="bottom"/>
          </w:tcPr>
          <w:p>
            <w:pPr>
              <w:jc w:val="right"/>
              <w:ind w:right="302"/>
              <w:spacing w:after="0" w:line="216" w:lineRule="exact"/>
              <w:rPr>
                <w:sz w:val="20"/>
                <w:szCs w:val="20"/>
                <w:color w:val="auto"/>
              </w:rPr>
            </w:pPr>
            <w:r>
              <w:rPr>
                <w:rFonts w:ascii="Arial" w:cs="Arial" w:eastAsia="Arial" w:hAnsi="Arial"/>
                <w:sz w:val="20"/>
                <w:szCs w:val="20"/>
                <w:color w:val="auto"/>
              </w:rPr>
              <w:t>3,061</w:t>
            </w:r>
          </w:p>
        </w:tc>
        <w:tc>
          <w:tcPr>
            <w:tcW w:w="0" w:type="dxa"/>
            <w:vAlign w:val="bottom"/>
          </w:tcPr>
          <w:p>
            <w:pPr>
              <w:spacing w:after="0"/>
              <w:rPr>
                <w:sz w:val="1"/>
                <w:szCs w:val="1"/>
                <w:color w:val="auto"/>
              </w:rPr>
            </w:pPr>
          </w:p>
        </w:tc>
      </w:tr>
      <w:tr>
        <w:trPr>
          <w:trHeight w:val="216"/>
        </w:trPr>
        <w:tc>
          <w:tcPr>
            <w:tcW w:w="2600" w:type="dxa"/>
            <w:vAlign w:val="bottom"/>
            <w:gridSpan w:val="2"/>
          </w:tcPr>
          <w:p>
            <w:pPr>
              <w:jc w:val="right"/>
              <w:ind w:right="441"/>
              <w:spacing w:after="0" w:line="216" w:lineRule="exact"/>
              <w:rPr>
                <w:sz w:val="20"/>
                <w:szCs w:val="20"/>
                <w:color w:val="auto"/>
              </w:rPr>
            </w:pPr>
            <w:r>
              <w:rPr>
                <w:rFonts w:ascii="Arial" w:cs="Arial" w:eastAsia="Arial" w:hAnsi="Arial"/>
                <w:sz w:val="20"/>
                <w:szCs w:val="20"/>
                <w:b w:val="1"/>
                <w:bCs w:val="1"/>
                <w:color w:val="auto"/>
              </w:rPr>
              <w:t>230</w:t>
            </w:r>
          </w:p>
        </w:tc>
        <w:tc>
          <w:tcPr>
            <w:tcW w:w="1580" w:type="dxa"/>
            <w:vAlign w:val="bottom"/>
          </w:tcPr>
          <w:p>
            <w:pPr>
              <w:jc w:val="right"/>
              <w:ind w:right="302"/>
              <w:spacing w:after="0" w:line="216" w:lineRule="exact"/>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216"/>
        </w:trPr>
        <w:tc>
          <w:tcPr>
            <w:tcW w:w="2600" w:type="dxa"/>
            <w:vAlign w:val="bottom"/>
            <w:gridSpan w:val="2"/>
          </w:tcPr>
          <w:p>
            <w:pPr>
              <w:jc w:val="right"/>
              <w:ind w:right="441"/>
              <w:spacing w:after="0" w:line="216" w:lineRule="exact"/>
              <w:rPr>
                <w:sz w:val="20"/>
                <w:szCs w:val="20"/>
                <w:color w:val="auto"/>
              </w:rPr>
            </w:pPr>
            <w:r>
              <w:rPr>
                <w:rFonts w:ascii="Arial" w:cs="Arial" w:eastAsia="Arial" w:hAnsi="Arial"/>
                <w:sz w:val="20"/>
                <w:szCs w:val="20"/>
                <w:b w:val="1"/>
                <w:bCs w:val="1"/>
                <w:color w:val="auto"/>
              </w:rPr>
              <w:t>109</w:t>
            </w:r>
          </w:p>
        </w:tc>
        <w:tc>
          <w:tcPr>
            <w:tcW w:w="1580" w:type="dxa"/>
            <w:vAlign w:val="bottom"/>
          </w:tcPr>
          <w:p>
            <w:pPr>
              <w:jc w:val="right"/>
              <w:ind w:right="302"/>
              <w:spacing w:after="0" w:line="216" w:lineRule="exact"/>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16"/>
        </w:trPr>
        <w:tc>
          <w:tcPr>
            <w:tcW w:w="2600" w:type="dxa"/>
            <w:vAlign w:val="bottom"/>
            <w:gridSpan w:val="2"/>
          </w:tcPr>
          <w:p>
            <w:pPr>
              <w:jc w:val="right"/>
              <w:ind w:right="441"/>
              <w:spacing w:after="0" w:line="216" w:lineRule="exact"/>
              <w:rPr>
                <w:sz w:val="20"/>
                <w:szCs w:val="20"/>
                <w:color w:val="auto"/>
              </w:rPr>
            </w:pPr>
            <w:r>
              <w:rPr>
                <w:rFonts w:ascii="Arial" w:cs="Arial" w:eastAsia="Arial" w:hAnsi="Arial"/>
                <w:sz w:val="20"/>
                <w:szCs w:val="20"/>
                <w:b w:val="1"/>
                <w:bCs w:val="1"/>
                <w:color w:val="auto"/>
              </w:rPr>
              <w:t>200</w:t>
            </w:r>
          </w:p>
        </w:tc>
        <w:tc>
          <w:tcPr>
            <w:tcW w:w="1580" w:type="dxa"/>
            <w:vAlign w:val="bottom"/>
          </w:tcPr>
          <w:p>
            <w:pPr>
              <w:jc w:val="right"/>
              <w:ind w:right="302"/>
              <w:spacing w:after="0" w:line="216" w:lineRule="exact"/>
              <w:rPr>
                <w:sz w:val="20"/>
                <w:szCs w:val="20"/>
                <w:color w:val="auto"/>
              </w:rPr>
            </w:pPr>
            <w:r>
              <w:rPr>
                <w:rFonts w:ascii="Arial" w:cs="Arial" w:eastAsia="Arial" w:hAnsi="Arial"/>
                <w:sz w:val="20"/>
                <w:szCs w:val="20"/>
                <w:color w:val="auto"/>
              </w:rPr>
              <w:t>228</w:t>
            </w:r>
          </w:p>
        </w:tc>
        <w:tc>
          <w:tcPr>
            <w:tcW w:w="0" w:type="dxa"/>
            <w:vAlign w:val="bottom"/>
          </w:tcPr>
          <w:p>
            <w:pPr>
              <w:spacing w:after="0"/>
              <w:rPr>
                <w:sz w:val="1"/>
                <w:szCs w:val="1"/>
                <w:color w:val="auto"/>
              </w:rPr>
            </w:pPr>
          </w:p>
        </w:tc>
      </w:tr>
      <w:tr>
        <w:trPr>
          <w:trHeight w:val="216"/>
        </w:trPr>
        <w:tc>
          <w:tcPr>
            <w:tcW w:w="2600" w:type="dxa"/>
            <w:vAlign w:val="bottom"/>
            <w:gridSpan w:val="2"/>
          </w:tcPr>
          <w:p>
            <w:pPr>
              <w:jc w:val="right"/>
              <w:ind w:right="441"/>
              <w:spacing w:after="0" w:line="216" w:lineRule="exact"/>
              <w:rPr>
                <w:sz w:val="20"/>
                <w:szCs w:val="20"/>
                <w:color w:val="auto"/>
              </w:rPr>
            </w:pPr>
            <w:r>
              <w:rPr>
                <w:rFonts w:ascii="Arial" w:cs="Arial" w:eastAsia="Arial" w:hAnsi="Arial"/>
                <w:sz w:val="20"/>
                <w:szCs w:val="20"/>
                <w:b w:val="1"/>
                <w:bCs w:val="1"/>
                <w:color w:val="auto"/>
              </w:rPr>
              <w:t>116</w:t>
            </w:r>
          </w:p>
        </w:tc>
        <w:tc>
          <w:tcPr>
            <w:tcW w:w="1580" w:type="dxa"/>
            <w:vAlign w:val="bottom"/>
          </w:tcPr>
          <w:p>
            <w:pPr>
              <w:jc w:val="right"/>
              <w:ind w:right="302"/>
              <w:spacing w:after="0" w:line="216" w:lineRule="exact"/>
              <w:rPr>
                <w:sz w:val="20"/>
                <w:szCs w:val="20"/>
                <w:color w:val="auto"/>
              </w:rPr>
            </w:pPr>
            <w:r>
              <w:rPr>
                <w:rFonts w:ascii="Arial" w:cs="Arial" w:eastAsia="Arial" w:hAnsi="Arial"/>
                <w:sz w:val="20"/>
                <w:szCs w:val="20"/>
                <w:color w:val="auto"/>
              </w:rPr>
              <w:t>145</w:t>
            </w:r>
          </w:p>
        </w:tc>
        <w:tc>
          <w:tcPr>
            <w:tcW w:w="0" w:type="dxa"/>
            <w:vAlign w:val="bottom"/>
          </w:tcPr>
          <w:p>
            <w:pPr>
              <w:spacing w:after="0"/>
              <w:rPr>
                <w:sz w:val="1"/>
                <w:szCs w:val="1"/>
                <w:color w:val="auto"/>
              </w:rPr>
            </w:pPr>
          </w:p>
        </w:tc>
      </w:tr>
      <w:tr>
        <w:trPr>
          <w:trHeight w:val="216"/>
        </w:trPr>
        <w:tc>
          <w:tcPr>
            <w:tcW w:w="2600" w:type="dxa"/>
            <w:vAlign w:val="bottom"/>
            <w:gridSpan w:val="2"/>
          </w:tcPr>
          <w:p>
            <w:pPr>
              <w:jc w:val="right"/>
              <w:ind w:right="441"/>
              <w:spacing w:after="0" w:line="216" w:lineRule="exact"/>
              <w:rPr>
                <w:sz w:val="20"/>
                <w:szCs w:val="20"/>
                <w:color w:val="auto"/>
              </w:rPr>
            </w:pPr>
            <w:r>
              <w:rPr>
                <w:rFonts w:ascii="Arial" w:cs="Arial" w:eastAsia="Arial" w:hAnsi="Arial"/>
                <w:sz w:val="20"/>
                <w:szCs w:val="20"/>
                <w:b w:val="1"/>
                <w:bCs w:val="1"/>
                <w:color w:val="auto"/>
              </w:rPr>
              <w:t>129</w:t>
            </w:r>
          </w:p>
        </w:tc>
        <w:tc>
          <w:tcPr>
            <w:tcW w:w="1580" w:type="dxa"/>
            <w:vAlign w:val="bottom"/>
          </w:tcPr>
          <w:p>
            <w:pPr>
              <w:jc w:val="right"/>
              <w:ind w:right="302"/>
              <w:spacing w:after="0" w:line="216" w:lineRule="exact"/>
              <w:rPr>
                <w:sz w:val="20"/>
                <w:szCs w:val="20"/>
                <w:color w:val="auto"/>
              </w:rPr>
            </w:pPr>
            <w:r>
              <w:rPr>
                <w:rFonts w:ascii="Arial" w:cs="Arial" w:eastAsia="Arial" w:hAnsi="Arial"/>
                <w:sz w:val="20"/>
                <w:szCs w:val="20"/>
                <w:color w:val="auto"/>
              </w:rPr>
              <w:t>482</w:t>
            </w:r>
          </w:p>
        </w:tc>
        <w:tc>
          <w:tcPr>
            <w:tcW w:w="0" w:type="dxa"/>
            <w:vAlign w:val="bottom"/>
          </w:tcPr>
          <w:p>
            <w:pPr>
              <w:spacing w:after="0"/>
              <w:rPr>
                <w:sz w:val="1"/>
                <w:szCs w:val="1"/>
                <w:color w:val="auto"/>
              </w:rPr>
            </w:pPr>
          </w:p>
        </w:tc>
      </w:tr>
      <w:tr>
        <w:trPr>
          <w:trHeight w:val="264"/>
        </w:trPr>
        <w:tc>
          <w:tcPr>
            <w:tcW w:w="260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20"/>
                <w:szCs w:val="20"/>
                <w:b w:val="1"/>
                <w:bCs w:val="1"/>
                <w:color w:val="auto"/>
              </w:rPr>
              <w:t>122</w:t>
            </w:r>
          </w:p>
        </w:tc>
        <w:tc>
          <w:tcPr>
            <w:tcW w:w="15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360" w:space="720"/>
            <w:col w:w="4160"/>
          </w:cols>
          <w:pgMar w:left="240" w:top="459" w:right="419" w:bottom="1440" w:gutter="0" w:footer="0" w:header="0"/>
          <w:type w:val="continuous"/>
        </w:sectPr>
      </w:pPr>
    </w:p>
    <w:p>
      <w:pPr>
        <w:spacing w:after="0" w:line="15" w:lineRule="exact"/>
        <w:rPr>
          <w:sz w:val="20"/>
          <w:szCs w:val="20"/>
          <w:color w:val="auto"/>
        </w:rPr>
      </w:pPr>
    </w:p>
    <w:p>
      <w:pPr>
        <w:jc w:val="both"/>
        <w:ind w:left="980" w:right="20"/>
        <w:spacing w:after="0" w:line="238" w:lineRule="auto"/>
        <w:rPr>
          <w:sz w:val="20"/>
          <w:szCs w:val="20"/>
          <w:color w:val="auto"/>
        </w:rPr>
      </w:pPr>
      <w:r>
        <w:rPr>
          <w:rFonts w:ascii="Arial" w:cs="Arial" w:eastAsia="Arial" w:hAnsi="Arial"/>
          <w:sz w:val="18"/>
          <w:szCs w:val="18"/>
          <w:color w:val="auto"/>
        </w:rPr>
        <w:t>Litigation settlements relates to matters that existed at the balance sheet date of 29 October 2017, which primarily consists of expenses that became probable and reasonably estimable prior to the issuance of these consolidated financial statements. This amount does not take into consideration the receipt of any potential indemnity or contribution amounts the Group may become entitled to as a result of these settlements because such amounts are not probable or reasonably estimable as of the date hereof.</w:t>
      </w:r>
    </w:p>
    <w:p>
      <w:pPr>
        <w:spacing w:after="0" w:line="208"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8"/>
          <w:szCs w:val="18"/>
          <w:b w:val="1"/>
          <w:bCs w:val="1"/>
          <w:color w:val="auto"/>
        </w:rPr>
        <w:t>Employee compensation</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040" w:type="dxa"/>
            <w:vAlign w:val="bottom"/>
            <w:vMerge w:val="restart"/>
          </w:tcPr>
          <w:p>
            <w:pPr>
              <w:jc w:val="right"/>
              <w:ind w:right="342"/>
              <w:spacing w:after="0"/>
              <w:rPr>
                <w:sz w:val="20"/>
                <w:szCs w:val="20"/>
                <w:color w:val="auto"/>
              </w:rPr>
            </w:pPr>
            <w:r>
              <w:rPr>
                <w:rFonts w:ascii="Arial" w:cs="Arial" w:eastAsia="Arial" w:hAnsi="Arial"/>
                <w:sz w:val="20"/>
                <w:szCs w:val="20"/>
                <w:b w:val="1"/>
                <w:bCs w:val="1"/>
                <w:color w:val="auto"/>
              </w:rPr>
              <w:t>2017</w:t>
            </w:r>
          </w:p>
        </w:tc>
        <w:tc>
          <w:tcPr>
            <w:tcW w:w="2000" w:type="dxa"/>
            <w:vAlign w:val="bottom"/>
            <w:gridSpan w:val="3"/>
          </w:tcPr>
          <w:p>
            <w:pPr>
              <w:jc w:val="right"/>
              <w:ind w:right="1305"/>
              <w:spacing w:after="0"/>
              <w:rPr>
                <w:sz w:val="20"/>
                <w:szCs w:val="20"/>
                <w:color w:val="auto"/>
              </w:rPr>
            </w:pPr>
            <w:r>
              <w:rPr>
                <w:rFonts w:ascii="Arial" w:cs="Arial" w:eastAsia="Arial" w:hAnsi="Arial"/>
                <w:sz w:val="20"/>
                <w:szCs w:val="20"/>
                <w:color w:val="auto"/>
              </w:rPr>
              <w:t>Group</w:t>
            </w:r>
          </w:p>
        </w:tc>
        <w:tc>
          <w:tcPr>
            <w:tcW w:w="0" w:type="dxa"/>
            <w:vAlign w:val="bottom"/>
          </w:tcPr>
          <w:p>
            <w:pPr>
              <w:spacing w:after="0"/>
              <w:rPr>
                <w:sz w:val="1"/>
                <w:szCs w:val="1"/>
                <w:color w:val="auto"/>
              </w:rPr>
            </w:pPr>
          </w:p>
        </w:tc>
      </w:tr>
      <w:tr>
        <w:trPr>
          <w:trHeight w:val="177"/>
        </w:trPr>
        <w:tc>
          <w:tcPr>
            <w:tcW w:w="7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0" w:type="dxa"/>
            <w:vAlign w:val="bottom"/>
          </w:tcPr>
          <w:p>
            <w:pPr>
              <w:jc w:val="right"/>
              <w:ind w:right="325"/>
              <w:spacing w:after="0" w:line="177"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(US$ millions)</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95"/>
        </w:trPr>
        <w:tc>
          <w:tcPr>
            <w:tcW w:w="78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62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Wages and salaries</w:t>
            </w:r>
          </w:p>
        </w:tc>
        <w:tc>
          <w:tcPr>
            <w:tcW w:w="20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2,087</w:t>
            </w:r>
          </w:p>
        </w:tc>
        <w:tc>
          <w:tcPr>
            <w:tcW w:w="200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0"/>
                <w:szCs w:val="20"/>
                <w:color w:val="auto"/>
              </w:rPr>
              <w:t>1,778</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200" w:type="dxa"/>
            <w:vAlign w:val="bottom"/>
          </w:tcPr>
          <w:p>
            <w:pPr>
              <w:spacing w:after="0" w:line="216" w:lineRule="exact"/>
              <w:rPr>
                <w:sz w:val="20"/>
                <w:szCs w:val="20"/>
                <w:color w:val="auto"/>
              </w:rPr>
            </w:pPr>
            <w:r>
              <w:rPr>
                <w:rFonts w:ascii="Arial" w:cs="Arial" w:eastAsia="Arial" w:hAnsi="Arial"/>
                <w:sz w:val="20"/>
                <w:szCs w:val="20"/>
                <w:color w:val="auto"/>
              </w:rPr>
              <w:t>Other short-term benefits</w:t>
            </w:r>
          </w:p>
        </w:tc>
        <w:tc>
          <w:tcPr>
            <w:tcW w:w="204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196</w:t>
            </w:r>
          </w:p>
        </w:tc>
        <w:tc>
          <w:tcPr>
            <w:tcW w:w="200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189</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2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Employer’s contribution to defined contribution plans</w:t>
            </w:r>
          </w:p>
        </w:tc>
        <w:tc>
          <w:tcPr>
            <w:tcW w:w="20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7</w:t>
            </w:r>
          </w:p>
        </w:tc>
        <w:tc>
          <w:tcPr>
            <w:tcW w:w="200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200" w:type="dxa"/>
            <w:vAlign w:val="bottom"/>
          </w:tcPr>
          <w:p>
            <w:pPr>
              <w:spacing w:after="0" w:line="216" w:lineRule="exact"/>
              <w:rPr>
                <w:sz w:val="20"/>
                <w:szCs w:val="20"/>
                <w:color w:val="auto"/>
              </w:rPr>
            </w:pPr>
            <w:r>
              <w:rPr>
                <w:rFonts w:ascii="Arial" w:cs="Arial" w:eastAsia="Arial" w:hAnsi="Arial"/>
                <w:sz w:val="20"/>
                <w:szCs w:val="20"/>
                <w:color w:val="auto"/>
              </w:rPr>
              <w:t>Termination benefits</w:t>
            </w:r>
          </w:p>
        </w:tc>
        <w:tc>
          <w:tcPr>
            <w:tcW w:w="204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86</w:t>
            </w:r>
          </w:p>
        </w:tc>
        <w:tc>
          <w:tcPr>
            <w:tcW w:w="200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417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2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Share-based compensation expenses</w:t>
            </w:r>
          </w:p>
        </w:tc>
        <w:tc>
          <w:tcPr>
            <w:tcW w:w="20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921</w:t>
            </w:r>
          </w:p>
        </w:tc>
        <w:tc>
          <w:tcPr>
            <w:tcW w:w="200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0"/>
                <w:szCs w:val="20"/>
                <w:color w:val="auto"/>
              </w:rPr>
              <w:t>664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04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b w:val="1"/>
                <w:bCs w:val="1"/>
                <w:color w:val="auto"/>
              </w:rPr>
              <w:t>3,297</w:t>
            </w:r>
          </w:p>
        </w:tc>
        <w:tc>
          <w:tcPr>
            <w:tcW w:w="2000" w:type="dxa"/>
            <w:vAlign w:val="bottom"/>
            <w:tcBorders>
              <w:bottom w:val="single" w:sz="8" w:color="auto"/>
            </w:tcBorders>
            <w:gridSpan w:val="3"/>
          </w:tcPr>
          <w:p>
            <w:pPr>
              <w:jc w:val="right"/>
              <w:spacing w:after="0" w:line="217" w:lineRule="exact"/>
              <w:rPr>
                <w:sz w:val="20"/>
                <w:szCs w:val="20"/>
                <w:color w:val="auto"/>
              </w:rPr>
            </w:pPr>
            <w:r>
              <w:rPr>
                <w:rFonts w:ascii="Arial" w:cs="Arial" w:eastAsia="Arial" w:hAnsi="Arial"/>
                <w:sz w:val="20"/>
                <w:szCs w:val="20"/>
                <w:color w:val="auto"/>
              </w:rPr>
              <w:t>3,061</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spacing w:after="0"/>
              <w:rPr>
                <w:sz w:val="14"/>
                <w:szCs w:val="14"/>
                <w:color w:val="auto"/>
              </w:rPr>
            </w:pPr>
          </w:p>
        </w:tc>
        <w:tc>
          <w:tcPr>
            <w:tcW w:w="6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6200" w:type="dxa"/>
            <w:vAlign w:val="bottom"/>
          </w:tcPr>
          <w:p>
            <w:pPr>
              <w:ind w:left="4520"/>
              <w:spacing w:after="0"/>
              <w:rPr>
                <w:sz w:val="20"/>
                <w:szCs w:val="20"/>
                <w:color w:val="auto"/>
              </w:rPr>
            </w:pPr>
            <w:r>
              <w:rPr>
                <w:rFonts w:ascii="Arial" w:cs="Arial" w:eastAsia="Arial" w:hAnsi="Arial"/>
                <w:sz w:val="18"/>
                <w:szCs w:val="18"/>
                <w:color w:val="auto"/>
              </w:rPr>
              <w:t>A-55</w:t>
            </w: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980" w:right="6320" w:hanging="776"/>
        <w:spacing w:after="0" w:line="498" w:lineRule="auto"/>
        <w:tabs>
          <w:tab w:leader="none" w:pos="978"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and post-retirement benefits </w:t>
      </w:r>
      <w:r>
        <w:rPr>
          <w:rFonts w:ascii="Arial" w:cs="Arial" w:eastAsia="Arial" w:hAnsi="Arial"/>
          <w:sz w:val="18"/>
          <w:szCs w:val="18"/>
          <w:i w:val="1"/>
          <w:iCs w:val="1"/>
          <w:u w:val="single" w:color="auto"/>
          <w:color w:val="auto"/>
        </w:rPr>
        <w:t>Defined benefit plans</w:t>
      </w:r>
    </w:p>
    <w:p>
      <w:pPr>
        <w:jc w:val="both"/>
        <w:ind w:left="980" w:right="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The U.S. defined benefit pension plans include a management plan and a represented plan. Benefits under the management plan are provided under either an adjusted career-average-pay program or a cash-balance program. Benefits under the represented plan are based on a dollar-per-month formula. Benefit accruals under the management plan were frozen in 2009. Participants in the adjusted career-average-pay program no longer earn service accruals. Participants in the cash-balance program no longer earn service accruals, but continue to earn 4% interest per year on their cash-balance accounts. There are no active participants under the represented plan. The Group also has a non-qualified supplemental pension plan in the United States that principally provides benefits based on compensation in excess of amounts that can be considered under the management plan. The Group also has pension plans covering certain non-U.S. employees.</w:t>
      </w:r>
    </w:p>
    <w:p>
      <w:pPr>
        <w:spacing w:after="0" w:line="190"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Post-retirement benefit plans</w:t>
      </w:r>
    </w:p>
    <w:p>
      <w:pPr>
        <w:spacing w:after="0" w:line="229" w:lineRule="exact"/>
        <w:rPr>
          <w:rFonts w:ascii="Arial" w:cs="Arial" w:eastAsia="Arial" w:hAnsi="Arial"/>
          <w:sz w:val="18"/>
          <w:szCs w:val="18"/>
          <w:b w:val="1"/>
          <w:bCs w:val="1"/>
          <w:color w:val="auto"/>
        </w:rPr>
      </w:pPr>
    </w:p>
    <w:p>
      <w:pPr>
        <w:jc w:val="both"/>
        <w:ind w:left="980" w:right="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Certain of the Group’s U.S. employees who were age 49 or younger on January 1, 2005 and who meet the retirement eligibility requirements as of their termination dates, may receive post-retirement medical benefits under the Group’s retiree medical account program. Eligible employees receive a medical benefit spending account of $55,000 upon retirement to pay premiums for medical coverage through the maximum age of 75 as retiree.</w:t>
      </w:r>
    </w:p>
    <w:p>
      <w:pPr>
        <w:spacing w:after="0" w:line="201" w:lineRule="exact"/>
        <w:rPr>
          <w:rFonts w:ascii="Arial" w:cs="Arial" w:eastAsia="Arial" w:hAnsi="Arial"/>
          <w:sz w:val="18"/>
          <w:szCs w:val="18"/>
          <w:b w:val="1"/>
          <w:bCs w:val="1"/>
          <w:color w:val="auto"/>
        </w:rPr>
      </w:pPr>
    </w:p>
    <w:p>
      <w:pPr>
        <w:ind w:left="980" w:right="1380"/>
        <w:spacing w:after="0" w:line="485" w:lineRule="auto"/>
        <w:rPr>
          <w:rFonts w:ascii="Arial" w:cs="Arial" w:eastAsia="Arial" w:hAnsi="Arial"/>
          <w:sz w:val="18"/>
          <w:szCs w:val="18"/>
          <w:b w:val="1"/>
          <w:bCs w:val="1"/>
          <w:color w:val="auto"/>
        </w:rPr>
      </w:pPr>
      <w:r>
        <w:rPr>
          <w:rFonts w:ascii="Arial" w:cs="Arial" w:eastAsia="Arial" w:hAnsi="Arial"/>
          <w:sz w:val="18"/>
          <w:szCs w:val="18"/>
          <w:color w:val="auto"/>
        </w:rPr>
        <w:t xml:space="preserve">The Group’s group life insurance plan offers post-retirement life insurance coverage for certain U.S. employees. </w:t>
      </w:r>
      <w:r>
        <w:rPr>
          <w:rFonts w:ascii="Arial" w:cs="Arial" w:eastAsia="Arial" w:hAnsi="Arial"/>
          <w:sz w:val="18"/>
          <w:szCs w:val="18"/>
          <w:i w:val="1"/>
          <w:iCs w:val="1"/>
          <w:u w:val="single" w:color="auto"/>
          <w:color w:val="auto"/>
        </w:rPr>
        <w:t>Non-US retirement benefit plans</w:t>
      </w:r>
    </w:p>
    <w:p>
      <w:pPr>
        <w:jc w:val="both"/>
        <w:ind w:left="980" w:right="20"/>
        <w:spacing w:after="0"/>
        <w:rPr>
          <w:rFonts w:ascii="Arial" w:cs="Arial" w:eastAsia="Arial" w:hAnsi="Arial"/>
          <w:sz w:val="18"/>
          <w:szCs w:val="18"/>
          <w:b w:val="1"/>
          <w:bCs w:val="1"/>
          <w:color w:val="auto"/>
        </w:rPr>
      </w:pPr>
      <w:r>
        <w:rPr>
          <w:rFonts w:ascii="Arial" w:cs="Arial" w:eastAsia="Arial" w:hAnsi="Arial"/>
          <w:sz w:val="18"/>
          <w:szCs w:val="18"/>
          <w:color w:val="auto"/>
        </w:rPr>
        <w:t>In addition to the defined benefit plans for certain employees in Taiwan, India, Japan, Israel, Italy and Germany, other eligible employees outside of the United States receive retirement benefits under various defined contribution retirement plans. Eligibility is generally determined based on the terms of the Group’s plans and local statutory requirements.</w:t>
      </w:r>
    </w:p>
    <w:p>
      <w:pPr>
        <w:spacing w:after="0" w:line="180"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periodic benefit income</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8"/>
              </w:rPr>
              <w:t>Pension Benefits</w:t>
            </w:r>
          </w:p>
        </w:tc>
        <w:tc>
          <w:tcPr>
            <w:tcW w:w="300" w:type="dxa"/>
            <w:vAlign w:val="bottom"/>
          </w:tcPr>
          <w:p>
            <w:pPr>
              <w:spacing w:after="0"/>
              <w:rPr>
                <w:sz w:val="18"/>
                <w:szCs w:val="18"/>
                <w:color w:val="auto"/>
              </w:rPr>
            </w:pPr>
          </w:p>
        </w:tc>
        <w:tc>
          <w:tcPr>
            <w:tcW w:w="33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Post-Retirement Benefits</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7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740" w:type="dxa"/>
            <w:vAlign w:val="bottom"/>
          </w:tcPr>
          <w:p>
            <w:pPr>
              <w:jc w:val="right"/>
              <w:ind w:right="118"/>
              <w:spacing w:after="0"/>
              <w:rPr>
                <w:sz w:val="20"/>
                <w:szCs w:val="20"/>
                <w:color w:val="auto"/>
              </w:rPr>
            </w:pPr>
            <w:r>
              <w:rPr>
                <w:rFonts w:ascii="Arial" w:cs="Arial" w:eastAsia="Arial" w:hAnsi="Arial"/>
                <w:sz w:val="18"/>
                <w:szCs w:val="18"/>
                <w:color w:val="auto"/>
              </w:rPr>
              <w:t>2016</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2015</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jc w:val="right"/>
              <w:ind w:right="278"/>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(US$ millions)</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periodic benefit income</w:t>
            </w: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3780" w:type="dxa"/>
            <w:vAlign w:val="bottom"/>
          </w:tcPr>
          <w:p>
            <w:pPr>
              <w:ind w:left="140"/>
              <w:spacing w:after="0"/>
              <w:rPr>
                <w:sz w:val="20"/>
                <w:szCs w:val="20"/>
                <w:color w:val="auto"/>
              </w:rPr>
            </w:pPr>
            <w:r>
              <w:rPr>
                <w:rFonts w:ascii="Arial" w:cs="Arial" w:eastAsia="Arial" w:hAnsi="Arial"/>
                <w:sz w:val="16"/>
                <w:szCs w:val="16"/>
                <w:color w:val="auto"/>
              </w:rPr>
              <w:t>Service cost</w:t>
            </w:r>
          </w:p>
        </w:tc>
        <w:tc>
          <w:tcPr>
            <w:tcW w:w="178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4</w:t>
            </w:r>
          </w:p>
        </w:tc>
        <w:tc>
          <w:tcPr>
            <w:tcW w:w="740" w:type="dxa"/>
            <w:vAlign w:val="bottom"/>
          </w:tcPr>
          <w:p>
            <w:pPr>
              <w:jc w:val="right"/>
              <w:ind w:right="118"/>
              <w:spacing w:after="0"/>
              <w:rPr>
                <w:sz w:val="20"/>
                <w:szCs w:val="20"/>
                <w:color w:val="auto"/>
              </w:rPr>
            </w:pPr>
            <w:r>
              <w:rPr>
                <w:rFonts w:ascii="Arial" w:cs="Arial" w:eastAsia="Arial" w:hAnsi="Arial"/>
                <w:sz w:val="16"/>
                <w:szCs w:val="16"/>
                <w:color w:val="auto"/>
              </w:rPr>
              <w:t>3</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cost</w:t>
            </w:r>
          </w:p>
        </w:tc>
        <w:tc>
          <w:tcPr>
            <w:tcW w:w="1780" w:type="dxa"/>
            <w:vAlign w:val="bottom"/>
            <w:gridSpan w:val="3"/>
            <w:shd w:val="clear" w:color="auto" w:fill="CCEEFF"/>
          </w:tcPr>
          <w:p>
            <w:pPr>
              <w:jc w:val="right"/>
              <w:ind w:right="130"/>
              <w:spacing w:after="0"/>
              <w:rPr>
                <w:sz w:val="20"/>
                <w:szCs w:val="20"/>
                <w:color w:val="auto"/>
              </w:rPr>
            </w:pPr>
            <w:r>
              <w:rPr>
                <w:rFonts w:ascii="Arial" w:cs="Arial" w:eastAsia="Arial" w:hAnsi="Arial"/>
                <w:sz w:val="16"/>
                <w:szCs w:val="16"/>
                <w:b w:val="1"/>
                <w:bCs w:val="1"/>
                <w:color w:val="auto"/>
              </w:rPr>
              <w:t>53</w:t>
            </w:r>
          </w:p>
        </w:tc>
        <w:tc>
          <w:tcPr>
            <w:tcW w:w="7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59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w:t>
            </w:r>
          </w:p>
        </w:tc>
        <w:tc>
          <w:tcPr>
            <w:tcW w:w="9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3780" w:type="dxa"/>
            <w:vAlign w:val="bottom"/>
          </w:tcPr>
          <w:p>
            <w:pPr>
              <w:ind w:left="140"/>
              <w:spacing w:after="0"/>
              <w:rPr>
                <w:sz w:val="20"/>
                <w:szCs w:val="20"/>
                <w:color w:val="auto"/>
              </w:rPr>
            </w:pPr>
            <w:r>
              <w:rPr>
                <w:rFonts w:ascii="Arial" w:cs="Arial" w:eastAsia="Arial" w:hAnsi="Arial"/>
                <w:sz w:val="16"/>
                <w:szCs w:val="16"/>
                <w:color w:val="auto"/>
              </w:rPr>
              <w:t>Expected return on plan assets</w:t>
            </w:r>
          </w:p>
        </w:tc>
        <w:tc>
          <w:tcPr>
            <w:tcW w:w="178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(65)</w:t>
            </w: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(72)</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w:t>
            </w:r>
          </w:p>
        </w:tc>
        <w:tc>
          <w:tcPr>
            <w:tcW w:w="980" w:type="dxa"/>
            <w:vAlign w:val="bottom"/>
          </w:tcPr>
          <w:p>
            <w:pPr>
              <w:jc w:val="right"/>
              <w:ind w:right="138"/>
              <w:spacing w:after="0"/>
              <w:rPr>
                <w:sz w:val="20"/>
                <w:szCs w:val="20"/>
                <w:color w:val="auto"/>
              </w:rPr>
            </w:pPr>
            <w:r>
              <w:rPr>
                <w:rFonts w:ascii="Arial" w:cs="Arial" w:eastAsia="Arial" w:hAnsi="Arial"/>
                <w:sz w:val="16"/>
                <w:szCs w:val="16"/>
                <w:color w:val="auto"/>
              </w:rPr>
              <w:t>(4)</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actuarial loss and prior service costs</w:t>
            </w:r>
          </w:p>
        </w:tc>
        <w:tc>
          <w:tcPr>
            <w:tcW w:w="1780" w:type="dxa"/>
            <w:vAlign w:val="bottom"/>
            <w:gridSpan w:val="3"/>
            <w:shd w:val="clear" w:color="auto" w:fill="CCEEFF"/>
          </w:tcPr>
          <w:p>
            <w:pPr>
              <w:jc w:val="right"/>
              <w:ind w:right="130"/>
              <w:spacing w:after="0"/>
              <w:rPr>
                <w:sz w:val="20"/>
                <w:szCs w:val="20"/>
                <w:color w:val="auto"/>
              </w:rPr>
            </w:pPr>
            <w:r>
              <w:rPr>
                <w:rFonts w:ascii="Arial" w:cs="Arial" w:eastAsia="Arial" w:hAnsi="Arial"/>
                <w:sz w:val="16"/>
                <w:szCs w:val="16"/>
                <w:b w:val="1"/>
                <w:bCs w:val="1"/>
                <w:color w:val="auto"/>
              </w:rPr>
              <w:t>2</w:t>
            </w:r>
          </w:p>
        </w:tc>
        <w:tc>
          <w:tcPr>
            <w:tcW w:w="7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3780" w:type="dxa"/>
            <w:vAlign w:val="bottom"/>
          </w:tcPr>
          <w:p>
            <w:pPr>
              <w:ind w:left="140"/>
              <w:spacing w:after="0"/>
              <w:rPr>
                <w:sz w:val="20"/>
                <w:szCs w:val="20"/>
                <w:color w:val="auto"/>
              </w:rPr>
            </w:pPr>
            <w:r>
              <w:rPr>
                <w:rFonts w:ascii="Arial" w:cs="Arial" w:eastAsia="Arial" w:hAnsi="Arial"/>
                <w:sz w:val="16"/>
                <w:szCs w:val="16"/>
                <w:color w:val="auto"/>
              </w:rPr>
              <w:t>Curtailments</w:t>
            </w:r>
          </w:p>
        </w:tc>
        <w:tc>
          <w:tcPr>
            <w:tcW w:w="178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(1)</w:t>
            </w:r>
          </w:p>
        </w:tc>
        <w:tc>
          <w:tcPr>
            <w:tcW w:w="74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Settlements</w:t>
            </w:r>
          </w:p>
        </w:tc>
        <w:tc>
          <w:tcPr>
            <w:tcW w:w="1780" w:type="dxa"/>
            <w:vAlign w:val="bottom"/>
            <w:gridSpan w:val="3"/>
            <w:shd w:val="clear" w:color="auto" w:fill="CCEEFF"/>
          </w:tcPr>
          <w:p>
            <w:pPr>
              <w:jc w:val="right"/>
              <w:ind w:right="13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ind w:left="760"/>
              <w:spacing w:after="0"/>
              <w:rPr>
                <w:sz w:val="20"/>
                <w:szCs w:val="20"/>
                <w:color w:val="auto"/>
              </w:rPr>
            </w:pPr>
            <w:r>
              <w:rPr>
                <w:rFonts w:ascii="Arial" w:cs="Arial" w:eastAsia="Arial" w:hAnsi="Arial"/>
                <w:sz w:val="16"/>
                <w:szCs w:val="16"/>
                <w:color w:val="auto"/>
              </w:rPr>
              <w:t>Net periodic benefit income</w:t>
            </w:r>
          </w:p>
        </w:tc>
        <w:tc>
          <w:tcPr>
            <w:tcW w:w="9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6"/>
                <w:szCs w:val="16"/>
                <w:b w:val="1"/>
                <w:bCs w:val="1"/>
                <w:color w:val="auto"/>
              </w:rPr>
              <w:t>(7)</w:t>
            </w: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(6)</w:t>
            </w: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(12)</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(1)</w:t>
            </w:r>
          </w:p>
        </w:tc>
        <w:tc>
          <w:tcPr>
            <w:tcW w:w="9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95"/>
        </w:trPr>
        <w:tc>
          <w:tcPr>
            <w:tcW w:w="7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Net actuarial (income)/loss</w:t>
            </w:r>
          </w:p>
        </w:tc>
        <w:tc>
          <w:tcPr>
            <w:tcW w:w="1780" w:type="dxa"/>
            <w:vAlign w:val="bottom"/>
            <w:gridSpan w:val="3"/>
            <w:shd w:val="clear" w:color="auto" w:fill="CCEEFF"/>
          </w:tcPr>
          <w:p>
            <w:pPr>
              <w:jc w:val="right"/>
              <w:ind w:right="70"/>
              <w:spacing w:after="0"/>
              <w:rPr>
                <w:sz w:val="20"/>
                <w:szCs w:val="20"/>
                <w:color w:val="auto"/>
              </w:rPr>
            </w:pPr>
            <w:r>
              <w:rPr>
                <w:rFonts w:ascii="Arial" w:cs="Arial" w:eastAsia="Arial" w:hAnsi="Arial"/>
                <w:sz w:val="16"/>
                <w:szCs w:val="16"/>
                <w:b w:val="1"/>
                <w:bCs w:val="1"/>
                <w:color w:val="auto"/>
              </w:rPr>
              <w:t>(60)</w:t>
            </w:r>
          </w:p>
        </w:tc>
        <w:tc>
          <w:tcPr>
            <w:tcW w:w="7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88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w:t>
            </w:r>
          </w:p>
        </w:tc>
        <w:tc>
          <w:tcPr>
            <w:tcW w:w="9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11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80" w:type="dxa"/>
            <w:vAlign w:val="bottom"/>
            <w:gridSpan w:val="3"/>
          </w:tcPr>
          <w:p>
            <w:pPr>
              <w:jc w:val="right"/>
              <w:ind w:right="570"/>
              <w:spacing w:after="0"/>
              <w:rPr>
                <w:sz w:val="20"/>
                <w:szCs w:val="20"/>
                <w:color w:val="auto"/>
              </w:rPr>
            </w:pPr>
            <w:r>
              <w:rPr>
                <w:rFonts w:ascii="Arial" w:cs="Arial" w:eastAsia="Arial" w:hAnsi="Arial"/>
                <w:sz w:val="18"/>
                <w:szCs w:val="18"/>
                <w:color w:val="auto"/>
              </w:rPr>
              <w:t>A-56</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right="5380" w:hanging="776"/>
        <w:spacing w:after="0" w:line="419" w:lineRule="auto"/>
        <w:tabs>
          <w:tab w:leader="none" w:pos="9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and post-retirement benefits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Net periodic benefit income </w:t>
      </w:r>
      <w:r>
        <w:rPr>
          <w:rFonts w:ascii="Arial" w:cs="Arial" w:eastAsia="Arial" w:hAnsi="Arial"/>
          <w:sz w:val="18"/>
          <w:szCs w:val="18"/>
          <w:color w:val="auto"/>
        </w:rPr>
        <w:t>(continued)</w:t>
      </w:r>
    </w:p>
    <w:p>
      <w:pPr>
        <w:spacing w:after="0" w:line="1" w:lineRule="exact"/>
        <w:rPr>
          <w:rFonts w:ascii="Arial" w:cs="Arial" w:eastAsia="Arial" w:hAnsi="Arial"/>
          <w:sz w:val="18"/>
          <w:szCs w:val="18"/>
          <w:b w:val="1"/>
          <w:bCs w:val="1"/>
          <w:color w:val="auto"/>
        </w:rPr>
      </w:pPr>
    </w:p>
    <w:p>
      <w:pPr>
        <w:ind w:left="98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Group expects to recognise $2 million of net actuarial losses in net periodic benefit income in financial year 2018 related to the Group’s defined benefit pension plans.</w:t>
      </w:r>
    </w:p>
    <w:p>
      <w:pPr>
        <w:spacing w:after="0" w:line="174"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Funded status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Pension Benefits</w:t>
            </w:r>
          </w:p>
        </w:tc>
        <w:tc>
          <w:tcPr>
            <w:tcW w:w="560" w:type="dxa"/>
            <w:vAlign w:val="bottom"/>
          </w:tcPr>
          <w:p>
            <w:pPr>
              <w:spacing w:after="0"/>
              <w:rPr>
                <w:sz w:val="16"/>
                <w:szCs w:val="16"/>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Post-Retirement Benefits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80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jc w:val="right"/>
              <w:spacing w:after="0"/>
              <w:rPr>
                <w:sz w:val="20"/>
                <w:szCs w:val="20"/>
                <w:color w:val="auto"/>
              </w:rPr>
            </w:pPr>
            <w:r>
              <w:rPr>
                <w:rFonts w:ascii="Arial" w:cs="Arial" w:eastAsia="Arial" w:hAnsi="Arial"/>
                <w:sz w:val="16"/>
                <w:szCs w:val="16"/>
                <w:color w:val="auto"/>
              </w:rPr>
              <w:t>2016</w:t>
            </w:r>
          </w:p>
        </w:tc>
        <w:tc>
          <w:tcPr>
            <w:tcW w:w="560" w:type="dxa"/>
            <w:vAlign w:val="bottom"/>
          </w:tcPr>
          <w:p>
            <w:pPr>
              <w:spacing w:after="0"/>
              <w:rPr>
                <w:sz w:val="22"/>
                <w:szCs w:val="22"/>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gridSpan w:val="2"/>
          </w:tcPr>
          <w:p>
            <w:pPr>
              <w:jc w:val="right"/>
              <w:ind w:right="419"/>
              <w:spacing w:after="0"/>
              <w:rPr>
                <w:sz w:val="20"/>
                <w:szCs w:val="20"/>
                <w:color w:val="auto"/>
              </w:rPr>
            </w:pPr>
            <w:r>
              <w:rPr>
                <w:rFonts w:ascii="Arial" w:cs="Arial" w:eastAsia="Arial" w:hAnsi="Arial"/>
                <w:sz w:val="18"/>
                <w:szCs w:val="18"/>
                <w:color w:val="auto"/>
                <w:w w:val="99"/>
              </w:rPr>
              <w:t>(US$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0" w:type="dxa"/>
            <w:vAlign w:val="bottom"/>
            <w:vMerge w:val="restart"/>
          </w:tcPr>
          <w:p>
            <w:pPr>
              <w:spacing w:after="0"/>
              <w:rPr>
                <w:sz w:val="14"/>
                <w:szCs w:val="14"/>
                <w:color w:val="auto"/>
              </w:rPr>
            </w:pPr>
          </w:p>
        </w:tc>
        <w:tc>
          <w:tcPr>
            <w:tcW w:w="4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 w:type="dxa"/>
            <w:vAlign w:val="bottom"/>
            <w:vMerge w:val="continue"/>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Change in plan assets:</w:t>
            </w:r>
          </w:p>
        </w:tc>
        <w:tc>
          <w:tcPr>
            <w:tcW w:w="1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gridSpan w:val="2"/>
          </w:tcPr>
          <w:p>
            <w:pPr>
              <w:ind w:left="760"/>
              <w:spacing w:after="0"/>
              <w:rPr>
                <w:sz w:val="20"/>
                <w:szCs w:val="20"/>
                <w:color w:val="auto"/>
              </w:rPr>
            </w:pPr>
            <w:r>
              <w:rPr>
                <w:rFonts w:ascii="Arial" w:cs="Arial" w:eastAsia="Arial" w:hAnsi="Arial"/>
                <w:sz w:val="16"/>
                <w:szCs w:val="16"/>
                <w:color w:val="auto"/>
              </w:rPr>
              <w:t>Fair value of plan assets — beginning of period</w:t>
            </w:r>
          </w:p>
        </w:tc>
        <w:tc>
          <w:tcPr>
            <w:tcW w:w="28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1,050</w:t>
            </w:r>
          </w:p>
        </w:tc>
        <w:tc>
          <w:tcPr>
            <w:tcW w:w="1180" w:type="dxa"/>
            <w:vAlign w:val="bottom"/>
            <w:gridSpan w:val="2"/>
          </w:tcPr>
          <w:p>
            <w:pPr>
              <w:jc w:val="right"/>
              <w:ind w:right="430"/>
              <w:spacing w:after="0"/>
              <w:rPr>
                <w:sz w:val="20"/>
                <w:szCs w:val="20"/>
                <w:color w:val="auto"/>
              </w:rPr>
            </w:pPr>
            <w:r>
              <w:rPr>
                <w:rFonts w:ascii="Arial" w:cs="Arial" w:eastAsia="Arial" w:hAnsi="Arial"/>
                <w:sz w:val="16"/>
                <w:szCs w:val="16"/>
                <w:color w:val="auto"/>
              </w:rPr>
              <w:t>1,052</w:t>
            </w: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78</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Actual return on plan assets</w:t>
            </w:r>
          </w:p>
        </w:tc>
        <w:tc>
          <w:tcPr>
            <w:tcW w:w="28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108</w:t>
            </w:r>
          </w:p>
        </w:tc>
        <w:tc>
          <w:tcPr>
            <w:tcW w:w="1180" w:type="dxa"/>
            <w:vAlign w:val="bottom"/>
            <w:gridSpan w:val="2"/>
            <w:shd w:val="clear" w:color="auto" w:fill="CCEEFF"/>
          </w:tcPr>
          <w:p>
            <w:pPr>
              <w:jc w:val="right"/>
              <w:ind w:right="430"/>
              <w:spacing w:after="0"/>
              <w:rPr>
                <w:sz w:val="20"/>
                <w:szCs w:val="20"/>
                <w:color w:val="auto"/>
              </w:rPr>
            </w:pPr>
            <w:r>
              <w:rPr>
                <w:rFonts w:ascii="Arial" w:cs="Arial" w:eastAsia="Arial" w:hAnsi="Arial"/>
                <w:sz w:val="16"/>
                <w:szCs w:val="16"/>
                <w:color w:val="auto"/>
              </w:rPr>
              <w:t>64</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5000" w:type="dxa"/>
            <w:vAlign w:val="bottom"/>
            <w:gridSpan w:val="2"/>
          </w:tcPr>
          <w:p>
            <w:pPr>
              <w:ind w:left="760"/>
              <w:spacing w:after="0"/>
              <w:rPr>
                <w:sz w:val="20"/>
                <w:szCs w:val="20"/>
                <w:color w:val="auto"/>
              </w:rPr>
            </w:pPr>
            <w:r>
              <w:rPr>
                <w:rFonts w:ascii="Arial" w:cs="Arial" w:eastAsia="Arial" w:hAnsi="Arial"/>
                <w:sz w:val="16"/>
                <w:szCs w:val="16"/>
                <w:color w:val="auto"/>
              </w:rPr>
              <w:t>Employer contributions</w:t>
            </w:r>
          </w:p>
        </w:tc>
        <w:tc>
          <w:tcPr>
            <w:tcW w:w="28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361</w:t>
            </w:r>
          </w:p>
        </w:tc>
        <w:tc>
          <w:tcPr>
            <w:tcW w:w="1180" w:type="dxa"/>
            <w:vAlign w:val="bottom"/>
            <w:gridSpan w:val="2"/>
          </w:tcPr>
          <w:p>
            <w:pPr>
              <w:jc w:val="right"/>
              <w:ind w:right="430"/>
              <w:spacing w:after="0"/>
              <w:rPr>
                <w:sz w:val="20"/>
                <w:szCs w:val="20"/>
                <w:color w:val="auto"/>
              </w:rPr>
            </w:pPr>
            <w:r>
              <w:rPr>
                <w:rFonts w:ascii="Arial" w:cs="Arial" w:eastAsia="Arial" w:hAnsi="Arial"/>
                <w:sz w:val="16"/>
                <w:szCs w:val="16"/>
                <w:color w:val="auto"/>
              </w:rPr>
              <w:t>33</w:t>
            </w: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Payments from plan assets</w:t>
            </w:r>
          </w:p>
        </w:tc>
        <w:tc>
          <w:tcPr>
            <w:tcW w:w="28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(93)</w:t>
            </w:r>
          </w:p>
        </w:tc>
        <w:tc>
          <w:tcPr>
            <w:tcW w:w="1180" w:type="dxa"/>
            <w:vAlign w:val="bottom"/>
            <w:gridSpan w:val="2"/>
            <w:shd w:val="clear" w:color="auto" w:fill="CCEEFF"/>
          </w:tcPr>
          <w:p>
            <w:pPr>
              <w:jc w:val="right"/>
              <w:ind w:right="430"/>
              <w:spacing w:after="0"/>
              <w:rPr>
                <w:sz w:val="20"/>
                <w:szCs w:val="20"/>
                <w:color w:val="auto"/>
              </w:rPr>
            </w:pPr>
            <w:r>
              <w:rPr>
                <w:rFonts w:ascii="Arial" w:cs="Arial" w:eastAsia="Arial" w:hAnsi="Arial"/>
                <w:sz w:val="16"/>
                <w:szCs w:val="16"/>
                <w:color w:val="auto"/>
              </w:rPr>
              <w:t>(93)</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5000" w:type="dxa"/>
            <w:vAlign w:val="bottom"/>
            <w:gridSpan w:val="2"/>
          </w:tcPr>
          <w:p>
            <w:pPr>
              <w:ind w:left="760"/>
              <w:spacing w:after="0"/>
              <w:rPr>
                <w:sz w:val="20"/>
                <w:szCs w:val="20"/>
                <w:color w:val="auto"/>
              </w:rPr>
            </w:pPr>
            <w:r>
              <w:rPr>
                <w:rFonts w:ascii="Arial" w:cs="Arial" w:eastAsia="Arial" w:hAnsi="Arial"/>
                <w:sz w:val="16"/>
                <w:szCs w:val="16"/>
                <w:color w:val="auto"/>
              </w:rPr>
              <w:t>Settlements</w:t>
            </w:r>
          </w:p>
        </w:tc>
        <w:tc>
          <w:tcPr>
            <w:tcW w:w="28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tcPr>
          <w:p>
            <w:pPr>
              <w:jc w:val="right"/>
              <w:ind w:right="430"/>
              <w:spacing w:after="0"/>
              <w:rPr>
                <w:sz w:val="20"/>
                <w:szCs w:val="20"/>
                <w:color w:val="auto"/>
              </w:rPr>
            </w:pPr>
            <w:r>
              <w:rPr>
                <w:rFonts w:ascii="Arial" w:cs="Arial" w:eastAsia="Arial" w:hAnsi="Arial"/>
                <w:sz w:val="16"/>
                <w:szCs w:val="16"/>
                <w:color w:val="auto"/>
              </w:rPr>
              <w:t>(11)</w:t>
            </w: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Plan assets acquired in acquisitions</w:t>
            </w:r>
          </w:p>
        </w:tc>
        <w:tc>
          <w:tcPr>
            <w:tcW w:w="28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shd w:val="clear" w:color="auto" w:fill="CCEEFF"/>
          </w:tcPr>
          <w:p>
            <w:pPr>
              <w:jc w:val="right"/>
              <w:ind w:right="430"/>
              <w:spacing w:after="0"/>
              <w:rPr>
                <w:sz w:val="20"/>
                <w:szCs w:val="20"/>
                <w:color w:val="auto"/>
              </w:rPr>
            </w:pPr>
            <w:r>
              <w:rPr>
                <w:rFonts w:ascii="Arial" w:cs="Arial" w:eastAsia="Arial" w:hAnsi="Arial"/>
                <w:sz w:val="16"/>
                <w:szCs w:val="16"/>
                <w:color w:val="auto"/>
              </w:rPr>
              <w:t>5</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760"/>
              <w:spacing w:after="0"/>
              <w:rPr>
                <w:sz w:val="20"/>
                <w:szCs w:val="20"/>
                <w:color w:val="auto"/>
              </w:rPr>
            </w:pPr>
            <w:r>
              <w:rPr>
                <w:rFonts w:ascii="Arial" w:cs="Arial" w:eastAsia="Arial" w:hAnsi="Arial"/>
                <w:sz w:val="16"/>
                <w:szCs w:val="16"/>
                <w:color w:val="auto"/>
              </w:rPr>
              <w:t>Fair value of plan assets — end of period</w:t>
            </w:r>
          </w:p>
        </w:tc>
        <w:tc>
          <w:tcPr>
            <w:tcW w:w="19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gridSpan w:val="2"/>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9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1,426</w:t>
            </w:r>
          </w:p>
        </w:tc>
        <w:tc>
          <w:tcPr>
            <w:tcW w:w="11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6"/>
                <w:szCs w:val="16"/>
                <w:color w:val="auto"/>
              </w:rPr>
              <w:t>1,050</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83</w:t>
            </w: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Pension Benefits</w:t>
            </w:r>
          </w:p>
        </w:tc>
        <w:tc>
          <w:tcPr>
            <w:tcW w:w="560" w:type="dxa"/>
            <w:vAlign w:val="bottom"/>
          </w:tcPr>
          <w:p>
            <w:pPr>
              <w:spacing w:after="0"/>
              <w:rPr>
                <w:sz w:val="24"/>
                <w:szCs w:val="24"/>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Post-Retirement Benefits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80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jc w:val="right"/>
              <w:spacing w:after="0"/>
              <w:rPr>
                <w:sz w:val="20"/>
                <w:szCs w:val="20"/>
                <w:color w:val="auto"/>
              </w:rPr>
            </w:pPr>
            <w:r>
              <w:rPr>
                <w:rFonts w:ascii="Arial" w:cs="Arial" w:eastAsia="Arial" w:hAnsi="Arial"/>
                <w:sz w:val="16"/>
                <w:szCs w:val="16"/>
                <w:color w:val="auto"/>
              </w:rPr>
              <w:t>2016</w:t>
            </w:r>
          </w:p>
        </w:tc>
        <w:tc>
          <w:tcPr>
            <w:tcW w:w="560" w:type="dxa"/>
            <w:vAlign w:val="bottom"/>
          </w:tcPr>
          <w:p>
            <w:pPr>
              <w:spacing w:after="0"/>
              <w:rPr>
                <w:sz w:val="22"/>
                <w:szCs w:val="22"/>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gridSpan w:val="2"/>
          </w:tcPr>
          <w:p>
            <w:pPr>
              <w:jc w:val="right"/>
              <w:ind w:right="419"/>
              <w:spacing w:after="0"/>
              <w:rPr>
                <w:sz w:val="20"/>
                <w:szCs w:val="20"/>
                <w:color w:val="auto"/>
              </w:rPr>
            </w:pPr>
            <w:r>
              <w:rPr>
                <w:rFonts w:ascii="Arial" w:cs="Arial" w:eastAsia="Arial" w:hAnsi="Arial"/>
                <w:sz w:val="18"/>
                <w:szCs w:val="18"/>
                <w:color w:val="auto"/>
                <w:w w:val="99"/>
              </w:rPr>
              <w:t>(US$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0" w:type="dxa"/>
            <w:vAlign w:val="bottom"/>
            <w:vMerge w:val="restart"/>
          </w:tcPr>
          <w:p>
            <w:pPr>
              <w:spacing w:after="0"/>
              <w:rPr>
                <w:sz w:val="14"/>
                <w:szCs w:val="14"/>
                <w:color w:val="auto"/>
              </w:rPr>
            </w:pPr>
          </w:p>
        </w:tc>
        <w:tc>
          <w:tcPr>
            <w:tcW w:w="4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 w:type="dxa"/>
            <w:vAlign w:val="bottom"/>
            <w:vMerge w:val="continue"/>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Change in benefit obligations:</w:t>
            </w:r>
          </w:p>
        </w:tc>
        <w:tc>
          <w:tcPr>
            <w:tcW w:w="1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gridSpan w:val="2"/>
          </w:tcPr>
          <w:p>
            <w:pPr>
              <w:ind w:left="760"/>
              <w:spacing w:after="0"/>
              <w:rPr>
                <w:sz w:val="20"/>
                <w:szCs w:val="20"/>
                <w:color w:val="auto"/>
              </w:rPr>
            </w:pPr>
            <w:r>
              <w:rPr>
                <w:rFonts w:ascii="Arial" w:cs="Arial" w:eastAsia="Arial" w:hAnsi="Arial"/>
                <w:sz w:val="16"/>
                <w:szCs w:val="16"/>
                <w:color w:val="auto"/>
              </w:rPr>
              <w:t>Benefit obligations — beginning of period</w:t>
            </w:r>
          </w:p>
        </w:tc>
        <w:tc>
          <w:tcPr>
            <w:tcW w:w="28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1,566</w:t>
            </w:r>
          </w:p>
        </w:tc>
        <w:tc>
          <w:tcPr>
            <w:tcW w:w="1180" w:type="dxa"/>
            <w:vAlign w:val="bottom"/>
            <w:gridSpan w:val="2"/>
          </w:tcPr>
          <w:p>
            <w:pPr>
              <w:jc w:val="right"/>
              <w:ind w:right="430"/>
              <w:spacing w:after="0"/>
              <w:rPr>
                <w:sz w:val="20"/>
                <w:szCs w:val="20"/>
                <w:color w:val="auto"/>
              </w:rPr>
            </w:pPr>
            <w:r>
              <w:rPr>
                <w:rFonts w:ascii="Arial" w:cs="Arial" w:eastAsia="Arial" w:hAnsi="Arial"/>
                <w:sz w:val="16"/>
                <w:szCs w:val="16"/>
                <w:color w:val="auto"/>
              </w:rPr>
              <w:t>1,511</w:t>
            </w: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79</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28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w:t>
            </w:r>
          </w:p>
        </w:tc>
        <w:tc>
          <w:tcPr>
            <w:tcW w:w="1180" w:type="dxa"/>
            <w:vAlign w:val="bottom"/>
            <w:gridSpan w:val="2"/>
            <w:shd w:val="clear" w:color="auto" w:fill="CCEEFF"/>
          </w:tcPr>
          <w:p>
            <w:pPr>
              <w:jc w:val="right"/>
              <w:ind w:right="430"/>
              <w:spacing w:after="0"/>
              <w:rPr>
                <w:sz w:val="20"/>
                <w:szCs w:val="20"/>
                <w:color w:val="auto"/>
              </w:rPr>
            </w:pPr>
            <w:r>
              <w:rPr>
                <w:rFonts w:ascii="Arial" w:cs="Arial" w:eastAsia="Arial" w:hAnsi="Arial"/>
                <w:sz w:val="16"/>
                <w:szCs w:val="16"/>
                <w:color w:val="auto"/>
              </w:rPr>
              <w:t>3</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000" w:type="dxa"/>
            <w:vAlign w:val="bottom"/>
            <w:gridSpan w:val="2"/>
          </w:tcPr>
          <w:p>
            <w:pPr>
              <w:ind w:left="760"/>
              <w:spacing w:after="0"/>
              <w:rPr>
                <w:sz w:val="20"/>
                <w:szCs w:val="20"/>
                <w:color w:val="auto"/>
              </w:rPr>
            </w:pPr>
            <w:r>
              <w:rPr>
                <w:rFonts w:ascii="Arial" w:cs="Arial" w:eastAsia="Arial" w:hAnsi="Arial"/>
                <w:sz w:val="16"/>
                <w:szCs w:val="16"/>
                <w:color w:val="auto"/>
              </w:rPr>
              <w:t>Interest cost</w:t>
            </w:r>
          </w:p>
        </w:tc>
        <w:tc>
          <w:tcPr>
            <w:tcW w:w="28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53</w:t>
            </w:r>
          </w:p>
        </w:tc>
        <w:tc>
          <w:tcPr>
            <w:tcW w:w="1180" w:type="dxa"/>
            <w:vAlign w:val="bottom"/>
            <w:gridSpan w:val="2"/>
          </w:tcPr>
          <w:p>
            <w:pPr>
              <w:jc w:val="right"/>
              <w:ind w:right="430"/>
              <w:spacing w:after="0"/>
              <w:rPr>
                <w:sz w:val="20"/>
                <w:szCs w:val="20"/>
                <w:color w:val="auto"/>
              </w:rPr>
            </w:pPr>
            <w:r>
              <w:rPr>
                <w:rFonts w:ascii="Arial" w:cs="Arial" w:eastAsia="Arial" w:hAnsi="Arial"/>
                <w:sz w:val="16"/>
                <w:szCs w:val="16"/>
                <w:color w:val="auto"/>
              </w:rPr>
              <w:t>59</w:t>
            </w: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3</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Actuarial (gain) loss</w:t>
            </w:r>
          </w:p>
        </w:tc>
        <w:tc>
          <w:tcPr>
            <w:tcW w:w="28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(13)</w:t>
            </w:r>
          </w:p>
        </w:tc>
        <w:tc>
          <w:tcPr>
            <w:tcW w:w="1180" w:type="dxa"/>
            <w:vAlign w:val="bottom"/>
            <w:gridSpan w:val="2"/>
            <w:shd w:val="clear" w:color="auto" w:fill="CCEEFF"/>
          </w:tcPr>
          <w:p>
            <w:pPr>
              <w:jc w:val="right"/>
              <w:ind w:right="430"/>
              <w:spacing w:after="0"/>
              <w:rPr>
                <w:sz w:val="20"/>
                <w:szCs w:val="20"/>
                <w:color w:val="auto"/>
              </w:rPr>
            </w:pPr>
            <w:r>
              <w:rPr>
                <w:rFonts w:ascii="Arial" w:cs="Arial" w:eastAsia="Arial" w:hAnsi="Arial"/>
                <w:sz w:val="16"/>
                <w:szCs w:val="16"/>
                <w:color w:val="auto"/>
              </w:rPr>
              <w:t>80</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5000" w:type="dxa"/>
            <w:vAlign w:val="bottom"/>
            <w:gridSpan w:val="2"/>
          </w:tcPr>
          <w:p>
            <w:pPr>
              <w:ind w:left="760"/>
              <w:spacing w:after="0"/>
              <w:rPr>
                <w:sz w:val="20"/>
                <w:szCs w:val="20"/>
                <w:color w:val="auto"/>
              </w:rPr>
            </w:pPr>
            <w:r>
              <w:rPr>
                <w:rFonts w:ascii="Arial" w:cs="Arial" w:eastAsia="Arial" w:hAnsi="Arial"/>
                <w:sz w:val="16"/>
                <w:szCs w:val="16"/>
                <w:color w:val="auto"/>
              </w:rPr>
              <w:t>Benefit payments</w:t>
            </w:r>
          </w:p>
        </w:tc>
        <w:tc>
          <w:tcPr>
            <w:tcW w:w="28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(93)</w:t>
            </w:r>
          </w:p>
        </w:tc>
        <w:tc>
          <w:tcPr>
            <w:tcW w:w="1180" w:type="dxa"/>
            <w:vAlign w:val="bottom"/>
            <w:gridSpan w:val="2"/>
          </w:tcPr>
          <w:p>
            <w:pPr>
              <w:jc w:val="right"/>
              <w:ind w:right="430"/>
              <w:spacing w:after="0"/>
              <w:rPr>
                <w:sz w:val="20"/>
                <w:szCs w:val="20"/>
                <w:color w:val="auto"/>
              </w:rPr>
            </w:pPr>
            <w:r>
              <w:rPr>
                <w:rFonts w:ascii="Arial" w:cs="Arial" w:eastAsia="Arial" w:hAnsi="Arial"/>
                <w:sz w:val="16"/>
                <w:szCs w:val="16"/>
                <w:color w:val="auto"/>
              </w:rPr>
              <w:t>(93)</w:t>
            </w: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Curtailments</w:t>
            </w:r>
          </w:p>
        </w:tc>
        <w:tc>
          <w:tcPr>
            <w:tcW w:w="28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w:t>
            </w:r>
          </w:p>
        </w:tc>
        <w:tc>
          <w:tcPr>
            <w:tcW w:w="1180" w:type="dxa"/>
            <w:vAlign w:val="bottom"/>
            <w:gridSpan w:val="2"/>
            <w:shd w:val="clear" w:color="auto" w:fill="CCEEFF"/>
          </w:tcPr>
          <w:p>
            <w:pPr>
              <w:jc w:val="right"/>
              <w:ind w:right="43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000" w:type="dxa"/>
            <w:vAlign w:val="bottom"/>
            <w:gridSpan w:val="2"/>
          </w:tcPr>
          <w:p>
            <w:pPr>
              <w:ind w:left="760"/>
              <w:spacing w:after="0"/>
              <w:rPr>
                <w:sz w:val="20"/>
                <w:szCs w:val="20"/>
                <w:color w:val="auto"/>
              </w:rPr>
            </w:pPr>
            <w:r>
              <w:rPr>
                <w:rFonts w:ascii="Arial" w:cs="Arial" w:eastAsia="Arial" w:hAnsi="Arial"/>
                <w:sz w:val="16"/>
                <w:szCs w:val="16"/>
                <w:color w:val="auto"/>
              </w:rPr>
              <w:t>Settlements</w:t>
            </w:r>
          </w:p>
        </w:tc>
        <w:tc>
          <w:tcPr>
            <w:tcW w:w="28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(8)</w:t>
            </w:r>
          </w:p>
        </w:tc>
        <w:tc>
          <w:tcPr>
            <w:tcW w:w="1180" w:type="dxa"/>
            <w:vAlign w:val="bottom"/>
            <w:gridSpan w:val="2"/>
          </w:tcPr>
          <w:p>
            <w:pPr>
              <w:jc w:val="right"/>
              <w:ind w:right="430"/>
              <w:spacing w:after="0"/>
              <w:rPr>
                <w:sz w:val="20"/>
                <w:szCs w:val="20"/>
                <w:color w:val="auto"/>
              </w:rPr>
            </w:pPr>
            <w:r>
              <w:rPr>
                <w:rFonts w:ascii="Arial" w:cs="Arial" w:eastAsia="Arial" w:hAnsi="Arial"/>
                <w:sz w:val="16"/>
                <w:szCs w:val="16"/>
                <w:color w:val="auto"/>
              </w:rPr>
              <w:t>(11)</w:t>
            </w: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Benefit obligations assumed in acquisitions</w:t>
            </w:r>
          </w:p>
        </w:tc>
        <w:tc>
          <w:tcPr>
            <w:tcW w:w="28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shd w:val="clear" w:color="auto" w:fill="CCEEFF"/>
          </w:tcPr>
          <w:p>
            <w:pPr>
              <w:jc w:val="right"/>
              <w:ind w:right="430"/>
              <w:spacing w:after="0"/>
              <w:rPr>
                <w:sz w:val="20"/>
                <w:szCs w:val="20"/>
                <w:color w:val="auto"/>
              </w:rPr>
            </w:pPr>
            <w:r>
              <w:rPr>
                <w:rFonts w:ascii="Arial" w:cs="Arial" w:eastAsia="Arial" w:hAnsi="Arial"/>
                <w:sz w:val="16"/>
                <w:szCs w:val="16"/>
                <w:color w:val="auto"/>
              </w:rPr>
              <w:t>17</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00" w:type="dxa"/>
            <w:vAlign w:val="bottom"/>
            <w:gridSpan w:val="2"/>
          </w:tcPr>
          <w:p>
            <w:pPr>
              <w:ind w:left="760"/>
              <w:spacing w:after="0"/>
              <w:rPr>
                <w:sz w:val="20"/>
                <w:szCs w:val="20"/>
                <w:color w:val="auto"/>
              </w:rPr>
            </w:pPr>
            <w:r>
              <w:rPr>
                <w:rFonts w:ascii="Arial" w:cs="Arial" w:eastAsia="Arial" w:hAnsi="Arial"/>
                <w:sz w:val="16"/>
                <w:szCs w:val="16"/>
                <w:color w:val="auto"/>
              </w:rPr>
              <w:t>Foreign currency impact</w:t>
            </w:r>
          </w:p>
        </w:tc>
        <w:tc>
          <w:tcPr>
            <w:tcW w:w="28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3</w:t>
            </w:r>
          </w:p>
        </w:tc>
        <w:tc>
          <w:tcPr>
            <w:tcW w:w="1180" w:type="dxa"/>
            <w:vAlign w:val="bottom"/>
            <w:gridSpan w:val="2"/>
          </w:tcPr>
          <w:p>
            <w:pPr>
              <w:jc w:val="right"/>
              <w:ind w:right="43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2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Benefit obligations — end of period</w:t>
            </w:r>
          </w:p>
        </w:tc>
        <w:tc>
          <w:tcPr>
            <w:tcW w:w="19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gridSpan w:val="2"/>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1,508</w:t>
            </w:r>
          </w:p>
        </w:tc>
        <w:tc>
          <w:tcPr>
            <w:tcW w:w="1180" w:type="dxa"/>
            <w:vAlign w:val="bottom"/>
            <w:tcBorders>
              <w:top w:val="single" w:sz="8" w:color="auto"/>
            </w:tcBorders>
            <w:gridSpan w:val="2"/>
            <w:shd w:val="clear" w:color="auto" w:fill="CCEEFF"/>
          </w:tcPr>
          <w:p>
            <w:pPr>
              <w:jc w:val="right"/>
              <w:ind w:right="430"/>
              <w:spacing w:after="0" w:line="183" w:lineRule="exact"/>
              <w:rPr>
                <w:sz w:val="20"/>
                <w:szCs w:val="20"/>
                <w:color w:val="auto"/>
              </w:rPr>
            </w:pPr>
            <w:r>
              <w:rPr>
                <w:rFonts w:ascii="Arial" w:cs="Arial" w:eastAsia="Arial" w:hAnsi="Arial"/>
                <w:sz w:val="16"/>
                <w:szCs w:val="16"/>
                <w:color w:val="auto"/>
              </w:rPr>
              <w:t>1,566</w:t>
            </w:r>
          </w:p>
        </w:tc>
        <w:tc>
          <w:tcPr>
            <w:tcW w:w="1080" w:type="dxa"/>
            <w:vAlign w:val="bottom"/>
            <w:tcBorders>
              <w:top w:val="single" w:sz="8" w:color="auto"/>
            </w:tcBorders>
            <w:shd w:val="clear" w:color="auto" w:fill="CCEEFF"/>
          </w:tcPr>
          <w:p>
            <w:pPr>
              <w:jc w:val="right"/>
              <w:ind w:right="199"/>
              <w:spacing w:after="0" w:line="183" w:lineRule="exact"/>
              <w:rPr>
                <w:sz w:val="20"/>
                <w:szCs w:val="20"/>
                <w:color w:val="auto"/>
              </w:rPr>
            </w:pPr>
            <w:r>
              <w:rPr>
                <w:rFonts w:ascii="Arial" w:cs="Arial" w:eastAsia="Arial" w:hAnsi="Arial"/>
                <w:sz w:val="16"/>
                <w:szCs w:val="16"/>
                <w:b w:val="1"/>
                <w:bCs w:val="1"/>
                <w:color w:val="auto"/>
              </w:rPr>
              <w:t>80</w:t>
            </w:r>
          </w:p>
        </w:tc>
        <w:tc>
          <w:tcPr>
            <w:tcW w:w="960" w:type="dxa"/>
            <w:vAlign w:val="bottom"/>
            <w:tcBorders>
              <w:top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422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ind w:left="760"/>
              <w:spacing w:after="0"/>
              <w:rPr>
                <w:sz w:val="20"/>
                <w:szCs w:val="20"/>
                <w:color w:val="auto"/>
              </w:rPr>
            </w:pPr>
            <w:r>
              <w:rPr>
                <w:rFonts w:ascii="Arial" w:cs="Arial" w:eastAsia="Arial" w:hAnsi="Arial"/>
                <w:sz w:val="16"/>
                <w:szCs w:val="16"/>
                <w:color w:val="auto"/>
              </w:rPr>
              <w:t>Overfunded (underfunded) status of benefit obligations</w:t>
            </w:r>
          </w:p>
        </w:tc>
        <w:tc>
          <w:tcPr>
            <w:tcW w:w="1900" w:type="dxa"/>
            <w:vAlign w:val="bottom"/>
          </w:tcPr>
          <w:p>
            <w:pPr>
              <w:spacing w:after="0"/>
              <w:rPr>
                <w:sz w:val="18"/>
                <w:szCs w:val="18"/>
                <w:color w:val="auto"/>
              </w:rPr>
            </w:pPr>
          </w:p>
        </w:tc>
        <w:tc>
          <w:tcPr>
            <w:tcW w:w="9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(82)</w:t>
            </w:r>
          </w:p>
        </w:tc>
        <w:tc>
          <w:tcPr>
            <w:tcW w:w="11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6"/>
                <w:szCs w:val="16"/>
                <w:color w:val="auto"/>
              </w:rPr>
              <w:t>(516)</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w:t>
            </w: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00" w:type="dxa"/>
            <w:vAlign w:val="bottom"/>
            <w:gridSpan w:val="3"/>
          </w:tcPr>
          <w:p>
            <w:pPr>
              <w:jc w:val="right"/>
              <w:ind w:right="2039"/>
              <w:spacing w:after="0"/>
              <w:rPr>
                <w:sz w:val="20"/>
                <w:szCs w:val="20"/>
                <w:color w:val="auto"/>
              </w:rPr>
            </w:pPr>
            <w:r>
              <w:rPr>
                <w:rFonts w:ascii="Arial" w:cs="Arial" w:eastAsia="Arial" w:hAnsi="Arial"/>
                <w:sz w:val="18"/>
                <w:szCs w:val="18"/>
                <w:color w:val="auto"/>
              </w:rPr>
              <w:t>A-57</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right="5380" w:hanging="776"/>
        <w:spacing w:after="0" w:line="444" w:lineRule="auto"/>
        <w:tabs>
          <w:tab w:leader="none" w:pos="978"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and post-retirement benefits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Funded status </w:t>
      </w:r>
      <w:r>
        <w:rPr>
          <w:rFonts w:ascii="Arial" w:cs="Arial" w:eastAsia="Arial" w:hAnsi="Arial"/>
          <w:sz w:val="18"/>
          <w:szCs w:val="18"/>
          <w:color w:val="auto"/>
        </w:rPr>
        <w:t>(continued)</w:t>
      </w:r>
    </w:p>
    <w:p>
      <w:pPr>
        <w:spacing w:after="0" w:line="30"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Plans with benefit obligations in excess of plan assets:</w:t>
      </w:r>
    </w:p>
    <w:p>
      <w:pPr>
        <w:spacing w:after="0" w:line="243" w:lineRule="exact"/>
        <w:rPr>
          <w:sz w:val="20"/>
          <w:szCs w:val="20"/>
          <w:color w:val="auto"/>
        </w:rPr>
      </w:pPr>
    </w:p>
    <w:p>
      <w:pPr>
        <w:ind w:left="7300"/>
        <w:spacing w:after="0"/>
        <w:tabs>
          <w:tab w:leader="none" w:pos="9180" w:val="left"/>
        </w:tabs>
        <w:rPr>
          <w:sz w:val="20"/>
          <w:szCs w:val="20"/>
          <w:color w:val="auto"/>
        </w:rPr>
      </w:pPr>
      <w:r>
        <w:rPr>
          <w:rFonts w:ascii="Arial" w:cs="Arial" w:eastAsia="Arial" w:hAnsi="Arial"/>
          <w:sz w:val="16"/>
          <w:szCs w:val="16"/>
          <w:b w:val="1"/>
          <w:bCs w:val="1"/>
          <w:u w:val="single" w:color="auto"/>
          <w:color w:val="auto"/>
        </w:rPr>
        <w:t>Pension Benefits</w:t>
      </w:r>
      <w:r>
        <w:rPr>
          <w:sz w:val="20"/>
          <w:szCs w:val="20"/>
          <w:color w:val="auto"/>
        </w:rPr>
        <w:tab/>
      </w:r>
      <w:r>
        <w:rPr>
          <w:rFonts w:ascii="Arial" w:cs="Arial" w:eastAsia="Arial" w:hAnsi="Arial"/>
          <w:sz w:val="16"/>
          <w:szCs w:val="16"/>
          <w:b w:val="1"/>
          <w:bCs w:val="1"/>
          <w:u w:val="single" w:color="auto"/>
          <w:color w:val="auto"/>
        </w:rPr>
        <w:t>Post-Retirement Benefits</w:t>
      </w:r>
    </w:p>
    <w:p>
      <w:pPr>
        <w:spacing w:after="0" w:line="68" w:lineRule="exact"/>
        <w:rPr>
          <w:sz w:val="20"/>
          <w:szCs w:val="20"/>
          <w:color w:val="auto"/>
        </w:rPr>
      </w:pPr>
    </w:p>
    <w:tbl>
      <w:tblPr>
        <w:tblLayout w:type="fixed"/>
        <w:tblInd w:w="9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680" w:type="dxa"/>
            <w:vAlign w:val="bottom"/>
          </w:tcPr>
          <w:p>
            <w:pPr>
              <w:jc w:val="right"/>
              <w:ind w:right="177"/>
              <w:spacing w:after="0"/>
              <w:rPr>
                <w:sz w:val="20"/>
                <w:szCs w:val="20"/>
                <w:color w:val="auto"/>
              </w:rPr>
            </w:pPr>
            <w:r>
              <w:rPr>
                <w:rFonts w:ascii="Arial" w:cs="Arial" w:eastAsia="Arial" w:hAnsi="Arial"/>
                <w:sz w:val="18"/>
                <w:szCs w:val="18"/>
                <w:b w:val="1"/>
                <w:bCs w:val="1"/>
                <w:color w:val="auto"/>
              </w:rPr>
              <w:t>2017</w:t>
            </w: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2016</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19"/>
                <w:szCs w:val="19"/>
                <w:color w:val="auto"/>
              </w:rPr>
            </w:pPr>
          </w:p>
        </w:tc>
        <w:tc>
          <w:tcPr>
            <w:tcW w:w="980" w:type="dxa"/>
            <w:vAlign w:val="bottom"/>
          </w:tcPr>
          <w:p>
            <w:pPr>
              <w:jc w:val="right"/>
              <w:ind w:right="217"/>
              <w:spacing w:after="0"/>
              <w:rPr>
                <w:sz w:val="20"/>
                <w:szCs w:val="20"/>
                <w:color w:val="auto"/>
              </w:rPr>
            </w:pPr>
            <w:r>
              <w:rPr>
                <w:rFonts w:ascii="Arial" w:cs="Arial" w:eastAsia="Arial" w:hAnsi="Arial"/>
                <w:sz w:val="18"/>
                <w:szCs w:val="18"/>
                <w:color w:val="auto"/>
              </w:rPr>
              <w:t>2016</w:t>
            </w: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(US$ millions)</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Projected benefit obligations</w:t>
            </w:r>
          </w:p>
        </w:tc>
        <w:tc>
          <w:tcPr>
            <w:tcW w:w="2680" w:type="dxa"/>
            <w:vAlign w:val="bottom"/>
            <w:shd w:val="clear" w:color="auto" w:fill="CCEEFF"/>
          </w:tcPr>
          <w:p>
            <w:pPr>
              <w:jc w:val="right"/>
              <w:ind w:right="97"/>
              <w:spacing w:after="0"/>
              <w:rPr>
                <w:sz w:val="20"/>
                <w:szCs w:val="20"/>
                <w:color w:val="auto"/>
              </w:rPr>
            </w:pPr>
            <w:r>
              <w:rPr>
                <w:rFonts w:ascii="Arial" w:cs="Arial" w:eastAsia="Arial" w:hAnsi="Arial"/>
                <w:sz w:val="16"/>
                <w:szCs w:val="16"/>
                <w:b w:val="1"/>
                <w:bCs w:val="1"/>
                <w:color w:val="auto"/>
              </w:rPr>
              <w:t>701</w:t>
            </w:r>
          </w:p>
        </w:tc>
        <w:tc>
          <w:tcPr>
            <w:tcW w:w="1040" w:type="dxa"/>
            <w:vAlign w:val="bottom"/>
            <w:shd w:val="clear" w:color="auto" w:fill="CCEEFF"/>
          </w:tcPr>
          <w:p>
            <w:pPr>
              <w:jc w:val="right"/>
              <w:ind w:right="255"/>
              <w:spacing w:after="0"/>
              <w:rPr>
                <w:sz w:val="20"/>
                <w:szCs w:val="20"/>
                <w:color w:val="auto"/>
              </w:rPr>
            </w:pPr>
            <w:r>
              <w:rPr>
                <w:rFonts w:ascii="Arial" w:cs="Arial" w:eastAsia="Arial" w:hAnsi="Arial"/>
                <w:sz w:val="16"/>
                <w:szCs w:val="16"/>
                <w:color w:val="auto"/>
              </w:rPr>
              <w:t>1,565</w:t>
            </w: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320" w:type="dxa"/>
            <w:vAlign w:val="bottom"/>
            <w:gridSpan w:val="2"/>
          </w:tcPr>
          <w:p>
            <w:pPr>
              <w:spacing w:after="0"/>
              <w:rPr>
                <w:sz w:val="20"/>
                <w:szCs w:val="20"/>
                <w:color w:val="auto"/>
              </w:rPr>
            </w:pPr>
            <w:r>
              <w:rPr>
                <w:rFonts w:ascii="Arial" w:cs="Arial" w:eastAsia="Arial" w:hAnsi="Arial"/>
                <w:sz w:val="16"/>
                <w:szCs w:val="16"/>
                <w:color w:val="auto"/>
              </w:rPr>
              <w:t>Accumulated benefit obligations</w:t>
            </w:r>
          </w:p>
        </w:tc>
        <w:tc>
          <w:tcPr>
            <w:tcW w:w="2680" w:type="dxa"/>
            <w:vAlign w:val="bottom"/>
          </w:tcPr>
          <w:p>
            <w:pPr>
              <w:jc w:val="right"/>
              <w:ind w:right="97"/>
              <w:spacing w:after="0"/>
              <w:rPr>
                <w:sz w:val="20"/>
                <w:szCs w:val="20"/>
                <w:color w:val="auto"/>
              </w:rPr>
            </w:pPr>
            <w:r>
              <w:rPr>
                <w:rFonts w:ascii="Arial" w:cs="Arial" w:eastAsia="Arial" w:hAnsi="Arial"/>
                <w:sz w:val="16"/>
                <w:szCs w:val="16"/>
                <w:b w:val="1"/>
                <w:bCs w:val="1"/>
                <w:color w:val="auto"/>
              </w:rPr>
              <w:t>696</w:t>
            </w:r>
          </w:p>
        </w:tc>
        <w:tc>
          <w:tcPr>
            <w:tcW w:w="1040" w:type="dxa"/>
            <w:vAlign w:val="bottom"/>
          </w:tcPr>
          <w:p>
            <w:pPr>
              <w:jc w:val="right"/>
              <w:ind w:right="255"/>
              <w:spacing w:after="0"/>
              <w:rPr>
                <w:sz w:val="20"/>
                <w:szCs w:val="20"/>
                <w:color w:val="auto"/>
              </w:rPr>
            </w:pPr>
            <w:r>
              <w:rPr>
                <w:rFonts w:ascii="Arial" w:cs="Arial" w:eastAsia="Arial" w:hAnsi="Arial"/>
                <w:sz w:val="16"/>
                <w:szCs w:val="16"/>
                <w:color w:val="auto"/>
              </w:rPr>
              <w:t>1,557</w:t>
            </w:r>
          </w:p>
        </w:tc>
        <w:tc>
          <w:tcPr>
            <w:tcW w:w="780" w:type="dxa"/>
            <w:vAlign w:val="bottom"/>
          </w:tcPr>
          <w:p>
            <w:pPr>
              <w:spacing w:after="0"/>
              <w:rPr>
                <w:sz w:val="16"/>
                <w:szCs w:val="16"/>
                <w:color w:val="auto"/>
              </w:rPr>
            </w:pPr>
          </w:p>
        </w:tc>
        <w:tc>
          <w:tcPr>
            <w:tcW w:w="460" w:type="dxa"/>
            <w:vAlign w:val="bottom"/>
          </w:tcPr>
          <w:p>
            <w:pPr>
              <w:jc w:val="right"/>
              <w:ind w:right="179"/>
              <w:spacing w:after="0"/>
              <w:rPr>
                <w:sz w:val="20"/>
                <w:szCs w:val="20"/>
                <w:color w:val="auto"/>
              </w:rPr>
            </w:pPr>
            <w:r>
              <w:rPr>
                <w:rFonts w:ascii="Arial" w:cs="Arial" w:eastAsia="Arial" w:hAnsi="Arial"/>
                <w:sz w:val="16"/>
                <w:szCs w:val="16"/>
                <w:b w:val="1"/>
                <w:bCs w:val="1"/>
                <w:color w:val="auto"/>
              </w:rPr>
              <w:t>15</w:t>
            </w: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89"/>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Fair value of plan assets</w:t>
            </w:r>
          </w:p>
        </w:tc>
        <w:tc>
          <w:tcPr>
            <w:tcW w:w="2680" w:type="dxa"/>
            <w:vAlign w:val="bottom"/>
            <w:shd w:val="clear" w:color="auto" w:fill="CCEEFF"/>
          </w:tcPr>
          <w:p>
            <w:pPr>
              <w:jc w:val="right"/>
              <w:ind w:right="97"/>
              <w:spacing w:after="0"/>
              <w:rPr>
                <w:sz w:val="20"/>
                <w:szCs w:val="20"/>
                <w:color w:val="auto"/>
              </w:rPr>
            </w:pPr>
            <w:r>
              <w:rPr>
                <w:rFonts w:ascii="Arial" w:cs="Arial" w:eastAsia="Arial" w:hAnsi="Arial"/>
                <w:sz w:val="16"/>
                <w:szCs w:val="16"/>
                <w:b w:val="1"/>
                <w:bCs w:val="1"/>
                <w:color w:val="auto"/>
              </w:rPr>
              <w:t>603</w:t>
            </w:r>
          </w:p>
        </w:tc>
        <w:tc>
          <w:tcPr>
            <w:tcW w:w="1040" w:type="dxa"/>
            <w:vAlign w:val="bottom"/>
            <w:shd w:val="clear" w:color="auto" w:fill="CCEEFF"/>
          </w:tcPr>
          <w:p>
            <w:pPr>
              <w:jc w:val="right"/>
              <w:ind w:right="255"/>
              <w:spacing w:after="0"/>
              <w:rPr>
                <w:sz w:val="20"/>
                <w:szCs w:val="20"/>
                <w:color w:val="auto"/>
              </w:rPr>
            </w:pPr>
            <w:r>
              <w:rPr>
                <w:rFonts w:ascii="Arial" w:cs="Arial" w:eastAsia="Arial" w:hAnsi="Arial"/>
                <w:sz w:val="16"/>
                <w:szCs w:val="16"/>
                <w:color w:val="auto"/>
              </w:rPr>
              <w:t>1,048</w:t>
            </w: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Plans with benefit obligations less than plan assets:</w:t>
      </w:r>
    </w:p>
    <w:p>
      <w:pPr>
        <w:spacing w:after="0" w:line="243" w:lineRule="exact"/>
        <w:rPr>
          <w:sz w:val="20"/>
          <w:szCs w:val="20"/>
          <w:color w:val="auto"/>
        </w:rPr>
      </w:pPr>
    </w:p>
    <w:p>
      <w:pPr>
        <w:ind w:left="7320"/>
        <w:spacing w:after="0"/>
        <w:tabs>
          <w:tab w:leader="none" w:pos="9180" w:val="left"/>
        </w:tabs>
        <w:rPr>
          <w:sz w:val="20"/>
          <w:szCs w:val="20"/>
          <w:color w:val="auto"/>
        </w:rPr>
      </w:pPr>
      <w:r>
        <w:rPr>
          <w:rFonts w:ascii="Arial" w:cs="Arial" w:eastAsia="Arial" w:hAnsi="Arial"/>
          <w:sz w:val="16"/>
          <w:szCs w:val="16"/>
          <w:b w:val="1"/>
          <w:bCs w:val="1"/>
          <w:u w:val="single" w:color="auto"/>
          <w:color w:val="auto"/>
        </w:rPr>
        <w:t>Pension Benefits</w:t>
      </w:r>
      <w:r>
        <w:rPr>
          <w:sz w:val="20"/>
          <w:szCs w:val="20"/>
          <w:color w:val="auto"/>
        </w:rPr>
        <w:tab/>
      </w:r>
      <w:r>
        <w:rPr>
          <w:rFonts w:ascii="Arial" w:cs="Arial" w:eastAsia="Arial" w:hAnsi="Arial"/>
          <w:sz w:val="16"/>
          <w:szCs w:val="16"/>
          <w:b w:val="1"/>
          <w:bCs w:val="1"/>
          <w:u w:val="single" w:color="auto"/>
          <w:color w:val="auto"/>
        </w:rPr>
        <w:t>Post-Retirement Benefits</w:t>
      </w:r>
    </w:p>
    <w:p>
      <w:pPr>
        <w:spacing w:after="0" w:line="68" w:lineRule="exact"/>
        <w:rPr>
          <w:sz w:val="20"/>
          <w:szCs w:val="20"/>
          <w:color w:val="auto"/>
        </w:rPr>
      </w:pPr>
    </w:p>
    <w:tbl>
      <w:tblPr>
        <w:tblLayout w:type="fixed"/>
        <w:tblInd w:w="9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680" w:type="dxa"/>
            <w:vAlign w:val="bottom"/>
          </w:tcPr>
          <w:p>
            <w:pPr>
              <w:jc w:val="right"/>
              <w:ind w:right="157"/>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jc w:val="right"/>
              <w:spacing w:after="0"/>
              <w:rPr>
                <w:sz w:val="20"/>
                <w:szCs w:val="20"/>
                <w:color w:val="auto"/>
              </w:rPr>
            </w:pPr>
            <w:r>
              <w:rPr>
                <w:rFonts w:ascii="Arial" w:cs="Arial" w:eastAsia="Arial" w:hAnsi="Arial"/>
                <w:sz w:val="18"/>
                <w:szCs w:val="18"/>
                <w:color w:val="auto"/>
              </w:rPr>
              <w:t>2016</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19"/>
                <w:szCs w:val="19"/>
                <w:color w:val="auto"/>
              </w:rPr>
            </w:pPr>
          </w:p>
        </w:tc>
        <w:tc>
          <w:tcPr>
            <w:tcW w:w="980" w:type="dxa"/>
            <w:vAlign w:val="bottom"/>
          </w:tcPr>
          <w:p>
            <w:pPr>
              <w:jc w:val="right"/>
              <w:ind w:right="217"/>
              <w:spacing w:after="0"/>
              <w:rPr>
                <w:sz w:val="20"/>
                <w:szCs w:val="20"/>
                <w:color w:val="auto"/>
              </w:rPr>
            </w:pPr>
            <w:r>
              <w:rPr>
                <w:rFonts w:ascii="Arial" w:cs="Arial" w:eastAsia="Arial" w:hAnsi="Arial"/>
                <w:sz w:val="18"/>
                <w:szCs w:val="18"/>
                <w:color w:val="auto"/>
              </w:rPr>
              <w:t>2016</w:t>
            </w: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(US$ millions)</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Projected benefit obligations</w:t>
            </w:r>
          </w:p>
        </w:tc>
        <w:tc>
          <w:tcPr>
            <w:tcW w:w="2680" w:type="dxa"/>
            <w:vAlign w:val="bottom"/>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807</w:t>
            </w:r>
          </w:p>
        </w:tc>
        <w:tc>
          <w:tcPr>
            <w:tcW w:w="5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35"/>
              <w:spacing w:after="0"/>
              <w:rPr>
                <w:sz w:val="20"/>
                <w:szCs w:val="20"/>
                <w:color w:val="auto"/>
              </w:rPr>
            </w:pPr>
            <w:r>
              <w:rPr>
                <w:rFonts w:ascii="Arial" w:cs="Arial" w:eastAsia="Arial" w:hAnsi="Arial"/>
                <w:sz w:val="16"/>
                <w:szCs w:val="16"/>
                <w:color w:val="auto"/>
                <w:w w:val="89"/>
              </w:rPr>
              <w:t>1</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340" w:type="dxa"/>
            <w:vAlign w:val="bottom"/>
            <w:gridSpan w:val="2"/>
          </w:tcPr>
          <w:p>
            <w:pPr>
              <w:spacing w:after="0"/>
              <w:rPr>
                <w:sz w:val="20"/>
                <w:szCs w:val="20"/>
                <w:color w:val="auto"/>
              </w:rPr>
            </w:pPr>
            <w:r>
              <w:rPr>
                <w:rFonts w:ascii="Arial" w:cs="Arial" w:eastAsia="Arial" w:hAnsi="Arial"/>
                <w:sz w:val="16"/>
                <w:szCs w:val="16"/>
                <w:color w:val="auto"/>
              </w:rPr>
              <w:t>Accumulated benefit obligations</w:t>
            </w:r>
          </w:p>
        </w:tc>
        <w:tc>
          <w:tcPr>
            <w:tcW w:w="2680" w:type="dxa"/>
            <w:vAlign w:val="bottom"/>
          </w:tcPr>
          <w:p>
            <w:pPr>
              <w:jc w:val="right"/>
              <w:ind w:right="77"/>
              <w:spacing w:after="0"/>
              <w:rPr>
                <w:sz w:val="20"/>
                <w:szCs w:val="20"/>
                <w:color w:val="auto"/>
              </w:rPr>
            </w:pPr>
            <w:r>
              <w:rPr>
                <w:rFonts w:ascii="Arial" w:cs="Arial" w:eastAsia="Arial" w:hAnsi="Arial"/>
                <w:sz w:val="16"/>
                <w:szCs w:val="16"/>
                <w:b w:val="1"/>
                <w:bCs w:val="1"/>
                <w:color w:val="auto"/>
              </w:rPr>
              <w:t>805</w:t>
            </w:r>
          </w:p>
        </w:tc>
        <w:tc>
          <w:tcPr>
            <w:tcW w:w="580" w:type="dxa"/>
            <w:vAlign w:val="bottom"/>
          </w:tcPr>
          <w:p>
            <w:pPr>
              <w:spacing w:after="0"/>
              <w:rPr>
                <w:sz w:val="16"/>
                <w:szCs w:val="16"/>
                <w:color w:val="auto"/>
              </w:rPr>
            </w:pPr>
          </w:p>
        </w:tc>
        <w:tc>
          <w:tcPr>
            <w:tcW w:w="1220" w:type="dxa"/>
            <w:vAlign w:val="bottom"/>
          </w:tcPr>
          <w:p>
            <w:pPr>
              <w:jc w:val="right"/>
              <w:ind w:right="1035"/>
              <w:spacing w:after="0"/>
              <w:rPr>
                <w:sz w:val="20"/>
                <w:szCs w:val="20"/>
                <w:color w:val="auto"/>
              </w:rPr>
            </w:pPr>
            <w:r>
              <w:rPr>
                <w:rFonts w:ascii="Arial" w:cs="Arial" w:eastAsia="Arial" w:hAnsi="Arial"/>
                <w:sz w:val="16"/>
                <w:szCs w:val="16"/>
                <w:color w:val="auto"/>
                <w:w w:val="89"/>
              </w:rPr>
              <w:t>1</w:t>
            </w:r>
          </w:p>
        </w:tc>
        <w:tc>
          <w:tcPr>
            <w:tcW w:w="460" w:type="dxa"/>
            <w:vAlign w:val="bottom"/>
          </w:tcPr>
          <w:p>
            <w:pPr>
              <w:jc w:val="right"/>
              <w:ind w:right="179"/>
              <w:spacing w:after="0"/>
              <w:rPr>
                <w:sz w:val="20"/>
                <w:szCs w:val="20"/>
                <w:color w:val="auto"/>
              </w:rPr>
            </w:pPr>
            <w:r>
              <w:rPr>
                <w:rFonts w:ascii="Arial" w:cs="Arial" w:eastAsia="Arial" w:hAnsi="Arial"/>
                <w:sz w:val="16"/>
                <w:szCs w:val="16"/>
                <w:b w:val="1"/>
                <w:bCs w:val="1"/>
                <w:color w:val="auto"/>
              </w:rPr>
              <w:t>65</w:t>
            </w:r>
          </w:p>
        </w:tc>
        <w:tc>
          <w:tcPr>
            <w:tcW w:w="9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189"/>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Fair value of plan assets</w:t>
            </w:r>
          </w:p>
        </w:tc>
        <w:tc>
          <w:tcPr>
            <w:tcW w:w="2680" w:type="dxa"/>
            <w:vAlign w:val="bottom"/>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823</w:t>
            </w:r>
          </w:p>
        </w:tc>
        <w:tc>
          <w:tcPr>
            <w:tcW w:w="5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35"/>
              <w:spacing w:after="0"/>
              <w:rPr>
                <w:sz w:val="20"/>
                <w:szCs w:val="20"/>
                <w:color w:val="auto"/>
              </w:rPr>
            </w:pPr>
            <w:r>
              <w:rPr>
                <w:rFonts w:ascii="Arial" w:cs="Arial" w:eastAsia="Arial" w:hAnsi="Arial"/>
                <w:sz w:val="16"/>
                <w:szCs w:val="16"/>
                <w:color w:val="auto"/>
                <w:w w:val="89"/>
              </w:rPr>
              <w:t>2</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83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bl>
    <w:p>
      <w:pPr>
        <w:spacing w:after="0" w:line="215" w:lineRule="exact"/>
        <w:rPr>
          <w:sz w:val="20"/>
          <w:szCs w:val="20"/>
          <w:color w:val="auto"/>
        </w:rPr>
      </w:pPr>
    </w:p>
    <w:p>
      <w:pPr>
        <w:jc w:val="both"/>
        <w:ind w:left="980" w:right="20"/>
        <w:spacing w:after="0"/>
        <w:rPr>
          <w:sz w:val="20"/>
          <w:szCs w:val="20"/>
          <w:color w:val="auto"/>
        </w:rPr>
      </w:pPr>
      <w:r>
        <w:rPr>
          <w:rFonts w:ascii="Arial" w:cs="Arial" w:eastAsia="Arial" w:hAnsi="Arial"/>
          <w:sz w:val="18"/>
          <w:szCs w:val="18"/>
          <w:color w:val="auto"/>
        </w:rPr>
        <w:t>The fair value of pension plan assets as at 29 October 2017 and 30 October 2016 included US$20 million and US$21 million, respectively, of assets for the Group’s non-U.S. pension plans. Contributions to the Group’s non-U.S. plans were US$2 million and US$1 million for financial years 2017 and 2016, respectively.</w:t>
      </w:r>
    </w:p>
    <w:p>
      <w:pPr>
        <w:spacing w:after="0" w:line="203" w:lineRule="exact"/>
        <w:rPr>
          <w:sz w:val="20"/>
          <w:szCs w:val="20"/>
          <w:color w:val="auto"/>
        </w:rPr>
      </w:pPr>
    </w:p>
    <w:p>
      <w:pPr>
        <w:jc w:val="both"/>
        <w:ind w:left="980" w:right="20"/>
        <w:spacing w:after="0" w:line="238" w:lineRule="auto"/>
        <w:rPr>
          <w:sz w:val="20"/>
          <w:szCs w:val="20"/>
          <w:color w:val="auto"/>
        </w:rPr>
      </w:pPr>
      <w:r>
        <w:rPr>
          <w:rFonts w:ascii="Arial" w:cs="Arial" w:eastAsia="Arial" w:hAnsi="Arial"/>
          <w:sz w:val="18"/>
          <w:szCs w:val="18"/>
          <w:color w:val="auto"/>
        </w:rPr>
        <w:t>The projected benefit obligations as of 29 October 2017 and 30 October 2016 included US$106 million and US$118 million, respectively, of obligations related to the Group’s non-U.S. plans. The accumulated benefit obligations as of 29 October 2017 and 30 October 2016 included US$ 100 million and US$110 million, respectively, of obligations related to the Group’s non-U.S. plans. In financial years 2016 and 2017 a settlement of US$3 and US$8 million, respectively, was reached on the pension benefits</w:t>
      </w:r>
      <w:r>
        <w:rPr>
          <w:rFonts w:ascii="Arial" w:cs="Arial" w:eastAsia="Arial" w:hAnsi="Arial"/>
          <w:sz w:val="18"/>
          <w:szCs w:val="18"/>
          <w:b w:val="1"/>
          <w:bCs w:val="1"/>
          <w:color w:val="auto"/>
        </w:rPr>
        <w:t>.</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presents amounts recognized on the consolidated balance sheets:</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8"/>
              </w:rPr>
              <w:t>Pension Benefits</w:t>
            </w:r>
          </w:p>
        </w:tc>
        <w:tc>
          <w:tcPr>
            <w:tcW w:w="480" w:type="dxa"/>
            <w:vAlign w:val="bottom"/>
          </w:tcPr>
          <w:p>
            <w:pPr>
              <w:spacing w:after="0"/>
              <w:rPr>
                <w:sz w:val="18"/>
                <w:szCs w:val="18"/>
                <w:color w:val="auto"/>
              </w:rPr>
            </w:pPr>
          </w:p>
        </w:tc>
        <w:tc>
          <w:tcPr>
            <w:tcW w:w="22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9"/>
              </w:rPr>
              <w:t>Post-Retirement Benefits</w:t>
            </w:r>
          </w:p>
        </w:tc>
      </w:tr>
      <w:tr>
        <w:trPr>
          <w:trHeight w:val="276"/>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76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2017</w:t>
            </w: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top w:val="single" w:sz="8" w:color="auto"/>
            </w:tcBorders>
          </w:tcPr>
          <w:p>
            <w:pPr>
              <w:jc w:val="right"/>
              <w:ind w:right="177"/>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2"/>
          </w:tcPr>
          <w:p>
            <w:pPr>
              <w:jc w:val="right"/>
              <w:ind w:right="490"/>
              <w:spacing w:after="0" w:line="203" w:lineRule="exact"/>
              <w:rPr>
                <w:sz w:val="20"/>
                <w:szCs w:val="20"/>
                <w:color w:val="auto"/>
              </w:rPr>
            </w:pPr>
            <w:r>
              <w:rPr>
                <w:rFonts w:ascii="Arial" w:cs="Arial" w:eastAsia="Arial" w:hAnsi="Arial"/>
                <w:sz w:val="18"/>
                <w:szCs w:val="18"/>
                <w:color w:val="auto"/>
                <w:w w:val="98"/>
              </w:rPr>
              <w:t>(US$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6"/>
                <w:szCs w:val="16"/>
                <w:b w:val="1"/>
                <w:bCs w:val="1"/>
                <w:color w:val="auto"/>
              </w:rPr>
              <w:t>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700" w:type="dxa"/>
            <w:vAlign w:val="bottom"/>
            <w:gridSpan w:val="2"/>
            <w:shd w:val="clear" w:color="auto" w:fill="CCEEFF"/>
          </w:tcPr>
          <w:p>
            <w:pPr>
              <w:jc w:val="right"/>
              <w:ind w:right="210"/>
              <w:spacing w:after="0"/>
              <w:rPr>
                <w:sz w:val="20"/>
                <w:szCs w:val="20"/>
                <w:color w:val="auto"/>
              </w:rPr>
            </w:pPr>
            <w:r>
              <w:rPr>
                <w:rFonts w:ascii="Arial" w:cs="Arial" w:eastAsia="Arial" w:hAnsi="Arial"/>
                <w:sz w:val="16"/>
                <w:szCs w:val="16"/>
                <w:b w:val="1"/>
                <w:bCs w:val="1"/>
                <w:color w:val="auto"/>
              </w:rPr>
              <w:t>18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r>
      <w:tr>
        <w:trPr>
          <w:trHeight w:val="189"/>
        </w:trPr>
        <w:tc>
          <w:tcPr>
            <w:tcW w:w="6000" w:type="dxa"/>
            <w:vAlign w:val="bottom"/>
            <w:gridSpan w:val="2"/>
          </w:tcPr>
          <w:p>
            <w:pPr>
              <w:spacing w:after="0"/>
              <w:rPr>
                <w:sz w:val="20"/>
                <w:szCs w:val="20"/>
                <w:color w:val="auto"/>
              </w:rPr>
            </w:pPr>
            <w:r>
              <w:rPr>
                <w:rFonts w:ascii="Arial" w:cs="Arial" w:eastAsia="Arial" w:hAnsi="Arial"/>
                <w:sz w:val="16"/>
                <w:szCs w:val="16"/>
                <w:color w:val="auto"/>
              </w:rPr>
              <w:t>Employee compensation and benefits</w:t>
            </w:r>
          </w:p>
        </w:tc>
        <w:tc>
          <w:tcPr>
            <w:tcW w:w="760" w:type="dxa"/>
            <w:vAlign w:val="bottom"/>
          </w:tcPr>
          <w:p>
            <w:pPr>
              <w:jc w:val="right"/>
              <w:ind w:right="96"/>
              <w:spacing w:after="0"/>
              <w:rPr>
                <w:sz w:val="20"/>
                <w:szCs w:val="20"/>
                <w:color w:val="auto"/>
              </w:rPr>
            </w:pPr>
            <w:r>
              <w:rPr>
                <w:rFonts w:ascii="Arial" w:cs="Arial" w:eastAsia="Arial" w:hAnsi="Arial"/>
                <w:sz w:val="16"/>
                <w:szCs w:val="16"/>
                <w:b w:val="1"/>
                <w:bCs w:val="1"/>
                <w:color w:val="auto"/>
              </w:rPr>
              <w:t>1</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70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rPr>
              <w:t>1</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r>
        <w:trPr>
          <w:trHeight w:val="189"/>
        </w:trPr>
        <w:tc>
          <w:tcPr>
            <w:tcW w:w="20" w:type="dxa"/>
            <w:vAlign w:val="bottom"/>
          </w:tcPr>
          <w:p>
            <w:pPr>
              <w:spacing w:after="0"/>
              <w:rPr>
                <w:sz w:val="16"/>
                <w:szCs w:val="16"/>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Pension and post-retirement benefit obligations</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6"/>
                <w:szCs w:val="16"/>
                <w:b w:val="1"/>
                <w:bCs w:val="1"/>
                <w:color w:val="auto"/>
              </w:rPr>
              <w:t>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700" w:type="dxa"/>
            <w:vAlign w:val="bottom"/>
            <w:gridSpan w:val="2"/>
            <w:shd w:val="clear" w:color="auto" w:fill="CCEEFF"/>
          </w:tcPr>
          <w:p>
            <w:pPr>
              <w:jc w:val="right"/>
              <w:ind w:right="210"/>
              <w:spacing w:after="0"/>
              <w:rPr>
                <w:sz w:val="20"/>
                <w:szCs w:val="20"/>
                <w:color w:val="auto"/>
              </w:rPr>
            </w:pPr>
            <w:r>
              <w:rPr>
                <w:rFonts w:ascii="Arial" w:cs="Arial" w:eastAsia="Arial" w:hAnsi="Arial"/>
                <w:sz w:val="16"/>
                <w:szCs w:val="16"/>
                <w:b w:val="1"/>
                <w:bCs w:val="1"/>
                <w:color w:val="auto"/>
              </w:rPr>
              <w:t>31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r>
      <w:tr>
        <w:trPr>
          <w:trHeight w:val="189"/>
        </w:trPr>
        <w:tc>
          <w:tcPr>
            <w:tcW w:w="6000" w:type="dxa"/>
            <w:vAlign w:val="bottom"/>
            <w:gridSpan w:val="2"/>
          </w:tcPr>
          <w:p>
            <w:pPr>
              <w:spacing w:after="0"/>
              <w:rPr>
                <w:sz w:val="20"/>
                <w:szCs w:val="20"/>
                <w:color w:val="auto"/>
              </w:rPr>
            </w:pPr>
            <w:r>
              <w:rPr>
                <w:rFonts w:ascii="Arial" w:cs="Arial" w:eastAsia="Arial" w:hAnsi="Arial"/>
                <w:sz w:val="16"/>
                <w:szCs w:val="16"/>
                <w:color w:val="auto"/>
              </w:rPr>
              <w:t>Amounts recognized in accumulated other comprehensive loss, net of taxes:</w:t>
            </w: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Actuarial losses and prior service costs, net of taxes</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6"/>
                <w:szCs w:val="16"/>
                <w:b w:val="1"/>
                <w:bCs w:val="1"/>
                <w:color w:val="auto"/>
              </w:rPr>
              <w:t>(85)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700" w:type="dxa"/>
            <w:vAlign w:val="bottom"/>
            <w:gridSpan w:val="2"/>
            <w:shd w:val="clear" w:color="auto" w:fill="CCEEFF"/>
          </w:tcPr>
          <w:p>
            <w:pPr>
              <w:jc w:val="right"/>
              <w:ind w:right="210"/>
              <w:spacing w:after="0"/>
              <w:rPr>
                <w:sz w:val="20"/>
                <w:szCs w:val="20"/>
                <w:color w:val="auto"/>
              </w:rPr>
            </w:pPr>
            <w:r>
              <w:rPr>
                <w:rFonts w:ascii="Arial" w:cs="Arial" w:eastAsia="Arial" w:hAnsi="Arial"/>
                <w:sz w:val="16"/>
                <w:szCs w:val="16"/>
                <w:b w:val="1"/>
                <w:bCs w:val="1"/>
                <w:color w:val="auto"/>
              </w:rPr>
              <w:t>(21)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r>
    </w:tbl>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Group currently expects to make contributions of US$118 million to its defined benefit pension plans in financial year 2018.</w:t>
      </w:r>
    </w:p>
    <w:p>
      <w:pPr>
        <w:ind w:left="980"/>
        <w:spacing w:after="0"/>
        <w:rPr>
          <w:sz w:val="20"/>
          <w:szCs w:val="20"/>
          <w:color w:val="auto"/>
        </w:rPr>
      </w:pPr>
      <w:r>
        <w:rPr>
          <w:rFonts w:ascii="Arial" w:cs="Arial" w:eastAsia="Arial" w:hAnsi="Arial"/>
          <w:sz w:val="18"/>
          <w:szCs w:val="18"/>
          <w:color w:val="auto"/>
        </w:rPr>
        <w:t>The Group does not expect to make any contributions to its post-retirement medical benefit plans in financial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100965</wp:posOffset>
            </wp:positionV>
            <wp:extent cx="6997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240"/>
          </w:cols>
          <w:pgMar w:left="240" w:top="459" w:right="4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and post-retirement benefits </w:t>
      </w:r>
      <w:r>
        <w:rPr>
          <w:rFonts w:ascii="Arial" w:cs="Arial" w:eastAsia="Arial" w:hAnsi="Arial"/>
          <w:sz w:val="18"/>
          <w:szCs w:val="18"/>
          <w:color w:val="auto"/>
        </w:rPr>
        <w:t>(continued)</w:t>
      </w:r>
    </w:p>
    <w:p>
      <w:pPr>
        <w:spacing w:after="0" w:line="144"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Expected Future Benefit Payments</w:t>
      </w:r>
    </w:p>
    <w:p>
      <w:pPr>
        <w:spacing w:after="0" w:line="233" w:lineRule="exact"/>
        <w:rPr>
          <w:rFonts w:ascii="Arial" w:cs="Arial" w:eastAsia="Arial" w:hAnsi="Arial"/>
          <w:sz w:val="18"/>
          <w:szCs w:val="18"/>
          <w:b w:val="1"/>
          <w:bCs w:val="1"/>
          <w:color w:val="auto"/>
        </w:rPr>
      </w:pPr>
    </w:p>
    <w:p>
      <w:pPr>
        <w:ind w:left="98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expected payments from the Group’s benefit plans over the next 10 financial years as of 29 October 2017:</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9"/>
              </w:rPr>
              <w:t>Post-</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80" w:type="dxa"/>
            <w:vAlign w:val="bottom"/>
            <w:gridSpan w:val="2"/>
          </w:tcPr>
          <w:p>
            <w:pPr>
              <w:jc w:val="center"/>
              <w:ind w:right="200"/>
              <w:spacing w:after="0" w:line="216" w:lineRule="exact"/>
              <w:rPr>
                <w:sz w:val="20"/>
                <w:szCs w:val="20"/>
                <w:color w:val="auto"/>
              </w:rPr>
            </w:pPr>
            <w:r>
              <w:rPr>
                <w:rFonts w:ascii="Arial" w:cs="Arial" w:eastAsia="Arial" w:hAnsi="Arial"/>
                <w:sz w:val="20"/>
                <w:szCs w:val="20"/>
                <w:b w:val="1"/>
                <w:bCs w:val="1"/>
                <w:color w:val="auto"/>
              </w:rPr>
              <w:t>Pension</w:t>
            </w:r>
          </w:p>
        </w:tc>
        <w:tc>
          <w:tcPr>
            <w:tcW w:w="1320" w:type="dxa"/>
            <w:vAlign w:val="bottom"/>
            <w:gridSpan w:val="3"/>
          </w:tcPr>
          <w:p>
            <w:pPr>
              <w:jc w:val="center"/>
              <w:ind w:left="21"/>
              <w:spacing w:after="0" w:line="216" w:lineRule="exact"/>
              <w:rPr>
                <w:sz w:val="20"/>
                <w:szCs w:val="20"/>
                <w:color w:val="auto"/>
              </w:rPr>
            </w:pPr>
            <w:r>
              <w:rPr>
                <w:rFonts w:ascii="Arial" w:cs="Arial" w:eastAsia="Arial" w:hAnsi="Arial"/>
                <w:sz w:val="20"/>
                <w:szCs w:val="20"/>
                <w:b w:val="1"/>
                <w:bCs w:val="1"/>
                <w:color w:val="auto"/>
                <w:w w:val="99"/>
              </w:rPr>
              <w:t>Retirement</w:t>
            </w:r>
          </w:p>
        </w:tc>
      </w:tr>
      <w:tr>
        <w:trPr>
          <w:trHeight w:val="217"/>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80" w:type="dxa"/>
            <w:vAlign w:val="bottom"/>
            <w:gridSpan w:val="2"/>
          </w:tcPr>
          <w:p>
            <w:pPr>
              <w:jc w:val="center"/>
              <w:ind w:right="200"/>
              <w:spacing w:after="0" w:line="217" w:lineRule="exact"/>
              <w:rPr>
                <w:sz w:val="20"/>
                <w:szCs w:val="20"/>
                <w:color w:val="auto"/>
              </w:rPr>
            </w:pPr>
            <w:r>
              <w:rPr>
                <w:rFonts w:ascii="Arial" w:cs="Arial" w:eastAsia="Arial" w:hAnsi="Arial"/>
                <w:sz w:val="20"/>
                <w:szCs w:val="20"/>
                <w:b w:val="1"/>
                <w:bCs w:val="1"/>
                <w:color w:val="auto"/>
                <w:w w:val="98"/>
              </w:rPr>
              <w:t>Benefits</w:t>
            </w:r>
          </w:p>
        </w:tc>
        <w:tc>
          <w:tcPr>
            <w:tcW w:w="1320" w:type="dxa"/>
            <w:vAlign w:val="bottom"/>
            <w:gridSpan w:val="3"/>
          </w:tcPr>
          <w:p>
            <w:pPr>
              <w:jc w:val="center"/>
              <w:ind w:left="1"/>
              <w:spacing w:after="0" w:line="217" w:lineRule="exact"/>
              <w:rPr>
                <w:sz w:val="20"/>
                <w:szCs w:val="20"/>
                <w:color w:val="auto"/>
              </w:rPr>
            </w:pPr>
            <w:r>
              <w:rPr>
                <w:rFonts w:ascii="Arial" w:cs="Arial" w:eastAsia="Arial" w:hAnsi="Arial"/>
                <w:sz w:val="20"/>
                <w:szCs w:val="20"/>
                <w:b w:val="1"/>
                <w:bCs w:val="1"/>
                <w:color w:val="auto"/>
                <w:w w:val="98"/>
              </w:rPr>
              <w:t>Benefits</w:t>
            </w:r>
          </w:p>
        </w:tc>
      </w:tr>
      <w:tr>
        <w:trPr>
          <w:trHeight w:val="28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2017</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8"/>
              </w:rPr>
              <w:t>2016</w:t>
            </w:r>
          </w:p>
        </w:tc>
        <w:tc>
          <w:tcPr>
            <w:tcW w:w="2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300" w:type="dxa"/>
            <w:vAlign w:val="bottom"/>
            <w:gridSpan w:val="5"/>
          </w:tcPr>
          <w:p>
            <w:pPr>
              <w:jc w:val="right"/>
              <w:ind w:right="580"/>
              <w:spacing w:after="0" w:line="220" w:lineRule="exact"/>
              <w:rPr>
                <w:sz w:val="20"/>
                <w:szCs w:val="20"/>
                <w:color w:val="auto"/>
              </w:rPr>
            </w:pPr>
            <w:r>
              <w:rPr>
                <w:rFonts w:ascii="Arial" w:cs="Arial" w:eastAsia="Arial" w:hAnsi="Arial"/>
                <w:sz w:val="20"/>
                <w:szCs w:val="20"/>
                <w:color w:val="auto"/>
              </w:rPr>
              <w:t>(US$ millions)</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2018</w:t>
            </w:r>
          </w:p>
        </w:tc>
        <w:tc>
          <w:tcPr>
            <w:tcW w:w="4420" w:type="dxa"/>
            <w:vAlign w:val="bottom"/>
            <w:gridSpan w:val="3"/>
            <w:shd w:val="clear" w:color="auto" w:fill="CCEEFF"/>
          </w:tcPr>
          <w:p>
            <w:pPr>
              <w:jc w:val="right"/>
              <w:ind w:right="200"/>
              <w:spacing w:after="0" w:line="216" w:lineRule="exact"/>
              <w:rPr>
                <w:sz w:val="20"/>
                <w:szCs w:val="20"/>
                <w:color w:val="auto"/>
              </w:rPr>
            </w:pPr>
            <w:r>
              <w:rPr>
                <w:rFonts w:ascii="Arial" w:cs="Arial" w:eastAsia="Arial" w:hAnsi="Arial"/>
                <w:sz w:val="20"/>
                <w:szCs w:val="20"/>
                <w:b w:val="1"/>
                <w:bCs w:val="1"/>
                <w:color w:val="auto"/>
              </w:rPr>
              <w:t>92</w:t>
            </w:r>
          </w:p>
        </w:tc>
        <w:tc>
          <w:tcPr>
            <w:tcW w:w="132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3</w:t>
            </w:r>
          </w:p>
        </w:tc>
      </w:tr>
      <w:tr>
        <w:trPr>
          <w:trHeight w:val="216"/>
        </w:trPr>
        <w:tc>
          <w:tcPr>
            <w:tcW w:w="20" w:type="dxa"/>
            <w:vAlign w:val="bottom"/>
          </w:tcPr>
          <w:p>
            <w:pPr>
              <w:spacing w:after="0"/>
              <w:rPr>
                <w:sz w:val="18"/>
                <w:szCs w:val="18"/>
                <w:color w:val="auto"/>
              </w:rPr>
            </w:pPr>
          </w:p>
        </w:tc>
        <w:tc>
          <w:tcPr>
            <w:tcW w:w="4500" w:type="dxa"/>
            <w:vAlign w:val="bottom"/>
          </w:tcPr>
          <w:p>
            <w:pPr>
              <w:spacing w:after="0" w:line="216" w:lineRule="exact"/>
              <w:rPr>
                <w:sz w:val="20"/>
                <w:szCs w:val="20"/>
                <w:color w:val="auto"/>
              </w:rPr>
            </w:pPr>
            <w:r>
              <w:rPr>
                <w:rFonts w:ascii="Arial" w:cs="Arial" w:eastAsia="Arial" w:hAnsi="Arial"/>
                <w:sz w:val="20"/>
                <w:szCs w:val="20"/>
                <w:color w:val="auto"/>
              </w:rPr>
              <w:t>2019</w:t>
            </w:r>
          </w:p>
        </w:tc>
        <w:tc>
          <w:tcPr>
            <w:tcW w:w="4420" w:type="dxa"/>
            <w:vAlign w:val="bottom"/>
            <w:gridSpan w:val="3"/>
          </w:tcPr>
          <w:p>
            <w:pPr>
              <w:jc w:val="right"/>
              <w:ind w:right="200"/>
              <w:spacing w:after="0" w:line="216" w:lineRule="exact"/>
              <w:rPr>
                <w:sz w:val="20"/>
                <w:szCs w:val="20"/>
                <w:color w:val="auto"/>
              </w:rPr>
            </w:pPr>
            <w:r>
              <w:rPr>
                <w:rFonts w:ascii="Arial" w:cs="Arial" w:eastAsia="Arial" w:hAnsi="Arial"/>
                <w:sz w:val="20"/>
                <w:szCs w:val="20"/>
                <w:b w:val="1"/>
                <w:bCs w:val="1"/>
                <w:color w:val="auto"/>
              </w:rPr>
              <w:t>92</w:t>
            </w:r>
          </w:p>
        </w:tc>
        <w:tc>
          <w:tcPr>
            <w:tcW w:w="1320" w:type="dxa"/>
            <w:vAlign w:val="bottom"/>
            <w:gridSpan w:val="3"/>
          </w:tcPr>
          <w:p>
            <w:pPr>
              <w:jc w:val="right"/>
              <w:ind w:right="80"/>
              <w:spacing w:after="0" w:line="216" w:lineRule="exact"/>
              <w:rPr>
                <w:sz w:val="20"/>
                <w:szCs w:val="20"/>
                <w:color w:val="auto"/>
              </w:rPr>
            </w:pPr>
            <w:r>
              <w:rPr>
                <w:rFonts w:ascii="Arial" w:cs="Arial" w:eastAsia="Arial" w:hAnsi="Arial"/>
                <w:sz w:val="20"/>
                <w:szCs w:val="20"/>
                <w:color w:val="auto"/>
              </w:rPr>
              <w:t>3</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2020</w:t>
            </w:r>
          </w:p>
        </w:tc>
        <w:tc>
          <w:tcPr>
            <w:tcW w:w="4420" w:type="dxa"/>
            <w:vAlign w:val="bottom"/>
            <w:gridSpan w:val="3"/>
            <w:shd w:val="clear" w:color="auto" w:fill="CCEEFF"/>
          </w:tcPr>
          <w:p>
            <w:pPr>
              <w:jc w:val="right"/>
              <w:ind w:right="200"/>
              <w:spacing w:after="0" w:line="216" w:lineRule="exact"/>
              <w:rPr>
                <w:sz w:val="20"/>
                <w:szCs w:val="20"/>
                <w:color w:val="auto"/>
              </w:rPr>
            </w:pPr>
            <w:r>
              <w:rPr>
                <w:rFonts w:ascii="Arial" w:cs="Arial" w:eastAsia="Arial" w:hAnsi="Arial"/>
                <w:sz w:val="20"/>
                <w:szCs w:val="20"/>
                <w:b w:val="1"/>
                <w:bCs w:val="1"/>
                <w:color w:val="auto"/>
              </w:rPr>
              <w:t>91</w:t>
            </w:r>
          </w:p>
        </w:tc>
        <w:tc>
          <w:tcPr>
            <w:tcW w:w="132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3</w:t>
            </w:r>
          </w:p>
        </w:tc>
      </w:tr>
      <w:tr>
        <w:trPr>
          <w:trHeight w:val="216"/>
        </w:trPr>
        <w:tc>
          <w:tcPr>
            <w:tcW w:w="20" w:type="dxa"/>
            <w:vAlign w:val="bottom"/>
          </w:tcPr>
          <w:p>
            <w:pPr>
              <w:spacing w:after="0"/>
              <w:rPr>
                <w:sz w:val="18"/>
                <w:szCs w:val="18"/>
                <w:color w:val="auto"/>
              </w:rPr>
            </w:pPr>
          </w:p>
        </w:tc>
        <w:tc>
          <w:tcPr>
            <w:tcW w:w="4500" w:type="dxa"/>
            <w:vAlign w:val="bottom"/>
          </w:tcPr>
          <w:p>
            <w:pPr>
              <w:spacing w:after="0" w:line="216" w:lineRule="exact"/>
              <w:rPr>
                <w:sz w:val="20"/>
                <w:szCs w:val="20"/>
                <w:color w:val="auto"/>
              </w:rPr>
            </w:pPr>
            <w:r>
              <w:rPr>
                <w:rFonts w:ascii="Arial" w:cs="Arial" w:eastAsia="Arial" w:hAnsi="Arial"/>
                <w:sz w:val="20"/>
                <w:szCs w:val="20"/>
                <w:color w:val="auto"/>
              </w:rPr>
              <w:t>2021</w:t>
            </w:r>
          </w:p>
        </w:tc>
        <w:tc>
          <w:tcPr>
            <w:tcW w:w="4420" w:type="dxa"/>
            <w:vAlign w:val="bottom"/>
            <w:gridSpan w:val="3"/>
          </w:tcPr>
          <w:p>
            <w:pPr>
              <w:jc w:val="right"/>
              <w:ind w:right="200"/>
              <w:spacing w:after="0" w:line="216" w:lineRule="exact"/>
              <w:rPr>
                <w:sz w:val="20"/>
                <w:szCs w:val="20"/>
                <w:color w:val="auto"/>
              </w:rPr>
            </w:pPr>
            <w:r>
              <w:rPr>
                <w:rFonts w:ascii="Arial" w:cs="Arial" w:eastAsia="Arial" w:hAnsi="Arial"/>
                <w:sz w:val="20"/>
                <w:szCs w:val="20"/>
                <w:b w:val="1"/>
                <w:bCs w:val="1"/>
                <w:color w:val="auto"/>
              </w:rPr>
              <w:t>91</w:t>
            </w:r>
          </w:p>
        </w:tc>
        <w:tc>
          <w:tcPr>
            <w:tcW w:w="1320" w:type="dxa"/>
            <w:vAlign w:val="bottom"/>
            <w:gridSpan w:val="3"/>
          </w:tcPr>
          <w:p>
            <w:pPr>
              <w:jc w:val="right"/>
              <w:ind w:right="80"/>
              <w:spacing w:after="0" w:line="216" w:lineRule="exact"/>
              <w:rPr>
                <w:sz w:val="20"/>
                <w:szCs w:val="20"/>
                <w:color w:val="auto"/>
              </w:rPr>
            </w:pPr>
            <w:r>
              <w:rPr>
                <w:rFonts w:ascii="Arial" w:cs="Arial" w:eastAsia="Arial" w:hAnsi="Arial"/>
                <w:sz w:val="20"/>
                <w:szCs w:val="20"/>
                <w:color w:val="auto"/>
              </w:rPr>
              <w:t>3</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2022</w:t>
            </w:r>
          </w:p>
        </w:tc>
        <w:tc>
          <w:tcPr>
            <w:tcW w:w="4420" w:type="dxa"/>
            <w:vAlign w:val="bottom"/>
            <w:gridSpan w:val="3"/>
            <w:shd w:val="clear" w:color="auto" w:fill="CCEEFF"/>
          </w:tcPr>
          <w:p>
            <w:pPr>
              <w:jc w:val="right"/>
              <w:ind w:right="200"/>
              <w:spacing w:after="0" w:line="216" w:lineRule="exact"/>
              <w:rPr>
                <w:sz w:val="20"/>
                <w:szCs w:val="20"/>
                <w:color w:val="auto"/>
              </w:rPr>
            </w:pPr>
            <w:r>
              <w:rPr>
                <w:rFonts w:ascii="Arial" w:cs="Arial" w:eastAsia="Arial" w:hAnsi="Arial"/>
                <w:sz w:val="20"/>
                <w:szCs w:val="20"/>
                <w:b w:val="1"/>
                <w:bCs w:val="1"/>
                <w:color w:val="auto"/>
              </w:rPr>
              <w:t>90</w:t>
            </w:r>
          </w:p>
        </w:tc>
        <w:tc>
          <w:tcPr>
            <w:tcW w:w="132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3</w:t>
            </w:r>
          </w:p>
        </w:tc>
      </w:tr>
      <w:tr>
        <w:trPr>
          <w:trHeight w:val="261"/>
        </w:trPr>
        <w:tc>
          <w:tcPr>
            <w:tcW w:w="2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Arial" w:cs="Arial" w:eastAsia="Arial" w:hAnsi="Arial"/>
                <w:sz w:val="20"/>
                <w:szCs w:val="20"/>
                <w:color w:val="auto"/>
              </w:rPr>
              <w:t>2023 - 2027</w:t>
            </w:r>
          </w:p>
        </w:tc>
        <w:tc>
          <w:tcPr>
            <w:tcW w:w="4420" w:type="dxa"/>
            <w:vAlign w:val="bottom"/>
            <w:gridSpan w:val="3"/>
          </w:tcPr>
          <w:p>
            <w:pPr>
              <w:jc w:val="right"/>
              <w:ind w:right="200"/>
              <w:spacing w:after="0"/>
              <w:rPr>
                <w:sz w:val="20"/>
                <w:szCs w:val="20"/>
                <w:color w:val="auto"/>
              </w:rPr>
            </w:pPr>
            <w:r>
              <w:rPr>
                <w:rFonts w:ascii="Arial" w:cs="Arial" w:eastAsia="Arial" w:hAnsi="Arial"/>
                <w:sz w:val="20"/>
                <w:szCs w:val="20"/>
                <w:b w:val="1"/>
                <w:bCs w:val="1"/>
                <w:color w:val="auto"/>
              </w:rPr>
              <w:t>451</w:t>
            </w:r>
          </w:p>
        </w:tc>
        <w:tc>
          <w:tcPr>
            <w:tcW w:w="1320" w:type="dxa"/>
            <w:vAlign w:val="bottom"/>
            <w:gridSpan w:val="3"/>
          </w:tcPr>
          <w:p>
            <w:pPr>
              <w:jc w:val="right"/>
              <w:ind w:right="80"/>
              <w:spacing w:after="0"/>
              <w:rPr>
                <w:sz w:val="20"/>
                <w:szCs w:val="20"/>
                <w:color w:val="auto"/>
              </w:rPr>
            </w:pPr>
            <w:r>
              <w:rPr>
                <w:rFonts w:ascii="Arial" w:cs="Arial" w:eastAsia="Arial" w:hAnsi="Arial"/>
                <w:sz w:val="20"/>
                <w:szCs w:val="20"/>
                <w:color w:val="auto"/>
              </w:rPr>
              <w:t>19</w:t>
            </w:r>
          </w:p>
        </w:tc>
      </w:tr>
    </w:tbl>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Defined benefit plan investment policy</w:t>
      </w:r>
    </w:p>
    <w:p>
      <w:pPr>
        <w:spacing w:after="0" w:line="234" w:lineRule="exact"/>
        <w:rPr>
          <w:sz w:val="20"/>
          <w:szCs w:val="20"/>
          <w:color w:val="auto"/>
        </w:rPr>
      </w:pPr>
    </w:p>
    <w:p>
      <w:pPr>
        <w:jc w:val="both"/>
        <w:ind w:left="980" w:right="20"/>
        <w:spacing w:after="0" w:line="236" w:lineRule="auto"/>
        <w:rPr>
          <w:sz w:val="20"/>
          <w:szCs w:val="20"/>
          <w:color w:val="auto"/>
        </w:rPr>
      </w:pPr>
      <w:r>
        <w:rPr>
          <w:rFonts w:ascii="Arial" w:cs="Arial" w:eastAsia="Arial" w:hAnsi="Arial"/>
          <w:sz w:val="18"/>
          <w:szCs w:val="18"/>
          <w:color w:val="auto"/>
        </w:rPr>
        <w:t>Plan assets of the funded defined benefit pension plans are invested in funds held by third-party fund managers or are deposited into government-managed accounts in which the Group has no active involvement in and no control over investment strategy, other than establishing broad investment guidelines and parameters. The plan assets held by third-parties consist primarily of equities, and fixed income funds. As of 30 October 2016, the plan assets also included commingled funds. The fund managers monitor the fund’s asset allocation within the guidelines established by the Group’s plan’s investment committee. In line with plan investment objectives and consultation with the Group’s management, the Group’s investment committee set an allocation benchmark among equity, bond and other assets based on the relative weighting of overall non-U.S. market indices. The overall investment objectives of the plan are 1) to acquire suitable assets of appropriate liquidity which will generate income and capital growth to meet current and future plan benefits, 2) to limit the risk of the assets failing to meet the long-term liabilities of the plan, and 3) to minimize the long-term costs of the plan by maximizing the return on the assets. Performance is regularly evaluated by the investment committee and is based on actual returns achieved by the fund manager relative to its benchmark.</w:t>
      </w:r>
    </w:p>
    <w:p>
      <w:pPr>
        <w:spacing w:after="0" w:line="206" w:lineRule="exact"/>
        <w:rPr>
          <w:sz w:val="20"/>
          <w:szCs w:val="20"/>
          <w:color w:val="auto"/>
        </w:rPr>
      </w:pPr>
    </w:p>
    <w:p>
      <w:pPr>
        <w:jc w:val="both"/>
        <w:ind w:left="980" w:right="20"/>
        <w:spacing w:after="0" w:line="237" w:lineRule="auto"/>
        <w:rPr>
          <w:sz w:val="20"/>
          <w:szCs w:val="20"/>
          <w:color w:val="auto"/>
        </w:rPr>
      </w:pPr>
      <w:r>
        <w:rPr>
          <w:rFonts w:ascii="Arial" w:cs="Arial" w:eastAsia="Arial" w:hAnsi="Arial"/>
          <w:sz w:val="18"/>
          <w:szCs w:val="18"/>
          <w:color w:val="auto"/>
        </w:rPr>
        <w:t>For the defined benefit pension plans, the investment strategy for the U.S. plans is to allocate assets in a manner that seeks both to maximize the safety of promised benefits and to minimize the cost of funding those benefits. The Group directs the overall portfolio allocation and use a third-party investment consultant that has discretion to structure portfolios and select the investment managers within those allocation parameters. Multiple investment managers are utilized, including both active and passive management approaches. The plan assets are invested using a liability driven investment strategy intended to minimize market and interest rate risks, and those assets are periodically rebalanced toward asset allocation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96520</wp:posOffset>
            </wp:positionV>
            <wp:extent cx="6997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240"/>
          </w:cols>
          <w:pgMar w:left="240" w:top="459" w:right="4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right="5380" w:hanging="776"/>
        <w:spacing w:after="0" w:line="444" w:lineRule="auto"/>
        <w:tabs>
          <w:tab w:leader="none" w:pos="98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Retirement plans and post-retirement benefits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Defined benefit plan investment policy </w:t>
      </w:r>
      <w:r>
        <w:rPr>
          <w:rFonts w:ascii="Arial" w:cs="Arial" w:eastAsia="Arial" w:hAnsi="Arial"/>
          <w:sz w:val="17"/>
          <w:szCs w:val="17"/>
          <w:color w:val="auto"/>
        </w:rPr>
        <w:t>(continued)</w:t>
      </w:r>
    </w:p>
    <w:p>
      <w:pPr>
        <w:spacing w:after="0" w:line="1" w:lineRule="exact"/>
        <w:rPr>
          <w:rFonts w:ascii="Arial" w:cs="Arial" w:eastAsia="Arial" w:hAnsi="Arial"/>
          <w:sz w:val="17"/>
          <w:szCs w:val="17"/>
          <w:b w:val="1"/>
          <w:bCs w:val="1"/>
          <w:color w:val="auto"/>
        </w:rPr>
      </w:pPr>
    </w:p>
    <w:p>
      <w:pPr>
        <w:jc w:val="both"/>
        <w:ind w:left="980" w:right="20"/>
        <w:spacing w:after="0" w:line="238" w:lineRule="auto"/>
        <w:rPr>
          <w:rFonts w:ascii="Arial" w:cs="Arial" w:eastAsia="Arial" w:hAnsi="Arial"/>
          <w:sz w:val="17"/>
          <w:szCs w:val="17"/>
          <w:b w:val="1"/>
          <w:bCs w:val="1"/>
          <w:color w:val="auto"/>
        </w:rPr>
      </w:pPr>
      <w:r>
        <w:rPr>
          <w:rFonts w:ascii="Arial" w:cs="Arial" w:eastAsia="Arial" w:hAnsi="Arial"/>
          <w:sz w:val="18"/>
          <w:szCs w:val="18"/>
          <w:color w:val="auto"/>
        </w:rPr>
        <w:t>The target asset allocation for U.S. plans reflects a risk/return profile that the Group believes is appropriate relative to the liability structure and return goals for the plans. The Group periodically reviews the allocation of plan assets relative to alternative allocation models to evaluate the need for adjustments based on forecasted liabilities and plan liquidity needs. The fixed-income allocation is primarily directed toward long-term core bond investments, with smaller allocations to Treasury Inflation-Protected Securities and high-yield bonds. As of 29 October 2017, there are no material equity investments in the plans.</w:t>
      </w:r>
    </w:p>
    <w:p>
      <w:pPr>
        <w:spacing w:after="0" w:line="202" w:lineRule="exact"/>
        <w:rPr>
          <w:rFonts w:ascii="Arial" w:cs="Arial" w:eastAsia="Arial" w:hAnsi="Arial"/>
          <w:sz w:val="17"/>
          <w:szCs w:val="17"/>
          <w:b w:val="1"/>
          <w:bCs w:val="1"/>
          <w:color w:val="auto"/>
        </w:rPr>
      </w:pPr>
    </w:p>
    <w:p>
      <w:pPr>
        <w:ind w:left="98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presents the Group’s defined benefit pension plans’ weighted-average asset allocations by category:</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gridSpan w:val="6"/>
          </w:tcPr>
          <w:p>
            <w:pPr>
              <w:ind w:left="640"/>
              <w:spacing w:after="0"/>
              <w:rPr>
                <w:sz w:val="20"/>
                <w:szCs w:val="20"/>
                <w:color w:val="auto"/>
              </w:rPr>
            </w:pPr>
            <w:r>
              <w:rPr>
                <w:rFonts w:ascii="Arial" w:cs="Arial" w:eastAsia="Arial" w:hAnsi="Arial"/>
                <w:sz w:val="18"/>
                <w:szCs w:val="18"/>
                <w:b w:val="1"/>
                <w:bCs w:val="1"/>
                <w:color w:val="auto"/>
              </w:rPr>
              <w:t>Defined Benefit Pension Plans</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940" w:type="dxa"/>
            <w:vAlign w:val="bottom"/>
            <w:gridSpan w:val="4"/>
          </w:tcPr>
          <w:p>
            <w:pPr>
              <w:spacing w:after="0"/>
              <w:rPr>
                <w:sz w:val="16"/>
                <w:szCs w:val="16"/>
                <w:color w:val="auto"/>
              </w:rPr>
            </w:pPr>
          </w:p>
        </w:tc>
        <w:tc>
          <w:tcPr>
            <w:tcW w:w="1460" w:type="dxa"/>
            <w:vAlign w:val="bottom"/>
            <w:tcBorders>
              <w:top w:val="single" w:sz="8" w:color="auto"/>
            </w:tcBorders>
            <w:gridSpan w:val="2"/>
          </w:tcPr>
          <w:p>
            <w:pPr>
              <w:jc w:val="right"/>
              <w:ind w:right="890"/>
              <w:spacing w:after="0" w:line="187" w:lineRule="exact"/>
              <w:rPr>
                <w:sz w:val="20"/>
                <w:szCs w:val="20"/>
                <w:color w:val="auto"/>
              </w:rPr>
            </w:pPr>
            <w:r>
              <w:rPr>
                <w:rFonts w:ascii="Arial" w:cs="Arial" w:eastAsia="Arial" w:hAnsi="Arial"/>
                <w:sz w:val="18"/>
                <w:szCs w:val="18"/>
                <w:b w:val="1"/>
                <w:bCs w:val="1"/>
                <w:color w:val="auto"/>
              </w:rPr>
              <w:t>2017</w:t>
            </w:r>
          </w:p>
        </w:tc>
        <w:tc>
          <w:tcPr>
            <w:tcW w:w="1140" w:type="dxa"/>
            <w:vAlign w:val="bottom"/>
            <w:tcBorders>
              <w:top w:val="single" w:sz="8" w:color="auto"/>
            </w:tcBorders>
            <w:gridSpan w:val="2"/>
          </w:tcPr>
          <w:p>
            <w:pPr>
              <w:jc w:val="right"/>
              <w:ind w:right="100"/>
              <w:spacing w:after="0" w:line="187" w:lineRule="exact"/>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Actual %</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Target %</w:t>
            </w:r>
          </w:p>
        </w:tc>
        <w:tc>
          <w:tcPr>
            <w:tcW w:w="17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rPr>
              <w:t xml:space="preserve">Actual %  </w:t>
            </w:r>
            <w:r>
              <w:rPr>
                <w:rFonts w:ascii="Arial" w:cs="Arial" w:eastAsia="Arial" w:hAnsi="Arial"/>
                <w:sz w:val="18"/>
                <w:szCs w:val="18"/>
                <w:color w:val="auto"/>
              </w:rPr>
              <w:t>Target %</w:t>
            </w:r>
          </w:p>
        </w:tc>
        <w:tc>
          <w:tcPr>
            <w:tcW w:w="0" w:type="dxa"/>
            <w:vAlign w:val="bottom"/>
          </w:tcPr>
          <w:p>
            <w:pPr>
              <w:spacing w:after="0"/>
              <w:rPr>
                <w:sz w:val="1"/>
                <w:szCs w:val="1"/>
                <w:color w:val="auto"/>
              </w:rPr>
            </w:pPr>
          </w:p>
        </w:tc>
      </w:tr>
      <w:tr>
        <w:trPr>
          <w:trHeight w:val="54"/>
        </w:trPr>
        <w:tc>
          <w:tcPr>
            <w:tcW w:w="78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investments</w:t>
            </w:r>
          </w:p>
        </w:tc>
        <w:tc>
          <w:tcPr>
            <w:tcW w:w="3260" w:type="dxa"/>
            <w:vAlign w:val="bottom"/>
            <w:gridSpan w:val="5"/>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33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880" w:type="dxa"/>
            <w:vAlign w:val="bottom"/>
            <w:gridSpan w:val="2"/>
          </w:tcPr>
          <w:p>
            <w:pPr>
              <w:ind w:left="760"/>
              <w:spacing w:after="0"/>
              <w:rPr>
                <w:sz w:val="20"/>
                <w:szCs w:val="20"/>
                <w:color w:val="auto"/>
              </w:rPr>
            </w:pPr>
            <w:r>
              <w:rPr>
                <w:rFonts w:ascii="Arial" w:cs="Arial" w:eastAsia="Arial" w:hAnsi="Arial"/>
                <w:sz w:val="18"/>
                <w:szCs w:val="18"/>
                <w:color w:val="auto"/>
              </w:rPr>
              <w:t>Fixed income</w:t>
            </w:r>
          </w:p>
        </w:tc>
        <w:tc>
          <w:tcPr>
            <w:tcW w:w="326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67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8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w:t>
            </w:r>
          </w:p>
        </w:tc>
        <w:tc>
          <w:tcPr>
            <w:tcW w:w="3260" w:type="dxa"/>
            <w:vAlign w:val="bottom"/>
            <w:gridSpan w:val="5"/>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gridSpan w:val="2"/>
          </w:tcPr>
          <w:p>
            <w:pPr>
              <w:ind w:left="760"/>
              <w:spacing w:after="0"/>
              <w:rPr>
                <w:sz w:val="20"/>
                <w:szCs w:val="20"/>
                <w:color w:val="auto"/>
              </w:rPr>
            </w:pPr>
            <w:r>
              <w:rPr>
                <w:rFonts w:ascii="Arial" w:cs="Arial" w:eastAsia="Arial" w:hAnsi="Arial"/>
                <w:sz w:val="18"/>
                <w:szCs w:val="18"/>
                <w:b w:val="1"/>
                <w:bCs w:val="1"/>
                <w:color w:val="auto"/>
              </w:rPr>
              <w:t>Total</w:t>
            </w:r>
          </w:p>
        </w:tc>
        <w:tc>
          <w:tcPr>
            <w:tcW w:w="326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100</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880" w:type="dxa"/>
            <w:vAlign w:val="bottom"/>
            <w:gridSpan w:val="2"/>
          </w:tcPr>
          <w:p>
            <w:pPr>
              <w:ind w:left="760"/>
              <w:spacing w:after="0"/>
              <w:rPr>
                <w:sz w:val="20"/>
                <w:szCs w:val="20"/>
                <w:color w:val="auto"/>
              </w:rPr>
            </w:pPr>
            <w:r>
              <w:rPr>
                <w:rFonts w:ascii="Arial" w:cs="Arial" w:eastAsia="Arial" w:hAnsi="Arial"/>
                <w:sz w:val="18"/>
                <w:szCs w:val="18"/>
                <w:b w:val="1"/>
                <w:bCs w:val="1"/>
                <w:color w:val="auto"/>
              </w:rPr>
              <w:t>Fair Value Measurement of Plan Assets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gridSpan w:val="6"/>
          </w:tcPr>
          <w:p>
            <w:pPr>
              <w:jc w:val="center"/>
              <w:ind w:right="200"/>
              <w:spacing w:after="0" w:line="173" w:lineRule="exact"/>
              <w:rPr>
                <w:sz w:val="20"/>
                <w:szCs w:val="20"/>
                <w:color w:val="auto"/>
              </w:rPr>
            </w:pPr>
            <w:r>
              <w:rPr>
                <w:rFonts w:ascii="Arial" w:cs="Arial" w:eastAsia="Arial" w:hAnsi="Arial"/>
                <w:sz w:val="18"/>
                <w:szCs w:val="18"/>
                <w:b w:val="1"/>
                <w:bCs w:val="1"/>
                <w:color w:val="auto"/>
              </w:rPr>
              <w:t>Fair value measurement at</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40" w:type="dxa"/>
            <w:vAlign w:val="bottom"/>
            <w:gridSpan w:val="5"/>
          </w:tcPr>
          <w:p>
            <w:pPr>
              <w:jc w:val="center"/>
              <w:ind w:right="840"/>
              <w:spacing w:after="0"/>
              <w:rPr>
                <w:sz w:val="20"/>
                <w:szCs w:val="20"/>
                <w:color w:val="auto"/>
              </w:rPr>
            </w:pPr>
            <w:r>
              <w:rPr>
                <w:rFonts w:ascii="Arial" w:cs="Arial" w:eastAsia="Arial" w:hAnsi="Arial"/>
                <w:sz w:val="18"/>
                <w:szCs w:val="18"/>
                <w:b w:val="1"/>
                <w:bCs w:val="1"/>
                <w:color w:val="auto"/>
                <w:w w:val="99"/>
              </w:rPr>
              <w:t>reporting date using:</w:t>
            </w: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Level 1</w:t>
            </w: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Level 2</w:t>
            </w:r>
          </w:p>
        </w:tc>
        <w:tc>
          <w:tcPr>
            <w:tcW w:w="100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gridSpan w:val="4"/>
          </w:tcPr>
          <w:p>
            <w:pPr>
              <w:ind w:left="360"/>
              <w:spacing w:after="0"/>
              <w:rPr>
                <w:sz w:val="20"/>
                <w:szCs w:val="20"/>
                <w:color w:val="auto"/>
              </w:rPr>
            </w:pPr>
            <w:r>
              <w:rPr>
                <w:rFonts w:ascii="Arial" w:cs="Arial" w:eastAsia="Arial" w:hAnsi="Arial"/>
                <w:sz w:val="18"/>
                <w:szCs w:val="18"/>
                <w:color w:val="auto"/>
              </w:rPr>
              <w:t>(US$ millions)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78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943</w:t>
            </w:r>
            <w:r>
              <w:rPr>
                <w:rFonts w:ascii="Arial" w:cs="Arial" w:eastAsia="Arial" w:hAnsi="Arial"/>
                <w:sz w:val="15"/>
                <w:szCs w:val="15"/>
                <w:color w:val="auto"/>
              </w:rPr>
              <w:t>a</w:t>
            </w:r>
          </w:p>
        </w:tc>
        <w:tc>
          <w:tcPr>
            <w:tcW w:w="11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880" w:type="dxa"/>
            <w:vAlign w:val="bottom"/>
            <w:gridSpan w:val="2"/>
          </w:tcPr>
          <w:p>
            <w:pPr>
              <w:ind w:left="760"/>
              <w:spacing w:after="0"/>
              <w:rPr>
                <w:sz w:val="20"/>
                <w:szCs w:val="20"/>
                <w:color w:val="auto"/>
              </w:rPr>
            </w:pPr>
            <w:r>
              <w:rPr>
                <w:rFonts w:ascii="Arial" w:cs="Arial" w:eastAsia="Arial" w:hAnsi="Arial"/>
                <w:sz w:val="18"/>
                <w:szCs w:val="18"/>
                <w:color w:val="auto"/>
              </w:rPr>
              <w:t>Equity securities: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8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Non-U.S. equity securities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r>
              <w:rPr>
                <w:rFonts w:ascii="Arial" w:cs="Arial" w:eastAsia="Arial" w:hAnsi="Arial"/>
                <w:sz w:val="15"/>
                <w:szCs w:val="15"/>
                <w:color w:val="auto"/>
              </w:rPr>
              <w:t>b</w:t>
            </w:r>
          </w:p>
        </w:tc>
        <w:tc>
          <w:tcPr>
            <w:tcW w:w="11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880" w:type="dxa"/>
            <w:vAlign w:val="bottom"/>
            <w:gridSpan w:val="2"/>
          </w:tcPr>
          <w:p>
            <w:pPr>
              <w:ind w:left="760"/>
              <w:spacing w:after="0"/>
              <w:rPr>
                <w:sz w:val="20"/>
                <w:szCs w:val="20"/>
                <w:color w:val="auto"/>
              </w:rPr>
            </w:pPr>
            <w:r>
              <w:rPr>
                <w:rFonts w:ascii="Arial" w:cs="Arial" w:eastAsia="Arial" w:hAnsi="Arial"/>
                <w:sz w:val="18"/>
                <w:szCs w:val="18"/>
                <w:color w:val="auto"/>
              </w:rPr>
              <w:t>Fixed-income securities: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8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treasuries</w:t>
            </w:r>
          </w:p>
        </w:tc>
        <w:tc>
          <w:tcPr>
            <w:tcW w:w="3260" w:type="dxa"/>
            <w:vAlign w:val="bottom"/>
            <w:gridSpan w:val="5"/>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r>
              <w:rPr>
                <w:rFonts w:ascii="Arial" w:cs="Arial" w:eastAsia="Arial" w:hAnsi="Arial"/>
                <w:sz w:val="15"/>
                <w:szCs w:val="15"/>
                <w:color w:val="auto"/>
              </w:rPr>
              <w:t>c</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880" w:type="dxa"/>
            <w:vAlign w:val="bottom"/>
            <w:gridSpan w:val="2"/>
          </w:tcPr>
          <w:p>
            <w:pPr>
              <w:ind w:left="760"/>
              <w:spacing w:after="0"/>
              <w:rPr>
                <w:sz w:val="20"/>
                <w:szCs w:val="20"/>
                <w:color w:val="auto"/>
              </w:rPr>
            </w:pPr>
            <w:r>
              <w:rPr>
                <w:rFonts w:ascii="Arial" w:cs="Arial" w:eastAsia="Arial" w:hAnsi="Arial"/>
                <w:sz w:val="18"/>
                <w:szCs w:val="18"/>
                <w:color w:val="auto"/>
              </w:rPr>
              <w:t>Corporate bonds</w:t>
            </w:r>
          </w:p>
        </w:tc>
        <w:tc>
          <w:tcPr>
            <w:tcW w:w="3260" w:type="dxa"/>
            <w:vAlign w:val="bottom"/>
            <w:gridSpan w:val="5"/>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393</w:t>
            </w:r>
            <w:r>
              <w:rPr>
                <w:rFonts w:ascii="Arial" w:cs="Arial" w:eastAsia="Arial" w:hAnsi="Arial"/>
                <w:sz w:val="15"/>
                <w:szCs w:val="15"/>
                <w:color w:val="auto"/>
              </w:rPr>
              <w:t>c</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8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Asset-backed and mortgage-backed securities</w:t>
            </w:r>
          </w:p>
        </w:tc>
        <w:tc>
          <w:tcPr>
            <w:tcW w:w="3260" w:type="dxa"/>
            <w:vAlign w:val="bottom"/>
            <w:gridSpan w:val="5"/>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c</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880" w:type="dxa"/>
            <w:vAlign w:val="bottom"/>
            <w:gridSpan w:val="2"/>
          </w:tcPr>
          <w:p>
            <w:pPr>
              <w:ind w:left="760"/>
              <w:spacing w:after="0"/>
              <w:rPr>
                <w:sz w:val="20"/>
                <w:szCs w:val="20"/>
                <w:color w:val="auto"/>
              </w:rPr>
            </w:pPr>
            <w:r>
              <w:rPr>
                <w:rFonts w:ascii="Arial" w:cs="Arial" w:eastAsia="Arial" w:hAnsi="Arial"/>
                <w:sz w:val="18"/>
                <w:szCs w:val="18"/>
                <w:color w:val="auto"/>
              </w:rPr>
              <w:t>Municipal bonds</w:t>
            </w:r>
          </w:p>
        </w:tc>
        <w:tc>
          <w:tcPr>
            <w:tcW w:w="3260" w:type="dxa"/>
            <w:vAlign w:val="bottom"/>
            <w:gridSpan w:val="5"/>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c</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8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Government bonds</w:t>
            </w:r>
          </w:p>
        </w:tc>
        <w:tc>
          <w:tcPr>
            <w:tcW w:w="3260" w:type="dxa"/>
            <w:vAlign w:val="bottom"/>
            <w:gridSpan w:val="5"/>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r>
              <w:rPr>
                <w:rFonts w:ascii="Arial" w:cs="Arial" w:eastAsia="Arial" w:hAnsi="Arial"/>
                <w:sz w:val="15"/>
                <w:szCs w:val="15"/>
                <w:color w:val="auto"/>
              </w:rPr>
              <w:t>c</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gridSpan w:val="2"/>
          </w:tcPr>
          <w:p>
            <w:pPr>
              <w:ind w:left="760"/>
              <w:spacing w:after="0"/>
              <w:rPr>
                <w:sz w:val="20"/>
                <w:szCs w:val="20"/>
                <w:color w:val="auto"/>
              </w:rPr>
            </w:pPr>
            <w:r>
              <w:rPr>
                <w:rFonts w:ascii="Arial" w:cs="Arial" w:eastAsia="Arial" w:hAnsi="Arial"/>
                <w:sz w:val="18"/>
                <w:szCs w:val="18"/>
                <w:b w:val="1"/>
                <w:bCs w:val="1"/>
                <w:color w:val="auto"/>
              </w:rPr>
              <w:t>Total plan assets</w:t>
            </w:r>
          </w:p>
        </w:tc>
        <w:tc>
          <w:tcPr>
            <w:tcW w:w="2180" w:type="dxa"/>
            <w:vAlign w:val="bottom"/>
          </w:tcPr>
          <w:p>
            <w:pPr>
              <w:spacing w:after="0"/>
              <w:rPr>
                <w:sz w:val="22"/>
                <w:szCs w:val="22"/>
                <w:color w:val="auto"/>
              </w:rPr>
            </w:pPr>
          </w:p>
        </w:tc>
        <w:tc>
          <w:tcPr>
            <w:tcW w:w="10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950</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60" w:type="dxa"/>
            <w:vAlign w:val="bottom"/>
            <w:gridSpan w:val="5"/>
          </w:tcPr>
          <w:p>
            <w:pPr>
              <w:jc w:val="right"/>
              <w:ind w:right="2370"/>
              <w:spacing w:after="0"/>
              <w:rPr>
                <w:sz w:val="20"/>
                <w:szCs w:val="20"/>
                <w:color w:val="auto"/>
              </w:rPr>
            </w:pPr>
            <w:r>
              <w:rPr>
                <w:rFonts w:ascii="Arial" w:cs="Arial" w:eastAsia="Arial" w:hAnsi="Arial"/>
                <w:sz w:val="18"/>
                <w:szCs w:val="18"/>
                <w:color w:val="auto"/>
              </w:rPr>
              <w:t>A-60</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right="5380" w:hanging="776"/>
        <w:spacing w:after="0" w:line="431" w:lineRule="auto"/>
        <w:tabs>
          <w:tab w:leader="none" w:pos="978"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Retirement plans and post-retirement benefits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Defined benefit plan investment policy </w:t>
      </w:r>
      <w:r>
        <w:rPr>
          <w:rFonts w:ascii="Arial" w:cs="Arial" w:eastAsia="Arial" w:hAnsi="Arial"/>
          <w:sz w:val="17"/>
          <w:szCs w:val="17"/>
          <w:color w:val="auto"/>
        </w:rPr>
        <w:t>(continued)</w:t>
      </w:r>
    </w:p>
    <w:p>
      <w:pPr>
        <w:ind w:left="98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 xml:space="preserve">Fair Value Measurement of Plan Assets </w:t>
      </w:r>
      <w:r>
        <w:rPr>
          <w:rFonts w:ascii="Arial" w:cs="Arial" w:eastAsia="Arial" w:hAnsi="Arial"/>
          <w:sz w:val="18"/>
          <w:szCs w:val="18"/>
          <w:color w:val="auto"/>
        </w:rPr>
        <w:t>(continued)</w:t>
      </w:r>
    </w:p>
    <w:p>
      <w:pPr>
        <w:spacing w:after="0" w:line="144" w:lineRule="exact"/>
        <w:rPr>
          <w:sz w:val="20"/>
          <w:szCs w:val="20"/>
          <w:color w:val="auto"/>
        </w:rPr>
      </w:pPr>
    </w:p>
    <w:tbl>
      <w:tblPr>
        <w:tblLayout w:type="fixed"/>
        <w:tblInd w:w="9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4"/>
          </w:tcPr>
          <w:p>
            <w:pPr>
              <w:ind w:left="140"/>
              <w:spacing w:after="0" w:line="173" w:lineRule="exact"/>
              <w:rPr>
                <w:sz w:val="20"/>
                <w:szCs w:val="20"/>
                <w:color w:val="auto"/>
              </w:rPr>
            </w:pPr>
            <w:r>
              <w:rPr>
                <w:rFonts w:ascii="Arial" w:cs="Arial" w:eastAsia="Arial" w:hAnsi="Arial"/>
                <w:sz w:val="18"/>
                <w:szCs w:val="18"/>
                <w:b w:val="1"/>
                <w:bCs w:val="1"/>
                <w:color w:val="auto"/>
              </w:rPr>
              <w:t>Fair value measurement at</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4"/>
          </w:tcPr>
          <w:p>
            <w:pPr>
              <w:ind w:left="440"/>
              <w:spacing w:after="0"/>
              <w:rPr>
                <w:sz w:val="20"/>
                <w:szCs w:val="20"/>
                <w:color w:val="auto"/>
              </w:rPr>
            </w:pPr>
            <w:r>
              <w:rPr>
                <w:rFonts w:ascii="Arial" w:cs="Arial" w:eastAsia="Arial" w:hAnsi="Arial"/>
                <w:sz w:val="18"/>
                <w:szCs w:val="18"/>
                <w:b w:val="1"/>
                <w:bCs w:val="1"/>
                <w:color w:val="auto"/>
              </w:rPr>
              <w:t>reporting date using:</w:t>
            </w:r>
          </w:p>
        </w:tc>
        <w:tc>
          <w:tcPr>
            <w:tcW w:w="8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b w:val="1"/>
                <w:bCs w:val="1"/>
                <w:color w:val="auto"/>
              </w:rPr>
              <w:t>Level 1</w:t>
            </w:r>
          </w:p>
        </w:tc>
        <w:tc>
          <w:tcPr>
            <w:tcW w:w="8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b w:val="1"/>
                <w:bCs w:val="1"/>
                <w:color w:val="auto"/>
              </w:rPr>
              <w:t>Level 2</w:t>
            </w:r>
          </w:p>
        </w:tc>
        <w:tc>
          <w:tcPr>
            <w:tcW w:w="8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gridSpan w:val="3"/>
          </w:tcPr>
          <w:p>
            <w:pPr>
              <w:ind w:left="240"/>
              <w:spacing w:after="0" w:line="203" w:lineRule="exact"/>
              <w:rPr>
                <w:sz w:val="20"/>
                <w:szCs w:val="20"/>
                <w:color w:val="auto"/>
              </w:rPr>
            </w:pPr>
            <w:r>
              <w:rPr>
                <w:rFonts w:ascii="Arial" w:cs="Arial" w:eastAsia="Arial" w:hAnsi="Arial"/>
                <w:sz w:val="18"/>
                <w:szCs w:val="18"/>
                <w:color w:val="auto"/>
              </w:rPr>
              <w:t>(US$ millions)</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r>
              <w:rPr>
                <w:rFonts w:ascii="Arial" w:cs="Arial" w:eastAsia="Arial" w:hAnsi="Arial"/>
                <w:sz w:val="15"/>
                <w:szCs w:val="15"/>
                <w:color w:val="auto"/>
              </w:rPr>
              <w:t>a</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equity securities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r>
              <w:rPr>
                <w:rFonts w:ascii="Arial" w:cs="Arial" w:eastAsia="Arial" w:hAnsi="Arial"/>
                <w:sz w:val="15"/>
                <w:szCs w:val="15"/>
                <w:color w:val="auto"/>
              </w:rPr>
              <w:t>b</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line="202" w:lineRule="exact"/>
              <w:rPr>
                <w:sz w:val="20"/>
                <w:szCs w:val="20"/>
                <w:color w:val="auto"/>
              </w:rPr>
            </w:pPr>
            <w:r>
              <w:rPr>
                <w:rFonts w:ascii="Arial" w:cs="Arial" w:eastAsia="Arial" w:hAnsi="Arial"/>
                <w:sz w:val="18"/>
                <w:szCs w:val="18"/>
                <w:color w:val="auto"/>
              </w:rPr>
              <w:t>Non-U.S. equity securities</w:t>
            </w: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72</w:t>
            </w:r>
            <w:r>
              <w:rPr>
                <w:rFonts w:ascii="Arial" w:cs="Arial" w:eastAsia="Arial" w:hAnsi="Arial"/>
                <w:sz w:val="15"/>
                <w:szCs w:val="15"/>
                <w:color w:val="auto"/>
              </w:rPr>
              <w:t>b</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Fixed-income securities: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line="202" w:lineRule="exact"/>
              <w:rPr>
                <w:sz w:val="20"/>
                <w:szCs w:val="20"/>
                <w:color w:val="auto"/>
              </w:rPr>
            </w:pPr>
            <w:r>
              <w:rPr>
                <w:rFonts w:ascii="Arial" w:cs="Arial" w:eastAsia="Arial" w:hAnsi="Arial"/>
                <w:sz w:val="18"/>
                <w:szCs w:val="18"/>
                <w:color w:val="auto"/>
              </w:rPr>
              <w:t>U.S. treasuries</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w:t>
            </w:r>
            <w:r>
              <w:rPr>
                <w:rFonts w:ascii="Arial" w:cs="Arial" w:eastAsia="Arial" w:hAnsi="Arial"/>
                <w:sz w:val="15"/>
                <w:szCs w:val="15"/>
                <w:color w:val="auto"/>
              </w:rPr>
              <w:t>c</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w:t>
            </w:r>
            <w:r>
              <w:rPr>
                <w:rFonts w:ascii="Arial" w:cs="Arial" w:eastAsia="Arial" w:hAnsi="Arial"/>
                <w:sz w:val="15"/>
                <w:szCs w:val="15"/>
                <w:color w:val="auto"/>
              </w:rPr>
              <w:t>c</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line="202" w:lineRule="exact"/>
              <w:rPr>
                <w:sz w:val="20"/>
                <w:szCs w:val="20"/>
                <w:color w:val="auto"/>
              </w:rPr>
            </w:pPr>
            <w:r>
              <w:rPr>
                <w:rFonts w:ascii="Arial" w:cs="Arial" w:eastAsia="Arial" w:hAnsi="Arial"/>
                <w:sz w:val="18"/>
                <w:szCs w:val="18"/>
                <w:color w:val="auto"/>
              </w:rPr>
              <w:t>Asset-backed and mortgage-backed securities</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c</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Agency-backed bonds</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c</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line="202" w:lineRule="exact"/>
              <w:rPr>
                <w:sz w:val="20"/>
                <w:szCs w:val="20"/>
                <w:color w:val="auto"/>
              </w:rPr>
            </w:pPr>
            <w:r>
              <w:rPr>
                <w:rFonts w:ascii="Arial" w:cs="Arial" w:eastAsia="Arial" w:hAnsi="Arial"/>
                <w:sz w:val="18"/>
                <w:szCs w:val="18"/>
                <w:color w:val="auto"/>
              </w:rPr>
              <w:t>Municipal bonds</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c</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Government bonds</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c</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Total assets measured by fair value hierarchy</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11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265</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474</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Assets measured at NAV:</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line="202" w:lineRule="exact"/>
              <w:rPr>
                <w:sz w:val="20"/>
                <w:szCs w:val="20"/>
                <w:color w:val="auto"/>
              </w:rPr>
            </w:pPr>
            <w:r>
              <w:rPr>
                <w:rFonts w:ascii="Arial" w:cs="Arial" w:eastAsia="Arial" w:hAnsi="Arial"/>
                <w:sz w:val="18"/>
                <w:szCs w:val="18"/>
                <w:color w:val="auto"/>
              </w:rPr>
              <w:t>Commingled funds – equities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116</w:t>
            </w:r>
            <w:r>
              <w:rPr>
                <w:rFonts w:ascii="Arial" w:cs="Arial" w:eastAsia="Arial" w:hAnsi="Arial"/>
                <w:sz w:val="15"/>
                <w:szCs w:val="15"/>
                <w:color w:val="auto"/>
              </w:rPr>
              <w:t>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Commingled funds – bonds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195</w:t>
            </w:r>
            <w:r>
              <w:rPr>
                <w:rFonts w:ascii="Arial" w:cs="Arial" w:eastAsia="Arial" w:hAnsi="Arial"/>
                <w:sz w:val="15"/>
                <w:szCs w:val="15"/>
                <w:color w:val="auto"/>
              </w:rPr>
              <w:t>e</w:t>
            </w:r>
          </w:p>
        </w:tc>
        <w:tc>
          <w:tcPr>
            <w:tcW w:w="0" w:type="dxa"/>
            <w:vAlign w:val="bottom"/>
          </w:tcPr>
          <w:p>
            <w:pPr>
              <w:spacing w:after="0"/>
              <w:rPr>
                <w:sz w:val="1"/>
                <w:szCs w:val="1"/>
                <w:color w:val="auto"/>
              </w:rPr>
            </w:pPr>
          </w:p>
        </w:tc>
      </w:tr>
      <w:tr>
        <w:trPr>
          <w:trHeight w:val="217"/>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Total plan assets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1860" w:hanging="886"/>
        <w:spacing w:after="0"/>
        <w:tabs>
          <w:tab w:leader="none" w:pos="1860" w:val="left"/>
        </w:tabs>
        <w:numPr>
          <w:ilvl w:val="0"/>
          <w:numId w:val="181"/>
        </w:numPr>
        <w:rPr>
          <w:rFonts w:ascii="Arial" w:cs="Arial" w:eastAsia="Arial" w:hAnsi="Arial"/>
          <w:sz w:val="15"/>
          <w:szCs w:val="15"/>
          <w:color w:val="auto"/>
        </w:rPr>
      </w:pPr>
      <w:r>
        <w:rPr>
          <w:rFonts w:ascii="Arial" w:cs="Arial" w:eastAsia="Arial" w:hAnsi="Arial"/>
          <w:sz w:val="18"/>
          <w:szCs w:val="18"/>
          <w:color w:val="auto"/>
        </w:rPr>
        <w:t>Cash equivalents primarily included short-term investment funds which consisted of short-term money market</w:t>
      </w:r>
    </w:p>
    <w:p>
      <w:pPr>
        <w:ind w:left="1860"/>
        <w:spacing w:after="0" w:line="231" w:lineRule="auto"/>
        <w:rPr>
          <w:sz w:val="20"/>
          <w:szCs w:val="20"/>
          <w:color w:val="auto"/>
        </w:rPr>
      </w:pPr>
      <w:r>
        <w:rPr>
          <w:rFonts w:ascii="Arial" w:cs="Arial" w:eastAsia="Arial" w:hAnsi="Arial"/>
          <w:sz w:val="18"/>
          <w:szCs w:val="18"/>
          <w:color w:val="auto"/>
        </w:rPr>
        <w:t>instruments that were valued based on quoted prices in active markets.</w:t>
      </w:r>
    </w:p>
    <w:p>
      <w:pPr>
        <w:ind w:left="1860" w:hanging="886"/>
        <w:spacing w:after="0" w:line="235" w:lineRule="auto"/>
        <w:tabs>
          <w:tab w:leader="none" w:pos="1860" w:val="left"/>
        </w:tabs>
        <w:numPr>
          <w:ilvl w:val="0"/>
          <w:numId w:val="182"/>
        </w:numPr>
        <w:rPr>
          <w:rFonts w:ascii="Arial" w:cs="Arial" w:eastAsia="Arial" w:hAnsi="Arial"/>
          <w:sz w:val="15"/>
          <w:szCs w:val="15"/>
          <w:color w:val="auto"/>
        </w:rPr>
      </w:pPr>
      <w:r>
        <w:rPr>
          <w:rFonts w:ascii="Arial" w:cs="Arial" w:eastAsia="Arial" w:hAnsi="Arial"/>
          <w:sz w:val="18"/>
          <w:szCs w:val="18"/>
          <w:color w:val="auto"/>
        </w:rPr>
        <w:t>These U.S. equity securities and non-U.S. equity securities were valued based on quoted prices in active markets.</w:t>
      </w:r>
    </w:p>
    <w:p>
      <w:pPr>
        <w:spacing w:after="0" w:line="3" w:lineRule="exact"/>
        <w:rPr>
          <w:sz w:val="20"/>
          <w:szCs w:val="20"/>
          <w:color w:val="auto"/>
        </w:rPr>
      </w:pPr>
    </w:p>
    <w:p>
      <w:pPr>
        <w:jc w:val="both"/>
        <w:ind w:left="1860" w:right="20" w:hanging="886"/>
        <w:spacing w:after="0" w:line="234" w:lineRule="auto"/>
        <w:tabs>
          <w:tab w:leader="none" w:pos="1860" w:val="left"/>
        </w:tabs>
        <w:numPr>
          <w:ilvl w:val="0"/>
          <w:numId w:val="183"/>
        </w:numPr>
        <w:rPr>
          <w:rFonts w:ascii="Arial" w:cs="Arial" w:eastAsia="Arial" w:hAnsi="Arial"/>
          <w:sz w:val="15"/>
          <w:szCs w:val="15"/>
          <w:color w:val="auto"/>
        </w:rPr>
      </w:pPr>
      <w:r>
        <w:rPr>
          <w:rFonts w:ascii="Arial" w:cs="Arial" w:eastAsia="Arial" w:hAnsi="Arial"/>
          <w:sz w:val="18"/>
          <w:szCs w:val="18"/>
          <w:color w:val="auto"/>
        </w:rPr>
        <w:t>These amounts consisted of investments that were traded less frequently than Level 1 securities and were valued using inputs that included quoted prices for similar assets in active markets and inputs other than quoted prices that were observable for the asset, such as interest rates, yield curves, prepayment speeds, collateral performance,</w:t>
      </w:r>
    </w:p>
    <w:p>
      <w:pPr>
        <w:ind w:left="1860"/>
        <w:spacing w:after="0" w:line="234" w:lineRule="auto"/>
        <w:rPr>
          <w:sz w:val="20"/>
          <w:szCs w:val="20"/>
          <w:color w:val="auto"/>
        </w:rPr>
      </w:pPr>
      <w:r>
        <w:rPr>
          <w:rFonts w:ascii="Arial" w:cs="Arial" w:eastAsia="Arial" w:hAnsi="Arial"/>
          <w:sz w:val="18"/>
          <w:szCs w:val="18"/>
          <w:color w:val="auto"/>
        </w:rPr>
        <w:t>broker/dealer quotes and indices that were observable at commonly quoted intervals.</w:t>
      </w:r>
    </w:p>
    <w:p>
      <w:pPr>
        <w:ind w:left="1860" w:hanging="886"/>
        <w:spacing w:after="0" w:line="238" w:lineRule="auto"/>
        <w:tabs>
          <w:tab w:leader="none" w:pos="1860" w:val="left"/>
        </w:tabs>
        <w:numPr>
          <w:ilvl w:val="0"/>
          <w:numId w:val="184"/>
        </w:numPr>
        <w:rPr>
          <w:rFonts w:ascii="Arial" w:cs="Arial" w:eastAsia="Arial" w:hAnsi="Arial"/>
          <w:sz w:val="15"/>
          <w:szCs w:val="15"/>
          <w:color w:val="auto"/>
        </w:rPr>
      </w:pPr>
      <w:r>
        <w:rPr>
          <w:rFonts w:ascii="Arial" w:cs="Arial" w:eastAsia="Arial" w:hAnsi="Arial"/>
          <w:sz w:val="18"/>
          <w:szCs w:val="18"/>
          <w:color w:val="auto"/>
        </w:rPr>
        <w:t>These amounts consisted of investments in funds not registered with U.S. Securities and Exchange Commission (the</w:t>
      </w:r>
    </w:p>
    <w:p>
      <w:pPr>
        <w:ind w:left="1860" w:right="20"/>
        <w:spacing w:after="0" w:line="233" w:lineRule="auto"/>
        <w:rPr>
          <w:sz w:val="20"/>
          <w:szCs w:val="20"/>
          <w:color w:val="auto"/>
        </w:rPr>
      </w:pPr>
      <w:r>
        <w:rPr>
          <w:rFonts w:ascii="Arial" w:cs="Arial" w:eastAsia="Arial" w:hAnsi="Arial"/>
          <w:sz w:val="18"/>
          <w:szCs w:val="18"/>
          <w:color w:val="auto"/>
        </w:rPr>
        <w:t>“SEC”), with underlying investments primarily in publicly traded U.S. and non-U.S. equity securities, including securities with small and large market capitalization.</w:t>
      </w:r>
    </w:p>
    <w:p>
      <w:pPr>
        <w:spacing w:after="0" w:line="3" w:lineRule="exact"/>
        <w:rPr>
          <w:sz w:val="20"/>
          <w:szCs w:val="20"/>
          <w:color w:val="auto"/>
        </w:rPr>
      </w:pPr>
    </w:p>
    <w:p>
      <w:pPr>
        <w:ind w:left="1860" w:right="20" w:hanging="886"/>
        <w:spacing w:after="0" w:line="246" w:lineRule="auto"/>
        <w:tabs>
          <w:tab w:leader="none" w:pos="1860" w:val="left"/>
        </w:tabs>
        <w:numPr>
          <w:ilvl w:val="0"/>
          <w:numId w:val="185"/>
        </w:numPr>
        <w:rPr>
          <w:rFonts w:ascii="Arial" w:cs="Arial" w:eastAsia="Arial" w:hAnsi="Arial"/>
          <w:sz w:val="15"/>
          <w:szCs w:val="15"/>
          <w:color w:val="auto"/>
        </w:rPr>
      </w:pPr>
      <w:r>
        <w:rPr>
          <w:rFonts w:ascii="Arial" w:cs="Arial" w:eastAsia="Arial" w:hAnsi="Arial"/>
          <w:sz w:val="18"/>
          <w:szCs w:val="18"/>
          <w:color w:val="auto"/>
        </w:rPr>
        <w:t>These amounts consisted of investments in funds not registered with the SEC with underlying investments primarily in Treasury Inflation-Protected Securities and high-yield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240"/>
          </w:cols>
          <w:pgMar w:left="240" w:top="459" w:right="4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and post-retirement benefits </w:t>
      </w:r>
      <w:r>
        <w:rPr>
          <w:rFonts w:ascii="Arial" w:cs="Arial" w:eastAsia="Arial" w:hAnsi="Arial"/>
          <w:sz w:val="18"/>
          <w:szCs w:val="18"/>
          <w:color w:val="auto"/>
        </w:rPr>
        <w:t>(continued)</w:t>
      </w:r>
    </w:p>
    <w:p>
      <w:pPr>
        <w:spacing w:after="0" w:line="144"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Post-retirement benefit plan investment policy</w:t>
      </w:r>
    </w:p>
    <w:p>
      <w:pPr>
        <w:spacing w:after="0" w:line="233" w:lineRule="exact"/>
        <w:rPr>
          <w:rFonts w:ascii="Arial" w:cs="Arial" w:eastAsia="Arial" w:hAnsi="Arial"/>
          <w:sz w:val="18"/>
          <w:szCs w:val="18"/>
          <w:b w:val="1"/>
          <w:bCs w:val="1"/>
          <w:color w:val="auto"/>
        </w:rPr>
      </w:pPr>
    </w:p>
    <w:p>
      <w:pPr>
        <w:jc w:val="both"/>
        <w:ind w:left="980" w:right="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The Group’s overall investment strategy for the group life insurance plan is to allocate assets in a manner that seeks to both maximize the safety of promised benefits and minimize the cost of funding those benefits. The target asset allocation for plan assets reflects a risk/return profile that the Group believes is appropriate relative to the liability structure and return goals for the plan. The Group periodically review the allocation of plan assets relative to alternative allocation models to evaluate the need for adjustments based on forecasted liabilities and plan liquidity needs. The Group sets the overall portfolio allocation and uses an investment manager that directs the investment of funds consistent with that allocation. The investment manager invests the plan assets in index funds that it manages. Current allocation is a strategic asset mix comprising of (i) equity securities, (ii) government bonds and (iii) other investments.</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The following table presents the plan asset allocations by category:</w:t>
      </w:r>
    </w:p>
    <w:p>
      <w:pPr>
        <w:spacing w:after="0" w:line="252" w:lineRule="exact"/>
        <w:rPr>
          <w:sz w:val="20"/>
          <w:szCs w:val="20"/>
          <w:color w:val="auto"/>
        </w:rPr>
      </w:pPr>
    </w:p>
    <w:tbl>
      <w:tblPr>
        <w:tblLayout w:type="fixed"/>
        <w:tblInd w:w="9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4"/>
              </w:rPr>
              <w:t>2017</w:t>
            </w:r>
          </w:p>
        </w:tc>
        <w:tc>
          <w:tcPr>
            <w:tcW w:w="9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4"/>
              </w:rPr>
              <w:t>2016</w:t>
            </w:r>
          </w:p>
        </w:tc>
        <w:tc>
          <w:tcPr>
            <w:tcW w:w="6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Actual %</w:t>
            </w:r>
          </w:p>
        </w:tc>
        <w:tc>
          <w:tcPr>
            <w:tcW w:w="1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Target %</w:t>
            </w:r>
          </w:p>
        </w:tc>
        <w:tc>
          <w:tcPr>
            <w:tcW w:w="9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Actual %</w:t>
            </w:r>
          </w:p>
        </w:tc>
        <w:tc>
          <w:tcPr>
            <w:tcW w:w="1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Target %</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Commingled funds - U.S. equities</w:t>
            </w:r>
          </w:p>
        </w:tc>
        <w:tc>
          <w:tcPr>
            <w:tcW w:w="1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Commingled funds - Non-U.S. equities</w:t>
            </w:r>
          </w:p>
        </w:tc>
        <w:tc>
          <w:tcPr>
            <w:tcW w:w="19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Commingled funds - bonds</w:t>
            </w:r>
          </w:p>
        </w:tc>
        <w:tc>
          <w:tcPr>
            <w:tcW w:w="1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7"/>
                <w:szCs w:val="17"/>
                <w:color w:val="auto"/>
              </w:rPr>
            </w:pPr>
          </w:p>
        </w:tc>
      </w:tr>
      <w:tr>
        <w:trPr>
          <w:trHeight w:val="210"/>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-702310</wp:posOffset>
            </wp:positionV>
            <wp:extent cx="342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-170815</wp:posOffset>
            </wp:positionV>
            <wp:extent cx="342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-25400</wp:posOffset>
            </wp:positionV>
            <wp:extent cx="342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-8255</wp:posOffset>
            </wp:positionV>
            <wp:extent cx="342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Assumptions</w:t>
      </w:r>
    </w:p>
    <w:p>
      <w:pPr>
        <w:spacing w:after="0" w:line="234" w:lineRule="exact"/>
        <w:rPr>
          <w:sz w:val="20"/>
          <w:szCs w:val="20"/>
          <w:color w:val="auto"/>
        </w:rPr>
      </w:pPr>
    </w:p>
    <w:p>
      <w:pPr>
        <w:jc w:val="both"/>
        <w:ind w:left="980" w:right="20"/>
        <w:spacing w:after="0" w:line="236" w:lineRule="auto"/>
        <w:rPr>
          <w:sz w:val="20"/>
          <w:szCs w:val="20"/>
          <w:color w:val="auto"/>
        </w:rPr>
      </w:pPr>
      <w:r>
        <w:rPr>
          <w:rFonts w:ascii="Arial" w:cs="Arial" w:eastAsia="Arial" w:hAnsi="Arial"/>
          <w:sz w:val="18"/>
          <w:szCs w:val="18"/>
          <w:color w:val="auto"/>
        </w:rPr>
        <w:t>The assumptions used to determine the benefit obligations and expense for the Group’s defined benefit and post-retirement benefit plans are presented in the table below. The expected long-term return on assets shown in the table below represents an estimate of long-term returns on investment portfolios primarily consisting of combinations of debt, equity and other investments, depending on the plan. The Group considers long-term rates of return, which are weighted based on the asset classes (both historical and forecasted) in which the Group expects the pension and post-retirement funds to be invested. Discount rates reflect the current rate at which defined benefit and post-retirement benefit obligations could be settled based on the measurement dates of the plans, which in each case is the financial year end. The range of assumptions that are used for defined benefit pension plans reflects the different economic environments within various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98425</wp:posOffset>
            </wp:positionV>
            <wp:extent cx="6997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jc w:val="both"/>
        <w:ind w:left="980" w:right="5360" w:hanging="776"/>
        <w:spacing w:after="0" w:line="407" w:lineRule="auto"/>
        <w:tabs>
          <w:tab w:leader="none" w:pos="978"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and post-retirement benefits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Post-retirement benefit plan investment policy </w:t>
      </w:r>
      <w:r>
        <w:rPr>
          <w:rFonts w:ascii="Arial" w:cs="Arial" w:eastAsia="Arial" w:hAnsi="Arial"/>
          <w:sz w:val="18"/>
          <w:szCs w:val="18"/>
          <w:color w:val="auto"/>
        </w:rPr>
        <w:t>(continued)</w:t>
      </w:r>
      <w:r>
        <w:rPr>
          <w:rFonts w:ascii="Arial" w:cs="Arial" w:eastAsia="Arial" w:hAnsi="Arial"/>
          <w:sz w:val="18"/>
          <w:szCs w:val="18"/>
          <w:b w:val="1"/>
          <w:bCs w:val="1"/>
          <w:i w:val="1"/>
          <w:iCs w:val="1"/>
          <w:color w:val="auto"/>
        </w:rPr>
        <w:t xml:space="preserve"> Assumptions </w:t>
      </w:r>
      <w:r>
        <w:rPr>
          <w:rFonts w:ascii="Arial" w:cs="Arial" w:eastAsia="Arial" w:hAnsi="Arial"/>
          <w:sz w:val="18"/>
          <w:szCs w:val="18"/>
          <w:color w:val="auto"/>
        </w:rPr>
        <w:t>(continued)</w:t>
      </w:r>
    </w:p>
    <w:tbl>
      <w:tblPr>
        <w:tblLayout w:type="fixed"/>
        <w:tblInd w:w="8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100" w:type="dxa"/>
            <w:vAlign w:val="bottom"/>
            <w:gridSpan w:val="3"/>
          </w:tcPr>
          <w:p>
            <w:pPr>
              <w:jc w:val="center"/>
              <w:ind w:right="140"/>
              <w:spacing w:after="0" w:line="203" w:lineRule="exact"/>
              <w:rPr>
                <w:sz w:val="20"/>
                <w:szCs w:val="20"/>
                <w:color w:val="auto"/>
              </w:rPr>
            </w:pPr>
            <w:r>
              <w:rPr>
                <w:rFonts w:ascii="Arial" w:cs="Arial" w:eastAsia="Arial" w:hAnsi="Arial"/>
                <w:sz w:val="18"/>
                <w:szCs w:val="18"/>
                <w:b w:val="1"/>
                <w:bCs w:val="1"/>
                <w:color w:val="auto"/>
              </w:rPr>
              <w:t>Assumptions for</w:t>
            </w:r>
          </w:p>
        </w:tc>
        <w:tc>
          <w:tcPr>
            <w:tcW w:w="4260" w:type="dxa"/>
            <w:vAlign w:val="bottom"/>
            <w:gridSpan w:val="3"/>
          </w:tcPr>
          <w:p>
            <w:pPr>
              <w:jc w:val="center"/>
              <w:ind w:left="30"/>
              <w:spacing w:after="0" w:line="203" w:lineRule="exact"/>
              <w:rPr>
                <w:sz w:val="20"/>
                <w:szCs w:val="20"/>
                <w:color w:val="auto"/>
              </w:rPr>
            </w:pPr>
            <w:r>
              <w:rPr>
                <w:rFonts w:ascii="Arial" w:cs="Arial" w:eastAsia="Arial" w:hAnsi="Arial"/>
                <w:sz w:val="18"/>
                <w:szCs w:val="18"/>
                <w:b w:val="1"/>
                <w:bCs w:val="1"/>
                <w:color w:val="auto"/>
                <w:w w:val="99"/>
              </w:rPr>
              <w:t>Assumptions for Expense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1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Benefit Obligations</w:t>
            </w:r>
          </w:p>
        </w:tc>
        <w:tc>
          <w:tcPr>
            <w:tcW w:w="14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8"/>
              </w:rPr>
              <w:t>Financial Year</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2017</w:t>
            </w:r>
          </w:p>
        </w:tc>
        <w:tc>
          <w:tcPr>
            <w:tcW w:w="13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2017</w:t>
            </w:r>
          </w:p>
        </w:tc>
        <w:tc>
          <w:tcPr>
            <w:tcW w:w="152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2016</w:t>
            </w:r>
          </w:p>
        </w:tc>
        <w:tc>
          <w:tcPr>
            <w:tcW w:w="12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20" w:type="dxa"/>
            <w:vAlign w:val="bottom"/>
            <w:shd w:val="clear" w:color="auto" w:fill="CCEEFF"/>
          </w:tcPr>
          <w:p>
            <w:pPr>
              <w:spacing w:after="0" w:line="160" w:lineRule="exact"/>
              <w:rPr>
                <w:sz w:val="20"/>
                <w:szCs w:val="20"/>
                <w:color w:val="auto"/>
              </w:rPr>
            </w:pPr>
            <w:r>
              <w:rPr>
                <w:rFonts w:ascii="Arial" w:cs="Arial" w:eastAsia="Arial" w:hAnsi="Arial"/>
                <w:sz w:val="18"/>
                <w:szCs w:val="18"/>
                <w:b w:val="1"/>
                <w:bCs w:val="1"/>
                <w:color w:val="auto"/>
              </w:rPr>
              <w:t>Defined benefit pension</w:t>
            </w:r>
          </w:p>
        </w:tc>
        <w:tc>
          <w:tcPr>
            <w:tcW w:w="15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plans:</w:t>
            </w:r>
          </w:p>
        </w:tc>
        <w:tc>
          <w:tcPr>
            <w:tcW w:w="1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ind w:left="80"/>
              <w:spacing w:after="0" w:line="202" w:lineRule="exact"/>
              <w:rPr>
                <w:sz w:val="20"/>
                <w:szCs w:val="20"/>
                <w:color w:val="auto"/>
              </w:rPr>
            </w:pPr>
            <w:r>
              <w:rPr>
                <w:rFonts w:ascii="Arial" w:cs="Arial" w:eastAsia="Arial" w:hAnsi="Arial"/>
                <w:sz w:val="18"/>
                <w:szCs w:val="18"/>
                <w:color w:val="auto"/>
              </w:rPr>
              <w:t>Discount rate</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0.50%-7.00%</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0.50%-7.00%</w:t>
            </w:r>
          </w:p>
        </w:tc>
        <w:tc>
          <w:tcPr>
            <w:tcW w:w="24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0.50%-7.00%</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0.75%-7.75%</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1.00%-4.10%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Average increase in</w:t>
            </w:r>
          </w:p>
        </w:tc>
        <w:tc>
          <w:tcPr>
            <w:tcW w:w="1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compensation levels</w:t>
            </w:r>
          </w:p>
        </w:tc>
        <w:tc>
          <w:tcPr>
            <w:tcW w:w="156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2.00%-11.00%</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2.00%-9.16%</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2.00%-9.15%</w:t>
            </w:r>
          </w:p>
        </w:tc>
        <w:tc>
          <w:tcPr>
            <w:tcW w:w="152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2.50%-11.72%</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2.50%-6.00%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ind w:left="80"/>
              <w:spacing w:after="0" w:line="201" w:lineRule="exact"/>
              <w:rPr>
                <w:sz w:val="20"/>
                <w:szCs w:val="20"/>
                <w:color w:val="auto"/>
              </w:rPr>
            </w:pPr>
            <w:r>
              <w:rPr>
                <w:rFonts w:ascii="Arial" w:cs="Arial" w:eastAsia="Arial" w:hAnsi="Arial"/>
                <w:sz w:val="18"/>
                <w:szCs w:val="18"/>
                <w:color w:val="auto"/>
              </w:rPr>
              <w:t>Expected long-term return</w:t>
            </w: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ind w:left="260"/>
              <w:spacing w:after="0" w:line="203" w:lineRule="exact"/>
              <w:rPr>
                <w:sz w:val="20"/>
                <w:szCs w:val="20"/>
                <w:color w:val="auto"/>
              </w:rPr>
            </w:pPr>
            <w:r>
              <w:rPr>
                <w:rFonts w:ascii="Arial" w:cs="Arial" w:eastAsia="Arial" w:hAnsi="Arial"/>
                <w:sz w:val="18"/>
                <w:szCs w:val="18"/>
                <w:color w:val="auto"/>
              </w:rPr>
              <w:t>on assets</w:t>
            </w:r>
          </w:p>
        </w:tc>
        <w:tc>
          <w:tcPr>
            <w:tcW w:w="1560" w:type="dxa"/>
            <w:vAlign w:val="bottom"/>
          </w:tcPr>
          <w:p>
            <w:pPr>
              <w:jc w:val="right"/>
              <w:ind w:right="70"/>
              <w:spacing w:after="0" w:line="203" w:lineRule="exact"/>
              <w:rPr>
                <w:sz w:val="20"/>
                <w:szCs w:val="20"/>
                <w:color w:val="auto"/>
              </w:rPr>
            </w:pPr>
            <w:r>
              <w:rPr>
                <w:rFonts w:ascii="Arial" w:cs="Arial" w:eastAsia="Arial" w:hAnsi="Arial"/>
                <w:sz w:val="18"/>
                <w:szCs w:val="18"/>
                <w:color w:val="auto"/>
              </w:rPr>
              <w:t>N/A</w:t>
            </w:r>
          </w:p>
        </w:tc>
        <w:tc>
          <w:tcPr>
            <w:tcW w:w="1540" w:type="dxa"/>
            <w:vAlign w:val="bottom"/>
            <w:gridSpan w:val="2"/>
          </w:tcPr>
          <w:p>
            <w:pPr>
              <w:ind w:left="940"/>
              <w:spacing w:after="0" w:line="203" w:lineRule="exact"/>
              <w:rPr>
                <w:sz w:val="20"/>
                <w:szCs w:val="20"/>
                <w:color w:val="auto"/>
              </w:rPr>
            </w:pPr>
            <w:r>
              <w:rPr>
                <w:rFonts w:ascii="Arial" w:cs="Arial" w:eastAsia="Arial" w:hAnsi="Arial"/>
                <w:sz w:val="18"/>
                <w:szCs w:val="18"/>
                <w:color w:val="auto"/>
              </w:rPr>
              <w:t>N/A</w:t>
            </w:r>
          </w:p>
        </w:tc>
        <w:tc>
          <w:tcPr>
            <w:tcW w:w="14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0.25%-8.00%</w:t>
            </w:r>
          </w:p>
        </w:tc>
        <w:tc>
          <w:tcPr>
            <w:tcW w:w="1520" w:type="dxa"/>
            <w:vAlign w:val="bottom"/>
          </w:tcPr>
          <w:p>
            <w:pPr>
              <w:jc w:val="right"/>
              <w:ind w:right="70"/>
              <w:spacing w:after="0" w:line="203" w:lineRule="exact"/>
              <w:rPr>
                <w:sz w:val="20"/>
                <w:szCs w:val="20"/>
                <w:color w:val="auto"/>
              </w:rPr>
            </w:pPr>
            <w:r>
              <w:rPr>
                <w:rFonts w:ascii="Arial" w:cs="Arial" w:eastAsia="Arial" w:hAnsi="Arial"/>
                <w:sz w:val="18"/>
                <w:szCs w:val="18"/>
                <w:color w:val="auto"/>
              </w:rPr>
              <w:t>1.50%-9.00%</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1.50%-7.30%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Post-retirement benefits</w:t>
            </w:r>
          </w:p>
        </w:tc>
        <w:tc>
          <w:tcPr>
            <w:tcW w:w="15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plans:</w:t>
            </w:r>
          </w:p>
        </w:tc>
        <w:tc>
          <w:tcPr>
            <w:tcW w:w="1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320" w:type="dxa"/>
            <w:vAlign w:val="bottom"/>
          </w:tcPr>
          <w:p>
            <w:pPr>
              <w:ind w:left="80"/>
              <w:spacing w:after="0"/>
              <w:rPr>
                <w:sz w:val="20"/>
                <w:szCs w:val="20"/>
                <w:color w:val="auto"/>
              </w:rPr>
            </w:pPr>
            <w:r>
              <w:rPr>
                <w:rFonts w:ascii="Arial" w:cs="Arial" w:eastAsia="Arial" w:hAnsi="Arial"/>
                <w:sz w:val="18"/>
                <w:szCs w:val="18"/>
                <w:color w:val="auto"/>
              </w:rPr>
              <w:t>Discount rate</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3.40%-3.80%</w:t>
            </w:r>
          </w:p>
        </w:tc>
        <w:tc>
          <w:tcPr>
            <w:tcW w:w="1300" w:type="dxa"/>
            <w:vAlign w:val="bottom"/>
          </w:tcPr>
          <w:p>
            <w:pPr>
              <w:jc w:val="right"/>
              <w:spacing w:after="0"/>
              <w:rPr>
                <w:sz w:val="20"/>
                <w:szCs w:val="20"/>
                <w:color w:val="auto"/>
              </w:rPr>
            </w:pPr>
            <w:r>
              <w:rPr>
                <w:rFonts w:ascii="Arial" w:cs="Arial" w:eastAsia="Arial" w:hAnsi="Arial"/>
                <w:sz w:val="18"/>
                <w:szCs w:val="18"/>
                <w:color w:val="auto"/>
              </w:rPr>
              <w:t>3.30%-3.90%</w:t>
            </w:r>
          </w:p>
        </w:tc>
        <w:tc>
          <w:tcPr>
            <w:tcW w:w="24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3.30%-3.90%</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3.90%-4.50%</w:t>
            </w:r>
          </w:p>
        </w:tc>
        <w:tc>
          <w:tcPr>
            <w:tcW w:w="1280" w:type="dxa"/>
            <w:vAlign w:val="bottom"/>
          </w:tcPr>
          <w:p>
            <w:pPr>
              <w:jc w:val="right"/>
              <w:spacing w:after="0"/>
              <w:rPr>
                <w:sz w:val="20"/>
                <w:szCs w:val="20"/>
                <w:color w:val="auto"/>
              </w:rPr>
            </w:pPr>
            <w:r>
              <w:rPr>
                <w:rFonts w:ascii="Arial" w:cs="Arial" w:eastAsia="Arial" w:hAnsi="Arial"/>
                <w:sz w:val="18"/>
                <w:szCs w:val="18"/>
                <w:color w:val="auto"/>
              </w:rPr>
              <w:t>3.80%-4.40%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Average increase in</w:t>
            </w:r>
          </w:p>
        </w:tc>
        <w:tc>
          <w:tcPr>
            <w:tcW w:w="1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compensation levels</w:t>
            </w:r>
          </w:p>
        </w:tc>
        <w:tc>
          <w:tcPr>
            <w:tcW w:w="156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3.00%</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3.50%</w:t>
            </w:r>
          </w:p>
        </w:tc>
        <w:tc>
          <w:tcPr>
            <w:tcW w:w="152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3.50%</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ind w:left="80"/>
              <w:spacing w:after="0" w:line="201" w:lineRule="exact"/>
              <w:rPr>
                <w:sz w:val="20"/>
                <w:szCs w:val="20"/>
                <w:color w:val="auto"/>
              </w:rPr>
            </w:pPr>
            <w:r>
              <w:rPr>
                <w:rFonts w:ascii="Arial" w:cs="Arial" w:eastAsia="Arial" w:hAnsi="Arial"/>
                <w:sz w:val="18"/>
                <w:szCs w:val="18"/>
                <w:color w:val="auto"/>
              </w:rPr>
              <w:t>Expected long-term return</w:t>
            </w: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ind w:left="260"/>
              <w:spacing w:after="0" w:line="203" w:lineRule="exact"/>
              <w:rPr>
                <w:sz w:val="20"/>
                <w:szCs w:val="20"/>
                <w:color w:val="auto"/>
              </w:rPr>
            </w:pPr>
            <w:r>
              <w:rPr>
                <w:rFonts w:ascii="Arial" w:cs="Arial" w:eastAsia="Arial" w:hAnsi="Arial"/>
                <w:sz w:val="18"/>
                <w:szCs w:val="18"/>
                <w:color w:val="auto"/>
              </w:rPr>
              <w:t>on assets</w:t>
            </w:r>
          </w:p>
        </w:tc>
        <w:tc>
          <w:tcPr>
            <w:tcW w:w="1560" w:type="dxa"/>
            <w:vAlign w:val="bottom"/>
          </w:tcPr>
          <w:p>
            <w:pPr>
              <w:jc w:val="right"/>
              <w:ind w:right="70"/>
              <w:spacing w:after="0" w:line="203" w:lineRule="exact"/>
              <w:rPr>
                <w:sz w:val="20"/>
                <w:szCs w:val="20"/>
                <w:color w:val="auto"/>
              </w:rPr>
            </w:pPr>
            <w:r>
              <w:rPr>
                <w:rFonts w:ascii="Arial" w:cs="Arial" w:eastAsia="Arial" w:hAnsi="Arial"/>
                <w:sz w:val="18"/>
                <w:szCs w:val="18"/>
                <w:color w:val="auto"/>
              </w:rPr>
              <w:t>N/A</w:t>
            </w:r>
          </w:p>
        </w:tc>
        <w:tc>
          <w:tcPr>
            <w:tcW w:w="1540" w:type="dxa"/>
            <w:vAlign w:val="bottom"/>
            <w:gridSpan w:val="2"/>
          </w:tcPr>
          <w:p>
            <w:pPr>
              <w:ind w:left="940"/>
              <w:spacing w:after="0" w:line="203" w:lineRule="exact"/>
              <w:rPr>
                <w:sz w:val="20"/>
                <w:szCs w:val="20"/>
                <w:color w:val="auto"/>
              </w:rPr>
            </w:pPr>
            <w:r>
              <w:rPr>
                <w:rFonts w:ascii="Arial" w:cs="Arial" w:eastAsia="Arial" w:hAnsi="Arial"/>
                <w:sz w:val="18"/>
                <w:szCs w:val="18"/>
                <w:color w:val="auto"/>
              </w:rPr>
              <w:t>N/A</w:t>
            </w:r>
          </w:p>
        </w:tc>
        <w:tc>
          <w:tcPr>
            <w:tcW w:w="14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4.40%</w:t>
            </w:r>
          </w:p>
        </w:tc>
        <w:tc>
          <w:tcPr>
            <w:tcW w:w="1520" w:type="dxa"/>
            <w:vAlign w:val="bottom"/>
          </w:tcPr>
          <w:p>
            <w:pPr>
              <w:jc w:val="right"/>
              <w:ind w:right="70"/>
              <w:spacing w:after="0" w:line="203" w:lineRule="exact"/>
              <w:rPr>
                <w:sz w:val="20"/>
                <w:szCs w:val="20"/>
                <w:color w:val="auto"/>
              </w:rPr>
            </w:pPr>
            <w:r>
              <w:rPr>
                <w:rFonts w:ascii="Arial" w:cs="Arial" w:eastAsia="Arial" w:hAnsi="Arial"/>
                <w:sz w:val="18"/>
                <w:szCs w:val="18"/>
                <w:color w:val="auto"/>
              </w:rPr>
              <w:t>5.10%</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Current healthcare cost</w:t>
            </w:r>
          </w:p>
        </w:tc>
        <w:tc>
          <w:tcPr>
            <w:tcW w:w="1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trend rate</w:t>
            </w:r>
          </w:p>
        </w:tc>
        <w:tc>
          <w:tcPr>
            <w:tcW w:w="156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7.00%</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7.33%</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7.33%</w:t>
            </w:r>
          </w:p>
        </w:tc>
        <w:tc>
          <w:tcPr>
            <w:tcW w:w="152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7.67%</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ind w:left="80"/>
              <w:spacing w:after="0" w:line="201" w:lineRule="exact"/>
              <w:rPr>
                <w:sz w:val="20"/>
                <w:szCs w:val="20"/>
                <w:color w:val="auto"/>
              </w:rPr>
            </w:pPr>
            <w:r>
              <w:rPr>
                <w:rFonts w:ascii="Arial" w:cs="Arial" w:eastAsia="Arial" w:hAnsi="Arial"/>
                <w:sz w:val="18"/>
                <w:szCs w:val="18"/>
                <w:color w:val="auto"/>
              </w:rPr>
              <w:t>Ultimate healthcare cost</w:t>
            </w: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ind w:left="260"/>
              <w:spacing w:after="0" w:line="203" w:lineRule="exact"/>
              <w:rPr>
                <w:sz w:val="20"/>
                <w:szCs w:val="20"/>
                <w:color w:val="auto"/>
              </w:rPr>
            </w:pPr>
            <w:r>
              <w:rPr>
                <w:rFonts w:ascii="Arial" w:cs="Arial" w:eastAsia="Arial" w:hAnsi="Arial"/>
                <w:sz w:val="18"/>
                <w:szCs w:val="18"/>
                <w:color w:val="auto"/>
              </w:rPr>
              <w:t>trend rate</w:t>
            </w:r>
          </w:p>
        </w:tc>
        <w:tc>
          <w:tcPr>
            <w:tcW w:w="1560" w:type="dxa"/>
            <w:vAlign w:val="bottom"/>
          </w:tcPr>
          <w:p>
            <w:pPr>
              <w:jc w:val="right"/>
              <w:ind w:right="70"/>
              <w:spacing w:after="0" w:line="203" w:lineRule="exact"/>
              <w:rPr>
                <w:sz w:val="20"/>
                <w:szCs w:val="20"/>
                <w:color w:val="auto"/>
              </w:rPr>
            </w:pPr>
            <w:r>
              <w:rPr>
                <w:rFonts w:ascii="Arial" w:cs="Arial" w:eastAsia="Arial" w:hAnsi="Arial"/>
                <w:sz w:val="18"/>
                <w:szCs w:val="18"/>
                <w:color w:val="auto"/>
              </w:rPr>
              <w:t>3.50%</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3.50%</w:t>
            </w:r>
          </w:p>
        </w:tc>
        <w:tc>
          <w:tcPr>
            <w:tcW w:w="240" w:type="dxa"/>
            <w:vAlign w:val="bottom"/>
          </w:tcPr>
          <w:p>
            <w:pPr>
              <w:spacing w:after="0"/>
              <w:rPr>
                <w:sz w:val="17"/>
                <w:szCs w:val="17"/>
                <w:color w:val="auto"/>
              </w:rPr>
            </w:pPr>
          </w:p>
        </w:tc>
        <w:tc>
          <w:tcPr>
            <w:tcW w:w="14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3.50%</w:t>
            </w:r>
          </w:p>
        </w:tc>
        <w:tc>
          <w:tcPr>
            <w:tcW w:w="1520" w:type="dxa"/>
            <w:vAlign w:val="bottom"/>
          </w:tcPr>
          <w:p>
            <w:pPr>
              <w:jc w:val="right"/>
              <w:ind w:right="70"/>
              <w:spacing w:after="0" w:line="203" w:lineRule="exact"/>
              <w:rPr>
                <w:sz w:val="20"/>
                <w:szCs w:val="20"/>
                <w:color w:val="auto"/>
              </w:rPr>
            </w:pPr>
            <w:r>
              <w:rPr>
                <w:rFonts w:ascii="Arial" w:cs="Arial" w:eastAsia="Arial" w:hAnsi="Arial"/>
                <w:sz w:val="18"/>
                <w:szCs w:val="18"/>
                <w:color w:val="auto"/>
              </w:rPr>
              <w:t>3.50%</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Healthcare cost trend rate</w:t>
            </w:r>
          </w:p>
        </w:tc>
        <w:tc>
          <w:tcPr>
            <w:tcW w:w="1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decreases to ultimate</w:t>
            </w:r>
          </w:p>
        </w:tc>
        <w:tc>
          <w:tcPr>
            <w:tcW w:w="15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2031</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2031</w:t>
            </w: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trend rate in year</w:t>
            </w:r>
          </w:p>
        </w:tc>
        <w:tc>
          <w:tcPr>
            <w:tcW w:w="1560" w:type="dxa"/>
            <w:vAlign w:val="bottom"/>
            <w:vMerge w:val="continue"/>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2031</w:t>
            </w:r>
          </w:p>
        </w:tc>
        <w:tc>
          <w:tcPr>
            <w:tcW w:w="24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152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2031</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980" w:right="20"/>
        <w:spacing w:after="0"/>
        <w:rPr>
          <w:sz w:val="20"/>
          <w:szCs w:val="20"/>
          <w:color w:val="auto"/>
        </w:rPr>
      </w:pPr>
      <w:r>
        <w:rPr>
          <w:rFonts w:ascii="Arial" w:cs="Arial" w:eastAsia="Arial" w:hAnsi="Arial"/>
          <w:sz w:val="18"/>
          <w:szCs w:val="18"/>
          <w:color w:val="auto"/>
        </w:rPr>
        <w:t>Changes in the assumed health care cost trend rates could have a significant effect on the amounts reported for the U.S. post-retirement medical benefit plans. A one percentage point change in the assumed healthcare cost trend rates for financial year 2017 would have the following effects:</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3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b w:val="1"/>
                <w:bCs w:val="1"/>
                <w:color w:val="auto"/>
              </w:rPr>
              <w:t>1% increase</w:t>
            </w:r>
          </w:p>
        </w:tc>
        <w:tc>
          <w:tcPr>
            <w:tcW w:w="15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1% 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920" w:type="dxa"/>
            <w:vAlign w:val="bottom"/>
            <w:gridSpan w:val="2"/>
          </w:tcPr>
          <w:p>
            <w:pPr>
              <w:ind w:left="1820"/>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6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Effect on U.S. post-retirement benefit obligation</w:t>
            </w:r>
          </w:p>
        </w:tc>
        <w:tc>
          <w:tcPr>
            <w:tcW w:w="2360" w:type="dxa"/>
            <w:vAlign w:val="bottom"/>
            <w:shd w:val="clear" w:color="auto" w:fill="CCEEFF"/>
          </w:tcPr>
          <w:p>
            <w:pPr>
              <w:jc w:val="right"/>
              <w:ind w:right="745"/>
              <w:spacing w:after="0" w:line="216" w:lineRule="exact"/>
              <w:rPr>
                <w:sz w:val="20"/>
                <w:szCs w:val="20"/>
                <w:color w:val="auto"/>
              </w:rPr>
            </w:pPr>
            <w:r>
              <w:rPr>
                <w:rFonts w:ascii="Arial" w:cs="Arial" w:eastAsia="Arial" w:hAnsi="Arial"/>
                <w:sz w:val="20"/>
                <w:szCs w:val="20"/>
                <w:b w:val="1"/>
                <w:bCs w:val="1"/>
                <w:color w:val="auto"/>
              </w:rPr>
              <w:t>1</w:t>
            </w:r>
          </w:p>
        </w:tc>
        <w:tc>
          <w:tcPr>
            <w:tcW w:w="1560" w:type="dxa"/>
            <w:vAlign w:val="bottom"/>
            <w:shd w:val="clear" w:color="auto" w:fill="CCEEFF"/>
          </w:tcPr>
          <w:p>
            <w:pPr>
              <w:jc w:val="right"/>
              <w:ind w:right="364"/>
              <w:spacing w:after="0" w:line="216"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320" w:type="dxa"/>
            <w:vAlign w:val="bottom"/>
          </w:tcPr>
          <w:p>
            <w:pPr>
              <w:spacing w:after="0"/>
              <w:rPr>
                <w:sz w:val="20"/>
                <w:szCs w:val="20"/>
                <w:color w:val="auto"/>
              </w:rPr>
            </w:pPr>
            <w:r>
              <w:rPr>
                <w:rFonts w:ascii="Arial" w:cs="Arial" w:eastAsia="Arial" w:hAnsi="Arial"/>
                <w:sz w:val="20"/>
                <w:szCs w:val="20"/>
                <w:color w:val="auto"/>
              </w:rPr>
              <w:t>Percentage effect on U.S. post-retirement benefit obligation</w:t>
            </w:r>
          </w:p>
        </w:tc>
        <w:tc>
          <w:tcPr>
            <w:tcW w:w="2360" w:type="dxa"/>
            <w:vAlign w:val="bottom"/>
          </w:tcPr>
          <w:p>
            <w:pPr>
              <w:jc w:val="right"/>
              <w:ind w:right="645"/>
              <w:spacing w:after="0"/>
              <w:rPr>
                <w:sz w:val="20"/>
                <w:szCs w:val="20"/>
                <w:color w:val="auto"/>
              </w:rPr>
            </w:pPr>
            <w:r>
              <w:rPr>
                <w:rFonts w:ascii="Arial" w:cs="Arial" w:eastAsia="Arial" w:hAnsi="Arial"/>
                <w:sz w:val="20"/>
                <w:szCs w:val="20"/>
                <w:b w:val="1"/>
                <w:bCs w:val="1"/>
                <w:color w:val="auto"/>
              </w:rPr>
              <w:t>1%</w:t>
            </w:r>
          </w:p>
        </w:tc>
        <w:tc>
          <w:tcPr>
            <w:tcW w:w="1560" w:type="dxa"/>
            <w:vAlign w:val="bottom"/>
          </w:tcPr>
          <w:p>
            <w:pPr>
              <w:jc w:val="right"/>
              <w:ind w:right="264"/>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The effect of a one percentage point increase or decrease in the healthcare cost trend rates on the service and interest cost components of the net periodic benefit cost would have been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240"/>
          </w:cols>
          <w:pgMar w:left="240" w:top="459" w:right="4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jc w:val="both"/>
        <w:ind w:left="980" w:right="5360" w:hanging="776"/>
        <w:spacing w:after="0" w:line="431" w:lineRule="auto"/>
        <w:tabs>
          <w:tab w:leader="none" w:pos="978"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Retirement plans and post-retirement benefits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Post-retirement benefit plan investment policy </w:t>
      </w:r>
      <w:r>
        <w:rPr>
          <w:rFonts w:ascii="Arial" w:cs="Arial" w:eastAsia="Arial" w:hAnsi="Arial"/>
          <w:sz w:val="17"/>
          <w:szCs w:val="17"/>
          <w:color w:val="auto"/>
        </w:rPr>
        <w:t>(continued)</w:t>
      </w:r>
    </w:p>
    <w:p>
      <w:pPr>
        <w:ind w:left="98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401(k) Defined Contribution Plans</w:t>
      </w:r>
    </w:p>
    <w:p>
      <w:pPr>
        <w:spacing w:after="0" w:line="233" w:lineRule="exact"/>
        <w:rPr>
          <w:rFonts w:ascii="Arial" w:cs="Arial" w:eastAsia="Arial" w:hAnsi="Arial"/>
          <w:sz w:val="17"/>
          <w:szCs w:val="17"/>
          <w:b w:val="1"/>
          <w:bCs w:val="1"/>
          <w:color w:val="auto"/>
        </w:rPr>
      </w:pPr>
    </w:p>
    <w:p>
      <w:pPr>
        <w:jc w:val="both"/>
        <w:ind w:left="980" w:right="20"/>
        <w:spacing w:after="0" w:line="239" w:lineRule="auto"/>
        <w:rPr>
          <w:rFonts w:ascii="Arial" w:cs="Arial" w:eastAsia="Arial" w:hAnsi="Arial"/>
          <w:sz w:val="17"/>
          <w:szCs w:val="17"/>
          <w:b w:val="1"/>
          <w:bCs w:val="1"/>
          <w:color w:val="auto"/>
        </w:rPr>
      </w:pPr>
      <w:r>
        <w:rPr>
          <w:rFonts w:ascii="Arial" w:cs="Arial" w:eastAsia="Arial" w:hAnsi="Arial"/>
          <w:sz w:val="18"/>
          <w:szCs w:val="18"/>
          <w:color w:val="auto"/>
        </w:rPr>
        <w:t>The Group’s eligible U.S. employees participate in company-sponsored 401(k) plans. Under these plans, the Group provides matching contributions to employees up to 6% of their eligible earnings. All matching contributions vest immediately. During fiscal years 2017, 2016 and 2015, the Group made contributions of $61 million, $43 million and $26 million, respectively, to the 401(k) plans.</w:t>
      </w:r>
    </w:p>
    <w:p>
      <w:pPr>
        <w:spacing w:after="0" w:line="206" w:lineRule="exact"/>
        <w:rPr>
          <w:rFonts w:ascii="Arial" w:cs="Arial" w:eastAsia="Arial" w:hAnsi="Arial"/>
          <w:sz w:val="17"/>
          <w:szCs w:val="17"/>
          <w:b w:val="1"/>
          <w:bCs w:val="1"/>
          <w:color w:val="auto"/>
        </w:rPr>
      </w:pPr>
    </w:p>
    <w:p>
      <w:pPr>
        <w:ind w:left="980" w:hanging="776"/>
        <w:spacing w:after="0"/>
        <w:tabs>
          <w:tab w:leader="none" w:pos="9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Finance expenses</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7"/>
              </w:rPr>
              <w:t>Group</w:t>
            </w: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80" w:type="dxa"/>
            <w:vAlign w:val="bottom"/>
            <w:gridSpan w:val="3"/>
          </w:tcPr>
          <w:p>
            <w:pPr>
              <w:jc w:val="right"/>
              <w:ind w:right="270"/>
              <w:spacing w:after="0"/>
              <w:rPr>
                <w:sz w:val="20"/>
                <w:szCs w:val="20"/>
                <w:color w:val="auto"/>
              </w:rPr>
            </w:pPr>
            <w:r>
              <w:rPr>
                <w:rFonts w:ascii="Arial" w:cs="Arial" w:eastAsia="Arial" w:hAnsi="Arial"/>
                <w:sz w:val="20"/>
                <w:szCs w:val="20"/>
                <w:b w:val="1"/>
                <w:bCs w:val="1"/>
                <w:color w:val="auto"/>
              </w:rPr>
              <w:t>2017</w:t>
            </w:r>
          </w:p>
        </w:tc>
        <w:tc>
          <w:tcPr>
            <w:tcW w:w="2200" w:type="dxa"/>
            <w:vAlign w:val="bottom"/>
            <w:gridSpan w:val="5"/>
          </w:tcPr>
          <w:p>
            <w:pPr>
              <w:jc w:val="right"/>
              <w:ind w:right="274"/>
              <w:spacing w:after="0"/>
              <w:rPr>
                <w:sz w:val="20"/>
                <w:szCs w:val="20"/>
                <w:color w:val="auto"/>
              </w:rPr>
            </w:pPr>
            <w:r>
              <w:rPr>
                <w:rFonts w:ascii="Arial" w:cs="Arial" w:eastAsia="Arial" w:hAnsi="Arial"/>
                <w:sz w:val="20"/>
                <w:szCs w:val="20"/>
                <w:color w:val="auto"/>
              </w:rPr>
              <w:t>2016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(US$ millions)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(US$ millions)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0" w:type="dxa"/>
            <w:vAlign w:val="bottom"/>
            <w:gridSpan w:val="4"/>
            <w:shd w:val="clear" w:color="auto" w:fill="CCEEFF"/>
          </w:tcPr>
          <w:p>
            <w:pPr>
              <w:spacing w:after="0" w:line="216" w:lineRule="exact"/>
              <w:rPr>
                <w:sz w:val="20"/>
                <w:szCs w:val="20"/>
                <w:color w:val="auto"/>
              </w:rPr>
            </w:pPr>
            <w:r>
              <w:rPr>
                <w:rFonts w:ascii="Arial" w:cs="Arial" w:eastAsia="Arial" w:hAnsi="Arial"/>
                <w:sz w:val="20"/>
                <w:szCs w:val="20"/>
                <w:color w:val="auto"/>
              </w:rPr>
              <w:t>Interest expense</w:t>
            </w:r>
          </w:p>
        </w:tc>
        <w:tc>
          <w:tcPr>
            <w:tcW w:w="308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454</w:t>
            </w:r>
          </w:p>
        </w:tc>
        <w:tc>
          <w:tcPr>
            <w:tcW w:w="2200" w:type="dxa"/>
            <w:vAlign w:val="bottom"/>
            <w:gridSpan w:val="5"/>
            <w:shd w:val="clear" w:color="auto" w:fill="CCEEFF"/>
          </w:tcPr>
          <w:p>
            <w:pPr>
              <w:jc w:val="right"/>
              <w:spacing w:after="0" w:line="216" w:lineRule="exact"/>
              <w:rPr>
                <w:sz w:val="20"/>
                <w:szCs w:val="20"/>
                <w:color w:val="auto"/>
              </w:rPr>
            </w:pPr>
            <w:r>
              <w:rPr>
                <w:rFonts w:ascii="Arial" w:cs="Arial" w:eastAsia="Arial" w:hAnsi="Arial"/>
                <w:sz w:val="20"/>
                <w:szCs w:val="20"/>
                <w:color w:val="auto"/>
              </w:rPr>
              <w:t>585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0" w:type="dxa"/>
            <w:vAlign w:val="bottom"/>
            <w:gridSpan w:val="4"/>
          </w:tcPr>
          <w:p>
            <w:pPr>
              <w:spacing w:after="0"/>
              <w:rPr>
                <w:sz w:val="20"/>
                <w:szCs w:val="20"/>
                <w:color w:val="auto"/>
              </w:rPr>
            </w:pPr>
            <w:r>
              <w:rPr>
                <w:rFonts w:ascii="Arial" w:cs="Arial" w:eastAsia="Arial" w:hAnsi="Arial"/>
                <w:sz w:val="20"/>
                <w:szCs w:val="20"/>
                <w:color w:val="auto"/>
              </w:rPr>
              <w:t>Loss on extinguishment of debt</w:t>
            </w:r>
          </w:p>
        </w:tc>
        <w:tc>
          <w:tcPr>
            <w:tcW w:w="3080" w:type="dxa"/>
            <w:vAlign w:val="bottom"/>
            <w:gridSpan w:val="3"/>
          </w:tcPr>
          <w:p>
            <w:pPr>
              <w:jc w:val="right"/>
              <w:spacing w:after="0"/>
              <w:rPr>
                <w:sz w:val="20"/>
                <w:szCs w:val="20"/>
                <w:color w:val="auto"/>
              </w:rPr>
            </w:pPr>
            <w:r>
              <w:rPr>
                <w:rFonts w:ascii="Arial" w:cs="Arial" w:eastAsia="Arial" w:hAnsi="Arial"/>
                <w:sz w:val="20"/>
                <w:szCs w:val="20"/>
                <w:b w:val="1"/>
                <w:bCs w:val="1"/>
                <w:color w:val="auto"/>
              </w:rPr>
              <w:t>166</w:t>
            </w:r>
          </w:p>
        </w:tc>
        <w:tc>
          <w:tcPr>
            <w:tcW w:w="2200" w:type="dxa"/>
            <w:vAlign w:val="bottom"/>
            <w:gridSpan w:val="5"/>
          </w:tcPr>
          <w:p>
            <w:pPr>
              <w:jc w:val="right"/>
              <w:spacing w:after="0"/>
              <w:rPr>
                <w:sz w:val="20"/>
                <w:szCs w:val="20"/>
                <w:color w:val="auto"/>
              </w:rPr>
            </w:pPr>
            <w:r>
              <w:rPr>
                <w:rFonts w:ascii="Arial" w:cs="Arial" w:eastAsia="Arial" w:hAnsi="Arial"/>
                <w:sz w:val="20"/>
                <w:szCs w:val="20"/>
                <w:color w:val="auto"/>
              </w:rPr>
              <w:t>123</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0" w:type="dxa"/>
            <w:vAlign w:val="bottom"/>
            <w:tcBorders>
              <w:top w:val="single" w:sz="8" w:color="CCEEFF"/>
            </w:tcBorders>
            <w:gridSpan w:val="4"/>
            <w:shd w:val="clear" w:color="auto" w:fill="CCEEFF"/>
          </w:tcPr>
          <w:p>
            <w:pPr>
              <w:spacing w:after="0" w:line="209" w:lineRule="exact"/>
              <w:rPr>
                <w:sz w:val="20"/>
                <w:szCs w:val="20"/>
                <w:color w:val="auto"/>
              </w:rPr>
            </w:pPr>
            <w:r>
              <w:rPr>
                <w:rFonts w:ascii="Arial" w:cs="Arial" w:eastAsia="Arial" w:hAnsi="Arial"/>
                <w:sz w:val="20"/>
                <w:szCs w:val="20"/>
                <w:color w:val="auto"/>
              </w:rPr>
              <w:t>Finance expenses recognised in profit or loss</w:t>
            </w:r>
          </w:p>
        </w:tc>
        <w:tc>
          <w:tcPr>
            <w:tcW w:w="10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b w:val="1"/>
                <w:bCs w:val="1"/>
                <w:color w:val="auto"/>
              </w:rPr>
              <w:t>620</w:t>
            </w:r>
          </w:p>
        </w:tc>
        <w:tc>
          <w:tcPr>
            <w:tcW w:w="2200" w:type="dxa"/>
            <w:vAlign w:val="bottom"/>
            <w:tcBorders>
              <w:top w:val="single" w:sz="8" w:color="auto"/>
            </w:tcBorders>
            <w:gridSpan w:val="5"/>
            <w:shd w:val="clear" w:color="auto" w:fill="CCEEFF"/>
          </w:tcPr>
          <w:p>
            <w:pPr>
              <w:jc w:val="right"/>
              <w:spacing w:after="0" w:line="209" w:lineRule="exact"/>
              <w:rPr>
                <w:sz w:val="20"/>
                <w:szCs w:val="20"/>
                <w:color w:val="auto"/>
              </w:rPr>
            </w:pPr>
            <w:r>
              <w:rPr>
                <w:rFonts w:ascii="Arial" w:cs="Arial" w:eastAsia="Arial" w:hAnsi="Arial"/>
                <w:sz w:val="20"/>
                <w:szCs w:val="20"/>
                <w:color w:val="auto"/>
              </w:rPr>
              <w:t>708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92"/>
              </w:rPr>
              <w:t>9.</w:t>
            </w:r>
          </w:p>
        </w:tc>
        <w:tc>
          <w:tcPr>
            <w:tcW w:w="280" w:type="dxa"/>
            <w:vAlign w:val="bottom"/>
          </w:tcPr>
          <w:p>
            <w:pPr>
              <w:spacing w:after="0" w:line="20" w:lineRule="exact"/>
              <w:rPr>
                <w:sz w:val="1"/>
                <w:szCs w:val="1"/>
                <w:color w:val="auto"/>
              </w:rPr>
            </w:pPr>
          </w:p>
        </w:tc>
        <w:tc>
          <w:tcPr>
            <w:tcW w:w="440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Income taxes</w:t>
            </w: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4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gridSpan w:val="4"/>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gridSpan w:val="4"/>
          </w:tcPr>
          <w:p>
            <w:pPr>
              <w:ind w:left="100"/>
              <w:spacing w:after="0"/>
              <w:rPr>
                <w:sz w:val="20"/>
                <w:szCs w:val="20"/>
                <w:color w:val="auto"/>
              </w:rPr>
            </w:pPr>
            <w:r>
              <w:rPr>
                <w:rFonts w:ascii="Arial" w:cs="Arial" w:eastAsia="Arial" w:hAnsi="Arial"/>
                <w:sz w:val="18"/>
                <w:szCs w:val="18"/>
                <w:color w:val="auto"/>
              </w:rPr>
              <w:t>Income tax expense</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4"/>
          </w:tcPr>
          <w:p>
            <w:pPr>
              <w:jc w:val="right"/>
              <w:ind w:right="1594"/>
              <w:spacing w:after="0"/>
              <w:rPr>
                <w:sz w:val="20"/>
                <w:szCs w:val="20"/>
                <w:color w:val="auto"/>
              </w:rPr>
            </w:pPr>
            <w:r>
              <w:rPr>
                <w:rFonts w:ascii="Arial" w:cs="Arial" w:eastAsia="Arial" w:hAnsi="Arial"/>
                <w:sz w:val="18"/>
                <w:szCs w:val="18"/>
                <w:color w:val="auto"/>
                <w:w w:val="95"/>
              </w:rPr>
              <w:t>Group</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080" w:type="dxa"/>
            <w:vAlign w:val="bottom"/>
            <w:gridSpan w:val="3"/>
          </w:tcPr>
          <w:p>
            <w:pPr>
              <w:jc w:val="right"/>
              <w:ind w:right="69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500" w:type="dxa"/>
            <w:vAlign w:val="bottom"/>
            <w:tcBorders>
              <w:top w:val="single" w:sz="8" w:color="auto"/>
            </w:tcBorders>
            <w:gridSpan w:val="2"/>
          </w:tcPr>
          <w:p>
            <w:pPr>
              <w:spacing w:after="0"/>
              <w:rPr>
                <w:sz w:val="22"/>
                <w:szCs w:val="22"/>
                <w:color w:val="auto"/>
              </w:rPr>
            </w:pPr>
          </w:p>
        </w:tc>
        <w:tc>
          <w:tcPr>
            <w:tcW w:w="1680" w:type="dxa"/>
            <w:vAlign w:val="bottom"/>
            <w:gridSpan w:val="2"/>
          </w:tcPr>
          <w:p>
            <w:pPr>
              <w:jc w:val="right"/>
              <w:ind w:right="434"/>
              <w:spacing w:after="0"/>
              <w:rPr>
                <w:sz w:val="20"/>
                <w:szCs w:val="20"/>
                <w:color w:val="auto"/>
              </w:rPr>
            </w:pPr>
            <w:r>
              <w:rPr>
                <w:rFonts w:ascii="Arial" w:cs="Arial" w:eastAsia="Arial" w:hAnsi="Arial"/>
                <w:sz w:val="14"/>
                <w:szCs w:val="14"/>
                <w:color w:val="auto"/>
              </w:rPr>
              <w:t>2016</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(US$ millions)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(US$ millions)</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0" w:type="dxa"/>
            <w:vAlign w:val="bottom"/>
            <w:gridSpan w:val="4"/>
            <w:shd w:val="clear" w:color="auto" w:fill="CCEEFF"/>
          </w:tcPr>
          <w:p>
            <w:pPr>
              <w:spacing w:after="0" w:line="216" w:lineRule="exact"/>
              <w:rPr>
                <w:sz w:val="20"/>
                <w:szCs w:val="20"/>
                <w:color w:val="auto"/>
              </w:rPr>
            </w:pPr>
            <w:r>
              <w:rPr>
                <w:rFonts w:ascii="Arial" w:cs="Arial" w:eastAsia="Arial" w:hAnsi="Arial"/>
                <w:sz w:val="20"/>
                <w:szCs w:val="20"/>
                <w:color w:val="auto"/>
              </w:rPr>
              <w:t>Tax expense attributable to profit is made up of:</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80" w:type="dxa"/>
            <w:vAlign w:val="bottom"/>
            <w:gridSpan w:val="5"/>
          </w:tcPr>
          <w:p>
            <w:pPr>
              <w:ind w:left="260"/>
              <w:spacing w:after="0"/>
              <w:rPr>
                <w:sz w:val="20"/>
                <w:szCs w:val="20"/>
                <w:color w:val="auto"/>
              </w:rPr>
            </w:pPr>
            <w:r>
              <w:rPr>
                <w:rFonts w:ascii="Arial" w:cs="Arial" w:eastAsia="Arial" w:hAnsi="Arial"/>
                <w:sz w:val="20"/>
                <w:szCs w:val="20"/>
                <w:color w:val="auto"/>
              </w:rPr>
              <w:t>- Profit/(loss) for the financial year:</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20" w:type="dxa"/>
            <w:vAlign w:val="bottom"/>
            <w:gridSpan w:val="3"/>
            <w:shd w:val="clear" w:color="auto" w:fill="CCEEFF"/>
          </w:tcPr>
          <w:p>
            <w:pPr>
              <w:spacing w:after="0" w:line="189" w:lineRule="exact"/>
              <w:rPr>
                <w:sz w:val="20"/>
                <w:szCs w:val="20"/>
                <w:color w:val="auto"/>
              </w:rPr>
            </w:pPr>
            <w:r>
              <w:rPr>
                <w:rFonts w:ascii="Arial" w:cs="Arial" w:eastAsia="Arial" w:hAnsi="Arial"/>
                <w:sz w:val="20"/>
                <w:szCs w:val="20"/>
                <w:color w:val="auto"/>
              </w:rPr>
              <w:t>From continuing operations</w:t>
            </w: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0" w:type="dxa"/>
            <w:vAlign w:val="bottom"/>
            <w:tcBorders>
              <w:top w:val="single" w:sz="8" w:color="auto"/>
            </w:tcBorders>
          </w:tcPr>
          <w:p>
            <w:pPr>
              <w:spacing w:after="0" w:line="216" w:lineRule="exact"/>
              <w:rPr>
                <w:sz w:val="20"/>
                <w:szCs w:val="20"/>
                <w:color w:val="auto"/>
              </w:rPr>
            </w:pPr>
            <w:r>
              <w:rPr>
                <w:rFonts w:ascii="Arial" w:cs="Arial" w:eastAsia="Arial" w:hAnsi="Arial"/>
                <w:sz w:val="20"/>
                <w:szCs w:val="20"/>
                <w:color w:val="auto"/>
              </w:rPr>
              <w:t>Current income tax</w:t>
            </w:r>
          </w:p>
        </w:tc>
        <w:tc>
          <w:tcPr>
            <w:tcW w:w="182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ind w:left="200"/>
              <w:spacing w:after="0" w:line="216" w:lineRule="exact"/>
              <w:rPr>
                <w:sz w:val="20"/>
                <w:szCs w:val="20"/>
                <w:color w:val="auto"/>
              </w:rPr>
            </w:pPr>
            <w:r>
              <w:rPr>
                <w:rFonts w:ascii="Arial" w:cs="Arial" w:eastAsia="Arial" w:hAnsi="Arial"/>
                <w:sz w:val="20"/>
                <w:szCs w:val="20"/>
                <w:color w:val="auto"/>
              </w:rPr>
              <w:t>- Singapore</w:t>
            </w:r>
          </w:p>
        </w:tc>
        <w:tc>
          <w:tcPr>
            <w:tcW w:w="3080" w:type="dxa"/>
            <w:vAlign w:val="bottom"/>
            <w:gridSpan w:val="3"/>
            <w:shd w:val="clear" w:color="auto" w:fill="CCEEFF"/>
          </w:tcPr>
          <w:p>
            <w:pPr>
              <w:jc w:val="right"/>
              <w:ind w:right="250"/>
              <w:spacing w:after="0" w:line="216" w:lineRule="exact"/>
              <w:rPr>
                <w:sz w:val="20"/>
                <w:szCs w:val="20"/>
                <w:color w:val="auto"/>
              </w:rPr>
            </w:pPr>
            <w:r>
              <w:rPr>
                <w:rFonts w:ascii="Arial" w:cs="Arial" w:eastAsia="Arial" w:hAnsi="Arial"/>
                <w:sz w:val="20"/>
                <w:szCs w:val="20"/>
                <w:b w:val="1"/>
                <w:bCs w:val="1"/>
                <w:color w:val="auto"/>
              </w:rPr>
              <w:t>112</w:t>
            </w:r>
          </w:p>
        </w:tc>
        <w:tc>
          <w:tcPr>
            <w:tcW w:w="2200" w:type="dxa"/>
            <w:vAlign w:val="bottom"/>
            <w:gridSpan w:val="5"/>
            <w:shd w:val="clear" w:color="auto" w:fill="CCEEFF"/>
          </w:tcPr>
          <w:p>
            <w:pPr>
              <w:jc w:val="right"/>
              <w:ind w:right="34"/>
              <w:spacing w:after="0" w:line="216" w:lineRule="exact"/>
              <w:rPr>
                <w:sz w:val="20"/>
                <w:szCs w:val="20"/>
                <w:color w:val="auto"/>
              </w:rPr>
            </w:pPr>
            <w:r>
              <w:rPr>
                <w:rFonts w:ascii="Arial" w:cs="Arial" w:eastAsia="Arial" w:hAnsi="Arial"/>
                <w:sz w:val="20"/>
                <w:szCs w:val="20"/>
                <w:color w:val="auto"/>
              </w:rPr>
              <w:t>59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20" w:type="dxa"/>
            <w:vAlign w:val="bottom"/>
            <w:gridSpan w:val="3"/>
          </w:tcPr>
          <w:p>
            <w:pPr>
              <w:ind w:left="200"/>
              <w:spacing w:after="0"/>
              <w:rPr>
                <w:sz w:val="20"/>
                <w:szCs w:val="20"/>
                <w:color w:val="auto"/>
              </w:rPr>
            </w:pPr>
            <w:r>
              <w:rPr>
                <w:rFonts w:ascii="Arial" w:cs="Arial" w:eastAsia="Arial" w:hAnsi="Arial"/>
                <w:sz w:val="20"/>
                <w:szCs w:val="20"/>
                <w:color w:val="auto"/>
              </w:rPr>
              <w:t>- Foreign</w:t>
            </w:r>
          </w:p>
        </w:tc>
        <w:tc>
          <w:tcPr>
            <w:tcW w:w="3080" w:type="dxa"/>
            <w:vAlign w:val="bottom"/>
            <w:gridSpan w:val="3"/>
          </w:tcPr>
          <w:p>
            <w:pPr>
              <w:jc w:val="right"/>
              <w:ind w:right="250"/>
              <w:spacing w:after="0"/>
              <w:rPr>
                <w:sz w:val="20"/>
                <w:szCs w:val="20"/>
                <w:color w:val="auto"/>
              </w:rPr>
            </w:pPr>
            <w:r>
              <w:rPr>
                <w:rFonts w:ascii="Arial" w:cs="Arial" w:eastAsia="Arial" w:hAnsi="Arial"/>
                <w:sz w:val="20"/>
                <w:szCs w:val="20"/>
                <w:b w:val="1"/>
                <w:bCs w:val="1"/>
                <w:color w:val="auto"/>
              </w:rPr>
              <w:t>158</w:t>
            </w:r>
          </w:p>
        </w:tc>
        <w:tc>
          <w:tcPr>
            <w:tcW w:w="2200" w:type="dxa"/>
            <w:vAlign w:val="bottom"/>
            <w:gridSpan w:val="5"/>
          </w:tcPr>
          <w:p>
            <w:pPr>
              <w:jc w:val="right"/>
              <w:ind w:right="34"/>
              <w:spacing w:after="0"/>
              <w:rPr>
                <w:sz w:val="20"/>
                <w:szCs w:val="20"/>
                <w:color w:val="auto"/>
              </w:rPr>
            </w:pPr>
            <w:r>
              <w:rPr>
                <w:rFonts w:ascii="Arial" w:cs="Arial" w:eastAsia="Arial" w:hAnsi="Arial"/>
                <w:sz w:val="20"/>
                <w:szCs w:val="20"/>
                <w:color w:val="auto"/>
              </w:rPr>
              <w:t>165</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gridSpan w:val="2"/>
            <w:shd w:val="clear" w:color="auto" w:fill="CCEEFF"/>
          </w:tcPr>
          <w:p>
            <w:pPr>
              <w:jc w:val="right"/>
              <w:ind w:right="250"/>
              <w:spacing w:after="0" w:line="209" w:lineRule="exact"/>
              <w:rPr>
                <w:sz w:val="20"/>
                <w:szCs w:val="20"/>
                <w:color w:val="auto"/>
              </w:rPr>
            </w:pPr>
            <w:r>
              <w:rPr>
                <w:rFonts w:ascii="Arial" w:cs="Arial" w:eastAsia="Arial" w:hAnsi="Arial"/>
                <w:sz w:val="20"/>
                <w:szCs w:val="20"/>
                <w:b w:val="1"/>
                <w:bCs w:val="1"/>
                <w:color w:val="auto"/>
              </w:rPr>
              <w:t>270</w:t>
            </w:r>
          </w:p>
        </w:tc>
        <w:tc>
          <w:tcPr>
            <w:tcW w:w="2200" w:type="dxa"/>
            <w:vAlign w:val="bottom"/>
            <w:tcBorders>
              <w:top w:val="single" w:sz="8" w:color="auto"/>
            </w:tcBorders>
            <w:gridSpan w:val="5"/>
            <w:shd w:val="clear" w:color="auto" w:fill="CCEEFF"/>
          </w:tcPr>
          <w:p>
            <w:pPr>
              <w:jc w:val="right"/>
              <w:ind w:right="34"/>
              <w:spacing w:after="0" w:line="209" w:lineRule="exact"/>
              <w:rPr>
                <w:sz w:val="20"/>
                <w:szCs w:val="20"/>
                <w:color w:val="auto"/>
              </w:rPr>
            </w:pPr>
            <w:r>
              <w:rPr>
                <w:rFonts w:ascii="Arial" w:cs="Arial" w:eastAsia="Arial" w:hAnsi="Arial"/>
                <w:sz w:val="20"/>
                <w:szCs w:val="20"/>
                <w:color w:val="auto"/>
              </w:rPr>
              <w:t>224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20" w:type="dxa"/>
            <w:vAlign w:val="bottom"/>
            <w:gridSpan w:val="3"/>
          </w:tcPr>
          <w:p>
            <w:pPr>
              <w:ind w:left="200"/>
              <w:spacing w:after="0"/>
              <w:rPr>
                <w:sz w:val="20"/>
                <w:szCs w:val="20"/>
                <w:color w:val="auto"/>
              </w:rPr>
            </w:pPr>
            <w:r>
              <w:rPr>
                <w:rFonts w:ascii="Arial" w:cs="Arial" w:eastAsia="Arial" w:hAnsi="Arial"/>
                <w:sz w:val="20"/>
                <w:szCs w:val="20"/>
                <w:color w:val="auto"/>
              </w:rPr>
              <w:t>Deferred income tax</w:t>
            </w:r>
          </w:p>
        </w:tc>
        <w:tc>
          <w:tcPr>
            <w:tcW w:w="3080" w:type="dxa"/>
            <w:vAlign w:val="bottom"/>
            <w:gridSpan w:val="3"/>
          </w:tcPr>
          <w:p>
            <w:pPr>
              <w:jc w:val="right"/>
              <w:ind w:right="190"/>
              <w:spacing w:after="0"/>
              <w:rPr>
                <w:sz w:val="20"/>
                <w:szCs w:val="20"/>
                <w:color w:val="auto"/>
              </w:rPr>
            </w:pPr>
            <w:r>
              <w:rPr>
                <w:rFonts w:ascii="Arial" w:cs="Arial" w:eastAsia="Arial" w:hAnsi="Arial"/>
                <w:sz w:val="20"/>
                <w:szCs w:val="20"/>
                <w:b w:val="1"/>
                <w:bCs w:val="1"/>
                <w:color w:val="auto"/>
              </w:rPr>
              <w:t>(235)</w:t>
            </w:r>
          </w:p>
        </w:tc>
        <w:tc>
          <w:tcPr>
            <w:tcW w:w="2200" w:type="dxa"/>
            <w:vAlign w:val="bottom"/>
            <w:gridSpan w:val="5"/>
          </w:tcPr>
          <w:p>
            <w:pPr>
              <w:jc w:val="right"/>
              <w:ind w:right="34"/>
              <w:spacing w:after="0"/>
              <w:rPr>
                <w:sz w:val="20"/>
                <w:szCs w:val="20"/>
                <w:color w:val="auto"/>
              </w:rPr>
            </w:pPr>
            <w:r>
              <w:rPr>
                <w:rFonts w:ascii="Arial" w:cs="Arial" w:eastAsia="Arial" w:hAnsi="Arial"/>
                <w:sz w:val="20"/>
                <w:szCs w:val="20"/>
                <w:color w:val="auto"/>
              </w:rPr>
              <w:t>418</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gridSpan w:val="2"/>
            <w:shd w:val="clear" w:color="auto" w:fill="CCEEFF"/>
          </w:tcPr>
          <w:p>
            <w:pPr>
              <w:jc w:val="right"/>
              <w:ind w:right="250"/>
              <w:spacing w:after="0" w:line="209" w:lineRule="exact"/>
              <w:rPr>
                <w:sz w:val="20"/>
                <w:szCs w:val="20"/>
                <w:color w:val="auto"/>
              </w:rPr>
            </w:pPr>
            <w:r>
              <w:rPr>
                <w:rFonts w:ascii="Arial" w:cs="Arial" w:eastAsia="Arial" w:hAnsi="Arial"/>
                <w:sz w:val="20"/>
                <w:szCs w:val="20"/>
                <w:b w:val="1"/>
                <w:bCs w:val="1"/>
                <w:color w:val="auto"/>
              </w:rPr>
              <w:t>35</w:t>
            </w:r>
          </w:p>
        </w:tc>
        <w:tc>
          <w:tcPr>
            <w:tcW w:w="2200" w:type="dxa"/>
            <w:vAlign w:val="bottom"/>
            <w:tcBorders>
              <w:top w:val="single" w:sz="8" w:color="auto"/>
            </w:tcBorders>
            <w:gridSpan w:val="5"/>
            <w:shd w:val="clear" w:color="auto" w:fill="CCEEFF"/>
          </w:tcPr>
          <w:p>
            <w:pPr>
              <w:jc w:val="right"/>
              <w:ind w:right="34"/>
              <w:spacing w:after="0" w:line="209" w:lineRule="exact"/>
              <w:rPr>
                <w:sz w:val="20"/>
                <w:szCs w:val="20"/>
                <w:color w:val="auto"/>
              </w:rPr>
            </w:pPr>
            <w:r>
              <w:rPr>
                <w:rFonts w:ascii="Arial" w:cs="Arial" w:eastAsia="Arial" w:hAnsi="Arial"/>
                <w:sz w:val="20"/>
                <w:szCs w:val="20"/>
                <w:color w:val="auto"/>
              </w:rPr>
              <w:t>642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20"/>
                <w:szCs w:val="20"/>
                <w:color w:val="auto"/>
                <w:w w:val="98"/>
              </w:rPr>
              <w:t>From discontinued operations</w:t>
            </w: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Current income tax</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20" w:type="dxa"/>
            <w:vAlign w:val="bottom"/>
            <w:gridSpan w:val="3"/>
          </w:tcPr>
          <w:p>
            <w:pPr>
              <w:ind w:left="200"/>
              <w:spacing w:after="0"/>
              <w:rPr>
                <w:sz w:val="20"/>
                <w:szCs w:val="20"/>
                <w:color w:val="auto"/>
              </w:rPr>
            </w:pPr>
            <w:r>
              <w:rPr>
                <w:rFonts w:ascii="Arial" w:cs="Arial" w:eastAsia="Arial" w:hAnsi="Arial"/>
                <w:sz w:val="20"/>
                <w:szCs w:val="20"/>
                <w:color w:val="auto"/>
              </w:rPr>
              <w:t>- Foreign</w:t>
            </w:r>
          </w:p>
        </w:tc>
        <w:tc>
          <w:tcPr>
            <w:tcW w:w="3080" w:type="dxa"/>
            <w:vAlign w:val="bottom"/>
            <w:gridSpan w:val="3"/>
          </w:tcPr>
          <w:p>
            <w:pPr>
              <w:jc w:val="right"/>
              <w:ind w:right="250"/>
              <w:spacing w:after="0"/>
              <w:rPr>
                <w:sz w:val="20"/>
                <w:szCs w:val="20"/>
                <w:color w:val="auto"/>
              </w:rPr>
            </w:pPr>
            <w:r>
              <w:rPr>
                <w:rFonts w:ascii="Arial" w:cs="Arial" w:eastAsia="Arial" w:hAnsi="Arial"/>
                <w:sz w:val="20"/>
                <w:szCs w:val="20"/>
                <w:b w:val="1"/>
                <w:bCs w:val="1"/>
                <w:color w:val="auto"/>
              </w:rPr>
              <w:t>-</w:t>
            </w:r>
          </w:p>
        </w:tc>
        <w:tc>
          <w:tcPr>
            <w:tcW w:w="2200" w:type="dxa"/>
            <w:vAlign w:val="bottom"/>
            <w:gridSpan w:val="5"/>
          </w:tcPr>
          <w:p>
            <w:pPr>
              <w:jc w:val="right"/>
              <w:spacing w:after="0"/>
              <w:rPr>
                <w:sz w:val="20"/>
                <w:szCs w:val="20"/>
                <w:color w:val="auto"/>
              </w:rPr>
            </w:pPr>
            <w:r>
              <w:rPr>
                <w:rFonts w:ascii="Arial" w:cs="Arial" w:eastAsia="Arial" w:hAnsi="Arial"/>
                <w:sz w:val="20"/>
                <w:szCs w:val="20"/>
                <w:color w:val="auto"/>
              </w:rPr>
              <w:t>(62)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gridSpan w:val="2"/>
            <w:shd w:val="clear" w:color="auto" w:fill="CCEEFF"/>
          </w:tcPr>
          <w:p>
            <w:pPr>
              <w:jc w:val="right"/>
              <w:ind w:right="250"/>
              <w:spacing w:after="0" w:line="209" w:lineRule="exact"/>
              <w:rPr>
                <w:sz w:val="20"/>
                <w:szCs w:val="20"/>
                <w:color w:val="auto"/>
              </w:rPr>
            </w:pPr>
            <w:r>
              <w:rPr>
                <w:rFonts w:ascii="Arial" w:cs="Arial" w:eastAsia="Arial" w:hAnsi="Arial"/>
                <w:sz w:val="20"/>
                <w:szCs w:val="20"/>
                <w:b w:val="1"/>
                <w:bCs w:val="1"/>
                <w:color w:val="auto"/>
              </w:rPr>
              <w:t>35</w:t>
            </w:r>
          </w:p>
        </w:tc>
        <w:tc>
          <w:tcPr>
            <w:tcW w:w="2200" w:type="dxa"/>
            <w:vAlign w:val="bottom"/>
            <w:tcBorders>
              <w:top w:val="single" w:sz="8" w:color="auto"/>
            </w:tcBorders>
            <w:gridSpan w:val="5"/>
            <w:shd w:val="clear" w:color="auto" w:fill="CCEEFF"/>
          </w:tcPr>
          <w:p>
            <w:pPr>
              <w:jc w:val="right"/>
              <w:ind w:right="34"/>
              <w:spacing w:after="0" w:line="209" w:lineRule="exact"/>
              <w:rPr>
                <w:sz w:val="20"/>
                <w:szCs w:val="20"/>
                <w:color w:val="auto"/>
              </w:rPr>
            </w:pPr>
            <w:r>
              <w:rPr>
                <w:rFonts w:ascii="Arial" w:cs="Arial" w:eastAsia="Arial" w:hAnsi="Arial"/>
                <w:sz w:val="20"/>
                <w:szCs w:val="20"/>
                <w:color w:val="auto"/>
              </w:rPr>
              <w:t>580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80" w:type="dxa"/>
            <w:vAlign w:val="bottom"/>
            <w:gridSpan w:val="5"/>
            <w:vMerge w:val="restart"/>
          </w:tcPr>
          <w:p>
            <w:pPr>
              <w:ind w:left="260"/>
              <w:spacing w:after="0"/>
              <w:rPr>
                <w:sz w:val="20"/>
                <w:szCs w:val="20"/>
                <w:color w:val="auto"/>
              </w:rPr>
            </w:pPr>
            <w:r>
              <w:rPr>
                <w:rFonts w:ascii="Arial" w:cs="Arial" w:eastAsia="Arial" w:hAnsi="Arial"/>
                <w:sz w:val="20"/>
                <w:szCs w:val="20"/>
                <w:color w:val="auto"/>
              </w:rPr>
              <w:t>Tax expense is attributable to:</w:t>
            </w:r>
          </w:p>
        </w:tc>
        <w:tc>
          <w:tcPr>
            <w:tcW w:w="1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8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 continuing operations</w:t>
            </w:r>
          </w:p>
        </w:tc>
        <w:tc>
          <w:tcPr>
            <w:tcW w:w="3080" w:type="dxa"/>
            <w:vAlign w:val="bottom"/>
            <w:gridSpan w:val="3"/>
            <w:shd w:val="clear" w:color="auto" w:fill="CCEEFF"/>
          </w:tcPr>
          <w:p>
            <w:pPr>
              <w:jc w:val="right"/>
              <w:ind w:right="250"/>
              <w:spacing w:after="0" w:line="216" w:lineRule="exact"/>
              <w:rPr>
                <w:sz w:val="20"/>
                <w:szCs w:val="20"/>
                <w:color w:val="auto"/>
              </w:rPr>
            </w:pPr>
            <w:r>
              <w:rPr>
                <w:rFonts w:ascii="Arial" w:cs="Arial" w:eastAsia="Arial" w:hAnsi="Arial"/>
                <w:sz w:val="20"/>
                <w:szCs w:val="20"/>
                <w:b w:val="1"/>
                <w:bCs w:val="1"/>
                <w:color w:val="auto"/>
              </w:rPr>
              <w:t>35</w:t>
            </w:r>
          </w:p>
        </w:tc>
        <w:tc>
          <w:tcPr>
            <w:tcW w:w="2200" w:type="dxa"/>
            <w:vAlign w:val="bottom"/>
            <w:gridSpan w:val="5"/>
            <w:shd w:val="clear" w:color="auto" w:fill="CCEEFF"/>
          </w:tcPr>
          <w:p>
            <w:pPr>
              <w:jc w:val="right"/>
              <w:ind w:right="34"/>
              <w:spacing w:after="0" w:line="216" w:lineRule="exact"/>
              <w:rPr>
                <w:sz w:val="20"/>
                <w:szCs w:val="20"/>
                <w:color w:val="auto"/>
              </w:rPr>
            </w:pPr>
            <w:r>
              <w:rPr>
                <w:rFonts w:ascii="Arial" w:cs="Arial" w:eastAsia="Arial" w:hAnsi="Arial"/>
                <w:sz w:val="20"/>
                <w:szCs w:val="20"/>
                <w:color w:val="auto"/>
              </w:rPr>
              <w:t>642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Arial" w:cs="Arial" w:eastAsia="Arial" w:hAnsi="Arial"/>
                <w:sz w:val="20"/>
                <w:szCs w:val="20"/>
                <w:color w:val="auto"/>
              </w:rPr>
              <w:t>- discontinued operations (Note 10(a))</w:t>
            </w:r>
          </w:p>
        </w:tc>
        <w:tc>
          <w:tcPr>
            <w:tcW w:w="3080" w:type="dxa"/>
            <w:vAlign w:val="bottom"/>
            <w:gridSpan w:val="3"/>
          </w:tcPr>
          <w:p>
            <w:pPr>
              <w:jc w:val="right"/>
              <w:ind w:right="250"/>
              <w:spacing w:after="0"/>
              <w:rPr>
                <w:sz w:val="20"/>
                <w:szCs w:val="20"/>
                <w:color w:val="auto"/>
              </w:rPr>
            </w:pPr>
            <w:r>
              <w:rPr>
                <w:rFonts w:ascii="Arial" w:cs="Arial" w:eastAsia="Arial" w:hAnsi="Arial"/>
                <w:sz w:val="20"/>
                <w:szCs w:val="20"/>
                <w:b w:val="1"/>
                <w:bCs w:val="1"/>
                <w:color w:val="auto"/>
              </w:rPr>
              <w:t>-</w:t>
            </w:r>
          </w:p>
        </w:tc>
        <w:tc>
          <w:tcPr>
            <w:tcW w:w="2200" w:type="dxa"/>
            <w:vAlign w:val="bottom"/>
            <w:gridSpan w:val="5"/>
          </w:tcPr>
          <w:p>
            <w:pPr>
              <w:jc w:val="right"/>
              <w:spacing w:after="0"/>
              <w:rPr>
                <w:sz w:val="20"/>
                <w:szCs w:val="20"/>
                <w:color w:val="auto"/>
              </w:rPr>
            </w:pPr>
            <w:r>
              <w:rPr>
                <w:rFonts w:ascii="Arial" w:cs="Arial" w:eastAsia="Arial" w:hAnsi="Arial"/>
                <w:sz w:val="20"/>
                <w:szCs w:val="20"/>
                <w:color w:val="auto"/>
              </w:rPr>
              <w:t>(62)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80" w:type="dxa"/>
            <w:vAlign w:val="bottom"/>
            <w:tcBorders>
              <w:top w:val="single" w:sz="8" w:color="auto"/>
              <w:bottom w:val="single" w:sz="8" w:color="auto"/>
            </w:tcBorders>
            <w:gridSpan w:val="2"/>
          </w:tcPr>
          <w:p>
            <w:pPr>
              <w:jc w:val="right"/>
              <w:ind w:right="250"/>
              <w:spacing w:after="0" w:line="223" w:lineRule="exact"/>
              <w:rPr>
                <w:sz w:val="20"/>
                <w:szCs w:val="20"/>
                <w:color w:val="auto"/>
              </w:rPr>
            </w:pPr>
            <w:r>
              <w:rPr>
                <w:rFonts w:ascii="Arial" w:cs="Arial" w:eastAsia="Arial" w:hAnsi="Arial"/>
                <w:sz w:val="20"/>
                <w:szCs w:val="20"/>
                <w:b w:val="1"/>
                <w:bCs w:val="1"/>
                <w:color w:val="auto"/>
              </w:rPr>
              <w:t>35</w:t>
            </w:r>
          </w:p>
        </w:tc>
        <w:tc>
          <w:tcPr>
            <w:tcW w:w="2200" w:type="dxa"/>
            <w:vAlign w:val="bottom"/>
            <w:tcBorders>
              <w:top w:val="single" w:sz="8" w:color="auto"/>
              <w:bottom w:val="single" w:sz="8" w:color="auto"/>
            </w:tcBorders>
            <w:gridSpan w:val="5"/>
          </w:tcPr>
          <w:p>
            <w:pPr>
              <w:jc w:val="right"/>
              <w:ind w:right="34"/>
              <w:spacing w:after="0" w:line="223" w:lineRule="exact"/>
              <w:rPr>
                <w:sz w:val="20"/>
                <w:szCs w:val="20"/>
                <w:color w:val="auto"/>
              </w:rPr>
            </w:pPr>
            <w:r>
              <w:rPr>
                <w:rFonts w:ascii="Arial" w:cs="Arial" w:eastAsia="Arial" w:hAnsi="Arial"/>
                <w:sz w:val="20"/>
                <w:szCs w:val="20"/>
                <w:color w:val="auto"/>
              </w:rPr>
              <w:t>580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80" w:type="dxa"/>
            <w:vAlign w:val="bottom"/>
            <w:gridSpan w:val="3"/>
          </w:tcPr>
          <w:p>
            <w:pPr>
              <w:jc w:val="right"/>
              <w:ind w:right="2370"/>
              <w:spacing w:after="0"/>
              <w:rPr>
                <w:sz w:val="20"/>
                <w:szCs w:val="20"/>
                <w:color w:val="auto"/>
              </w:rPr>
            </w:pPr>
            <w:r>
              <w:rPr>
                <w:rFonts w:ascii="Arial" w:cs="Arial" w:eastAsia="Arial" w:hAnsi="Arial"/>
                <w:sz w:val="18"/>
                <w:szCs w:val="18"/>
                <w:color w:val="auto"/>
              </w:rPr>
              <w:t>A-64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right="7600" w:hanging="776"/>
        <w:spacing w:after="0" w:line="444" w:lineRule="auto"/>
        <w:tabs>
          <w:tab w:leader="none" w:pos="978"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(continued)</w:t>
      </w:r>
    </w:p>
    <w:p>
      <w:pPr>
        <w:spacing w:after="0" w:line="1" w:lineRule="exact"/>
        <w:rPr>
          <w:rFonts w:ascii="Arial" w:cs="Arial" w:eastAsia="Arial" w:hAnsi="Arial"/>
          <w:sz w:val="17"/>
          <w:szCs w:val="17"/>
          <w:b w:val="1"/>
          <w:bCs w:val="1"/>
          <w:color w:val="auto"/>
        </w:rPr>
      </w:pPr>
    </w:p>
    <w:p>
      <w:pPr>
        <w:ind w:left="980" w:right="2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tax on the Group’s profit before tax differs from the theoretical amount that would arise using the Singapore standard rate of income tax as follows:</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Group</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0" w:type="dxa"/>
            <w:vAlign w:val="bottom"/>
          </w:tcPr>
          <w:p>
            <w:pPr>
              <w:jc w:val="right"/>
              <w:ind w:right="382"/>
              <w:spacing w:after="0"/>
              <w:rPr>
                <w:sz w:val="20"/>
                <w:szCs w:val="20"/>
                <w:color w:val="auto"/>
              </w:rPr>
            </w:pPr>
            <w:r>
              <w:rPr>
                <w:rFonts w:ascii="Arial" w:cs="Arial" w:eastAsia="Arial" w:hAnsi="Arial"/>
                <w:sz w:val="20"/>
                <w:szCs w:val="20"/>
                <w:b w:val="1"/>
                <w:bCs w:val="1"/>
                <w:color w:val="auto"/>
              </w:rPr>
              <w:t>2017</w:t>
            </w:r>
          </w:p>
        </w:tc>
        <w:tc>
          <w:tcPr>
            <w:tcW w:w="1980" w:type="dxa"/>
            <w:vAlign w:val="bottom"/>
            <w:gridSpan w:val="2"/>
          </w:tcPr>
          <w:p>
            <w:pPr>
              <w:jc w:val="right"/>
              <w:ind w:right="370"/>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000" w:type="dxa"/>
            <w:vAlign w:val="bottom"/>
          </w:tcPr>
          <w:p>
            <w:pPr>
              <w:jc w:val="right"/>
              <w:ind w:right="2"/>
              <w:spacing w:after="0"/>
              <w:rPr>
                <w:sz w:val="20"/>
                <w:szCs w:val="20"/>
                <w:color w:val="auto"/>
              </w:rPr>
            </w:pPr>
            <w:r>
              <w:rPr>
                <w:rFonts w:ascii="Arial" w:cs="Arial" w:eastAsia="Arial" w:hAnsi="Arial"/>
                <w:sz w:val="18"/>
                <w:szCs w:val="18"/>
                <w:b w:val="1"/>
                <w:bCs w:val="1"/>
                <w:color w:val="auto"/>
              </w:rPr>
              <w:t>(US$ millions)</w:t>
            </w:r>
          </w:p>
        </w:tc>
        <w:tc>
          <w:tcPr>
            <w:tcW w:w="56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Profit/(loss) before tax from</w:t>
            </w:r>
          </w:p>
        </w:tc>
        <w:tc>
          <w:tcPr>
            <w:tcW w:w="2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80"/>
              <w:spacing w:after="0" w:line="216" w:lineRule="exact"/>
              <w:rPr>
                <w:sz w:val="20"/>
                <w:szCs w:val="20"/>
                <w:color w:val="auto"/>
              </w:rPr>
            </w:pPr>
            <w:r>
              <w:rPr>
                <w:rFonts w:ascii="Arial" w:cs="Arial" w:eastAsia="Arial" w:hAnsi="Arial"/>
                <w:sz w:val="20"/>
                <w:szCs w:val="20"/>
                <w:color w:val="auto"/>
              </w:rPr>
              <w:t>- continuing operations</w:t>
            </w:r>
          </w:p>
        </w:tc>
        <w:tc>
          <w:tcPr>
            <w:tcW w:w="2000" w:type="dxa"/>
            <w:vAlign w:val="bottom"/>
          </w:tcPr>
          <w:p>
            <w:pPr>
              <w:jc w:val="right"/>
              <w:ind w:right="2"/>
              <w:spacing w:after="0" w:line="216" w:lineRule="exact"/>
              <w:rPr>
                <w:sz w:val="20"/>
                <w:szCs w:val="20"/>
                <w:color w:val="auto"/>
              </w:rPr>
            </w:pPr>
            <w:r>
              <w:rPr>
                <w:rFonts w:ascii="Arial" w:cs="Arial" w:eastAsia="Arial" w:hAnsi="Arial"/>
                <w:sz w:val="20"/>
                <w:szCs w:val="20"/>
                <w:color w:val="auto"/>
              </w:rPr>
              <w:t>1,823</w:t>
            </w:r>
          </w:p>
        </w:tc>
        <w:tc>
          <w:tcPr>
            <w:tcW w:w="19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80"/>
              <w:spacing w:after="0" w:line="216" w:lineRule="exact"/>
              <w:rPr>
                <w:sz w:val="20"/>
                <w:szCs w:val="20"/>
                <w:color w:val="auto"/>
              </w:rPr>
            </w:pPr>
            <w:r>
              <w:rPr>
                <w:rFonts w:ascii="Arial" w:cs="Arial" w:eastAsia="Arial" w:hAnsi="Arial"/>
                <w:sz w:val="20"/>
                <w:szCs w:val="20"/>
                <w:color w:val="auto"/>
              </w:rPr>
              <w:t>- discontinued operations (Note 10(a))</w:t>
            </w:r>
          </w:p>
        </w:tc>
        <w:tc>
          <w:tcPr>
            <w:tcW w:w="2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w:t>
            </w:r>
          </w:p>
        </w:tc>
        <w:tc>
          <w:tcPr>
            <w:tcW w:w="19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7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ind w:right="2"/>
              <w:spacing w:after="0" w:line="217" w:lineRule="exact"/>
              <w:rPr>
                <w:sz w:val="20"/>
                <w:szCs w:val="20"/>
                <w:color w:val="auto"/>
              </w:rPr>
            </w:pPr>
            <w:r>
              <w:rPr>
                <w:rFonts w:ascii="Arial" w:cs="Arial" w:eastAsia="Arial" w:hAnsi="Arial"/>
                <w:sz w:val="20"/>
                <w:szCs w:val="20"/>
                <w:b w:val="1"/>
                <w:bCs w:val="1"/>
                <w:color w:val="auto"/>
              </w:rPr>
              <w:t>1,817</w:t>
            </w:r>
          </w:p>
        </w:tc>
        <w:tc>
          <w:tcPr>
            <w:tcW w:w="1980" w:type="dxa"/>
            <w:vAlign w:val="bottom"/>
            <w:tcBorders>
              <w:bottom w:val="single" w:sz="8" w:color="auto"/>
            </w:tcBorders>
            <w:gridSpan w:val="2"/>
          </w:tcPr>
          <w:p>
            <w:pPr>
              <w:jc w:val="right"/>
              <w:spacing w:after="0" w:line="217" w:lineRule="exact"/>
              <w:rPr>
                <w:sz w:val="20"/>
                <w:szCs w:val="20"/>
                <w:color w:val="auto"/>
              </w:rPr>
            </w:pPr>
            <w:r>
              <w:rPr>
                <w:rFonts w:ascii="Arial" w:cs="Arial" w:eastAsia="Arial" w:hAnsi="Arial"/>
                <w:sz w:val="20"/>
                <w:szCs w:val="20"/>
                <w:color w:val="auto"/>
              </w:rPr>
              <w:t>(1,323)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Tax calculated at tax rate of 17% (2016: 17%)</w:t>
            </w:r>
          </w:p>
        </w:tc>
        <w:tc>
          <w:tcPr>
            <w:tcW w:w="2000" w:type="dxa"/>
            <w:vAlign w:val="bottom"/>
            <w:shd w:val="clear" w:color="auto" w:fill="CCEEFF"/>
          </w:tcPr>
          <w:p>
            <w:pPr>
              <w:jc w:val="right"/>
              <w:ind w:right="2"/>
              <w:spacing w:after="0" w:line="216" w:lineRule="exact"/>
              <w:rPr>
                <w:sz w:val="20"/>
                <w:szCs w:val="20"/>
                <w:color w:val="auto"/>
              </w:rPr>
            </w:pPr>
            <w:r>
              <w:rPr>
                <w:rFonts w:ascii="Arial" w:cs="Arial" w:eastAsia="Arial" w:hAnsi="Arial"/>
                <w:sz w:val="20"/>
                <w:szCs w:val="20"/>
                <w:b w:val="1"/>
                <w:bCs w:val="1"/>
                <w:color w:val="auto"/>
              </w:rPr>
              <w:t>309</w:t>
            </w:r>
          </w:p>
        </w:tc>
        <w:tc>
          <w:tcPr>
            <w:tcW w:w="19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line="216" w:lineRule="exact"/>
              <w:rPr>
                <w:sz w:val="20"/>
                <w:szCs w:val="20"/>
                <w:color w:val="auto"/>
              </w:rPr>
            </w:pPr>
            <w:r>
              <w:rPr>
                <w:rFonts w:ascii="Arial" w:cs="Arial" w:eastAsia="Arial" w:hAnsi="Arial"/>
                <w:sz w:val="20"/>
                <w:szCs w:val="20"/>
                <w:color w:val="auto"/>
              </w:rPr>
              <w:t>Effects of:</w:t>
            </w: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80"/>
              <w:spacing w:after="0" w:line="216" w:lineRule="exact"/>
              <w:rPr>
                <w:sz w:val="20"/>
                <w:szCs w:val="20"/>
                <w:color w:val="auto"/>
              </w:rPr>
            </w:pPr>
            <w:r>
              <w:rPr>
                <w:rFonts w:ascii="Arial" w:cs="Arial" w:eastAsia="Arial" w:hAnsi="Arial"/>
                <w:sz w:val="20"/>
                <w:szCs w:val="20"/>
                <w:color w:val="auto"/>
              </w:rPr>
              <w:t>- different tax rates in other countries</w:t>
            </w:r>
          </w:p>
        </w:tc>
        <w:tc>
          <w:tcPr>
            <w:tcW w:w="2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(14)</w:t>
            </w:r>
          </w:p>
        </w:tc>
        <w:tc>
          <w:tcPr>
            <w:tcW w:w="1980" w:type="dxa"/>
            <w:vAlign w:val="bottom"/>
            <w:gridSpan w:val="2"/>
            <w:shd w:val="clear" w:color="auto" w:fill="CCEEFF"/>
          </w:tcPr>
          <w:p>
            <w:pPr>
              <w:jc w:val="right"/>
              <w:ind w:right="30"/>
              <w:spacing w:after="0" w:line="216" w:lineRule="exact"/>
              <w:rPr>
                <w:sz w:val="20"/>
                <w:szCs w:val="20"/>
                <w:color w:val="auto"/>
              </w:rPr>
            </w:pPr>
            <w:r>
              <w:rPr>
                <w:rFonts w:ascii="Arial" w:cs="Arial" w:eastAsia="Arial" w:hAnsi="Arial"/>
                <w:sz w:val="20"/>
                <w:szCs w:val="20"/>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80"/>
              <w:spacing w:after="0" w:line="216" w:lineRule="exact"/>
              <w:rPr>
                <w:sz w:val="20"/>
                <w:szCs w:val="20"/>
                <w:color w:val="auto"/>
              </w:rPr>
            </w:pPr>
            <w:r>
              <w:rPr>
                <w:rFonts w:ascii="Arial" w:cs="Arial" w:eastAsia="Arial" w:hAnsi="Arial"/>
                <w:sz w:val="20"/>
                <w:szCs w:val="20"/>
                <w:color w:val="auto"/>
              </w:rPr>
              <w:t>- tax incentives</w:t>
            </w:r>
          </w:p>
        </w:tc>
        <w:tc>
          <w:tcPr>
            <w:tcW w:w="2000" w:type="dxa"/>
            <w:vAlign w:val="bottom"/>
          </w:tcPr>
          <w:p>
            <w:pPr>
              <w:jc w:val="right"/>
              <w:spacing w:after="0" w:line="216" w:lineRule="exact"/>
              <w:rPr>
                <w:sz w:val="20"/>
                <w:szCs w:val="20"/>
                <w:color w:val="auto"/>
              </w:rPr>
            </w:pPr>
            <w:r>
              <w:rPr>
                <w:rFonts w:ascii="Arial" w:cs="Arial" w:eastAsia="Arial" w:hAnsi="Arial"/>
                <w:sz w:val="20"/>
                <w:szCs w:val="20"/>
                <w:color w:val="auto"/>
              </w:rPr>
              <w:t>(256)</w:t>
            </w:r>
          </w:p>
        </w:tc>
        <w:tc>
          <w:tcPr>
            <w:tcW w:w="19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80"/>
              <w:spacing w:after="0" w:line="216" w:lineRule="exact"/>
              <w:rPr>
                <w:sz w:val="20"/>
                <w:szCs w:val="20"/>
                <w:color w:val="auto"/>
              </w:rPr>
            </w:pPr>
            <w:r>
              <w:rPr>
                <w:rFonts w:ascii="Arial" w:cs="Arial" w:eastAsia="Arial" w:hAnsi="Arial"/>
                <w:sz w:val="20"/>
                <w:szCs w:val="20"/>
                <w:color w:val="auto"/>
              </w:rPr>
              <w:t>- other</w:t>
            </w:r>
          </w:p>
        </w:tc>
        <w:tc>
          <w:tcPr>
            <w:tcW w:w="2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w:t>
            </w:r>
          </w:p>
        </w:tc>
        <w:tc>
          <w:tcPr>
            <w:tcW w:w="1980" w:type="dxa"/>
            <w:vAlign w:val="bottom"/>
            <w:gridSpan w:val="2"/>
            <w:shd w:val="clear" w:color="auto" w:fill="CCEEFF"/>
          </w:tcPr>
          <w:p>
            <w:pPr>
              <w:jc w:val="right"/>
              <w:ind w:right="30"/>
              <w:spacing w:after="0" w:line="21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20"/>
                <w:szCs w:val="20"/>
                <w:color w:val="auto"/>
              </w:rPr>
              <w:t>Tax charge</w:t>
            </w:r>
          </w:p>
        </w:tc>
        <w:tc>
          <w:tcPr>
            <w:tcW w:w="2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gridSpan w:val="2"/>
            <w:vMerge w:val="continue"/>
          </w:tcPr>
          <w:p>
            <w:pPr>
              <w:spacing w:after="0"/>
              <w:rPr>
                <w:sz w:val="19"/>
                <w:szCs w:val="19"/>
                <w:color w:val="auto"/>
              </w:rPr>
            </w:pPr>
          </w:p>
        </w:tc>
        <w:tc>
          <w:tcPr>
            <w:tcW w:w="2000" w:type="dxa"/>
            <w:vAlign w:val="bottom"/>
            <w:tcBorders>
              <w:bottom w:val="single" w:sz="8" w:color="auto"/>
            </w:tcBorders>
          </w:tcPr>
          <w:p>
            <w:pPr>
              <w:jc w:val="right"/>
              <w:ind w:right="2"/>
              <w:spacing w:after="0" w:line="217" w:lineRule="exact"/>
              <w:rPr>
                <w:sz w:val="20"/>
                <w:szCs w:val="20"/>
                <w:color w:val="auto"/>
              </w:rPr>
            </w:pPr>
            <w:r>
              <w:rPr>
                <w:rFonts w:ascii="Arial" w:cs="Arial" w:eastAsia="Arial" w:hAnsi="Arial"/>
                <w:sz w:val="20"/>
                <w:szCs w:val="20"/>
                <w:b w:val="1"/>
                <w:bCs w:val="1"/>
                <w:color w:val="auto"/>
              </w:rPr>
              <w:t>35</w:t>
            </w:r>
          </w:p>
        </w:tc>
        <w:tc>
          <w:tcPr>
            <w:tcW w:w="1980" w:type="dxa"/>
            <w:vAlign w:val="bottom"/>
            <w:tcBorders>
              <w:bottom w:val="single" w:sz="8" w:color="auto"/>
            </w:tcBorders>
            <w:gridSpan w:val="2"/>
          </w:tcPr>
          <w:p>
            <w:pPr>
              <w:jc w:val="right"/>
              <w:ind w:right="30"/>
              <w:spacing w:after="0" w:line="217" w:lineRule="exact"/>
              <w:rPr>
                <w:sz w:val="20"/>
                <w:szCs w:val="20"/>
                <w:color w:val="auto"/>
              </w:rPr>
            </w:pPr>
            <w:r>
              <w:rPr>
                <w:rFonts w:ascii="Arial" w:cs="Arial" w:eastAsia="Arial" w:hAnsi="Arial"/>
                <w:sz w:val="20"/>
                <w:szCs w:val="20"/>
                <w:color w:val="auto"/>
              </w:rPr>
              <w:t>642</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980" w:hanging="776"/>
        <w:spacing w:after="0"/>
        <w:tabs>
          <w:tab w:leader="none" w:pos="98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 and disposal group classified as held-for-sale</w:t>
      </w:r>
    </w:p>
    <w:p>
      <w:pPr>
        <w:spacing w:after="0" w:line="233" w:lineRule="exact"/>
        <w:rPr>
          <w:rFonts w:ascii="Arial" w:cs="Arial" w:eastAsia="Arial" w:hAnsi="Arial"/>
          <w:sz w:val="18"/>
          <w:szCs w:val="18"/>
          <w:b w:val="1"/>
          <w:bCs w:val="1"/>
          <w:color w:val="auto"/>
        </w:rPr>
      </w:pPr>
    </w:p>
    <w:p>
      <w:pPr>
        <w:ind w:left="98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During financial year 2016, Broadcom Group sold certain Broadcom Corporation (“BRCM”) businesses for aggregate cash proceeds of US$830 million. The following table summarises the selected financial information of discontinued operations:</w:t>
      </w:r>
    </w:p>
    <w:p>
      <w:pPr>
        <w:spacing w:after="0" w:line="224" w:lineRule="exact"/>
        <w:rPr>
          <w:sz w:val="20"/>
          <w:szCs w:val="20"/>
          <w:color w:val="auto"/>
        </w:rPr>
      </w:pPr>
    </w:p>
    <w:p>
      <w:pPr>
        <w:ind w:left="980" w:hanging="776"/>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results of the discontinued operations and the re-measurement of the disposal group are as follows:</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60" w:type="dxa"/>
            <w:vAlign w:val="bottom"/>
            <w:gridSpan w:val="3"/>
          </w:tcPr>
          <w:p>
            <w:pPr>
              <w:jc w:val="right"/>
              <w:ind w:right="1385"/>
              <w:spacing w:after="0"/>
              <w:rPr>
                <w:sz w:val="20"/>
                <w:szCs w:val="20"/>
                <w:color w:val="auto"/>
              </w:rPr>
            </w:pPr>
            <w:r>
              <w:rPr>
                <w:rFonts w:ascii="Arial" w:cs="Arial" w:eastAsia="Arial" w:hAnsi="Arial"/>
                <w:sz w:val="20"/>
                <w:szCs w:val="20"/>
                <w:color w:val="auto"/>
              </w:rPr>
              <w:t>Group</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6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140" w:type="dxa"/>
            <w:vAlign w:val="bottom"/>
          </w:tcPr>
          <w:p>
            <w:pPr>
              <w:jc w:val="right"/>
              <w:ind w:right="402"/>
              <w:spacing w:after="0"/>
              <w:rPr>
                <w:sz w:val="20"/>
                <w:szCs w:val="20"/>
                <w:color w:val="auto"/>
              </w:rPr>
            </w:pPr>
            <w:r>
              <w:rPr>
                <w:rFonts w:ascii="Arial" w:cs="Arial" w:eastAsia="Arial" w:hAnsi="Arial"/>
                <w:sz w:val="20"/>
                <w:szCs w:val="20"/>
                <w:b w:val="1"/>
                <w:bCs w:val="1"/>
                <w:color w:val="auto"/>
              </w:rPr>
              <w:t>2017</w:t>
            </w:r>
          </w:p>
        </w:tc>
        <w:tc>
          <w:tcPr>
            <w:tcW w:w="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80" w:type="dxa"/>
            <w:vAlign w:val="bottom"/>
          </w:tcPr>
          <w:p>
            <w:pPr>
              <w:jc w:val="right"/>
              <w:ind w:right="365"/>
              <w:spacing w:after="0"/>
              <w:rPr>
                <w:sz w:val="20"/>
                <w:szCs w:val="20"/>
                <w:color w:val="auto"/>
              </w:rPr>
            </w:pPr>
            <w:r>
              <w:rPr>
                <w:rFonts w:ascii="Arial" w:cs="Arial" w:eastAsia="Arial" w:hAnsi="Arial"/>
                <w:sz w:val="20"/>
                <w:szCs w:val="20"/>
                <w:color w:val="auto"/>
              </w:rPr>
              <w:t>2016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140" w:type="dxa"/>
            <w:vAlign w:val="bottom"/>
          </w:tcPr>
          <w:p>
            <w:pPr>
              <w:jc w:val="right"/>
              <w:ind w:right="22"/>
              <w:spacing w:after="0"/>
              <w:rPr>
                <w:sz w:val="20"/>
                <w:szCs w:val="20"/>
                <w:color w:val="auto"/>
              </w:rPr>
            </w:pPr>
            <w:r>
              <w:rPr>
                <w:rFonts w:ascii="Arial" w:cs="Arial" w:eastAsia="Arial" w:hAnsi="Arial"/>
                <w:sz w:val="18"/>
                <w:szCs w:val="18"/>
                <w:b w:val="1"/>
                <w:bCs w:val="1"/>
                <w:color w:val="auto"/>
              </w:rPr>
              <w:t>(US$ millions)</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80" w:type="dxa"/>
            <w:vAlign w:val="bottom"/>
          </w:tcPr>
          <w:p>
            <w:pPr>
              <w:jc w:val="right"/>
              <w:ind w:right="25"/>
              <w:spacing w:after="0"/>
              <w:rPr>
                <w:sz w:val="20"/>
                <w:szCs w:val="20"/>
                <w:color w:val="auto"/>
              </w:rPr>
            </w:pPr>
            <w:r>
              <w:rPr>
                <w:rFonts w:ascii="Arial" w:cs="Arial" w:eastAsia="Arial" w:hAnsi="Arial"/>
                <w:sz w:val="18"/>
                <w:szCs w:val="18"/>
                <w:color w:val="auto"/>
              </w:rPr>
              <w:t>(US$ millions)</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Revenue</w:t>
            </w:r>
          </w:p>
        </w:tc>
        <w:tc>
          <w:tcPr>
            <w:tcW w:w="2140" w:type="dxa"/>
            <w:vAlign w:val="bottom"/>
            <w:shd w:val="clear" w:color="auto" w:fill="CCEEFF"/>
          </w:tcPr>
          <w:p>
            <w:pPr>
              <w:jc w:val="right"/>
              <w:ind w:right="22"/>
              <w:spacing w:after="0" w:line="216" w:lineRule="exact"/>
              <w:rPr>
                <w:sz w:val="20"/>
                <w:szCs w:val="20"/>
                <w:color w:val="auto"/>
              </w:rPr>
            </w:pPr>
            <w:r>
              <w:rPr>
                <w:rFonts w:ascii="Arial" w:cs="Arial" w:eastAsia="Arial" w:hAnsi="Arial"/>
                <w:sz w:val="20"/>
                <w:szCs w:val="20"/>
                <w:b w:val="1"/>
                <w:bCs w:val="1"/>
                <w:color w:val="auto"/>
              </w:rPr>
              <w:t>15</w:t>
            </w:r>
          </w:p>
        </w:tc>
        <w:tc>
          <w:tcPr>
            <w:tcW w:w="2060" w:type="dxa"/>
            <w:vAlign w:val="bottom"/>
            <w:gridSpan w:val="3"/>
            <w:shd w:val="clear" w:color="auto" w:fill="CCEEFF"/>
          </w:tcPr>
          <w:p>
            <w:pPr>
              <w:jc w:val="right"/>
              <w:ind w:right="25"/>
              <w:spacing w:after="0" w:line="216" w:lineRule="exact"/>
              <w:rPr>
                <w:sz w:val="20"/>
                <w:szCs w:val="20"/>
                <w:color w:val="auto"/>
              </w:rPr>
            </w:pPr>
            <w:r>
              <w:rPr>
                <w:rFonts w:ascii="Arial" w:cs="Arial" w:eastAsia="Arial" w:hAnsi="Arial"/>
                <w:sz w:val="20"/>
                <w:szCs w:val="20"/>
                <w:color w:val="auto"/>
              </w:rPr>
              <w:t>103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Expenses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w:t>
            </w: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(319)</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480" w:type="dxa"/>
            <w:vAlign w:val="bottom"/>
            <w:shd w:val="clear" w:color="auto" w:fill="CCEEFF"/>
          </w:tcPr>
          <w:p>
            <w:pPr>
              <w:spacing w:after="0" w:line="209" w:lineRule="exact"/>
              <w:rPr>
                <w:sz w:val="20"/>
                <w:szCs w:val="20"/>
                <w:color w:val="auto"/>
              </w:rPr>
            </w:pPr>
            <w:r>
              <w:rPr>
                <w:rFonts w:ascii="Arial" w:cs="Arial" w:eastAsia="Arial" w:hAnsi="Arial"/>
                <w:sz w:val="20"/>
                <w:szCs w:val="20"/>
                <w:color w:val="auto"/>
              </w:rPr>
              <w:t>Loss before tax from discontinued operations</w:t>
            </w:r>
          </w:p>
        </w:tc>
        <w:tc>
          <w:tcPr>
            <w:tcW w:w="214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b w:val="1"/>
                <w:bCs w:val="1"/>
                <w:color w:val="auto"/>
              </w:rPr>
              <w:t>(6)</w:t>
            </w:r>
          </w:p>
        </w:tc>
        <w:tc>
          <w:tcPr>
            <w:tcW w:w="2060" w:type="dxa"/>
            <w:vAlign w:val="bottom"/>
            <w:gridSpan w:val="3"/>
            <w:shd w:val="clear" w:color="auto" w:fill="CCEEFF"/>
          </w:tcPr>
          <w:p>
            <w:pPr>
              <w:jc w:val="right"/>
              <w:spacing w:after="0" w:line="209" w:lineRule="exact"/>
              <w:rPr>
                <w:sz w:val="20"/>
                <w:szCs w:val="20"/>
                <w:color w:val="auto"/>
              </w:rPr>
            </w:pPr>
            <w:r>
              <w:rPr>
                <w:rFonts w:ascii="Arial" w:cs="Arial" w:eastAsia="Arial" w:hAnsi="Arial"/>
                <w:sz w:val="20"/>
                <w:szCs w:val="20"/>
                <w:color w:val="auto"/>
              </w:rPr>
              <w:t>(216)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Tax</w:t>
            </w:r>
          </w:p>
        </w:tc>
        <w:tc>
          <w:tcPr>
            <w:tcW w:w="214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w:t>
            </w:r>
          </w:p>
        </w:tc>
        <w:tc>
          <w:tcPr>
            <w:tcW w:w="20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480" w:type="dxa"/>
            <w:vAlign w:val="bottom"/>
            <w:shd w:val="clear" w:color="auto" w:fill="CCEEFF"/>
          </w:tcPr>
          <w:p>
            <w:pPr>
              <w:spacing w:after="0" w:line="209" w:lineRule="exact"/>
              <w:rPr>
                <w:sz w:val="20"/>
                <w:szCs w:val="20"/>
                <w:color w:val="auto"/>
              </w:rPr>
            </w:pPr>
            <w:r>
              <w:rPr>
                <w:rFonts w:ascii="Arial" w:cs="Arial" w:eastAsia="Arial" w:hAnsi="Arial"/>
                <w:sz w:val="20"/>
                <w:szCs w:val="20"/>
                <w:b w:val="1"/>
                <w:bCs w:val="1"/>
                <w:color w:val="auto"/>
              </w:rPr>
              <w:t>Loss after tax from discontinued operations</w:t>
            </w:r>
          </w:p>
        </w:tc>
        <w:tc>
          <w:tcPr>
            <w:tcW w:w="214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b w:val="1"/>
                <w:bCs w:val="1"/>
                <w:color w:val="auto"/>
              </w:rPr>
              <w:t>(6)</w:t>
            </w:r>
          </w:p>
        </w:tc>
        <w:tc>
          <w:tcPr>
            <w:tcW w:w="2060" w:type="dxa"/>
            <w:vAlign w:val="bottom"/>
            <w:gridSpan w:val="3"/>
            <w:shd w:val="clear" w:color="auto" w:fill="CCEEFF"/>
          </w:tcPr>
          <w:p>
            <w:pPr>
              <w:jc w:val="right"/>
              <w:spacing w:after="0" w:line="209" w:lineRule="exact"/>
              <w:rPr>
                <w:sz w:val="20"/>
                <w:szCs w:val="20"/>
                <w:color w:val="auto"/>
              </w:rPr>
            </w:pPr>
            <w:r>
              <w:rPr>
                <w:rFonts w:ascii="Arial" w:cs="Arial" w:eastAsia="Arial" w:hAnsi="Arial"/>
                <w:sz w:val="20"/>
                <w:szCs w:val="20"/>
                <w:color w:val="auto"/>
              </w:rPr>
              <w:t>(216)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40" w:type="dxa"/>
            <w:vAlign w:val="bottom"/>
            <w:gridSpan w:val="2"/>
            <w:vMerge w:val="restart"/>
          </w:tcPr>
          <w:p>
            <w:pPr>
              <w:ind w:left="640"/>
              <w:spacing w:after="0"/>
              <w:rPr>
                <w:sz w:val="20"/>
                <w:szCs w:val="20"/>
                <w:color w:val="auto"/>
              </w:rPr>
            </w:pPr>
            <w:r>
              <w:rPr>
                <w:rFonts w:ascii="Arial" w:cs="Arial" w:eastAsia="Arial" w:hAnsi="Arial"/>
                <w:sz w:val="20"/>
                <w:szCs w:val="20"/>
                <w:color w:val="auto"/>
              </w:rPr>
              <w:t>Gain on disposal of discontinued operations</w:t>
            </w:r>
          </w:p>
        </w:tc>
        <w:tc>
          <w:tcPr>
            <w:tcW w:w="2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140" w:type="dxa"/>
            <w:vAlign w:val="bottom"/>
            <w:gridSpan w:val="2"/>
            <w:vMerge w:val="continue"/>
          </w:tcPr>
          <w:p>
            <w:pPr>
              <w:spacing w:after="0"/>
              <w:rPr>
                <w:sz w:val="18"/>
                <w:szCs w:val="18"/>
                <w:color w:val="auto"/>
              </w:rPr>
            </w:pPr>
          </w:p>
        </w:tc>
        <w:tc>
          <w:tcPr>
            <w:tcW w:w="2140" w:type="dxa"/>
            <w:vAlign w:val="bottom"/>
          </w:tcPr>
          <w:p>
            <w:pPr>
              <w:jc w:val="right"/>
              <w:ind w:right="22"/>
              <w:spacing w:after="0" w:line="216" w:lineRule="exact"/>
              <w:rPr>
                <w:sz w:val="20"/>
                <w:szCs w:val="20"/>
                <w:color w:val="auto"/>
              </w:rPr>
            </w:pPr>
            <w:r>
              <w:rPr>
                <w:rFonts w:ascii="Arial" w:cs="Arial" w:eastAsia="Arial" w:hAnsi="Arial"/>
                <w:sz w:val="20"/>
                <w:szCs w:val="20"/>
                <w:b w:val="1"/>
                <w:bCs w:val="1"/>
                <w:color w:val="auto"/>
              </w:rPr>
              <w:t>-</w:t>
            </w:r>
          </w:p>
        </w:tc>
        <w:tc>
          <w:tcPr>
            <w:tcW w:w="2060" w:type="dxa"/>
            <w:vAlign w:val="bottom"/>
            <w:gridSpan w:val="3"/>
          </w:tcPr>
          <w:p>
            <w:pPr>
              <w:jc w:val="right"/>
              <w:ind w:right="25"/>
              <w:spacing w:after="0" w:line="216" w:lineRule="exact"/>
              <w:rPr>
                <w:sz w:val="20"/>
                <w:szCs w:val="20"/>
                <w:color w:val="auto"/>
              </w:rPr>
            </w:pPr>
            <w:r>
              <w:rPr>
                <w:rFonts w:ascii="Arial" w:cs="Arial" w:eastAsia="Arial" w:hAnsi="Arial"/>
                <w:sz w:val="20"/>
                <w:szCs w:val="20"/>
                <w:color w:val="auto"/>
              </w:rPr>
              <w:t>42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Benefit from income taxes</w:t>
            </w:r>
          </w:p>
        </w:tc>
        <w:tc>
          <w:tcPr>
            <w:tcW w:w="2140" w:type="dxa"/>
            <w:vAlign w:val="bottom"/>
            <w:shd w:val="clear" w:color="auto" w:fill="CCEEFF"/>
          </w:tcPr>
          <w:p>
            <w:pPr>
              <w:jc w:val="right"/>
              <w:ind w:right="22"/>
              <w:spacing w:after="0" w:line="216" w:lineRule="exact"/>
              <w:rPr>
                <w:sz w:val="20"/>
                <w:szCs w:val="20"/>
                <w:color w:val="auto"/>
              </w:rPr>
            </w:pPr>
            <w:r>
              <w:rPr>
                <w:rFonts w:ascii="Arial" w:cs="Arial" w:eastAsia="Arial" w:hAnsi="Arial"/>
                <w:sz w:val="20"/>
                <w:szCs w:val="20"/>
                <w:b w:val="1"/>
                <w:bCs w:val="1"/>
                <w:color w:val="auto"/>
              </w:rPr>
              <w:t>-</w:t>
            </w:r>
          </w:p>
        </w:tc>
        <w:tc>
          <w:tcPr>
            <w:tcW w:w="2060" w:type="dxa"/>
            <w:vAlign w:val="bottom"/>
            <w:gridSpan w:val="3"/>
            <w:shd w:val="clear" w:color="auto" w:fill="CCEEFF"/>
          </w:tcPr>
          <w:p>
            <w:pPr>
              <w:jc w:val="right"/>
              <w:ind w:right="25"/>
              <w:spacing w:after="0" w:line="216" w:lineRule="exact"/>
              <w:rPr>
                <w:sz w:val="20"/>
                <w:szCs w:val="20"/>
                <w:color w:val="auto"/>
              </w:rPr>
            </w:pPr>
            <w:r>
              <w:rPr>
                <w:rFonts w:ascii="Arial" w:cs="Arial" w:eastAsia="Arial" w:hAnsi="Arial"/>
                <w:sz w:val="20"/>
                <w:szCs w:val="20"/>
                <w:color w:val="auto"/>
              </w:rPr>
              <w:t>62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ind w:left="640"/>
              <w:spacing w:after="0" w:line="226" w:lineRule="exact"/>
              <w:rPr>
                <w:sz w:val="20"/>
                <w:szCs w:val="20"/>
                <w:color w:val="auto"/>
              </w:rPr>
            </w:pPr>
            <w:r>
              <w:rPr>
                <w:rFonts w:ascii="Arial" w:cs="Arial" w:eastAsia="Arial" w:hAnsi="Arial"/>
                <w:sz w:val="20"/>
                <w:szCs w:val="20"/>
                <w:color w:val="auto"/>
              </w:rPr>
              <w:t>After tax gain recognised on the re-measurement of disposal</w:t>
            </w:r>
          </w:p>
        </w:tc>
        <w:tc>
          <w:tcPr>
            <w:tcW w:w="2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140" w:type="dxa"/>
            <w:vAlign w:val="bottom"/>
            <w:gridSpan w:val="2"/>
            <w:vMerge w:val="continue"/>
          </w:tcPr>
          <w:p>
            <w:pPr>
              <w:spacing w:after="0"/>
              <w:rPr>
                <w:sz w:val="16"/>
                <w:szCs w:val="16"/>
                <w:color w:val="auto"/>
              </w:rPr>
            </w:pPr>
          </w:p>
        </w:tc>
        <w:tc>
          <w:tcPr>
            <w:tcW w:w="2140" w:type="dxa"/>
            <w:vAlign w:val="bottom"/>
            <w:vMerge w:val="restart"/>
          </w:tcPr>
          <w:p>
            <w:pPr>
              <w:jc w:val="right"/>
              <w:ind w:right="22"/>
              <w:spacing w:after="0"/>
              <w:rPr>
                <w:sz w:val="20"/>
                <w:szCs w:val="20"/>
                <w:color w:val="auto"/>
              </w:rPr>
            </w:pPr>
            <w:r>
              <w:rPr>
                <w:rFonts w:ascii="Arial" w:cs="Arial" w:eastAsia="Arial" w:hAnsi="Arial"/>
                <w:sz w:val="20"/>
                <w:szCs w:val="20"/>
                <w:b w:val="1"/>
                <w:bCs w:val="1"/>
                <w:color w:val="auto"/>
              </w:rPr>
              <w:t>-</w:t>
            </w: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60" w:type="dxa"/>
            <w:vAlign w:val="bottom"/>
          </w:tcPr>
          <w:p>
            <w:pPr>
              <w:spacing w:after="0"/>
              <w:rPr>
                <w:sz w:val="20"/>
                <w:szCs w:val="20"/>
                <w:color w:val="auto"/>
              </w:rPr>
            </w:pPr>
          </w:p>
        </w:tc>
        <w:tc>
          <w:tcPr>
            <w:tcW w:w="548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group to fair value less costs to sell</w:t>
            </w:r>
          </w:p>
        </w:tc>
        <w:tc>
          <w:tcPr>
            <w:tcW w:w="2140" w:type="dxa"/>
            <w:vAlign w:val="bottom"/>
            <w:tcBorders>
              <w:bottom w:val="single" w:sz="8" w:color="auto"/>
            </w:tcBorders>
            <w:vMerge w:val="continue"/>
          </w:tcPr>
          <w:p>
            <w:pPr>
              <w:spacing w:after="0"/>
              <w:rPr>
                <w:sz w:val="20"/>
                <w:szCs w:val="20"/>
                <w:color w:val="auto"/>
              </w:rPr>
            </w:pPr>
          </w:p>
        </w:tc>
        <w:tc>
          <w:tcPr>
            <w:tcW w:w="20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20"/>
                <w:szCs w:val="20"/>
                <w:color w:val="auto"/>
              </w:rPr>
              <w:t>104</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480" w:type="dxa"/>
            <w:vAlign w:val="bottom"/>
            <w:shd w:val="clear" w:color="auto" w:fill="CCEEFF"/>
          </w:tcPr>
          <w:p>
            <w:pPr>
              <w:spacing w:after="0" w:line="209" w:lineRule="exact"/>
              <w:rPr>
                <w:sz w:val="20"/>
                <w:szCs w:val="20"/>
                <w:color w:val="auto"/>
              </w:rPr>
            </w:pPr>
            <w:r>
              <w:rPr>
                <w:rFonts w:ascii="Arial" w:cs="Arial" w:eastAsia="Arial" w:hAnsi="Arial"/>
                <w:sz w:val="20"/>
                <w:szCs w:val="20"/>
                <w:b w:val="1"/>
                <w:bCs w:val="1"/>
                <w:color w:val="auto"/>
              </w:rPr>
              <w:t>Loss for the year from discontinued operations</w:t>
            </w:r>
          </w:p>
        </w:tc>
        <w:tc>
          <w:tcPr>
            <w:tcW w:w="214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b w:val="1"/>
                <w:bCs w:val="1"/>
                <w:color w:val="auto"/>
              </w:rPr>
              <w:t>(6)</w:t>
            </w:r>
          </w:p>
        </w:tc>
        <w:tc>
          <w:tcPr>
            <w:tcW w:w="2060" w:type="dxa"/>
            <w:vAlign w:val="bottom"/>
            <w:gridSpan w:val="3"/>
            <w:shd w:val="clear" w:color="auto" w:fill="CCEEFF"/>
          </w:tcPr>
          <w:p>
            <w:pPr>
              <w:jc w:val="right"/>
              <w:spacing w:after="0" w:line="209" w:lineRule="exact"/>
              <w:rPr>
                <w:sz w:val="20"/>
                <w:szCs w:val="20"/>
                <w:color w:val="auto"/>
              </w:rPr>
            </w:pPr>
            <w:r>
              <w:rPr>
                <w:rFonts w:ascii="Arial" w:cs="Arial" w:eastAsia="Arial" w:hAnsi="Arial"/>
                <w:sz w:val="20"/>
                <w:szCs w:val="20"/>
                <w:color w:val="auto"/>
              </w:rPr>
              <w:t>(112)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660" w:type="dxa"/>
            <w:vAlign w:val="bottom"/>
            <w:tcBorders>
              <w:bottom w:val="single" w:sz="8" w:color="auto"/>
            </w:tcBorders>
          </w:tcPr>
          <w:p>
            <w:pPr>
              <w:spacing w:after="0"/>
              <w:rPr>
                <w:sz w:val="14"/>
                <w:szCs w:val="14"/>
                <w:color w:val="auto"/>
              </w:rPr>
            </w:pPr>
          </w:p>
        </w:tc>
        <w:tc>
          <w:tcPr>
            <w:tcW w:w="54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5480" w:type="dxa"/>
            <w:vAlign w:val="bottom"/>
          </w:tcPr>
          <w:p>
            <w:pPr>
              <w:ind w:left="4640"/>
              <w:spacing w:after="0"/>
              <w:rPr>
                <w:sz w:val="20"/>
                <w:szCs w:val="20"/>
                <w:color w:val="auto"/>
              </w:rPr>
            </w:pPr>
            <w:r>
              <w:rPr>
                <w:rFonts w:ascii="Arial" w:cs="Arial" w:eastAsia="Arial" w:hAnsi="Arial"/>
                <w:sz w:val="18"/>
                <w:szCs w:val="18"/>
                <w:color w:val="auto"/>
              </w:rPr>
              <w:t>A-65</w:t>
            </w: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Discontinued operations and disposal group classified as held-for-sale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impact of the discontinued operations on the cash flows of the Group is as follows:</w:t>
      </w:r>
    </w:p>
    <w:p>
      <w:pPr>
        <w:spacing w:after="0" w:line="199"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Group</w:t>
            </w:r>
          </w:p>
        </w:tc>
        <w:tc>
          <w:tcPr>
            <w:tcW w:w="1500" w:type="dxa"/>
            <w:vAlign w:val="bottom"/>
          </w:tcPr>
          <w:p>
            <w:pPr>
              <w:spacing w:after="0"/>
              <w:rPr>
                <w:sz w:val="19"/>
                <w:szCs w:val="19"/>
                <w:color w:val="auto"/>
              </w:rPr>
            </w:pPr>
          </w:p>
        </w:tc>
      </w:tr>
      <w:tr>
        <w:trPr>
          <w:trHeight w:val="30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300" w:type="dxa"/>
            <w:vAlign w:val="bottom"/>
          </w:tcPr>
          <w:p>
            <w:pPr>
              <w:jc w:val="right"/>
              <w:ind w:right="463"/>
              <w:spacing w:after="0"/>
              <w:rPr>
                <w:sz w:val="20"/>
                <w:szCs w:val="20"/>
                <w:color w:val="auto"/>
              </w:rPr>
            </w:pPr>
            <w:r>
              <w:rPr>
                <w:rFonts w:ascii="Arial" w:cs="Arial" w:eastAsia="Arial" w:hAnsi="Arial"/>
                <w:sz w:val="20"/>
                <w:szCs w:val="20"/>
                <w:b w:val="1"/>
                <w:bCs w:val="1"/>
                <w:color w:val="auto"/>
              </w:rPr>
              <w:t>2017</w:t>
            </w:r>
          </w:p>
        </w:tc>
        <w:tc>
          <w:tcPr>
            <w:tcW w:w="2060" w:type="dxa"/>
            <w:vAlign w:val="bottom"/>
            <w:gridSpan w:val="2"/>
          </w:tcPr>
          <w:p>
            <w:pPr>
              <w:jc w:val="right"/>
              <w:ind w:right="370"/>
              <w:spacing w:after="0"/>
              <w:rPr>
                <w:sz w:val="20"/>
                <w:szCs w:val="20"/>
                <w:color w:val="auto"/>
              </w:rPr>
            </w:pPr>
            <w:r>
              <w:rPr>
                <w:rFonts w:ascii="Arial" w:cs="Arial" w:eastAsia="Arial" w:hAnsi="Arial"/>
                <w:sz w:val="20"/>
                <w:szCs w:val="20"/>
                <w:color w:val="auto"/>
              </w:rPr>
              <w:t>2016</w:t>
            </w:r>
          </w:p>
        </w:tc>
      </w:tr>
      <w:tr>
        <w:trPr>
          <w:trHeight w:val="225"/>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300" w:type="dxa"/>
            <w:vAlign w:val="bottom"/>
          </w:tcPr>
          <w:p>
            <w:pPr>
              <w:jc w:val="right"/>
              <w:ind w:right="83"/>
              <w:spacing w:after="0"/>
              <w:rPr>
                <w:sz w:val="20"/>
                <w:szCs w:val="20"/>
                <w:color w:val="auto"/>
              </w:rPr>
            </w:pPr>
            <w:r>
              <w:rPr>
                <w:rFonts w:ascii="Arial" w:cs="Arial" w:eastAsia="Arial" w:hAnsi="Arial"/>
                <w:sz w:val="18"/>
                <w:szCs w:val="18"/>
                <w:b w:val="1"/>
                <w:bCs w:val="1"/>
                <w:color w:val="auto"/>
              </w:rPr>
              <w:t>(US$ millions)</w:t>
            </w:r>
          </w:p>
        </w:tc>
        <w:tc>
          <w:tcPr>
            <w:tcW w:w="56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(US$ millions)</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Operating cash inflows/(outflows)</w:t>
            </w:r>
          </w:p>
        </w:tc>
        <w:tc>
          <w:tcPr>
            <w:tcW w:w="2300" w:type="dxa"/>
            <w:vAlign w:val="bottom"/>
            <w:shd w:val="clear" w:color="auto" w:fill="CCEEFF"/>
          </w:tcPr>
          <w:p>
            <w:pPr>
              <w:jc w:val="right"/>
              <w:ind w:right="83"/>
              <w:spacing w:after="0" w:line="216" w:lineRule="exact"/>
              <w:rPr>
                <w:sz w:val="20"/>
                <w:szCs w:val="20"/>
                <w:color w:val="auto"/>
              </w:rPr>
            </w:pPr>
            <w:r>
              <w:rPr>
                <w:rFonts w:ascii="Arial" w:cs="Arial" w:eastAsia="Arial" w:hAnsi="Arial"/>
                <w:sz w:val="20"/>
                <w:szCs w:val="20"/>
                <w:color w:val="auto"/>
              </w:rPr>
              <w:t>2</w:t>
            </w:r>
          </w:p>
        </w:tc>
        <w:tc>
          <w:tcPr>
            <w:tcW w:w="20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(27)</w:t>
            </w:r>
          </w:p>
        </w:tc>
      </w:tr>
      <w:tr>
        <w:trPr>
          <w:trHeight w:val="230"/>
        </w:trPr>
        <w:tc>
          <w:tcPr>
            <w:tcW w:w="20" w:type="dxa"/>
            <w:vAlign w:val="bottom"/>
          </w:tcPr>
          <w:p>
            <w:pPr>
              <w:spacing w:after="0"/>
              <w:rPr>
                <w:sz w:val="19"/>
                <w:szCs w:val="19"/>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Investing cash inflows</w:t>
            </w:r>
          </w:p>
        </w:tc>
        <w:tc>
          <w:tcPr>
            <w:tcW w:w="2300" w:type="dxa"/>
            <w:vAlign w:val="bottom"/>
            <w:tcBorders>
              <w:bottom w:val="single" w:sz="8" w:color="auto"/>
            </w:tcBorders>
          </w:tcPr>
          <w:p>
            <w:pPr>
              <w:jc w:val="right"/>
              <w:ind w:right="83"/>
              <w:spacing w:after="0"/>
              <w:rPr>
                <w:sz w:val="20"/>
                <w:szCs w:val="20"/>
                <w:color w:val="auto"/>
              </w:rPr>
            </w:pPr>
            <w:r>
              <w:rPr>
                <w:rFonts w:ascii="Arial" w:cs="Arial" w:eastAsia="Arial" w:hAnsi="Arial"/>
                <w:sz w:val="20"/>
                <w:szCs w:val="20"/>
                <w:b w:val="1"/>
                <w:bCs w:val="1"/>
                <w:color w:val="auto"/>
              </w:rPr>
              <w:t>-</w:t>
            </w:r>
          </w:p>
        </w:tc>
        <w:tc>
          <w:tcPr>
            <w:tcW w:w="20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20"/>
                <w:szCs w:val="20"/>
                <w:color w:val="auto"/>
              </w:rPr>
              <w:t>4</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line="209" w:lineRule="exact"/>
              <w:rPr>
                <w:sz w:val="20"/>
                <w:szCs w:val="20"/>
                <w:color w:val="auto"/>
              </w:rPr>
            </w:pPr>
            <w:r>
              <w:rPr>
                <w:rFonts w:ascii="Arial" w:cs="Arial" w:eastAsia="Arial" w:hAnsi="Arial"/>
                <w:sz w:val="20"/>
                <w:szCs w:val="20"/>
                <w:b w:val="1"/>
                <w:bCs w:val="1"/>
                <w:color w:val="auto"/>
              </w:rPr>
              <w:t>Total cash inflows/(outflows)</w:t>
            </w:r>
          </w:p>
        </w:tc>
        <w:tc>
          <w:tcPr>
            <w:tcW w:w="2300" w:type="dxa"/>
            <w:vAlign w:val="bottom"/>
            <w:shd w:val="clear" w:color="auto" w:fill="CCEEFF"/>
          </w:tcPr>
          <w:p>
            <w:pPr>
              <w:jc w:val="right"/>
              <w:ind w:right="83"/>
              <w:spacing w:after="0" w:line="209" w:lineRule="exact"/>
              <w:rPr>
                <w:sz w:val="20"/>
                <w:szCs w:val="20"/>
                <w:color w:val="auto"/>
              </w:rPr>
            </w:pPr>
            <w:r>
              <w:rPr>
                <w:rFonts w:ascii="Arial" w:cs="Arial" w:eastAsia="Arial" w:hAnsi="Arial"/>
                <w:sz w:val="20"/>
                <w:szCs w:val="20"/>
                <w:color w:val="auto"/>
              </w:rPr>
              <w:t>2</w:t>
            </w:r>
          </w:p>
        </w:tc>
        <w:tc>
          <w:tcPr>
            <w:tcW w:w="2060" w:type="dxa"/>
            <w:vAlign w:val="bottom"/>
            <w:gridSpan w:val="2"/>
            <w:shd w:val="clear" w:color="auto" w:fill="CCEEFF"/>
          </w:tcPr>
          <w:p>
            <w:pPr>
              <w:jc w:val="right"/>
              <w:spacing w:after="0" w:line="209" w:lineRule="exact"/>
              <w:rPr>
                <w:sz w:val="20"/>
                <w:szCs w:val="20"/>
                <w:color w:val="auto"/>
              </w:rPr>
            </w:pPr>
            <w:r>
              <w:rPr>
                <w:rFonts w:ascii="Arial" w:cs="Arial" w:eastAsia="Arial" w:hAnsi="Arial"/>
                <w:sz w:val="20"/>
                <w:szCs w:val="20"/>
                <w:color w:val="auto"/>
              </w:rPr>
              <w:t>(23)</w:t>
            </w: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980" w:hanging="776"/>
        <w:spacing w:after="0" w:line="246" w:lineRule="auto"/>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 at the balance sheet date, there remains certain discontinued operations that are classified as disposal group classified as held-for-sale. Details of the assets of disposal group classified as held-for-sale are as follows:</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120" w:type="dxa"/>
            <w:vAlign w:val="bottom"/>
            <w:gridSpan w:val="3"/>
          </w:tcPr>
          <w:p>
            <w:pPr>
              <w:jc w:val="right"/>
              <w:ind w:right="1385"/>
              <w:spacing w:after="0"/>
              <w:rPr>
                <w:sz w:val="20"/>
                <w:szCs w:val="20"/>
                <w:color w:val="auto"/>
              </w:rPr>
            </w:pPr>
            <w:r>
              <w:rPr>
                <w:rFonts w:ascii="Arial" w:cs="Arial" w:eastAsia="Arial" w:hAnsi="Arial"/>
                <w:sz w:val="20"/>
                <w:szCs w:val="20"/>
                <w:color w:val="auto"/>
              </w:rPr>
              <w:t>Group</w:t>
            </w:r>
          </w:p>
        </w:tc>
      </w:tr>
      <w:tr>
        <w:trPr>
          <w:trHeight w:val="308"/>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280" w:type="dxa"/>
            <w:vAlign w:val="bottom"/>
          </w:tcPr>
          <w:p>
            <w:pPr>
              <w:jc w:val="right"/>
              <w:ind w:right="382"/>
              <w:spacing w:after="0"/>
              <w:rPr>
                <w:sz w:val="20"/>
                <w:szCs w:val="20"/>
                <w:color w:val="auto"/>
              </w:rPr>
            </w:pPr>
            <w:r>
              <w:rPr>
                <w:rFonts w:ascii="Arial" w:cs="Arial" w:eastAsia="Arial" w:hAnsi="Arial"/>
                <w:sz w:val="20"/>
                <w:szCs w:val="20"/>
                <w:b w:val="1"/>
                <w:bCs w:val="1"/>
                <w:color w:val="auto"/>
              </w:rPr>
              <w:t>2017</w:t>
            </w: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80" w:type="dxa"/>
            <w:vAlign w:val="bottom"/>
          </w:tcPr>
          <w:p>
            <w:pPr>
              <w:jc w:val="right"/>
              <w:ind w:right="305"/>
              <w:spacing w:after="0"/>
              <w:rPr>
                <w:sz w:val="20"/>
                <w:szCs w:val="20"/>
                <w:color w:val="auto"/>
              </w:rPr>
            </w:pPr>
            <w:r>
              <w:rPr>
                <w:rFonts w:ascii="Arial" w:cs="Arial" w:eastAsia="Arial" w:hAnsi="Arial"/>
                <w:sz w:val="20"/>
                <w:szCs w:val="20"/>
                <w:color w:val="auto"/>
              </w:rPr>
              <w:t>2016</w:t>
            </w:r>
          </w:p>
        </w:tc>
      </w:tr>
      <w:tr>
        <w:trPr>
          <w:trHeight w:val="225"/>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80" w:type="dxa"/>
            <w:vAlign w:val="bottom"/>
          </w:tcPr>
          <w:p>
            <w:pPr>
              <w:jc w:val="right"/>
              <w:ind w:right="2"/>
              <w:spacing w:after="0"/>
              <w:rPr>
                <w:sz w:val="20"/>
                <w:szCs w:val="20"/>
                <w:color w:val="auto"/>
              </w:rPr>
            </w:pPr>
            <w:r>
              <w:rPr>
                <w:rFonts w:ascii="Arial" w:cs="Arial" w:eastAsia="Arial" w:hAnsi="Arial"/>
                <w:sz w:val="18"/>
                <w:szCs w:val="18"/>
                <w:b w:val="1"/>
                <w:bCs w:val="1"/>
                <w:color w:val="auto"/>
              </w:rPr>
              <w:t>(US$ millions)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(US$ millions)</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Property, plant and equipment</w:t>
            </w:r>
          </w:p>
        </w:tc>
        <w:tc>
          <w:tcPr>
            <w:tcW w:w="2280" w:type="dxa"/>
            <w:vAlign w:val="bottom"/>
            <w:shd w:val="clear" w:color="auto" w:fill="CCEEFF"/>
          </w:tcPr>
          <w:p>
            <w:pPr>
              <w:jc w:val="right"/>
              <w:ind w:right="2"/>
              <w:spacing w:after="0" w:line="216" w:lineRule="exact"/>
              <w:rPr>
                <w:sz w:val="20"/>
                <w:szCs w:val="20"/>
                <w:color w:val="auto"/>
              </w:rPr>
            </w:pPr>
            <w:r>
              <w:rPr>
                <w:rFonts w:ascii="Arial" w:cs="Arial" w:eastAsia="Arial" w:hAnsi="Arial"/>
                <w:sz w:val="20"/>
                <w:szCs w:val="20"/>
                <w:b w:val="1"/>
                <w:bCs w:val="1"/>
                <w:color w:val="auto"/>
              </w:rPr>
              <w:t>13</w:t>
            </w:r>
          </w:p>
        </w:tc>
        <w:tc>
          <w:tcPr>
            <w:tcW w:w="212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0"/>
                <w:szCs w:val="20"/>
                <w:color w:val="auto"/>
              </w:rPr>
              <w:t>1</w:t>
            </w:r>
          </w:p>
        </w:tc>
      </w:tr>
      <w:tr>
        <w:trPr>
          <w:trHeight w:val="216"/>
        </w:trPr>
        <w:tc>
          <w:tcPr>
            <w:tcW w:w="20" w:type="dxa"/>
            <w:vAlign w:val="bottom"/>
          </w:tcPr>
          <w:p>
            <w:pPr>
              <w:spacing w:after="0"/>
              <w:rPr>
                <w:sz w:val="18"/>
                <w:szCs w:val="18"/>
                <w:color w:val="auto"/>
              </w:rPr>
            </w:pPr>
          </w:p>
        </w:tc>
        <w:tc>
          <w:tcPr>
            <w:tcW w:w="5280" w:type="dxa"/>
            <w:vAlign w:val="bottom"/>
          </w:tcPr>
          <w:p>
            <w:pPr>
              <w:spacing w:after="0" w:line="216" w:lineRule="exact"/>
              <w:rPr>
                <w:sz w:val="20"/>
                <w:szCs w:val="20"/>
                <w:color w:val="auto"/>
              </w:rPr>
            </w:pPr>
            <w:r>
              <w:rPr>
                <w:rFonts w:ascii="Arial" w:cs="Arial" w:eastAsia="Arial" w:hAnsi="Arial"/>
                <w:sz w:val="20"/>
                <w:szCs w:val="20"/>
                <w:color w:val="auto"/>
              </w:rPr>
              <w:t>Trademark and licences</w:t>
            </w:r>
          </w:p>
        </w:tc>
        <w:tc>
          <w:tcPr>
            <w:tcW w:w="2280" w:type="dxa"/>
            <w:vAlign w:val="bottom"/>
          </w:tcPr>
          <w:p>
            <w:pPr>
              <w:jc w:val="right"/>
              <w:ind w:right="2"/>
              <w:spacing w:after="0" w:line="216" w:lineRule="exact"/>
              <w:rPr>
                <w:sz w:val="20"/>
                <w:szCs w:val="20"/>
                <w:color w:val="auto"/>
              </w:rPr>
            </w:pPr>
            <w:r>
              <w:rPr>
                <w:rFonts w:ascii="Arial" w:cs="Arial" w:eastAsia="Arial" w:hAnsi="Arial"/>
                <w:sz w:val="20"/>
                <w:szCs w:val="20"/>
                <w:b w:val="1"/>
                <w:bCs w:val="1"/>
                <w:color w:val="auto"/>
              </w:rPr>
              <w:t>-</w:t>
            </w:r>
          </w:p>
        </w:tc>
        <w:tc>
          <w:tcPr>
            <w:tcW w:w="212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16</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Goodwill</w:t>
            </w:r>
          </w:p>
        </w:tc>
        <w:tc>
          <w:tcPr>
            <w:tcW w:w="2280" w:type="dxa"/>
            <w:vAlign w:val="bottom"/>
            <w:shd w:val="clear" w:color="auto" w:fill="CCEEFF"/>
          </w:tcPr>
          <w:p>
            <w:pPr>
              <w:jc w:val="right"/>
              <w:ind w:right="2"/>
              <w:spacing w:after="0" w:line="216" w:lineRule="exact"/>
              <w:rPr>
                <w:sz w:val="20"/>
                <w:szCs w:val="20"/>
                <w:color w:val="auto"/>
              </w:rPr>
            </w:pPr>
            <w:r>
              <w:rPr>
                <w:rFonts w:ascii="Arial" w:cs="Arial" w:eastAsia="Arial" w:hAnsi="Arial"/>
                <w:sz w:val="20"/>
                <w:szCs w:val="20"/>
                <w:b w:val="1"/>
                <w:bCs w:val="1"/>
                <w:color w:val="auto"/>
              </w:rPr>
              <w:t>-</w:t>
            </w:r>
          </w:p>
        </w:tc>
        <w:tc>
          <w:tcPr>
            <w:tcW w:w="212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0"/>
                <w:szCs w:val="20"/>
                <w:color w:val="auto"/>
              </w:rPr>
              <w:t>5</w:t>
            </w:r>
          </w:p>
        </w:tc>
      </w:tr>
      <w:tr>
        <w:trPr>
          <w:trHeight w:val="230"/>
        </w:trPr>
        <w:tc>
          <w:tcPr>
            <w:tcW w:w="20" w:type="dxa"/>
            <w:vAlign w:val="bottom"/>
          </w:tcPr>
          <w:p>
            <w:pPr>
              <w:spacing w:after="0"/>
              <w:rPr>
                <w:sz w:val="19"/>
                <w:szCs w:val="19"/>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Inventory</w:t>
            </w:r>
          </w:p>
        </w:tc>
        <w:tc>
          <w:tcPr>
            <w:tcW w:w="22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2"/>
              <w:spacing w:after="0" w:line="209" w:lineRule="exact"/>
              <w:rPr>
                <w:sz w:val="20"/>
                <w:szCs w:val="20"/>
                <w:color w:val="auto"/>
              </w:rPr>
            </w:pPr>
            <w:r>
              <w:rPr>
                <w:rFonts w:ascii="Arial" w:cs="Arial" w:eastAsia="Arial" w:hAnsi="Arial"/>
                <w:sz w:val="20"/>
                <w:szCs w:val="20"/>
                <w:b w:val="1"/>
                <w:bCs w:val="1"/>
                <w:color w:val="auto"/>
              </w:rPr>
              <w:t>13</w:t>
            </w:r>
          </w:p>
        </w:tc>
        <w:tc>
          <w:tcPr>
            <w:tcW w:w="2120" w:type="dxa"/>
            <w:vAlign w:val="bottom"/>
            <w:gridSpan w:val="3"/>
            <w:shd w:val="clear" w:color="auto" w:fill="CCEEFF"/>
          </w:tcPr>
          <w:p>
            <w:pPr>
              <w:jc w:val="right"/>
              <w:spacing w:after="0" w:line="209" w:lineRule="exact"/>
              <w:rPr>
                <w:sz w:val="20"/>
                <w:szCs w:val="20"/>
                <w:color w:val="auto"/>
              </w:rPr>
            </w:pPr>
            <w:r>
              <w:rPr>
                <w:rFonts w:ascii="Arial" w:cs="Arial" w:eastAsia="Arial" w:hAnsi="Arial"/>
                <w:sz w:val="20"/>
                <w:szCs w:val="20"/>
                <w:color w:val="auto"/>
              </w:rPr>
              <w:t>24</w:t>
            </w:r>
          </w:p>
        </w:tc>
      </w:tr>
      <w:tr>
        <w:trPr>
          <w:trHeight w:val="21"/>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980"/>
        <w:spacing w:after="0" w:line="238" w:lineRule="auto"/>
        <w:rPr>
          <w:sz w:val="20"/>
          <w:szCs w:val="20"/>
          <w:color w:val="auto"/>
        </w:rPr>
      </w:pPr>
      <w:r>
        <w:rPr>
          <w:rFonts w:ascii="Arial" w:cs="Arial" w:eastAsia="Arial" w:hAnsi="Arial"/>
          <w:sz w:val="18"/>
          <w:szCs w:val="18"/>
          <w:color w:val="auto"/>
        </w:rPr>
        <w:t>In accordance with FRS 105, the assets of disposal groups classified as held-for-sale and liabilities directly associated with disposal groups classified as held-for-sale were written down to their fair value less costs to sell of US$13 million in financial year 2017 and US$24 million in financial year 2016. This is a non-recurring fair value which is determined on the basis that the disposal groups were recently transacted or that there were agreements in place for sales that would be taking place after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980" w:hanging="776"/>
        <w:spacing w:after="0"/>
        <w:tabs>
          <w:tab w:leader="none" w:pos="98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61" w:lineRule="exact"/>
        <w:rPr>
          <w:sz w:val="20"/>
          <w:szCs w:val="20"/>
          <w:color w:val="auto"/>
        </w:rPr>
      </w:pPr>
    </w:p>
    <w:p>
      <w:pPr>
        <w:ind w:left="980" w:hanging="776"/>
        <w:spacing w:after="0"/>
        <w:tabs>
          <w:tab w:leader="none" w:pos="9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Basic earnings per share</w:t>
      </w:r>
    </w:p>
    <w:p>
      <w:pPr>
        <w:spacing w:after="0" w:line="211" w:lineRule="exact"/>
        <w:rPr>
          <w:rFonts w:ascii="Arial" w:cs="Arial" w:eastAsia="Arial" w:hAnsi="Arial"/>
          <w:sz w:val="18"/>
          <w:szCs w:val="18"/>
          <w:color w:val="auto"/>
        </w:rPr>
      </w:pPr>
    </w:p>
    <w:p>
      <w:pPr>
        <w:ind w:left="980"/>
        <w:spacing w:after="0" w:line="246" w:lineRule="auto"/>
        <w:rPr>
          <w:rFonts w:ascii="Arial" w:cs="Arial" w:eastAsia="Arial" w:hAnsi="Arial"/>
          <w:sz w:val="18"/>
          <w:szCs w:val="18"/>
          <w:color w:val="auto"/>
        </w:rPr>
      </w:pPr>
      <w:r>
        <w:rPr>
          <w:rFonts w:ascii="Arial" w:cs="Arial" w:eastAsia="Arial" w:hAnsi="Arial"/>
          <w:sz w:val="18"/>
          <w:szCs w:val="18"/>
          <w:color w:val="auto"/>
        </w:rPr>
        <w:t>Basic earnings per share is calculated by dividing the net profit attributable to equity holders of the Company by the weighted average number of ordinary shares outstanding during the financial year.</w:t>
      </w: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8"/>
                <w:szCs w:val="18"/>
                <w:color w:val="auto"/>
              </w:rPr>
              <w:t>Continuing</w:t>
            </w:r>
          </w:p>
        </w:tc>
        <w:tc>
          <w:tcPr>
            <w:tcW w:w="140" w:type="dxa"/>
            <w:vAlign w:val="bottom"/>
          </w:tcPr>
          <w:p>
            <w:pPr>
              <w:spacing w:after="0"/>
              <w:rPr>
                <w:sz w:val="17"/>
                <w:szCs w:val="17"/>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8"/>
                <w:szCs w:val="18"/>
                <w:color w:val="auto"/>
                <w:w w:val="99"/>
              </w:rPr>
              <w:t>Discontinued</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4"/>
          </w:tcPr>
          <w:p>
            <w:pPr>
              <w:jc w:val="right"/>
              <w:ind w:right="400"/>
              <w:spacing w:after="0" w:line="157" w:lineRule="exact"/>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15"/>
                <w:szCs w:val="15"/>
                <w:color w:val="auto"/>
              </w:rPr>
            </w:pPr>
          </w:p>
        </w:tc>
        <w:tc>
          <w:tcPr>
            <w:tcW w:w="1460" w:type="dxa"/>
            <w:vAlign w:val="bottom"/>
            <w:gridSpan w:val="4"/>
          </w:tcPr>
          <w:p>
            <w:pPr>
              <w:jc w:val="center"/>
              <w:ind w:right="300"/>
              <w:spacing w:after="0" w:line="157" w:lineRule="exact"/>
              <w:rPr>
                <w:sz w:val="20"/>
                <w:szCs w:val="20"/>
                <w:color w:val="auto"/>
              </w:rPr>
            </w:pPr>
            <w:r>
              <w:rPr>
                <w:rFonts w:ascii="Arial" w:cs="Arial" w:eastAsia="Arial" w:hAnsi="Arial"/>
                <w:sz w:val="18"/>
                <w:szCs w:val="18"/>
                <w:color w:val="auto"/>
                <w:w w:val="99"/>
              </w:rPr>
              <w:t>operations</w:t>
            </w:r>
          </w:p>
        </w:tc>
        <w:tc>
          <w:tcPr>
            <w:tcW w:w="360" w:type="dxa"/>
            <w:vAlign w:val="bottom"/>
          </w:tcPr>
          <w:p>
            <w:pPr>
              <w:spacing w:after="0"/>
              <w:rPr>
                <w:sz w:val="15"/>
                <w:szCs w:val="15"/>
                <w:color w:val="auto"/>
              </w:rPr>
            </w:pPr>
          </w:p>
        </w:tc>
        <w:tc>
          <w:tcPr>
            <w:tcW w:w="1100" w:type="dxa"/>
            <w:vAlign w:val="bottom"/>
            <w:gridSpan w:val="3"/>
          </w:tcPr>
          <w:p>
            <w:pPr>
              <w:jc w:val="right"/>
              <w:ind w:right="520"/>
              <w:spacing w:after="0" w:line="157"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profit/(loss) attributable to equity holders of the Company</w:t>
            </w:r>
          </w:p>
        </w:tc>
        <w:tc>
          <w:tcPr>
            <w:tcW w:w="7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1,696</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1,690</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(US$ millions)</w:t>
            </w:r>
          </w:p>
        </w:tc>
        <w:tc>
          <w:tcPr>
            <w:tcW w:w="720" w:type="dxa"/>
            <w:vAlign w:val="bottom"/>
            <w:gridSpan w:val="2"/>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(1,633)</w:t>
            </w:r>
          </w:p>
        </w:tc>
        <w:tc>
          <w:tcPr>
            <w:tcW w:w="2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Weighted average number of ordinary shares outstanding for</w:t>
            </w:r>
          </w:p>
        </w:tc>
        <w:tc>
          <w:tcPr>
            <w:tcW w:w="72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405</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405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405</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 earnings per share (millions)</w:t>
            </w:r>
          </w:p>
        </w:tc>
        <w:tc>
          <w:tcPr>
            <w:tcW w:w="720" w:type="dxa"/>
            <w:vAlign w:val="bottom"/>
            <w:tcBorders>
              <w:bottom w:val="single" w:sz="8" w:color="auto"/>
            </w:tcBorders>
            <w:gridSpan w:val="2"/>
            <w:vMerge w:val="continue"/>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366</w:t>
            </w: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366</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earnings/(loss) per share (US$ per share)</w:t>
            </w:r>
          </w:p>
        </w:tc>
        <w:tc>
          <w:tcPr>
            <w:tcW w:w="7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19</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(4.46)</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(0.01)</w:t>
            </w: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18</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980" w:hanging="776"/>
        <w:spacing w:after="0"/>
        <w:tabs>
          <w:tab w:leader="none" w:pos="9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Diluted earnings per share</w:t>
      </w:r>
    </w:p>
    <w:p>
      <w:pPr>
        <w:spacing w:after="0" w:line="211" w:lineRule="exact"/>
        <w:rPr>
          <w:rFonts w:ascii="Arial" w:cs="Arial" w:eastAsia="Arial" w:hAnsi="Arial"/>
          <w:sz w:val="18"/>
          <w:szCs w:val="18"/>
          <w:color w:val="auto"/>
        </w:rPr>
      </w:pPr>
    </w:p>
    <w:p>
      <w:pPr>
        <w:jc w:val="both"/>
        <w:ind w:left="980"/>
        <w:spacing w:after="0" w:line="238" w:lineRule="auto"/>
        <w:rPr>
          <w:rFonts w:ascii="Arial" w:cs="Arial" w:eastAsia="Arial" w:hAnsi="Arial"/>
          <w:sz w:val="18"/>
          <w:szCs w:val="18"/>
          <w:color w:val="auto"/>
        </w:rPr>
      </w:pPr>
      <w:r>
        <w:rPr>
          <w:rFonts w:ascii="Arial" w:cs="Arial" w:eastAsia="Arial" w:hAnsi="Arial"/>
          <w:sz w:val="18"/>
          <w:szCs w:val="18"/>
          <w:color w:val="auto"/>
        </w:rPr>
        <w:t>For the purpose of calculating diluted earnings per share, profit attributable to equity holders of the Company and the weighted average number of ordinary shares outstanding are adjusted for the effects of all dilutive potential ordinary shares. The Company’s dilutive potential ordinary shares include Broadcom ordinary shares issuable upon exchange of the partnership restricted exchangeable units (“Partnership REUs”) in Broadcom Cayman L.P. (the “Partnership”) and outstanding equity awards.</w:t>
      </w:r>
    </w:p>
    <w:p>
      <w:pPr>
        <w:spacing w:after="0" w:line="202" w:lineRule="exact"/>
        <w:rPr>
          <w:rFonts w:ascii="Arial" w:cs="Arial" w:eastAsia="Arial" w:hAnsi="Arial"/>
          <w:sz w:val="18"/>
          <w:szCs w:val="18"/>
          <w:color w:val="auto"/>
        </w:rPr>
      </w:pPr>
    </w:p>
    <w:p>
      <w:pPr>
        <w:jc w:val="both"/>
        <w:ind w:left="980"/>
        <w:spacing w:after="0" w:line="239" w:lineRule="auto"/>
        <w:rPr>
          <w:rFonts w:ascii="Arial" w:cs="Arial" w:eastAsia="Arial" w:hAnsi="Arial"/>
          <w:sz w:val="18"/>
          <w:szCs w:val="18"/>
          <w:color w:val="auto"/>
        </w:rPr>
      </w:pPr>
      <w:r>
        <w:rPr>
          <w:rFonts w:ascii="Arial" w:cs="Arial" w:eastAsia="Arial" w:hAnsi="Arial"/>
          <w:sz w:val="18"/>
          <w:szCs w:val="18"/>
          <w:color w:val="auto"/>
        </w:rPr>
        <w:t>For Broadcom ordinary shares issuable upon exchange of the Partnership REUs, the weighted average number of ordinary shares issuable has been adjusted as if exchange was undertaken. The number of shares that could have been issued upon the exchange of all Partnership REUs is added to the denominator as the number of shares issued for no consideration. No adjustment is made to the net profit.</w:t>
      </w:r>
    </w:p>
    <w:p>
      <w:pPr>
        <w:spacing w:after="0" w:line="201" w:lineRule="exact"/>
        <w:rPr>
          <w:rFonts w:ascii="Arial" w:cs="Arial" w:eastAsia="Arial" w:hAnsi="Arial"/>
          <w:sz w:val="18"/>
          <w:szCs w:val="18"/>
          <w:color w:val="auto"/>
        </w:rPr>
      </w:pPr>
    </w:p>
    <w:p>
      <w:pPr>
        <w:jc w:val="both"/>
        <w:ind w:left="980"/>
        <w:spacing w:after="0"/>
        <w:rPr>
          <w:rFonts w:ascii="Arial" w:cs="Arial" w:eastAsia="Arial" w:hAnsi="Arial"/>
          <w:sz w:val="18"/>
          <w:szCs w:val="18"/>
          <w:color w:val="auto"/>
        </w:rPr>
      </w:pPr>
      <w:r>
        <w:rPr>
          <w:rFonts w:ascii="Arial" w:cs="Arial" w:eastAsia="Arial" w:hAnsi="Arial"/>
          <w:sz w:val="18"/>
          <w:szCs w:val="18"/>
          <w:color w:val="auto"/>
        </w:rPr>
        <w:t>Diluted net income (loss) per share excluded the potentially dilutive effect of the exchange of Partnership REUs for up to 22 million ordinary shares for financial year 2017 and weighted average outstanding equity awards to acquire 12 million ordinary shares for financial year 2016, as their effect was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Diluted earnings per share (continued)</w:t>
      </w:r>
    </w:p>
    <w:p>
      <w:pPr>
        <w:spacing w:after="0" w:line="144" w:lineRule="exact"/>
        <w:rPr>
          <w:rFonts w:ascii="Arial" w:cs="Arial" w:eastAsia="Arial" w:hAnsi="Arial"/>
          <w:sz w:val="18"/>
          <w:szCs w:val="18"/>
          <w:color w:val="auto"/>
        </w:rPr>
      </w:pPr>
    </w:p>
    <w:p>
      <w:pPr>
        <w:ind w:left="980" w:right="20"/>
        <w:spacing w:after="0" w:line="246" w:lineRule="auto"/>
        <w:rPr>
          <w:rFonts w:ascii="Arial" w:cs="Arial" w:eastAsia="Arial" w:hAnsi="Arial"/>
          <w:sz w:val="18"/>
          <w:szCs w:val="18"/>
          <w:color w:val="auto"/>
        </w:rPr>
      </w:pPr>
      <w:r>
        <w:rPr>
          <w:rFonts w:ascii="Arial" w:cs="Arial" w:eastAsia="Arial" w:hAnsi="Arial"/>
          <w:sz w:val="18"/>
          <w:szCs w:val="18"/>
          <w:color w:val="auto"/>
        </w:rPr>
        <w:t>Diluted earnings per share for continuing operations and discontinued operations attributable to equity holders of the Company is calculated as follows: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ind w:left="180"/>
              <w:spacing w:after="0"/>
              <w:rPr>
                <w:sz w:val="20"/>
                <w:szCs w:val="20"/>
                <w:color w:val="auto"/>
              </w:rPr>
            </w:pPr>
            <w:r>
              <w:rPr>
                <w:rFonts w:ascii="Arial" w:cs="Arial" w:eastAsia="Arial" w:hAnsi="Arial"/>
                <w:sz w:val="18"/>
                <w:szCs w:val="18"/>
                <w:color w:val="auto"/>
              </w:rPr>
              <w:t>Continuing</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gridSpan w:val="5"/>
          </w:tcPr>
          <w:p>
            <w:pPr>
              <w:jc w:val="right"/>
              <w:ind w:right="420"/>
              <w:spacing w:after="0"/>
              <w:rPr>
                <w:sz w:val="20"/>
                <w:szCs w:val="20"/>
                <w:color w:val="auto"/>
              </w:rPr>
            </w:pPr>
            <w:r>
              <w:rPr>
                <w:rFonts w:ascii="Arial" w:cs="Arial" w:eastAsia="Arial" w:hAnsi="Arial"/>
                <w:sz w:val="18"/>
                <w:szCs w:val="18"/>
                <w:color w:val="auto"/>
              </w:rPr>
              <w:t>Discontinued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0"/>
              <w:spacing w:after="0" w:line="157" w:lineRule="exact"/>
              <w:rPr>
                <w:sz w:val="20"/>
                <w:szCs w:val="20"/>
                <w:color w:val="auto"/>
              </w:rPr>
            </w:pPr>
            <w:r>
              <w:rPr>
                <w:rFonts w:ascii="Arial" w:cs="Arial" w:eastAsia="Arial" w:hAnsi="Arial"/>
                <w:sz w:val="18"/>
                <w:szCs w:val="18"/>
                <w:color w:val="auto"/>
              </w:rPr>
              <w:t>operations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gridSpan w:val="5"/>
          </w:tcPr>
          <w:p>
            <w:pPr>
              <w:jc w:val="right"/>
              <w:ind w:right="520"/>
              <w:spacing w:after="0" w:line="157" w:lineRule="exact"/>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ind w:left="80"/>
              <w:spacing w:after="0" w:line="157"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60" w:type="dxa"/>
            <w:vAlign w:val="bottom"/>
            <w:gridSpan w:val="4"/>
          </w:tcPr>
          <w:p>
            <w:pPr>
              <w:jc w:val="right"/>
              <w:ind w:right="230"/>
              <w:spacing w:after="0" w:line="203" w:lineRule="exact"/>
              <w:rPr>
                <w:sz w:val="20"/>
                <w:szCs w:val="20"/>
                <w:color w:val="auto"/>
              </w:rPr>
            </w:pPr>
            <w:r>
              <w:rPr>
                <w:rFonts w:ascii="Arial" w:cs="Arial" w:eastAsia="Arial" w:hAnsi="Arial"/>
                <w:sz w:val="18"/>
                <w:szCs w:val="18"/>
                <w:b w:val="1"/>
                <w:bCs w:val="1"/>
                <w:color w:val="auto"/>
              </w:rPr>
              <w:t>2017</w:t>
            </w: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2016</w:t>
            </w:r>
          </w:p>
        </w:tc>
        <w:tc>
          <w:tcPr>
            <w:tcW w:w="80" w:type="dxa"/>
            <w:vAlign w:val="bottom"/>
          </w:tcPr>
          <w:p>
            <w:pPr>
              <w:spacing w:after="0"/>
              <w:rPr>
                <w:sz w:val="17"/>
                <w:szCs w:val="17"/>
                <w:color w:val="auto"/>
              </w:rPr>
            </w:pPr>
          </w:p>
        </w:tc>
        <w:tc>
          <w:tcPr>
            <w:tcW w:w="840" w:type="dxa"/>
            <w:vAlign w:val="bottom"/>
            <w:gridSpan w:val="4"/>
          </w:tcPr>
          <w:p>
            <w:pPr>
              <w:jc w:val="right"/>
              <w:ind w:right="33"/>
              <w:spacing w:after="0" w:line="203" w:lineRule="exact"/>
              <w:rPr>
                <w:sz w:val="20"/>
                <w:szCs w:val="20"/>
                <w:color w:val="auto"/>
              </w:rPr>
            </w:pPr>
            <w:r>
              <w:rPr>
                <w:rFonts w:ascii="Arial" w:cs="Arial" w:eastAsia="Arial" w:hAnsi="Arial"/>
                <w:sz w:val="18"/>
                <w:szCs w:val="18"/>
                <w:b w:val="1"/>
                <w:bCs w:val="1"/>
                <w:color w:val="auto"/>
              </w:rPr>
              <w:t>2017</w:t>
            </w: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2016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3"/>
          </w:tcPr>
          <w:p>
            <w:pPr>
              <w:jc w:val="right"/>
              <w:ind w:right="70"/>
              <w:spacing w:after="0" w:line="203" w:lineRule="exact"/>
              <w:rPr>
                <w:sz w:val="20"/>
                <w:szCs w:val="20"/>
                <w:color w:val="auto"/>
              </w:rPr>
            </w:pPr>
            <w:r>
              <w:rPr>
                <w:rFonts w:ascii="Arial" w:cs="Arial" w:eastAsia="Arial" w:hAnsi="Arial"/>
                <w:sz w:val="18"/>
                <w:szCs w:val="18"/>
                <w:b w:val="1"/>
                <w:bCs w:val="1"/>
                <w:color w:val="auto"/>
              </w:rPr>
              <w:t>2017</w:t>
            </w:r>
          </w:p>
        </w:tc>
        <w:tc>
          <w:tcPr>
            <w:tcW w:w="8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80" w:type="dxa"/>
            <w:vAlign w:val="bottom"/>
            <w:gridSpan w:val="7"/>
            <w:shd w:val="clear" w:color="auto" w:fill="CCEEFF"/>
          </w:tcPr>
          <w:p>
            <w:pPr>
              <w:spacing w:after="0" w:line="180" w:lineRule="exact"/>
              <w:rPr>
                <w:sz w:val="20"/>
                <w:szCs w:val="20"/>
                <w:color w:val="auto"/>
              </w:rPr>
            </w:pPr>
            <w:r>
              <w:rPr>
                <w:rFonts w:ascii="Arial" w:cs="Arial" w:eastAsia="Arial" w:hAnsi="Arial"/>
                <w:sz w:val="18"/>
                <w:szCs w:val="18"/>
                <w:color w:val="auto"/>
              </w:rPr>
              <w:t>Net profit/(loss) attributable to equity holders of the Company (US$</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millions)</w:t>
            </w:r>
          </w:p>
        </w:tc>
        <w:tc>
          <w:tcPr>
            <w:tcW w:w="1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1,696</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60" w:type="dxa"/>
            <w:vAlign w:val="bottom"/>
            <w:gridSpan w:val="2"/>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7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1,690</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6560" w:type="dxa"/>
            <w:vAlign w:val="bottom"/>
            <w:gridSpan w:val="8"/>
          </w:tcPr>
          <w:p>
            <w:pPr>
              <w:ind w:left="260"/>
              <w:spacing w:after="0" w:line="187" w:lineRule="exact"/>
              <w:rPr>
                <w:sz w:val="20"/>
                <w:szCs w:val="20"/>
                <w:color w:val="auto"/>
              </w:rPr>
            </w:pPr>
            <w:r>
              <w:rPr>
                <w:rFonts w:ascii="Arial" w:cs="Arial" w:eastAsia="Arial" w:hAnsi="Arial"/>
                <w:sz w:val="18"/>
                <w:szCs w:val="18"/>
                <w:color w:val="auto"/>
              </w:rPr>
              <w:t>Weighted average number of ordinary shares outstanding for basic</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earnings per share (millions)</w:t>
            </w:r>
          </w:p>
        </w:tc>
        <w:tc>
          <w:tcPr>
            <w:tcW w:w="1180" w:type="dxa"/>
            <w:vAlign w:val="bottom"/>
          </w:tcPr>
          <w:p>
            <w:pPr>
              <w:spacing w:after="0"/>
              <w:rPr>
                <w:sz w:val="19"/>
                <w:szCs w:val="19"/>
                <w:color w:val="auto"/>
              </w:rPr>
            </w:pPr>
          </w:p>
        </w:tc>
        <w:tc>
          <w:tcPr>
            <w:tcW w:w="16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405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840" w:type="dxa"/>
            <w:vAlign w:val="bottom"/>
            <w:gridSpan w:val="4"/>
          </w:tcPr>
          <w:p>
            <w:pPr>
              <w:jc w:val="right"/>
              <w:spacing w:after="0"/>
              <w:rPr>
                <w:sz w:val="20"/>
                <w:szCs w:val="20"/>
                <w:color w:val="auto"/>
              </w:rPr>
            </w:pPr>
            <w:r>
              <w:rPr>
                <w:rFonts w:ascii="Arial" w:cs="Arial" w:eastAsia="Arial" w:hAnsi="Arial"/>
                <w:sz w:val="18"/>
                <w:szCs w:val="18"/>
                <w:b w:val="1"/>
                <w:bCs w:val="1"/>
                <w:color w:val="auto"/>
              </w:rPr>
              <w:t>405</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9"/>
                <w:szCs w:val="19"/>
                <w:color w:val="auto"/>
              </w:rPr>
            </w:pPr>
          </w:p>
        </w:tc>
        <w:tc>
          <w:tcPr>
            <w:tcW w:w="6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405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Adjustments for (millions)</w:t>
            </w: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Equity awards</w:t>
            </w:r>
          </w:p>
        </w:tc>
        <w:tc>
          <w:tcPr>
            <w:tcW w:w="1180" w:type="dxa"/>
            <w:vAlign w:val="bottom"/>
          </w:tcPr>
          <w:p>
            <w:pPr>
              <w:spacing w:after="0"/>
              <w:rPr>
                <w:sz w:val="17"/>
                <w:szCs w:val="17"/>
                <w:color w:val="auto"/>
              </w:rPr>
            </w:pPr>
          </w:p>
        </w:tc>
        <w:tc>
          <w:tcPr>
            <w:tcW w:w="1660" w:type="dxa"/>
            <w:vAlign w:val="bottom"/>
            <w:gridSpan w:val="4"/>
          </w:tcPr>
          <w:p>
            <w:pPr>
              <w:jc w:val="right"/>
              <w:ind w:right="170"/>
              <w:spacing w:after="0" w:line="202" w:lineRule="exact"/>
              <w:rPr>
                <w:sz w:val="20"/>
                <w:szCs w:val="20"/>
                <w:color w:val="auto"/>
              </w:rPr>
            </w:pPr>
            <w:r>
              <w:rPr>
                <w:rFonts w:ascii="Arial" w:cs="Arial" w:eastAsia="Arial" w:hAnsi="Arial"/>
                <w:sz w:val="18"/>
                <w:szCs w:val="18"/>
                <w:b w:val="1"/>
                <w:bCs w:val="1"/>
                <w:color w:val="auto"/>
              </w:rPr>
              <w:t>16</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16</w:t>
            </w:r>
          </w:p>
        </w:tc>
        <w:tc>
          <w:tcPr>
            <w:tcW w:w="76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600" w:type="dxa"/>
            <w:vAlign w:val="bottom"/>
            <w:gridSpan w:val="3"/>
          </w:tcPr>
          <w:p>
            <w:pPr>
              <w:jc w:val="right"/>
              <w:ind w:right="10"/>
              <w:spacing w:after="0" w:line="202" w:lineRule="exact"/>
              <w:rPr>
                <w:sz w:val="20"/>
                <w:szCs w:val="20"/>
                <w:color w:val="auto"/>
              </w:rPr>
            </w:pPr>
            <w:r>
              <w:rPr>
                <w:rFonts w:ascii="Arial" w:cs="Arial" w:eastAsia="Arial" w:hAnsi="Arial"/>
                <w:sz w:val="18"/>
                <w:szCs w:val="18"/>
                <w:b w:val="1"/>
                <w:bCs w:val="1"/>
                <w:color w:val="auto"/>
              </w:rPr>
              <w:t>16</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 Exchange of REUs for ordinary shares</w:t>
            </w:r>
          </w:p>
        </w:tc>
        <w:tc>
          <w:tcPr>
            <w:tcW w:w="1180" w:type="dxa"/>
            <w:vAlign w:val="bottom"/>
            <w:shd w:val="clear" w:color="auto" w:fill="CCEEFF"/>
          </w:tcPr>
          <w:p>
            <w:pPr>
              <w:spacing w:after="0"/>
              <w:rPr>
                <w:sz w:val="17"/>
                <w:szCs w:val="17"/>
                <w:color w:val="auto"/>
              </w:rPr>
            </w:pPr>
          </w:p>
        </w:tc>
        <w:tc>
          <w:tcPr>
            <w:tcW w:w="1660" w:type="dxa"/>
            <w:vAlign w:val="bottom"/>
            <w:gridSpan w:val="4"/>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8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421</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421</w:t>
            </w:r>
          </w:p>
        </w:tc>
        <w:tc>
          <w:tcPr>
            <w:tcW w:w="7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8"/>
                <w:szCs w:val="18"/>
                <w:color w:val="auto"/>
              </w:rPr>
            </w:pPr>
          </w:p>
        </w:tc>
        <w:tc>
          <w:tcPr>
            <w:tcW w:w="60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421</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Diluted earnings/(loss) per share (US$ per share)</w:t>
            </w:r>
          </w:p>
        </w:tc>
        <w:tc>
          <w:tcPr>
            <w:tcW w:w="1660" w:type="dxa"/>
            <w:vAlign w:val="bottom"/>
            <w:gridSpan w:val="4"/>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4.03</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(4.57)</w:t>
            </w:r>
          </w:p>
        </w:tc>
        <w:tc>
          <w:tcPr>
            <w:tcW w:w="8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(0.01)</w:t>
            </w:r>
          </w:p>
        </w:tc>
        <w:tc>
          <w:tcPr>
            <w:tcW w:w="7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(0.29)</w:t>
            </w: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4.02</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12.</w:t>
            </w:r>
          </w:p>
        </w:tc>
        <w:tc>
          <w:tcPr>
            <w:tcW w:w="3720" w:type="dxa"/>
            <w:vAlign w:val="bottom"/>
            <w:gridSpan w:val="3"/>
          </w:tcPr>
          <w:p>
            <w:pPr>
              <w:ind w:left="260"/>
              <w:spacing w:after="0"/>
              <w:rPr>
                <w:sz w:val="20"/>
                <w:szCs w:val="20"/>
                <w:color w:val="auto"/>
              </w:rPr>
            </w:pPr>
            <w:r>
              <w:rPr>
                <w:rFonts w:ascii="Arial" w:cs="Arial" w:eastAsia="Arial" w:hAnsi="Arial"/>
                <w:sz w:val="18"/>
                <w:szCs w:val="18"/>
                <w:b w:val="1"/>
                <w:bCs w:val="1"/>
                <w:color w:val="auto"/>
              </w:rPr>
              <w:t>Cash and cash equivalents</w:t>
            </w: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660" w:type="dxa"/>
            <w:vAlign w:val="bottom"/>
            <w:gridSpan w:val="4"/>
          </w:tcPr>
          <w:p>
            <w:pPr>
              <w:jc w:val="right"/>
              <w:ind w:right="1070"/>
              <w:spacing w:after="0"/>
              <w:rPr>
                <w:sz w:val="20"/>
                <w:szCs w:val="20"/>
                <w:color w:val="auto"/>
              </w:rPr>
            </w:pPr>
            <w:r>
              <w:rPr>
                <w:rFonts w:ascii="Arial" w:cs="Arial" w:eastAsia="Arial" w:hAnsi="Arial"/>
                <w:sz w:val="18"/>
                <w:szCs w:val="18"/>
                <w:color w:val="auto"/>
                <w:w w:val="95"/>
              </w:rPr>
              <w:t>Group</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2017</w:t>
            </w:r>
          </w:p>
        </w:tc>
        <w:tc>
          <w:tcPr>
            <w:tcW w:w="1120" w:type="dxa"/>
            <w:vAlign w:val="bottom"/>
            <w:gridSpan w:val="6"/>
          </w:tcPr>
          <w:p>
            <w:pPr>
              <w:jc w:val="right"/>
              <w:ind w:right="90"/>
              <w:spacing w:after="0"/>
              <w:rPr>
                <w:sz w:val="20"/>
                <w:szCs w:val="20"/>
                <w:color w:val="auto"/>
              </w:rPr>
            </w:pPr>
            <w:r>
              <w:rPr>
                <w:rFonts w:ascii="Arial" w:cs="Arial" w:eastAsia="Arial" w:hAnsi="Arial"/>
                <w:sz w:val="18"/>
                <w:szCs w:val="18"/>
                <w:color w:val="auto"/>
              </w:rPr>
              <w:t>Company</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160" w:type="dxa"/>
            <w:vAlign w:val="bottom"/>
            <w:gridSpan w:val="3"/>
          </w:tcPr>
          <w:p>
            <w:pPr>
              <w:jc w:val="right"/>
              <w:ind w:right="270"/>
              <w:spacing w:after="0" w:line="192" w:lineRule="exact"/>
              <w:rPr>
                <w:sz w:val="20"/>
                <w:szCs w:val="20"/>
                <w:color w:val="auto"/>
              </w:rPr>
            </w:pPr>
            <w:r>
              <w:rPr>
                <w:rFonts w:ascii="Arial" w:cs="Arial" w:eastAsia="Arial" w:hAnsi="Arial"/>
                <w:sz w:val="18"/>
                <w:szCs w:val="18"/>
                <w:color w:val="auto"/>
              </w:rPr>
              <w:t>2016</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320"/>
              <w:spacing w:after="0" w:line="192" w:lineRule="exact"/>
              <w:rPr>
                <w:sz w:val="20"/>
                <w:szCs w:val="20"/>
                <w:color w:val="auto"/>
              </w:rPr>
            </w:pPr>
            <w:r>
              <w:rPr>
                <w:rFonts w:ascii="Arial" w:cs="Arial" w:eastAsia="Arial" w:hAnsi="Arial"/>
                <w:sz w:val="18"/>
                <w:szCs w:val="18"/>
                <w:color w:val="auto"/>
              </w:rPr>
              <w:t>2016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(US$ millions)</w:t>
            </w:r>
          </w:p>
        </w:tc>
        <w:tc>
          <w:tcPr>
            <w:tcW w:w="5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(US$ millions)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5"/>
          </w:tcPr>
          <w:p>
            <w:pPr>
              <w:jc w:val="center"/>
              <w:spacing w:after="0"/>
              <w:rPr>
                <w:sz w:val="20"/>
                <w:szCs w:val="20"/>
                <w:color w:val="auto"/>
              </w:rPr>
            </w:pPr>
            <w:r>
              <w:rPr>
                <w:rFonts w:ascii="Arial" w:cs="Arial" w:eastAsia="Arial" w:hAnsi="Arial"/>
                <w:sz w:val="16"/>
                <w:szCs w:val="16"/>
                <w:b w:val="1"/>
                <w:bCs w:val="1"/>
                <w:color w:val="auto"/>
              </w:rPr>
              <w:t>(US$ millions)</w:t>
            </w:r>
          </w:p>
        </w:tc>
        <w:tc>
          <w:tcPr>
            <w:tcW w:w="300" w:type="dxa"/>
            <w:vAlign w:val="bottom"/>
          </w:tcPr>
          <w:p>
            <w:pPr>
              <w:spacing w:after="0"/>
              <w:rPr>
                <w:sz w:val="18"/>
                <w:szCs w:val="18"/>
                <w:color w:val="auto"/>
              </w:rPr>
            </w:pPr>
          </w:p>
        </w:tc>
        <w:tc>
          <w:tcPr>
            <w:tcW w:w="1160" w:type="dxa"/>
            <w:vAlign w:val="bottom"/>
            <w:gridSpan w:val="5"/>
          </w:tcPr>
          <w:p>
            <w:pPr>
              <w:ind w:left="80"/>
              <w:spacing w:after="0"/>
              <w:rPr>
                <w:sz w:val="20"/>
                <w:szCs w:val="20"/>
                <w:color w:val="auto"/>
              </w:rPr>
            </w:pPr>
            <w:r>
              <w:rPr>
                <w:rFonts w:ascii="Arial" w:cs="Arial" w:eastAsia="Arial" w:hAnsi="Arial"/>
                <w:sz w:val="16"/>
                <w:szCs w:val="16"/>
                <w:color w:val="auto"/>
              </w:rPr>
              <w:t>(US$ millions)</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on hand</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4,302</w:t>
            </w:r>
          </w:p>
        </w:tc>
        <w:tc>
          <w:tcPr>
            <w:tcW w:w="1660" w:type="dxa"/>
            <w:vAlign w:val="bottom"/>
            <w:gridSpan w:val="4"/>
            <w:shd w:val="clear" w:color="auto" w:fill="CCEEFF"/>
          </w:tcPr>
          <w:p>
            <w:pPr>
              <w:ind w:left="1160"/>
              <w:spacing w:after="0" w:line="202" w:lineRule="exact"/>
              <w:rPr>
                <w:sz w:val="20"/>
                <w:szCs w:val="20"/>
                <w:color w:val="auto"/>
              </w:rPr>
            </w:pPr>
            <w:r>
              <w:rPr>
                <w:rFonts w:ascii="Arial" w:cs="Arial" w:eastAsia="Arial" w:hAnsi="Arial"/>
                <w:sz w:val="18"/>
                <w:szCs w:val="18"/>
                <w:color w:val="auto"/>
              </w:rPr>
              <w:t>2,075</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87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Short-term bank deposits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6,902</w:t>
            </w:r>
          </w:p>
        </w:tc>
        <w:tc>
          <w:tcPr>
            <w:tcW w:w="1660" w:type="dxa"/>
            <w:vAlign w:val="bottom"/>
            <w:gridSpan w:val="4"/>
          </w:tcPr>
          <w:p>
            <w:pPr>
              <w:ind w:left="1160"/>
              <w:spacing w:after="0"/>
              <w:rPr>
                <w:sz w:val="20"/>
                <w:szCs w:val="20"/>
                <w:color w:val="auto"/>
              </w:rPr>
            </w:pPr>
            <w:r>
              <w:rPr>
                <w:rFonts w:ascii="Arial" w:cs="Arial" w:eastAsia="Arial" w:hAnsi="Arial"/>
                <w:sz w:val="18"/>
                <w:szCs w:val="18"/>
                <w:color w:val="auto"/>
              </w:rPr>
              <w:t>1,022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11,204</w:t>
            </w:r>
          </w:p>
        </w:tc>
        <w:tc>
          <w:tcPr>
            <w:tcW w:w="1660" w:type="dxa"/>
            <w:vAlign w:val="bottom"/>
            <w:tcBorders>
              <w:top w:val="single" w:sz="8" w:color="auto"/>
            </w:tcBorders>
            <w:gridSpan w:val="4"/>
            <w:shd w:val="clear" w:color="auto" w:fill="CCEEFF"/>
          </w:tcPr>
          <w:p>
            <w:pPr>
              <w:ind w:left="1160"/>
              <w:spacing w:after="0" w:line="196" w:lineRule="exact"/>
              <w:rPr>
                <w:sz w:val="20"/>
                <w:szCs w:val="20"/>
                <w:color w:val="auto"/>
              </w:rPr>
            </w:pPr>
            <w:r>
              <w:rPr>
                <w:rFonts w:ascii="Arial" w:cs="Arial" w:eastAsia="Arial" w:hAnsi="Arial"/>
                <w:sz w:val="18"/>
                <w:szCs w:val="18"/>
                <w:color w:val="auto"/>
              </w:rPr>
              <w:t>3,097</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4"/>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187</w:t>
            </w: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53</w:t>
            </w:r>
          </w:p>
        </w:tc>
        <w:tc>
          <w:tcPr>
            <w:tcW w:w="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Acquisition and disposal of subsidiaries</w:t>
      </w:r>
    </w:p>
    <w:p>
      <w:pPr>
        <w:spacing w:after="0" w:line="212" w:lineRule="exact"/>
        <w:rPr>
          <w:sz w:val="20"/>
          <w:szCs w:val="20"/>
          <w:color w:val="auto"/>
        </w:rPr>
      </w:pPr>
    </w:p>
    <w:p>
      <w:pPr>
        <w:jc w:val="both"/>
        <w:ind w:left="980" w:right="20"/>
        <w:spacing w:after="0"/>
        <w:rPr>
          <w:sz w:val="20"/>
          <w:szCs w:val="20"/>
          <w:color w:val="auto"/>
        </w:rPr>
      </w:pPr>
      <w:r>
        <w:rPr>
          <w:rFonts w:ascii="Arial" w:cs="Arial" w:eastAsia="Arial" w:hAnsi="Arial"/>
          <w:sz w:val="18"/>
          <w:szCs w:val="18"/>
          <w:color w:val="auto"/>
        </w:rPr>
        <w:t>Please refer to Note 31 for the effects of acquisitions of subsidiaries on the cash flows of the Group. In 2016, US$10,055 million of cash consideration were used in the acquisition of subsidiaries, net of cash acquired, of which US$10,032 million were used in the Broadcom Merger (Note 31(a)(ii)).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240"/>
          </w:cols>
          <w:pgMar w:left="240" w:top="459" w:right="4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right="6180" w:hanging="776"/>
        <w:spacing w:after="0" w:line="444" w:lineRule="auto"/>
        <w:tabs>
          <w:tab w:leader="none" w:pos="98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Acquisition and disposal of subsidiaries</w:t>
      </w:r>
      <w:r>
        <w:rPr>
          <w:rFonts w:ascii="Arial" w:cs="Arial" w:eastAsia="Arial" w:hAnsi="Arial"/>
          <w:sz w:val="17"/>
          <w:szCs w:val="17"/>
          <w:color w:val="auto"/>
        </w:rPr>
        <w:t xml:space="preserve"> (continued)</w:t>
      </w:r>
    </w:p>
    <w:p>
      <w:pPr>
        <w:spacing w:after="0" w:line="1" w:lineRule="exact"/>
        <w:rPr>
          <w:rFonts w:ascii="Arial" w:cs="Arial" w:eastAsia="Arial" w:hAnsi="Arial"/>
          <w:sz w:val="17"/>
          <w:szCs w:val="17"/>
          <w:b w:val="1"/>
          <w:bCs w:val="1"/>
          <w:color w:val="auto"/>
        </w:rPr>
      </w:pPr>
    </w:p>
    <w:p>
      <w:pPr>
        <w:ind w:left="980" w:right="2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On April 28, 2016, the Company signed a definitive agreement to sell its Internet of Things (“IoT”) Business to Cypress Semiconductor Corporation for $550 million. The effects of the disposal on the cash flows of the Group were:</w:t>
      </w:r>
    </w:p>
    <w:p>
      <w:pPr>
        <w:spacing w:after="0" w:line="184"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Group</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880" w:type="dxa"/>
            <w:vAlign w:val="bottom"/>
            <w:gridSpan w:val="2"/>
          </w:tcPr>
          <w:p>
            <w:pPr>
              <w:jc w:val="center"/>
              <w:ind w:left="1222"/>
              <w:spacing w:after="0" w:line="222" w:lineRule="exact"/>
              <w:rPr>
                <w:sz w:val="20"/>
                <w:szCs w:val="20"/>
                <w:color w:val="auto"/>
              </w:rPr>
            </w:pPr>
            <w:r>
              <w:rPr>
                <w:rFonts w:ascii="Arial" w:cs="Arial" w:eastAsia="Arial" w:hAnsi="Arial"/>
                <w:sz w:val="20"/>
                <w:szCs w:val="20"/>
                <w:color w:val="auto"/>
                <w:w w:val="98"/>
              </w:rPr>
              <w:t>2016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40" w:type="dxa"/>
            <w:vAlign w:val="bottom"/>
            <w:gridSpan w:val="3"/>
          </w:tcPr>
          <w:p>
            <w:pPr>
              <w:jc w:val="center"/>
              <w:ind w:left="862"/>
              <w:spacing w:after="0" w:line="203" w:lineRule="exact"/>
              <w:rPr>
                <w:sz w:val="20"/>
                <w:szCs w:val="20"/>
                <w:color w:val="auto"/>
              </w:rPr>
            </w:pPr>
            <w:r>
              <w:rPr>
                <w:rFonts w:ascii="Arial" w:cs="Arial" w:eastAsia="Arial" w:hAnsi="Arial"/>
                <w:sz w:val="18"/>
                <w:szCs w:val="18"/>
                <w:color w:val="auto"/>
                <w:w w:val="99"/>
              </w:rPr>
              <w:t>(US$ millions)</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20"/>
                <w:szCs w:val="20"/>
                <w:color w:val="auto"/>
                <w:w w:val="98"/>
              </w:rPr>
              <w:t>Carrying amounts of assets and liabilities disposed of</w:t>
            </w:r>
          </w:p>
        </w:tc>
        <w:tc>
          <w:tcPr>
            <w:tcW w:w="33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gridSpan w:val="2"/>
          </w:tcPr>
          <w:p>
            <w:pPr>
              <w:spacing w:after="0" w:line="203" w:lineRule="exact"/>
              <w:rPr>
                <w:sz w:val="20"/>
                <w:szCs w:val="20"/>
                <w:color w:val="auto"/>
              </w:rPr>
            </w:pPr>
            <w:r>
              <w:rPr>
                <w:rFonts w:ascii="Arial" w:cs="Arial" w:eastAsia="Arial" w:hAnsi="Arial"/>
                <w:sz w:val="20"/>
                <w:szCs w:val="20"/>
                <w:color w:val="auto"/>
              </w:rPr>
              <w:t>Property, plant and equipment</w:t>
            </w:r>
          </w:p>
        </w:tc>
        <w:tc>
          <w:tcPr>
            <w:tcW w:w="2240" w:type="dxa"/>
            <w:vAlign w:val="bottom"/>
            <w:gridSpan w:val="3"/>
          </w:tcPr>
          <w:p>
            <w:pPr>
              <w:jc w:val="right"/>
              <w:ind w:right="80"/>
              <w:spacing w:after="0" w:line="203" w:lineRule="exact"/>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Inventory</w:t>
            </w:r>
          </w:p>
        </w:tc>
        <w:tc>
          <w:tcPr>
            <w:tcW w:w="224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line="216" w:lineRule="exact"/>
              <w:rPr>
                <w:sz w:val="20"/>
                <w:szCs w:val="20"/>
                <w:color w:val="auto"/>
              </w:rPr>
            </w:pPr>
            <w:r>
              <w:rPr>
                <w:rFonts w:ascii="Arial" w:cs="Arial" w:eastAsia="Arial" w:hAnsi="Arial"/>
                <w:sz w:val="20"/>
                <w:szCs w:val="20"/>
                <w:color w:val="auto"/>
              </w:rPr>
              <w:t>Intangible assets</w:t>
            </w:r>
          </w:p>
        </w:tc>
        <w:tc>
          <w:tcPr>
            <w:tcW w:w="2240" w:type="dxa"/>
            <w:vAlign w:val="bottom"/>
            <w:gridSpan w:val="3"/>
          </w:tcPr>
          <w:p>
            <w:pPr>
              <w:jc w:val="right"/>
              <w:ind w:right="80"/>
              <w:spacing w:after="0" w:line="216" w:lineRule="exact"/>
              <w:rPr>
                <w:sz w:val="20"/>
                <w:szCs w:val="20"/>
                <w:color w:val="auto"/>
              </w:rPr>
            </w:pPr>
            <w:r>
              <w:rPr>
                <w:rFonts w:ascii="Arial" w:cs="Arial" w:eastAsia="Arial" w:hAnsi="Arial"/>
                <w:sz w:val="20"/>
                <w:szCs w:val="20"/>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Goodwill</w:t>
            </w:r>
          </w:p>
        </w:tc>
        <w:tc>
          <w:tcPr>
            <w:tcW w:w="224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267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Others</w:t>
            </w:r>
          </w:p>
        </w:tc>
        <w:tc>
          <w:tcPr>
            <w:tcW w:w="2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line="209" w:lineRule="exact"/>
              <w:rPr>
                <w:sz w:val="20"/>
                <w:szCs w:val="20"/>
                <w:color w:val="auto"/>
              </w:rPr>
            </w:pPr>
            <w:r>
              <w:rPr>
                <w:rFonts w:ascii="Arial" w:cs="Arial" w:eastAsia="Arial" w:hAnsi="Arial"/>
                <w:sz w:val="20"/>
                <w:szCs w:val="20"/>
                <w:color w:val="auto"/>
              </w:rPr>
              <w:t>Net assets disposed of</w:t>
            </w:r>
          </w:p>
        </w:tc>
        <w:tc>
          <w:tcPr>
            <w:tcW w:w="2240" w:type="dxa"/>
            <w:vAlign w:val="bottom"/>
            <w:gridSpan w:val="3"/>
            <w:shd w:val="clear" w:color="auto" w:fill="CCEEFF"/>
          </w:tcPr>
          <w:p>
            <w:pPr>
              <w:jc w:val="right"/>
              <w:ind w:right="80"/>
              <w:spacing w:after="0" w:line="209" w:lineRule="exact"/>
              <w:rPr>
                <w:sz w:val="20"/>
                <w:szCs w:val="20"/>
                <w:color w:val="auto"/>
              </w:rPr>
            </w:pPr>
            <w:r>
              <w:rPr>
                <w:rFonts w:ascii="Arial" w:cs="Arial" w:eastAsia="Arial" w:hAnsi="Arial"/>
                <w:sz w:val="20"/>
                <w:szCs w:val="20"/>
                <w:color w:val="auto"/>
              </w:rPr>
              <w:t>538</w:t>
            </w:r>
          </w:p>
        </w:tc>
        <w:tc>
          <w:tcPr>
            <w:tcW w:w="0" w:type="dxa"/>
            <w:vAlign w:val="bottom"/>
          </w:tcPr>
          <w:p>
            <w:pPr>
              <w:spacing w:after="0"/>
              <w:rPr>
                <w:sz w:val="1"/>
                <w:szCs w:val="1"/>
                <w:color w:val="auto"/>
              </w:rPr>
            </w:pPr>
          </w:p>
        </w:tc>
      </w:tr>
      <w:tr>
        <w:trPr>
          <w:trHeight w:val="21"/>
        </w:trPr>
        <w:tc>
          <w:tcPr>
            <w:tcW w:w="8020" w:type="dxa"/>
            <w:vAlign w:val="bottom"/>
            <w:gridSpan w:val="3"/>
            <w:vMerge w:val="restart"/>
          </w:tcPr>
          <w:p>
            <w:pPr>
              <w:spacing w:after="0"/>
              <w:rPr>
                <w:sz w:val="20"/>
                <w:szCs w:val="20"/>
                <w:color w:val="auto"/>
              </w:rPr>
            </w:pPr>
            <w:r>
              <w:rPr>
                <w:rFonts w:ascii="Arial" w:cs="Arial" w:eastAsia="Arial" w:hAnsi="Arial"/>
                <w:sz w:val="18"/>
                <w:szCs w:val="18"/>
                <w:color w:val="auto"/>
              </w:rPr>
              <w:t>The aggregate cash inflows arising from the disposal of IoT were:</w:t>
            </w: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020" w:type="dxa"/>
            <w:vAlign w:val="bottom"/>
            <w:gridSpan w:val="3"/>
            <w:vMerge w:val="continue"/>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Group</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880" w:type="dxa"/>
            <w:vAlign w:val="bottom"/>
            <w:gridSpan w:val="2"/>
          </w:tcPr>
          <w:p>
            <w:pPr>
              <w:jc w:val="center"/>
              <w:ind w:left="1222"/>
              <w:spacing w:after="0" w:line="222" w:lineRule="exact"/>
              <w:rPr>
                <w:sz w:val="20"/>
                <w:szCs w:val="20"/>
                <w:color w:val="auto"/>
              </w:rPr>
            </w:pPr>
            <w:r>
              <w:rPr>
                <w:rFonts w:ascii="Arial" w:cs="Arial" w:eastAsia="Arial" w:hAnsi="Arial"/>
                <w:sz w:val="20"/>
                <w:szCs w:val="20"/>
                <w:color w:val="auto"/>
                <w:w w:val="98"/>
              </w:rPr>
              <w:t>2016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40" w:type="dxa"/>
            <w:vAlign w:val="bottom"/>
            <w:gridSpan w:val="3"/>
          </w:tcPr>
          <w:p>
            <w:pPr>
              <w:jc w:val="center"/>
              <w:ind w:left="862"/>
              <w:spacing w:after="0" w:line="203" w:lineRule="exact"/>
              <w:rPr>
                <w:sz w:val="20"/>
                <w:szCs w:val="20"/>
                <w:color w:val="auto"/>
              </w:rPr>
            </w:pPr>
            <w:r>
              <w:rPr>
                <w:rFonts w:ascii="Arial" w:cs="Arial" w:eastAsia="Arial" w:hAnsi="Arial"/>
                <w:sz w:val="18"/>
                <w:szCs w:val="18"/>
                <w:color w:val="auto"/>
                <w:w w:val="99"/>
              </w:rPr>
              <w:t>(US$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Net assets disposed of (as above)</w:t>
            </w:r>
          </w:p>
        </w:tc>
        <w:tc>
          <w:tcPr>
            <w:tcW w:w="224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538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Gain on disposal (Note 10(a))</w:t>
            </w:r>
          </w:p>
        </w:tc>
        <w:tc>
          <w:tcPr>
            <w:tcW w:w="2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line="209" w:lineRule="exact"/>
              <w:rPr>
                <w:sz w:val="20"/>
                <w:szCs w:val="20"/>
                <w:color w:val="auto"/>
              </w:rPr>
            </w:pPr>
            <w:r>
              <w:rPr>
                <w:rFonts w:ascii="Arial" w:cs="Arial" w:eastAsia="Arial" w:hAnsi="Arial"/>
                <w:sz w:val="20"/>
                <w:szCs w:val="20"/>
                <w:color w:val="auto"/>
              </w:rPr>
              <w:t>Cash proceeds from disposal</w:t>
            </w:r>
          </w:p>
        </w:tc>
        <w:tc>
          <w:tcPr>
            <w:tcW w:w="2240" w:type="dxa"/>
            <w:vAlign w:val="bottom"/>
            <w:gridSpan w:val="3"/>
            <w:shd w:val="clear" w:color="auto" w:fill="CCEEFF"/>
          </w:tcPr>
          <w:p>
            <w:pPr>
              <w:jc w:val="right"/>
              <w:ind w:right="80"/>
              <w:spacing w:after="0" w:line="209" w:lineRule="exact"/>
              <w:rPr>
                <w:sz w:val="20"/>
                <w:szCs w:val="20"/>
                <w:color w:val="auto"/>
              </w:rPr>
            </w:pPr>
            <w:r>
              <w:rPr>
                <w:rFonts w:ascii="Arial" w:cs="Arial" w:eastAsia="Arial" w:hAnsi="Arial"/>
                <w:sz w:val="20"/>
                <w:szCs w:val="20"/>
                <w:color w:val="auto"/>
              </w:rPr>
              <w:t>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Less: cash and cash equivalents in subsidiaries disposed of</w:t>
            </w:r>
          </w:p>
        </w:tc>
        <w:tc>
          <w:tcPr>
            <w:tcW w:w="2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line="209" w:lineRule="exact"/>
              <w:rPr>
                <w:sz w:val="20"/>
                <w:szCs w:val="20"/>
                <w:color w:val="auto"/>
              </w:rPr>
            </w:pPr>
            <w:r>
              <w:rPr>
                <w:rFonts w:ascii="Arial" w:cs="Arial" w:eastAsia="Arial" w:hAnsi="Arial"/>
                <w:sz w:val="20"/>
                <w:szCs w:val="20"/>
                <w:color w:val="auto"/>
              </w:rPr>
              <w:t>Net cash inflow on disposal</w:t>
            </w:r>
          </w:p>
        </w:tc>
        <w:tc>
          <w:tcPr>
            <w:tcW w:w="2240" w:type="dxa"/>
            <w:vAlign w:val="bottom"/>
            <w:gridSpan w:val="3"/>
            <w:shd w:val="clear" w:color="auto" w:fill="CCEEFF"/>
          </w:tcPr>
          <w:p>
            <w:pPr>
              <w:jc w:val="right"/>
              <w:ind w:right="80"/>
              <w:spacing w:after="0" w:line="209" w:lineRule="exact"/>
              <w:rPr>
                <w:sz w:val="20"/>
                <w:szCs w:val="20"/>
                <w:color w:val="auto"/>
              </w:rPr>
            </w:pPr>
            <w:r>
              <w:rPr>
                <w:rFonts w:ascii="Arial" w:cs="Arial" w:eastAsia="Arial" w:hAnsi="Arial"/>
                <w:sz w:val="20"/>
                <w:szCs w:val="20"/>
                <w:color w:val="auto"/>
              </w:rPr>
              <w:t>550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On May 9, 2016, the Company signed a definitive agreement to sell its µWave Business to MaxLinear, Inc. for $80 million. The effects of the disposal on the cash flows of the Group were:</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Group</w:t>
            </w:r>
          </w:p>
        </w:tc>
        <w:tc>
          <w:tcPr>
            <w:tcW w:w="360" w:type="dxa"/>
            <w:vAlign w:val="bottom"/>
          </w:tcPr>
          <w:p>
            <w:pPr>
              <w:spacing w:after="0"/>
              <w:rPr>
                <w:sz w:val="19"/>
                <w:szCs w:val="19"/>
                <w:color w:val="auto"/>
              </w:rPr>
            </w:pPr>
          </w:p>
        </w:tc>
      </w:tr>
      <w:tr>
        <w:trPr>
          <w:trHeight w:val="222"/>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40" w:type="dxa"/>
            <w:vAlign w:val="bottom"/>
            <w:gridSpan w:val="2"/>
          </w:tcPr>
          <w:p>
            <w:pPr>
              <w:jc w:val="center"/>
              <w:ind w:left="1382"/>
              <w:spacing w:after="0" w:line="222" w:lineRule="exact"/>
              <w:rPr>
                <w:sz w:val="20"/>
                <w:szCs w:val="20"/>
                <w:color w:val="auto"/>
              </w:rPr>
            </w:pPr>
            <w:r>
              <w:rPr>
                <w:rFonts w:ascii="Arial" w:cs="Arial" w:eastAsia="Arial" w:hAnsi="Arial"/>
                <w:sz w:val="20"/>
                <w:szCs w:val="20"/>
                <w:color w:val="auto"/>
                <w:w w:val="98"/>
              </w:rPr>
              <w:t>2016</w:t>
            </w:r>
          </w:p>
        </w:tc>
        <w:tc>
          <w:tcPr>
            <w:tcW w:w="360" w:type="dxa"/>
            <w:vAlign w:val="bottom"/>
          </w:tcPr>
          <w:p>
            <w:pPr>
              <w:spacing w:after="0"/>
              <w:rPr>
                <w:sz w:val="19"/>
                <w:szCs w:val="19"/>
                <w:color w:val="auto"/>
              </w:rPr>
            </w:pPr>
          </w:p>
        </w:tc>
      </w:tr>
      <w:tr>
        <w:trPr>
          <w:trHeight w:val="203"/>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400" w:type="dxa"/>
            <w:vAlign w:val="bottom"/>
            <w:gridSpan w:val="3"/>
          </w:tcPr>
          <w:p>
            <w:pPr>
              <w:jc w:val="center"/>
              <w:ind w:left="1022"/>
              <w:spacing w:after="0" w:line="203" w:lineRule="exact"/>
              <w:rPr>
                <w:sz w:val="20"/>
                <w:szCs w:val="20"/>
                <w:color w:val="auto"/>
              </w:rPr>
            </w:pPr>
            <w:r>
              <w:rPr>
                <w:rFonts w:ascii="Arial" w:cs="Arial" w:eastAsia="Arial" w:hAnsi="Arial"/>
                <w:sz w:val="18"/>
                <w:szCs w:val="18"/>
                <w:color w:val="auto"/>
                <w:w w:val="99"/>
              </w:rPr>
              <w:t>(US$ millions)</w:t>
            </w:r>
          </w:p>
        </w:tc>
      </w:tr>
      <w:tr>
        <w:trPr>
          <w:trHeight w:val="209"/>
        </w:trPr>
        <w:tc>
          <w:tcPr>
            <w:tcW w:w="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20"/>
                <w:szCs w:val="20"/>
                <w:color w:val="auto"/>
                <w:w w:val="98"/>
              </w:rPr>
              <w:t>Carrying amounts of assets and liabilities disposed of</w:t>
            </w:r>
          </w:p>
        </w:tc>
        <w:tc>
          <w:tcPr>
            <w:tcW w:w="3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r>
      <w:tr>
        <w:trPr>
          <w:trHeight w:val="203"/>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gridSpan w:val="2"/>
          </w:tcPr>
          <w:p>
            <w:pPr>
              <w:spacing w:after="0" w:line="203" w:lineRule="exact"/>
              <w:rPr>
                <w:sz w:val="20"/>
                <w:szCs w:val="20"/>
                <w:color w:val="auto"/>
              </w:rPr>
            </w:pPr>
            <w:r>
              <w:rPr>
                <w:rFonts w:ascii="Arial" w:cs="Arial" w:eastAsia="Arial" w:hAnsi="Arial"/>
                <w:sz w:val="20"/>
                <w:szCs w:val="20"/>
                <w:color w:val="auto"/>
              </w:rPr>
              <w:t>Property, plant and equipment</w:t>
            </w:r>
          </w:p>
        </w:tc>
        <w:tc>
          <w:tcPr>
            <w:tcW w:w="2400" w:type="dxa"/>
            <w:vAlign w:val="bottom"/>
            <w:gridSpan w:val="3"/>
          </w:tcPr>
          <w:p>
            <w:pPr>
              <w:jc w:val="right"/>
              <w:ind w:right="80"/>
              <w:spacing w:after="0" w:line="203" w:lineRule="exact"/>
              <w:rPr>
                <w:sz w:val="20"/>
                <w:szCs w:val="20"/>
                <w:color w:val="auto"/>
              </w:rPr>
            </w:pPr>
            <w:r>
              <w:rPr>
                <w:rFonts w:ascii="Arial" w:cs="Arial" w:eastAsia="Arial" w:hAnsi="Arial"/>
                <w:sz w:val="20"/>
                <w:szCs w:val="20"/>
                <w:color w:val="auto"/>
              </w:rPr>
              <w:t>2</w:t>
            </w: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Inventory</w:t>
            </w:r>
          </w:p>
        </w:tc>
        <w:tc>
          <w:tcPr>
            <w:tcW w:w="240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4</w:t>
            </w: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gridSpan w:val="2"/>
          </w:tcPr>
          <w:p>
            <w:pPr>
              <w:spacing w:after="0" w:line="216" w:lineRule="exact"/>
              <w:rPr>
                <w:sz w:val="20"/>
                <w:szCs w:val="20"/>
                <w:color w:val="auto"/>
              </w:rPr>
            </w:pPr>
            <w:r>
              <w:rPr>
                <w:rFonts w:ascii="Arial" w:cs="Arial" w:eastAsia="Arial" w:hAnsi="Arial"/>
                <w:sz w:val="20"/>
                <w:szCs w:val="20"/>
                <w:color w:val="auto"/>
              </w:rPr>
              <w:t>Intangible assets</w:t>
            </w:r>
          </w:p>
        </w:tc>
        <w:tc>
          <w:tcPr>
            <w:tcW w:w="2400" w:type="dxa"/>
            <w:vAlign w:val="bottom"/>
            <w:gridSpan w:val="3"/>
          </w:tcPr>
          <w:p>
            <w:pPr>
              <w:jc w:val="right"/>
              <w:ind w:right="80"/>
              <w:spacing w:after="0" w:line="216" w:lineRule="exact"/>
              <w:rPr>
                <w:sz w:val="20"/>
                <w:szCs w:val="20"/>
                <w:color w:val="auto"/>
              </w:rPr>
            </w:pPr>
            <w:r>
              <w:rPr>
                <w:rFonts w:ascii="Arial" w:cs="Arial" w:eastAsia="Arial" w:hAnsi="Arial"/>
                <w:sz w:val="20"/>
                <w:szCs w:val="20"/>
                <w:color w:val="auto"/>
              </w:rPr>
              <w:t>26</w:t>
            </w: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Goodwill</w:t>
            </w:r>
          </w:p>
        </w:tc>
        <w:tc>
          <w:tcPr>
            <w:tcW w:w="240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34</w:t>
            </w:r>
          </w:p>
        </w:tc>
      </w:tr>
      <w:tr>
        <w:trPr>
          <w:trHeight w:val="230"/>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Others</w:t>
            </w:r>
          </w:p>
        </w:tc>
        <w:tc>
          <w:tcPr>
            <w:tcW w:w="2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1</w:t>
            </w:r>
          </w:p>
        </w:tc>
      </w:tr>
      <w:tr>
        <w:trPr>
          <w:trHeight w:val="210"/>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gridSpan w:val="2"/>
            <w:shd w:val="clear" w:color="auto" w:fill="CCEEFF"/>
          </w:tcPr>
          <w:p>
            <w:pPr>
              <w:spacing w:after="0" w:line="209" w:lineRule="exact"/>
              <w:rPr>
                <w:sz w:val="20"/>
                <w:szCs w:val="20"/>
                <w:color w:val="auto"/>
              </w:rPr>
            </w:pPr>
            <w:r>
              <w:rPr>
                <w:rFonts w:ascii="Arial" w:cs="Arial" w:eastAsia="Arial" w:hAnsi="Arial"/>
                <w:sz w:val="20"/>
                <w:szCs w:val="20"/>
                <w:color w:val="auto"/>
              </w:rPr>
              <w:t>Net assets disposed of</w:t>
            </w:r>
          </w:p>
        </w:tc>
        <w:tc>
          <w:tcPr>
            <w:tcW w:w="2400" w:type="dxa"/>
            <w:vAlign w:val="bottom"/>
            <w:gridSpan w:val="3"/>
            <w:shd w:val="clear" w:color="auto" w:fill="CCEEFF"/>
          </w:tcPr>
          <w:p>
            <w:pPr>
              <w:jc w:val="right"/>
              <w:ind w:right="80"/>
              <w:spacing w:after="0" w:line="209" w:lineRule="exact"/>
              <w:rPr>
                <w:sz w:val="20"/>
                <w:szCs w:val="20"/>
                <w:color w:val="auto"/>
              </w:rPr>
            </w:pPr>
            <w:r>
              <w:rPr>
                <w:rFonts w:ascii="Arial" w:cs="Arial" w:eastAsia="Arial" w:hAnsi="Arial"/>
                <w:sz w:val="20"/>
                <w:szCs w:val="20"/>
                <w:color w:val="auto"/>
              </w:rPr>
              <w:t>67</w:t>
            </w:r>
          </w:p>
        </w:tc>
      </w:tr>
      <w:tr>
        <w:trPr>
          <w:trHeight w:val="21"/>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62"/>
        </w:trPr>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r>
      <w:tr>
        <w:trPr>
          <w:trHeight w:val="399"/>
        </w:trPr>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gridSpan w:val="2"/>
          </w:tcPr>
          <w:p>
            <w:pPr>
              <w:ind w:left="4520"/>
              <w:spacing w:after="0"/>
              <w:rPr>
                <w:sz w:val="20"/>
                <w:szCs w:val="20"/>
                <w:color w:val="auto"/>
              </w:rPr>
            </w:pPr>
            <w:r>
              <w:rPr>
                <w:rFonts w:ascii="Arial" w:cs="Arial" w:eastAsia="Arial" w:hAnsi="Arial"/>
                <w:sz w:val="18"/>
                <w:szCs w:val="18"/>
                <w:color w:val="auto"/>
              </w:rPr>
              <w:t>A-69</w:t>
            </w: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right="4140" w:hanging="776"/>
        <w:spacing w:after="0" w:line="444" w:lineRule="auto"/>
        <w:tabs>
          <w:tab w:leader="none" w:pos="980"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Acquisition and disposal of subsidiaries</w:t>
      </w:r>
      <w:r>
        <w:rPr>
          <w:rFonts w:ascii="Arial" w:cs="Arial" w:eastAsia="Arial" w:hAnsi="Arial"/>
          <w:sz w:val="17"/>
          <w:szCs w:val="17"/>
          <w:color w:val="auto"/>
        </w:rPr>
        <w:t xml:space="preserve"> (continued)</w:t>
      </w:r>
    </w:p>
    <w:p>
      <w:pPr>
        <w:spacing w:after="0" w:line="1" w:lineRule="exact"/>
        <w:rPr>
          <w:rFonts w:ascii="Arial" w:cs="Arial" w:eastAsia="Arial" w:hAnsi="Arial"/>
          <w:sz w:val="17"/>
          <w:szCs w:val="17"/>
          <w:b w:val="1"/>
          <w:bCs w:val="1"/>
          <w:color w:val="auto"/>
        </w:rPr>
      </w:pPr>
    </w:p>
    <w:p>
      <w:pPr>
        <w:ind w:left="980"/>
        <w:spacing w:after="0"/>
        <w:rPr>
          <w:rFonts w:ascii="Arial" w:cs="Arial" w:eastAsia="Arial" w:hAnsi="Arial"/>
          <w:sz w:val="17"/>
          <w:szCs w:val="17"/>
          <w:b w:val="1"/>
          <w:bCs w:val="1"/>
          <w:color w:val="auto"/>
        </w:rPr>
      </w:pPr>
      <w:r>
        <w:rPr>
          <w:rFonts w:ascii="Arial" w:cs="Arial" w:eastAsia="Arial" w:hAnsi="Arial"/>
          <w:sz w:val="17"/>
          <w:szCs w:val="17"/>
          <w:color w:val="auto"/>
        </w:rPr>
        <w:t>The aggregate cash inflows arising from the disposal of µWave Business were:</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3" w:lineRule="exact"/>
        <w:rPr>
          <w:rFonts w:ascii="Arial" w:cs="Arial" w:eastAsia="Arial" w:hAnsi="Arial"/>
          <w:sz w:val="17"/>
          <w:szCs w:val="17"/>
          <w:b w:val="1"/>
          <w:bCs w:val="1"/>
          <w:color w:val="auto"/>
        </w:rPr>
      </w:pPr>
    </w:p>
    <w:p>
      <w:pPr>
        <w:ind w:left="980"/>
        <w:spacing w:after="0"/>
        <w:rPr>
          <w:rFonts w:ascii="Arial" w:cs="Arial" w:eastAsia="Arial" w:hAnsi="Arial"/>
          <w:sz w:val="17"/>
          <w:szCs w:val="17"/>
          <w:b w:val="1"/>
          <w:bCs w:val="1"/>
          <w:color w:val="auto"/>
        </w:rPr>
      </w:pPr>
      <w:r>
        <w:rPr>
          <w:rFonts w:ascii="Arial" w:cs="Arial" w:eastAsia="Arial" w:hAnsi="Arial"/>
          <w:sz w:val="20"/>
          <w:szCs w:val="20"/>
          <w:color w:val="auto"/>
        </w:rPr>
        <w:t>Net assets disposed of (as above)</w:t>
      </w:r>
    </w:p>
    <w:p>
      <w:pPr>
        <w:spacing w:after="0" w:line="94" w:lineRule="exact"/>
        <w:rPr>
          <w:rFonts w:ascii="Arial" w:cs="Arial" w:eastAsia="Arial" w:hAnsi="Arial"/>
          <w:sz w:val="17"/>
          <w:szCs w:val="17"/>
          <w:b w:val="1"/>
          <w:bCs w:val="1"/>
          <w:color w:val="auto"/>
        </w:rPr>
      </w:pPr>
    </w:p>
    <w:p>
      <w:pPr>
        <w:jc w:val="both"/>
        <w:ind w:left="980" w:right="5620"/>
        <w:spacing w:after="0" w:line="252" w:lineRule="auto"/>
        <w:rPr>
          <w:rFonts w:ascii="Arial" w:cs="Arial" w:eastAsia="Arial" w:hAnsi="Arial"/>
          <w:sz w:val="17"/>
          <w:szCs w:val="17"/>
          <w:b w:val="1"/>
          <w:bCs w:val="1"/>
          <w:color w:val="auto"/>
        </w:rPr>
      </w:pPr>
      <w:r>
        <w:rPr>
          <w:rFonts w:ascii="Arial" w:cs="Arial" w:eastAsia="Arial" w:hAnsi="Arial"/>
          <w:sz w:val="19"/>
          <w:szCs w:val="19"/>
          <w:color w:val="auto"/>
        </w:rPr>
        <w:t>Gain on disposal (Note 10(a)) Cash proceeds from disposal</w:t>
      </w:r>
    </w:p>
    <w:p>
      <w:pPr>
        <w:ind w:left="980" w:right="2980"/>
        <w:spacing w:after="0" w:line="247" w:lineRule="auto"/>
        <w:rPr>
          <w:rFonts w:ascii="Arial" w:cs="Arial" w:eastAsia="Arial" w:hAnsi="Arial"/>
          <w:sz w:val="17"/>
          <w:szCs w:val="17"/>
          <w:b w:val="1"/>
          <w:bCs w:val="1"/>
          <w:color w:val="auto"/>
        </w:rPr>
      </w:pPr>
      <w:r>
        <w:rPr>
          <w:rFonts w:ascii="Arial" w:cs="Arial" w:eastAsia="Arial" w:hAnsi="Arial"/>
          <w:sz w:val="20"/>
          <w:szCs w:val="20"/>
          <w:color w:val="auto"/>
        </w:rPr>
        <w:t>Less: cash and cash equivalents in subsidiaries disposed of Net cash inflow on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-795020</wp:posOffset>
            </wp:positionV>
            <wp:extent cx="6500495"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500495" cy="13716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-151765</wp:posOffset>
            </wp:positionV>
            <wp:extent cx="6500495" cy="146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500495" cy="14605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-443230</wp:posOffset>
            </wp:positionV>
            <wp:extent cx="6500495" cy="146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5004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Group</w:t>
      </w:r>
    </w:p>
    <w:p>
      <w:pPr>
        <w:ind w:left="400"/>
        <w:spacing w:after="0" w:line="225" w:lineRule="auto"/>
        <w:rPr>
          <w:sz w:val="20"/>
          <w:szCs w:val="20"/>
          <w:color w:val="auto"/>
        </w:rPr>
      </w:pPr>
      <w:r>
        <w:rPr>
          <w:rFonts w:ascii="Arial" w:cs="Arial" w:eastAsia="Arial" w:hAnsi="Arial"/>
          <w:sz w:val="20"/>
          <w:szCs w:val="20"/>
          <w:color w:val="auto"/>
        </w:rPr>
        <w:t>2016</w:t>
      </w:r>
    </w:p>
    <w:p>
      <w:pPr>
        <w:jc w:val="right"/>
        <w:ind w:right="80"/>
        <w:spacing w:after="0"/>
        <w:rPr>
          <w:sz w:val="20"/>
          <w:szCs w:val="20"/>
          <w:color w:val="auto"/>
        </w:rPr>
      </w:pPr>
      <w:r>
        <w:rPr>
          <w:rFonts w:ascii="Arial" w:cs="Arial" w:eastAsia="Arial" w:hAnsi="Arial"/>
          <w:sz w:val="19"/>
          <w:szCs w:val="19"/>
          <w:color w:val="auto"/>
        </w:rPr>
        <w:t>(US$ millions)</w:t>
      </w:r>
    </w:p>
    <w:p>
      <w:pPr>
        <w:spacing w:after="0" w:line="106"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67</w:t>
      </w:r>
    </w:p>
    <w:p>
      <w:pPr>
        <w:spacing w:after="0" w:line="94"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13</w:t>
      </w:r>
    </w:p>
    <w:p>
      <w:pPr>
        <w:jc w:val="right"/>
        <w:ind w:right="80"/>
        <w:spacing w:after="0"/>
        <w:rPr>
          <w:sz w:val="20"/>
          <w:szCs w:val="20"/>
          <w:color w:val="auto"/>
        </w:rPr>
      </w:pPr>
      <w:r>
        <w:rPr>
          <w:rFonts w:ascii="Arial" w:cs="Arial" w:eastAsia="Arial" w:hAnsi="Arial"/>
          <w:sz w:val="20"/>
          <w:szCs w:val="20"/>
          <w:color w:val="auto"/>
        </w:rPr>
        <w:t>80</w:t>
      </w:r>
    </w:p>
    <w:p>
      <w:pPr>
        <w:jc w:val="right"/>
        <w:ind w:right="80"/>
        <w:spacing w:after="0"/>
        <w:rPr>
          <w:sz w:val="20"/>
          <w:szCs w:val="20"/>
          <w:color w:val="auto"/>
        </w:rPr>
      </w:pPr>
      <w:r>
        <w:rPr>
          <w:rFonts w:ascii="Arial" w:cs="Arial" w:eastAsia="Arial" w:hAnsi="Arial"/>
          <w:sz w:val="20"/>
          <w:szCs w:val="20"/>
          <w:b w:val="1"/>
          <w:bCs w:val="1"/>
          <w:color w:val="auto"/>
        </w:rPr>
        <w:t>-</w:t>
      </w:r>
    </w:p>
    <w:p>
      <w:pPr>
        <w:spacing w:after="0" w:line="13"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1905</wp:posOffset>
            </wp:positionV>
            <wp:extent cx="168973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0" w:space="720"/>
            <w:col w:w="1320"/>
          </w:cols>
          <w:pgMar w:left="240" w:top="459" w:right="419" w:bottom="1440" w:gutter="0" w:footer="0" w:header="0"/>
        </w:sectPr>
      </w:pPr>
    </w:p>
    <w:p>
      <w:pPr>
        <w:spacing w:after="0" w:line="4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August 8, 2016 the Company signed a definitive agreement to sell its Secure Element business to NXP B.V. for $200 million.</w:t>
      </w:r>
    </w:p>
    <w:p>
      <w:pPr>
        <w:ind w:left="980"/>
        <w:spacing w:after="0"/>
        <w:rPr>
          <w:sz w:val="20"/>
          <w:szCs w:val="20"/>
          <w:color w:val="auto"/>
        </w:rPr>
      </w:pPr>
      <w:r>
        <w:rPr>
          <w:rFonts w:ascii="Arial" w:cs="Arial" w:eastAsia="Arial" w:hAnsi="Arial"/>
          <w:sz w:val="18"/>
          <w:szCs w:val="18"/>
          <w:color w:val="auto"/>
        </w:rPr>
        <w:t>The effects of the disposal on the cash flows of the Group were:</w:t>
      </w:r>
    </w:p>
    <w:p>
      <w:pPr>
        <w:spacing w:after="0" w:line="199"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Group</w:t>
            </w:r>
          </w:p>
        </w:tc>
        <w:tc>
          <w:tcPr>
            <w:tcW w:w="4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100" w:type="dxa"/>
            <w:vAlign w:val="bottom"/>
            <w:gridSpan w:val="2"/>
          </w:tcPr>
          <w:p>
            <w:pPr>
              <w:jc w:val="center"/>
              <w:ind w:left="1441"/>
              <w:spacing w:after="0" w:line="220" w:lineRule="exact"/>
              <w:rPr>
                <w:sz w:val="20"/>
                <w:szCs w:val="20"/>
                <w:color w:val="auto"/>
              </w:rPr>
            </w:pPr>
            <w:r>
              <w:rPr>
                <w:rFonts w:ascii="Arial" w:cs="Arial" w:eastAsia="Arial" w:hAnsi="Arial"/>
                <w:sz w:val="20"/>
                <w:szCs w:val="20"/>
                <w:color w:val="auto"/>
                <w:w w:val="98"/>
              </w:rPr>
              <w:t>2016</w:t>
            </w:r>
          </w:p>
        </w:tc>
        <w:tc>
          <w:tcPr>
            <w:tcW w:w="4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520" w:type="dxa"/>
            <w:vAlign w:val="bottom"/>
            <w:gridSpan w:val="3"/>
          </w:tcPr>
          <w:p>
            <w:pPr>
              <w:jc w:val="center"/>
              <w:ind w:left="1021"/>
              <w:spacing w:after="0" w:line="220" w:lineRule="exact"/>
              <w:rPr>
                <w:sz w:val="20"/>
                <w:szCs w:val="20"/>
                <w:color w:val="auto"/>
              </w:rPr>
            </w:pPr>
            <w:r>
              <w:rPr>
                <w:rFonts w:ascii="Arial" w:cs="Arial" w:eastAsia="Arial" w:hAnsi="Arial"/>
                <w:sz w:val="20"/>
                <w:szCs w:val="20"/>
                <w:color w:val="auto"/>
                <w:w w:val="99"/>
              </w:rPr>
              <w:t>(US$ millions)</w:t>
            </w:r>
          </w:p>
        </w:tc>
      </w:tr>
      <w:tr>
        <w:trPr>
          <w:trHeight w:val="209"/>
        </w:trPr>
        <w:tc>
          <w:tcPr>
            <w:tcW w:w="2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20"/>
                <w:szCs w:val="20"/>
                <w:color w:val="auto"/>
                <w:w w:val="98"/>
              </w:rPr>
              <w:t>Carrying amounts of assets and liabilities disposed of</w:t>
            </w:r>
          </w:p>
        </w:tc>
        <w:tc>
          <w:tcPr>
            <w:tcW w:w="30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tcPr>
          <w:p>
            <w:pPr>
              <w:spacing w:after="0" w:line="203" w:lineRule="exact"/>
              <w:rPr>
                <w:sz w:val="20"/>
                <w:szCs w:val="20"/>
                <w:color w:val="auto"/>
              </w:rPr>
            </w:pPr>
            <w:r>
              <w:rPr>
                <w:rFonts w:ascii="Arial" w:cs="Arial" w:eastAsia="Arial" w:hAnsi="Arial"/>
                <w:sz w:val="20"/>
                <w:szCs w:val="20"/>
                <w:color w:val="auto"/>
              </w:rPr>
              <w:t>Property, plant and equipment</w:t>
            </w:r>
          </w:p>
        </w:tc>
        <w:tc>
          <w:tcPr>
            <w:tcW w:w="2520" w:type="dxa"/>
            <w:vAlign w:val="bottom"/>
            <w:gridSpan w:val="3"/>
          </w:tcPr>
          <w:p>
            <w:pPr>
              <w:jc w:val="right"/>
              <w:ind w:right="80"/>
              <w:spacing w:after="0" w:line="203" w:lineRule="exact"/>
              <w:rPr>
                <w:sz w:val="20"/>
                <w:szCs w:val="20"/>
                <w:color w:val="auto"/>
              </w:rPr>
            </w:pPr>
            <w:r>
              <w:rPr>
                <w:rFonts w:ascii="Arial" w:cs="Arial" w:eastAsia="Arial" w:hAnsi="Arial"/>
                <w:sz w:val="20"/>
                <w:szCs w:val="20"/>
                <w:color w:val="auto"/>
              </w:rPr>
              <w:t>5</w:t>
            </w: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Inventory</w:t>
            </w:r>
          </w:p>
        </w:tc>
        <w:tc>
          <w:tcPr>
            <w:tcW w:w="252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3</w:t>
            </w: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line="216" w:lineRule="exact"/>
              <w:rPr>
                <w:sz w:val="20"/>
                <w:szCs w:val="20"/>
                <w:color w:val="auto"/>
              </w:rPr>
            </w:pPr>
            <w:r>
              <w:rPr>
                <w:rFonts w:ascii="Arial" w:cs="Arial" w:eastAsia="Arial" w:hAnsi="Arial"/>
                <w:sz w:val="20"/>
                <w:szCs w:val="20"/>
                <w:color w:val="auto"/>
              </w:rPr>
              <w:t>Intangible assets</w:t>
            </w:r>
          </w:p>
        </w:tc>
        <w:tc>
          <w:tcPr>
            <w:tcW w:w="2520" w:type="dxa"/>
            <w:vAlign w:val="bottom"/>
            <w:gridSpan w:val="3"/>
          </w:tcPr>
          <w:p>
            <w:pPr>
              <w:jc w:val="right"/>
              <w:ind w:right="80"/>
              <w:spacing w:after="0" w:line="216" w:lineRule="exact"/>
              <w:rPr>
                <w:sz w:val="20"/>
                <w:szCs w:val="20"/>
                <w:color w:val="auto"/>
              </w:rPr>
            </w:pPr>
            <w:r>
              <w:rPr>
                <w:rFonts w:ascii="Arial" w:cs="Arial" w:eastAsia="Arial" w:hAnsi="Arial"/>
                <w:sz w:val="20"/>
                <w:szCs w:val="20"/>
                <w:color w:val="auto"/>
              </w:rPr>
              <w:t>49</w:t>
            </w: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Goodwill</w:t>
            </w:r>
          </w:p>
        </w:tc>
        <w:tc>
          <w:tcPr>
            <w:tcW w:w="252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132</w:t>
            </w: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Others</w:t>
            </w:r>
          </w:p>
        </w:tc>
        <w:tc>
          <w:tcPr>
            <w:tcW w:w="2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2</w:t>
            </w:r>
          </w:p>
        </w:tc>
      </w:tr>
      <w:tr>
        <w:trPr>
          <w:trHeight w:val="210"/>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line="209" w:lineRule="exact"/>
              <w:rPr>
                <w:sz w:val="20"/>
                <w:szCs w:val="20"/>
                <w:color w:val="auto"/>
              </w:rPr>
            </w:pPr>
            <w:r>
              <w:rPr>
                <w:rFonts w:ascii="Arial" w:cs="Arial" w:eastAsia="Arial" w:hAnsi="Arial"/>
                <w:sz w:val="20"/>
                <w:szCs w:val="20"/>
                <w:color w:val="auto"/>
              </w:rPr>
              <w:t>Net assets disposed of</w:t>
            </w:r>
          </w:p>
        </w:tc>
        <w:tc>
          <w:tcPr>
            <w:tcW w:w="2520" w:type="dxa"/>
            <w:vAlign w:val="bottom"/>
            <w:gridSpan w:val="3"/>
            <w:shd w:val="clear" w:color="auto" w:fill="CCEEFF"/>
          </w:tcPr>
          <w:p>
            <w:pPr>
              <w:jc w:val="right"/>
              <w:ind w:right="80"/>
              <w:spacing w:after="0" w:line="209" w:lineRule="exact"/>
              <w:rPr>
                <w:sz w:val="20"/>
                <w:szCs w:val="20"/>
                <w:color w:val="auto"/>
              </w:rPr>
            </w:pPr>
            <w:r>
              <w:rPr>
                <w:rFonts w:ascii="Arial" w:cs="Arial" w:eastAsia="Arial" w:hAnsi="Arial"/>
                <w:sz w:val="20"/>
                <w:szCs w:val="20"/>
                <w:color w:val="auto"/>
              </w:rPr>
              <w:t>191</w:t>
            </w: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aggregate cash inflows arising from the disposal of its Secure Element business were:</w:t>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Net assets disposed of (as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-142875</wp:posOffset>
            </wp:positionV>
            <wp:extent cx="6500495"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500495" cy="137160"/>
                    </a:xfrm>
                    <a:prstGeom prst="rect">
                      <a:avLst/>
                    </a:prstGeom>
                    <a:noFill/>
                  </pic:spPr>
                </pic:pic>
              </a:graphicData>
            </a:graphic>
          </wp:anchor>
        </w:drawing>
      </w:r>
    </w:p>
    <w:p>
      <w:pPr>
        <w:spacing w:after="0" w:line="74" w:lineRule="exact"/>
        <w:rPr>
          <w:sz w:val="20"/>
          <w:szCs w:val="20"/>
          <w:color w:val="auto"/>
        </w:rPr>
      </w:pPr>
    </w:p>
    <w:p>
      <w:pPr>
        <w:ind w:left="980"/>
        <w:spacing w:after="0"/>
        <w:rPr>
          <w:sz w:val="20"/>
          <w:szCs w:val="20"/>
          <w:color w:val="auto"/>
        </w:rPr>
      </w:pPr>
      <w:r>
        <w:rPr>
          <w:rFonts w:ascii="Arial" w:cs="Arial" w:eastAsia="Arial" w:hAnsi="Arial"/>
          <w:sz w:val="20"/>
          <w:szCs w:val="20"/>
          <w:color w:val="auto"/>
        </w:rPr>
        <w:t>Gain on disposal (Note 10(a))</w:t>
      </w:r>
    </w:p>
    <w:p>
      <w:pPr>
        <w:ind w:left="980"/>
        <w:spacing w:after="0"/>
        <w:rPr>
          <w:sz w:val="20"/>
          <w:szCs w:val="20"/>
          <w:color w:val="auto"/>
        </w:rPr>
      </w:pPr>
      <w:r>
        <w:rPr>
          <w:rFonts w:ascii="Arial" w:cs="Arial" w:eastAsia="Arial" w:hAnsi="Arial"/>
          <w:sz w:val="20"/>
          <w:szCs w:val="20"/>
          <w:color w:val="auto"/>
        </w:rPr>
        <w:t>Cash proceeds from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-142875</wp:posOffset>
            </wp:positionV>
            <wp:extent cx="6500495" cy="146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500495" cy="146050"/>
                    </a:xfrm>
                    <a:prstGeom prst="rect">
                      <a:avLst/>
                    </a:prstGeom>
                    <a:noFill/>
                  </pic:spPr>
                </pic:pic>
              </a:graphicData>
            </a:graphic>
          </wp:anchor>
        </w:drawing>
      </w:r>
    </w:p>
    <w:p>
      <w:pPr>
        <w:ind w:left="980" w:right="2980"/>
        <w:spacing w:after="0" w:line="247" w:lineRule="auto"/>
        <w:rPr>
          <w:sz w:val="20"/>
          <w:szCs w:val="20"/>
          <w:color w:val="auto"/>
        </w:rPr>
      </w:pPr>
      <w:r>
        <w:rPr>
          <w:rFonts w:ascii="Arial" w:cs="Arial" w:eastAsia="Arial" w:hAnsi="Arial"/>
          <w:sz w:val="20"/>
          <w:szCs w:val="20"/>
          <w:color w:val="auto"/>
        </w:rPr>
        <w:t>Less: cash and cash equivalents in subsidiaries disposed of Net cash inflow on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-151765</wp:posOffset>
            </wp:positionV>
            <wp:extent cx="6500495" cy="146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500495" cy="14605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Group</w:t>
      </w:r>
    </w:p>
    <w:p>
      <w:pPr>
        <w:ind w:left="400"/>
        <w:spacing w:after="0" w:line="225" w:lineRule="auto"/>
        <w:rPr>
          <w:sz w:val="20"/>
          <w:szCs w:val="20"/>
          <w:color w:val="auto"/>
        </w:rPr>
      </w:pPr>
      <w:r>
        <w:rPr>
          <w:rFonts w:ascii="Arial" w:cs="Arial" w:eastAsia="Arial" w:hAnsi="Arial"/>
          <w:sz w:val="20"/>
          <w:szCs w:val="20"/>
          <w:color w:val="auto"/>
        </w:rPr>
        <w:t>2016</w:t>
      </w:r>
    </w:p>
    <w:p>
      <w:pPr>
        <w:jc w:val="right"/>
        <w:ind w:right="80"/>
        <w:spacing w:after="0" w:line="237" w:lineRule="auto"/>
        <w:rPr>
          <w:sz w:val="20"/>
          <w:szCs w:val="20"/>
          <w:color w:val="auto"/>
        </w:rPr>
      </w:pPr>
      <w:r>
        <w:rPr>
          <w:rFonts w:ascii="Arial" w:cs="Arial" w:eastAsia="Arial" w:hAnsi="Arial"/>
          <w:sz w:val="19"/>
          <w:szCs w:val="19"/>
          <w:color w:val="auto"/>
        </w:rPr>
        <w:t>(US$ millions)</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191</w:t>
      </w:r>
    </w:p>
    <w:p>
      <w:pPr>
        <w:spacing w:after="0" w:line="94"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9</w:t>
      </w:r>
    </w:p>
    <w:p>
      <w:pPr>
        <w:ind w:left="900"/>
        <w:spacing w:after="0"/>
        <w:rPr>
          <w:sz w:val="20"/>
          <w:szCs w:val="20"/>
          <w:color w:val="auto"/>
        </w:rPr>
      </w:pPr>
      <w:r>
        <w:rPr>
          <w:rFonts w:ascii="Arial" w:cs="Arial" w:eastAsia="Arial" w:hAnsi="Arial"/>
          <w:sz w:val="20"/>
          <w:szCs w:val="20"/>
          <w:color w:val="auto"/>
        </w:rPr>
        <w:t>200</w:t>
      </w:r>
    </w:p>
    <w:p>
      <w:pPr>
        <w:jc w:val="right"/>
        <w:ind w:right="80"/>
        <w:spacing w:after="0"/>
        <w:rPr>
          <w:sz w:val="20"/>
          <w:szCs w:val="20"/>
          <w:color w:val="auto"/>
        </w:rPr>
      </w:pPr>
      <w:r>
        <w:rPr>
          <w:rFonts w:ascii="Arial" w:cs="Arial" w:eastAsia="Arial" w:hAnsi="Arial"/>
          <w:sz w:val="20"/>
          <w:szCs w:val="20"/>
          <w:b w:val="1"/>
          <w:bCs w:val="1"/>
          <w:color w:val="auto"/>
        </w:rPr>
        <w:t>-</w:t>
      </w:r>
    </w:p>
    <w:p>
      <w:pPr>
        <w:spacing w:after="0" w:line="13"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1905</wp:posOffset>
            </wp:positionV>
            <wp:extent cx="15951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0" w:space="720"/>
            <w:col w:w="1320"/>
          </w:cols>
          <w:pgMar w:left="240" w:top="459" w:right="419" w:bottom="1440" w:gutter="0" w:footer="0" w:header="0"/>
          <w:type w:val="continuous"/>
        </w:sectPr>
      </w:pP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A-70</w:t>
      </w:r>
    </w:p>
    <w:p>
      <w:pPr>
        <w:sectPr>
          <w:pgSz w:w="11900" w:h="16838" w:orient="portrait"/>
          <w:cols w:equalWidth="0" w:num="1">
            <w:col w:w="11240"/>
          </w:cols>
          <w:pgMar w:left="240" w:top="459" w:right="41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980" w:hanging="776"/>
        <w:spacing w:after="0"/>
        <w:tabs>
          <w:tab w:leader="none" w:pos="98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Trade receivables and other current assets</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320" w:type="dxa"/>
            <w:vAlign w:val="bottom"/>
            <w:gridSpan w:val="3"/>
          </w:tcPr>
          <w:p>
            <w:pPr>
              <w:ind w:left="1740"/>
              <w:spacing w:after="0"/>
              <w:rPr>
                <w:sz w:val="20"/>
                <w:szCs w:val="20"/>
                <w:color w:val="auto"/>
              </w:rPr>
            </w:pPr>
            <w:r>
              <w:rPr>
                <w:rFonts w:ascii="Arial" w:cs="Arial" w:eastAsia="Arial" w:hAnsi="Arial"/>
                <w:sz w:val="20"/>
                <w:szCs w:val="20"/>
                <w:color w:val="auto"/>
              </w:rPr>
              <w:t>Group</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140" w:type="dxa"/>
            <w:vAlign w:val="bottom"/>
            <w:gridSpan w:val="5"/>
          </w:tcPr>
          <w:p>
            <w:pPr>
              <w:jc w:val="right"/>
              <w:ind w:right="1141"/>
              <w:spacing w:after="0"/>
              <w:rPr>
                <w:sz w:val="20"/>
                <w:szCs w:val="20"/>
                <w:color w:val="auto"/>
              </w:rPr>
            </w:pPr>
            <w:r>
              <w:rPr>
                <w:rFonts w:ascii="Arial" w:cs="Arial" w:eastAsia="Arial" w:hAnsi="Arial"/>
                <w:sz w:val="20"/>
                <w:szCs w:val="20"/>
                <w:color w:val="auto"/>
              </w:rPr>
              <w:t>Company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jc w:val="right"/>
              <w:ind w:right="301"/>
              <w:spacing w:after="0"/>
              <w:rPr>
                <w:sz w:val="20"/>
                <w:szCs w:val="20"/>
                <w:color w:val="auto"/>
              </w:rPr>
            </w:pPr>
            <w:r>
              <w:rPr>
                <w:rFonts w:ascii="Arial" w:cs="Arial" w:eastAsia="Arial" w:hAnsi="Arial"/>
                <w:sz w:val="20"/>
                <w:szCs w:val="20"/>
                <w:b w:val="1"/>
                <w:bCs w:val="1"/>
                <w:color w:val="auto"/>
              </w:rPr>
              <w:t>2017</w:t>
            </w:r>
          </w:p>
        </w:tc>
        <w:tc>
          <w:tcPr>
            <w:tcW w:w="5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2016</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jc w:val="right"/>
              <w:ind w:right="101"/>
              <w:spacing w:after="0"/>
              <w:rPr>
                <w:sz w:val="20"/>
                <w:szCs w:val="20"/>
                <w:color w:val="auto"/>
              </w:rPr>
            </w:pPr>
            <w:r>
              <w:rPr>
                <w:rFonts w:ascii="Arial" w:cs="Arial" w:eastAsia="Arial" w:hAnsi="Arial"/>
                <w:sz w:val="20"/>
                <w:szCs w:val="20"/>
                <w:b w:val="1"/>
                <w:bCs w:val="1"/>
                <w:color w:val="auto"/>
              </w:rPr>
              <w:t>2017</w:t>
            </w:r>
          </w:p>
        </w:tc>
        <w:tc>
          <w:tcPr>
            <w:tcW w:w="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Pr>
          <w:p>
            <w:pPr>
              <w:jc w:val="center"/>
              <w:ind w:right="141"/>
              <w:spacing w:after="0"/>
              <w:rPr>
                <w:sz w:val="20"/>
                <w:szCs w:val="20"/>
                <w:color w:val="auto"/>
              </w:rPr>
            </w:pPr>
            <w:r>
              <w:rPr>
                <w:rFonts w:ascii="Arial" w:cs="Arial" w:eastAsia="Arial" w:hAnsi="Arial"/>
                <w:sz w:val="20"/>
                <w:szCs w:val="20"/>
                <w:color w:val="auto"/>
                <w:w w:val="98"/>
              </w:rPr>
              <w:t>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20"/>
                <w:szCs w:val="20"/>
                <w:b w:val="1"/>
                <w:bCs w:val="1"/>
                <w:color w:val="auto"/>
                <w:w w:val="98"/>
              </w:rPr>
              <w:t>(US$ millions)</w:t>
            </w:r>
          </w:p>
        </w:tc>
        <w:tc>
          <w:tcPr>
            <w:tcW w:w="2000" w:type="dxa"/>
            <w:vAlign w:val="bottom"/>
            <w:gridSpan w:val="3"/>
          </w:tcPr>
          <w:p>
            <w:pPr>
              <w:jc w:val="center"/>
              <w:ind w:right="740"/>
              <w:spacing w:after="0"/>
              <w:rPr>
                <w:sz w:val="20"/>
                <w:szCs w:val="20"/>
                <w:color w:val="auto"/>
              </w:rPr>
            </w:pPr>
            <w:r>
              <w:rPr>
                <w:rFonts w:ascii="Arial" w:cs="Arial" w:eastAsia="Arial" w:hAnsi="Arial"/>
                <w:sz w:val="20"/>
                <w:szCs w:val="20"/>
                <w:color w:val="auto"/>
                <w:w w:val="98"/>
              </w:rPr>
              <w:t>(US$ millions)</w:t>
            </w:r>
          </w:p>
        </w:tc>
        <w:tc>
          <w:tcPr>
            <w:tcW w:w="2240" w:type="dxa"/>
            <w:vAlign w:val="bottom"/>
            <w:gridSpan w:val="4"/>
          </w:tcPr>
          <w:p>
            <w:pPr>
              <w:ind w:left="480"/>
              <w:spacing w:after="0"/>
              <w:rPr>
                <w:sz w:val="20"/>
                <w:szCs w:val="20"/>
                <w:color w:val="auto"/>
              </w:rPr>
            </w:pPr>
            <w:r>
              <w:rPr>
                <w:rFonts w:ascii="Arial" w:cs="Arial" w:eastAsia="Arial" w:hAnsi="Arial"/>
                <w:sz w:val="20"/>
                <w:szCs w:val="20"/>
                <w:b w:val="1"/>
                <w:bCs w:val="1"/>
                <w:color w:val="auto"/>
              </w:rPr>
              <w:t>(US$ millions)</w:t>
            </w:r>
          </w:p>
        </w:tc>
        <w:tc>
          <w:tcPr>
            <w:tcW w:w="1460" w:type="dxa"/>
            <w:vAlign w:val="bottom"/>
            <w:gridSpan w:val="2"/>
          </w:tcPr>
          <w:p>
            <w:pPr>
              <w:jc w:val="center"/>
              <w:spacing w:after="0"/>
              <w:rPr>
                <w:sz w:val="20"/>
                <w:szCs w:val="20"/>
                <w:color w:val="auto"/>
              </w:rPr>
            </w:pPr>
            <w:r>
              <w:rPr>
                <w:rFonts w:ascii="Arial" w:cs="Arial" w:eastAsia="Arial" w:hAnsi="Arial"/>
                <w:sz w:val="20"/>
                <w:szCs w:val="20"/>
                <w:color w:val="auto"/>
                <w:w w:val="98"/>
              </w:rPr>
              <w:t>(US$ millions)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Trade receivables</w:t>
            </w:r>
          </w:p>
        </w:tc>
        <w:tc>
          <w:tcPr>
            <w:tcW w:w="17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Borders>
              <w:right w:val="single" w:sz="8" w:color="auto"/>
            </w:tcBorders>
          </w:tcPr>
          <w:p>
            <w:pPr>
              <w:ind w:left="180"/>
              <w:spacing w:after="0" w:line="209" w:lineRule="exact"/>
              <w:rPr>
                <w:sz w:val="20"/>
                <w:szCs w:val="20"/>
                <w:color w:val="auto"/>
              </w:rPr>
            </w:pPr>
            <w:r>
              <w:rPr>
                <w:rFonts w:ascii="Arial" w:cs="Arial" w:eastAsia="Arial" w:hAnsi="Arial"/>
                <w:sz w:val="20"/>
                <w:szCs w:val="20"/>
                <w:color w:val="auto"/>
              </w:rPr>
              <w:t>- Related parties</w:t>
            </w:r>
          </w:p>
        </w:tc>
        <w:tc>
          <w:tcPr>
            <w:tcW w:w="2280" w:type="dxa"/>
            <w:vAlign w:val="bottom"/>
            <w:gridSpan w:val="2"/>
          </w:tcPr>
          <w:p>
            <w:pPr>
              <w:jc w:val="right"/>
              <w:ind w:right="500"/>
              <w:spacing w:after="0" w:line="209" w:lineRule="exact"/>
              <w:rPr>
                <w:sz w:val="20"/>
                <w:szCs w:val="20"/>
                <w:color w:val="auto"/>
              </w:rPr>
            </w:pPr>
            <w:r>
              <w:rPr>
                <w:rFonts w:ascii="Arial" w:cs="Arial" w:eastAsia="Arial" w:hAnsi="Arial"/>
                <w:sz w:val="20"/>
                <w:szCs w:val="20"/>
                <w:b w:val="1"/>
                <w:bCs w:val="1"/>
                <w:color w:val="auto"/>
              </w:rPr>
              <w:t>31</w:t>
            </w:r>
          </w:p>
        </w:tc>
        <w:tc>
          <w:tcPr>
            <w:tcW w:w="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140"/>
              <w:spacing w:after="0" w:line="209" w:lineRule="exact"/>
              <w:rPr>
                <w:sz w:val="20"/>
                <w:szCs w:val="20"/>
                <w:color w:val="auto"/>
              </w:rPr>
            </w:pPr>
            <w:r>
              <w:rPr>
                <w:rFonts w:ascii="Arial" w:cs="Arial" w:eastAsia="Arial" w:hAnsi="Arial"/>
                <w:sz w:val="20"/>
                <w:szCs w:val="20"/>
                <w:color w:val="auto"/>
              </w:rPr>
              <w:t>15</w:t>
            </w:r>
          </w:p>
        </w:tc>
        <w:tc>
          <w:tcPr>
            <w:tcW w:w="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gridSpan w:val="2"/>
          </w:tcPr>
          <w:p>
            <w:pPr>
              <w:jc w:val="right"/>
              <w:ind w:right="320"/>
              <w:spacing w:after="0" w:line="209"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1"/>
              <w:spacing w:after="0" w:line="209" w:lineRule="exact"/>
              <w:rPr>
                <w:sz w:val="20"/>
                <w:szCs w:val="20"/>
                <w:color w:val="auto"/>
              </w:rPr>
            </w:pPr>
            <w:r>
              <w:rPr>
                <w:rFonts w:ascii="Arial" w:cs="Arial" w:eastAsia="Arial" w:hAnsi="Arial"/>
                <w:sz w:val="20"/>
                <w:szCs w:val="20"/>
                <w:color w:val="auto"/>
              </w:rPr>
              <w:t>-</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Borders>
              <w:right w:val="single" w:sz="8" w:color="auto"/>
            </w:tcBorders>
            <w:shd w:val="clear" w:color="auto" w:fill="CCEEFF"/>
          </w:tcPr>
          <w:p>
            <w:pPr>
              <w:ind w:left="180"/>
              <w:spacing w:after="0" w:line="216" w:lineRule="exact"/>
              <w:rPr>
                <w:sz w:val="20"/>
                <w:szCs w:val="20"/>
                <w:color w:val="auto"/>
              </w:rPr>
            </w:pPr>
            <w:r>
              <w:rPr>
                <w:rFonts w:ascii="Arial" w:cs="Arial" w:eastAsia="Arial" w:hAnsi="Arial"/>
                <w:sz w:val="20"/>
                <w:szCs w:val="20"/>
                <w:color w:val="auto"/>
              </w:rPr>
              <w:t>- Non-related parties</w:t>
            </w:r>
          </w:p>
        </w:tc>
        <w:tc>
          <w:tcPr>
            <w:tcW w:w="2280" w:type="dxa"/>
            <w:vAlign w:val="bottom"/>
            <w:tcBorders>
              <w:bottom w:val="single" w:sz="8" w:color="auto"/>
            </w:tcBorders>
            <w:gridSpan w:val="2"/>
            <w:shd w:val="clear" w:color="auto" w:fill="CCEEFF"/>
          </w:tcPr>
          <w:p>
            <w:pPr>
              <w:jc w:val="right"/>
              <w:ind w:right="500"/>
              <w:spacing w:after="0" w:line="216" w:lineRule="exact"/>
              <w:rPr>
                <w:sz w:val="20"/>
                <w:szCs w:val="20"/>
                <w:color w:val="auto"/>
              </w:rPr>
            </w:pPr>
            <w:r>
              <w:rPr>
                <w:rFonts w:ascii="Arial" w:cs="Arial" w:eastAsia="Arial" w:hAnsi="Arial"/>
                <w:sz w:val="20"/>
                <w:szCs w:val="20"/>
                <w:b w:val="1"/>
                <w:bCs w:val="1"/>
                <w:color w:val="auto"/>
              </w:rPr>
              <w:t>2,417</w:t>
            </w:r>
          </w:p>
        </w:tc>
        <w:tc>
          <w:tcPr>
            <w:tcW w:w="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2,175</w:t>
            </w:r>
          </w:p>
        </w:tc>
        <w:tc>
          <w:tcPr>
            <w:tcW w:w="600" w:type="dxa"/>
            <w:vAlign w:val="bottom"/>
            <w:tcBorders>
              <w:right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320"/>
              <w:spacing w:after="0" w:line="216" w:lineRule="exact"/>
              <w:rPr>
                <w:sz w:val="20"/>
                <w:szCs w:val="20"/>
                <w:color w:val="auto"/>
              </w:rPr>
            </w:pPr>
            <w:r>
              <w:rPr>
                <w:rFonts w:ascii="Arial" w:cs="Arial" w:eastAsia="Arial" w:hAnsi="Arial"/>
                <w:sz w:val="20"/>
                <w:szCs w:val="20"/>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21"/>
              <w:spacing w:after="0" w:line="216" w:lineRule="exact"/>
              <w:rPr>
                <w:sz w:val="20"/>
                <w:szCs w:val="20"/>
                <w:color w:val="auto"/>
              </w:rPr>
            </w:pPr>
            <w:r>
              <w:rPr>
                <w:rFonts w:ascii="Arial" w:cs="Arial" w:eastAsia="Arial" w:hAnsi="Arial"/>
                <w:sz w:val="20"/>
                <w:szCs w:val="20"/>
                <w:b w:val="1"/>
                <w:bCs w:val="1"/>
                <w:color w:val="auto"/>
              </w:rPr>
              <w:t>-</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80" w:type="dxa"/>
            <w:vAlign w:val="bottom"/>
            <w:gridSpan w:val="2"/>
          </w:tcPr>
          <w:p>
            <w:pPr>
              <w:jc w:val="right"/>
              <w:ind w:right="500"/>
              <w:spacing w:after="0" w:line="209" w:lineRule="exact"/>
              <w:rPr>
                <w:sz w:val="20"/>
                <w:szCs w:val="20"/>
                <w:color w:val="auto"/>
              </w:rPr>
            </w:pPr>
            <w:r>
              <w:rPr>
                <w:rFonts w:ascii="Arial" w:cs="Arial" w:eastAsia="Arial" w:hAnsi="Arial"/>
                <w:sz w:val="20"/>
                <w:szCs w:val="20"/>
                <w:b w:val="1"/>
                <w:bCs w:val="1"/>
                <w:color w:val="auto"/>
              </w:rPr>
              <w:t>2,448</w:t>
            </w:r>
          </w:p>
        </w:tc>
        <w:tc>
          <w:tcPr>
            <w:tcW w:w="40" w:type="dxa"/>
            <w:vAlign w:val="bottom"/>
          </w:tcPr>
          <w:p>
            <w:pPr>
              <w:spacing w:after="0"/>
              <w:rPr>
                <w:sz w:val="18"/>
                <w:szCs w:val="18"/>
                <w:color w:val="auto"/>
              </w:rPr>
            </w:pPr>
          </w:p>
        </w:tc>
        <w:tc>
          <w:tcPr>
            <w:tcW w:w="1400" w:type="dxa"/>
            <w:vAlign w:val="bottom"/>
            <w:gridSpan w:val="2"/>
          </w:tcPr>
          <w:p>
            <w:pPr>
              <w:jc w:val="right"/>
              <w:ind w:right="140"/>
              <w:spacing w:after="0" w:line="209" w:lineRule="exact"/>
              <w:rPr>
                <w:sz w:val="20"/>
                <w:szCs w:val="20"/>
                <w:color w:val="auto"/>
              </w:rPr>
            </w:pPr>
            <w:r>
              <w:rPr>
                <w:rFonts w:ascii="Arial" w:cs="Arial" w:eastAsia="Arial" w:hAnsi="Arial"/>
                <w:sz w:val="20"/>
                <w:szCs w:val="20"/>
                <w:color w:val="auto"/>
              </w:rPr>
              <w:t>2,190</w:t>
            </w:r>
          </w:p>
        </w:tc>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gridSpan w:val="2"/>
          </w:tcPr>
          <w:p>
            <w:pPr>
              <w:jc w:val="right"/>
              <w:ind w:right="320"/>
              <w:spacing w:after="0" w:line="209" w:lineRule="exact"/>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1"/>
              <w:spacing w:after="0" w:line="20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Borders>
              <w:right w:val="single" w:sz="8" w:color="CCEEFF"/>
            </w:tcBorders>
            <w:shd w:val="clear" w:color="auto" w:fill="CCEEFF"/>
          </w:tcPr>
          <w:p>
            <w:pPr>
              <w:spacing w:after="0" w:line="212" w:lineRule="exact"/>
              <w:rPr>
                <w:sz w:val="20"/>
                <w:szCs w:val="20"/>
                <w:color w:val="auto"/>
              </w:rPr>
            </w:pPr>
            <w:r>
              <w:rPr>
                <w:rFonts w:ascii="Arial" w:cs="Arial" w:eastAsia="Arial" w:hAnsi="Arial"/>
                <w:sz w:val="20"/>
                <w:szCs w:val="20"/>
                <w:color w:val="auto"/>
              </w:rPr>
              <w:t>Less: Allowance for</w:t>
            </w: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Borders>
              <w:right w:val="single" w:sz="8" w:color="CCEEFF"/>
            </w:tcBorders>
            <w:shd w:val="clear" w:color="auto" w:fill="CCEEFF"/>
          </w:tcPr>
          <w:p>
            <w:pPr>
              <w:ind w:left="180"/>
              <w:spacing w:after="0" w:line="216" w:lineRule="exact"/>
              <w:rPr>
                <w:sz w:val="20"/>
                <w:szCs w:val="20"/>
                <w:color w:val="auto"/>
              </w:rPr>
            </w:pPr>
            <w:r>
              <w:rPr>
                <w:rFonts w:ascii="Arial" w:cs="Arial" w:eastAsia="Arial" w:hAnsi="Arial"/>
                <w:sz w:val="20"/>
                <w:szCs w:val="20"/>
                <w:color w:val="auto"/>
              </w:rPr>
              <w:t>impairment of</w:t>
            </w: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Borders>
              <w:right w:val="single" w:sz="8" w:color="CCEEFF"/>
            </w:tcBorders>
            <w:shd w:val="clear" w:color="auto" w:fill="CCEEFF"/>
          </w:tcPr>
          <w:p>
            <w:pPr>
              <w:ind w:left="180"/>
              <w:spacing w:after="0" w:line="216" w:lineRule="exact"/>
              <w:rPr>
                <w:sz w:val="20"/>
                <w:szCs w:val="20"/>
                <w:color w:val="auto"/>
              </w:rPr>
            </w:pPr>
            <w:r>
              <w:rPr>
                <w:rFonts w:ascii="Arial" w:cs="Arial" w:eastAsia="Arial" w:hAnsi="Arial"/>
                <w:sz w:val="20"/>
                <w:szCs w:val="20"/>
                <w:color w:val="auto"/>
              </w:rPr>
              <w:t>receivables</w:t>
            </w:r>
          </w:p>
        </w:tc>
        <w:tc>
          <w:tcPr>
            <w:tcW w:w="228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20"/>
                <w:szCs w:val="20"/>
                <w:b w:val="1"/>
                <w:bCs w:val="1"/>
                <w:color w:val="auto"/>
              </w:rPr>
              <w:t>-</w:t>
            </w: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20"/>
                <w:szCs w:val="20"/>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 non-related parties</w:t>
            </w:r>
          </w:p>
        </w:tc>
        <w:tc>
          <w:tcPr>
            <w:tcW w:w="228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(10)</w:t>
            </w:r>
          </w:p>
        </w:tc>
        <w:tc>
          <w:tcPr>
            <w:tcW w:w="600" w:type="dxa"/>
            <w:vAlign w:val="bottom"/>
            <w:tcBorders>
              <w:right w:val="single" w:sz="8" w:color="CCEEFF"/>
            </w:tcBorders>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500" w:type="dxa"/>
            <w:vAlign w:val="bottom"/>
            <w:gridSpan w:val="2"/>
            <w:vMerge w:val="restart"/>
          </w:tcPr>
          <w:p>
            <w:pPr>
              <w:ind w:left="260"/>
              <w:spacing w:after="0"/>
              <w:rPr>
                <w:sz w:val="20"/>
                <w:szCs w:val="20"/>
                <w:color w:val="auto"/>
              </w:rPr>
            </w:pPr>
            <w:r>
              <w:rPr>
                <w:rFonts w:ascii="Arial" w:cs="Arial" w:eastAsia="Arial" w:hAnsi="Arial"/>
                <w:sz w:val="20"/>
                <w:szCs w:val="20"/>
                <w:color w:val="auto"/>
              </w:rPr>
              <w:t>Trade receivables - net</w:t>
            </w: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tcPr>
          <w:p>
            <w:pPr>
              <w:spacing w:after="0"/>
              <w:rPr>
                <w:sz w:val="17"/>
                <w:szCs w:val="17"/>
                <w:color w:val="auto"/>
              </w:rPr>
            </w:pPr>
          </w:p>
        </w:tc>
        <w:tc>
          <w:tcPr>
            <w:tcW w:w="2500" w:type="dxa"/>
            <w:vAlign w:val="bottom"/>
            <w:gridSpan w:val="2"/>
            <w:vMerge w:val="continue"/>
          </w:tcPr>
          <w:p>
            <w:pPr>
              <w:spacing w:after="0"/>
              <w:rPr>
                <w:sz w:val="17"/>
                <w:szCs w:val="17"/>
                <w:color w:val="auto"/>
              </w:rPr>
            </w:pPr>
          </w:p>
        </w:tc>
        <w:tc>
          <w:tcPr>
            <w:tcW w:w="2280" w:type="dxa"/>
            <w:vAlign w:val="bottom"/>
            <w:gridSpan w:val="2"/>
          </w:tcPr>
          <w:p>
            <w:pPr>
              <w:jc w:val="right"/>
              <w:ind w:right="500"/>
              <w:spacing w:after="0" w:line="203" w:lineRule="exact"/>
              <w:rPr>
                <w:sz w:val="20"/>
                <w:szCs w:val="20"/>
                <w:color w:val="auto"/>
              </w:rPr>
            </w:pPr>
            <w:r>
              <w:rPr>
                <w:rFonts w:ascii="Arial" w:cs="Arial" w:eastAsia="Arial" w:hAnsi="Arial"/>
                <w:sz w:val="20"/>
                <w:szCs w:val="20"/>
                <w:b w:val="1"/>
                <w:bCs w:val="1"/>
                <w:color w:val="auto"/>
              </w:rPr>
              <w:t>2,448</w:t>
            </w:r>
          </w:p>
        </w:tc>
        <w:tc>
          <w:tcPr>
            <w:tcW w:w="40" w:type="dxa"/>
            <w:vAlign w:val="bottom"/>
          </w:tcPr>
          <w:p>
            <w:pPr>
              <w:spacing w:after="0"/>
              <w:rPr>
                <w:sz w:val="17"/>
                <w:szCs w:val="17"/>
                <w:color w:val="auto"/>
              </w:rPr>
            </w:pPr>
          </w:p>
        </w:tc>
        <w:tc>
          <w:tcPr>
            <w:tcW w:w="1400" w:type="dxa"/>
            <w:vAlign w:val="bottom"/>
            <w:gridSpan w:val="2"/>
          </w:tcPr>
          <w:p>
            <w:pPr>
              <w:jc w:val="right"/>
              <w:ind w:right="140"/>
              <w:spacing w:after="0" w:line="203" w:lineRule="exact"/>
              <w:rPr>
                <w:sz w:val="20"/>
                <w:szCs w:val="20"/>
                <w:color w:val="auto"/>
              </w:rPr>
            </w:pPr>
            <w:r>
              <w:rPr>
                <w:rFonts w:ascii="Arial" w:cs="Arial" w:eastAsia="Arial" w:hAnsi="Arial"/>
                <w:sz w:val="20"/>
                <w:szCs w:val="20"/>
                <w:color w:val="auto"/>
              </w:rPr>
              <w:t>2,180</w:t>
            </w:r>
          </w:p>
        </w:tc>
        <w:tc>
          <w:tcPr>
            <w:tcW w:w="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60" w:type="dxa"/>
            <w:vAlign w:val="bottom"/>
            <w:gridSpan w:val="2"/>
          </w:tcPr>
          <w:p>
            <w:pPr>
              <w:jc w:val="right"/>
              <w:ind w:right="320"/>
              <w:spacing w:after="0" w:line="203" w:lineRule="exact"/>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17"/>
                <w:szCs w:val="17"/>
                <w:color w:val="auto"/>
              </w:rPr>
            </w:pPr>
          </w:p>
        </w:tc>
        <w:tc>
          <w:tcPr>
            <w:tcW w:w="1460" w:type="dxa"/>
            <w:vAlign w:val="bottom"/>
            <w:gridSpan w:val="2"/>
          </w:tcPr>
          <w:p>
            <w:pPr>
              <w:jc w:val="right"/>
              <w:ind w:right="21"/>
              <w:spacing w:after="0" w:line="20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Deposits</w:t>
            </w:r>
          </w:p>
        </w:tc>
        <w:tc>
          <w:tcPr>
            <w:tcW w:w="2280" w:type="dxa"/>
            <w:vAlign w:val="bottom"/>
            <w:gridSpan w:val="2"/>
            <w:shd w:val="clear" w:color="auto" w:fill="CCEEFF"/>
          </w:tcPr>
          <w:p>
            <w:pPr>
              <w:jc w:val="right"/>
              <w:ind w:right="500"/>
              <w:spacing w:after="0" w:line="216" w:lineRule="exact"/>
              <w:rPr>
                <w:sz w:val="20"/>
                <w:szCs w:val="20"/>
                <w:color w:val="auto"/>
              </w:rPr>
            </w:pPr>
            <w:r>
              <w:rPr>
                <w:rFonts w:ascii="Arial" w:cs="Arial" w:eastAsia="Arial" w:hAnsi="Arial"/>
                <w:sz w:val="20"/>
                <w:szCs w:val="20"/>
                <w:b w:val="1"/>
                <w:bCs w:val="1"/>
                <w:color w:val="auto"/>
              </w:rPr>
              <w:t>-</w:t>
            </w:r>
          </w:p>
        </w:tc>
        <w:tc>
          <w:tcPr>
            <w:tcW w:w="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149</w:t>
            </w:r>
          </w:p>
        </w:tc>
        <w:tc>
          <w:tcPr>
            <w:tcW w:w="600" w:type="dxa"/>
            <w:vAlign w:val="bottom"/>
            <w:tcBorders>
              <w:right w:val="single" w:sz="8" w:color="CCEEFF"/>
            </w:tcBorders>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line="216" w:lineRule="exact"/>
              <w:rPr>
                <w:sz w:val="20"/>
                <w:szCs w:val="20"/>
                <w:color w:val="auto"/>
              </w:rPr>
            </w:pPr>
            <w:r>
              <w:rPr>
                <w:rFonts w:ascii="Arial" w:cs="Arial" w:eastAsia="Arial" w:hAnsi="Arial"/>
                <w:sz w:val="20"/>
                <w:szCs w:val="20"/>
                <w:b w:val="1"/>
                <w:bCs w:val="1"/>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line="216" w:lineRule="exact"/>
              <w:rPr>
                <w:sz w:val="20"/>
                <w:szCs w:val="20"/>
                <w:color w:val="auto"/>
              </w:rPr>
            </w:pPr>
            <w:r>
              <w:rPr>
                <w:rFonts w:ascii="Arial" w:cs="Arial" w:eastAsia="Arial" w:hAnsi="Arial"/>
                <w:sz w:val="20"/>
                <w:szCs w:val="20"/>
                <w:color w:val="auto"/>
              </w:rPr>
              <w:t>Prepayments</w:t>
            </w:r>
          </w:p>
        </w:tc>
        <w:tc>
          <w:tcPr>
            <w:tcW w:w="2280" w:type="dxa"/>
            <w:vAlign w:val="bottom"/>
            <w:gridSpan w:val="2"/>
          </w:tcPr>
          <w:p>
            <w:pPr>
              <w:jc w:val="right"/>
              <w:ind w:right="500"/>
              <w:spacing w:after="0" w:line="216" w:lineRule="exact"/>
              <w:rPr>
                <w:sz w:val="20"/>
                <w:szCs w:val="20"/>
                <w:color w:val="auto"/>
              </w:rPr>
            </w:pPr>
            <w:r>
              <w:rPr>
                <w:rFonts w:ascii="Arial" w:cs="Arial" w:eastAsia="Arial" w:hAnsi="Arial"/>
                <w:sz w:val="20"/>
                <w:szCs w:val="20"/>
                <w:b w:val="1"/>
                <w:bCs w:val="1"/>
                <w:color w:val="auto"/>
              </w:rPr>
              <w:t>440</w:t>
            </w:r>
          </w:p>
        </w:tc>
        <w:tc>
          <w:tcPr>
            <w:tcW w:w="40" w:type="dxa"/>
            <w:vAlign w:val="bottom"/>
          </w:tcPr>
          <w:p>
            <w:pPr>
              <w:spacing w:after="0"/>
              <w:rPr>
                <w:sz w:val="18"/>
                <w:szCs w:val="18"/>
                <w:color w:val="auto"/>
              </w:rPr>
            </w:pPr>
          </w:p>
        </w:tc>
        <w:tc>
          <w:tcPr>
            <w:tcW w:w="140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155</w:t>
            </w:r>
          </w:p>
        </w:tc>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gridSpan w:val="2"/>
          </w:tcPr>
          <w:p>
            <w:pPr>
              <w:jc w:val="right"/>
              <w:ind w:right="320"/>
              <w:spacing w:after="0" w:line="216" w:lineRule="exact"/>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Other receivables</w:t>
            </w:r>
          </w:p>
        </w:tc>
        <w:tc>
          <w:tcPr>
            <w:tcW w:w="2280" w:type="dxa"/>
            <w:vAlign w:val="bottom"/>
            <w:gridSpan w:val="2"/>
            <w:shd w:val="clear" w:color="auto" w:fill="CCEEFF"/>
          </w:tcPr>
          <w:p>
            <w:pPr>
              <w:jc w:val="right"/>
              <w:ind w:right="500"/>
              <w:spacing w:after="0" w:line="216" w:lineRule="exact"/>
              <w:rPr>
                <w:sz w:val="20"/>
                <w:szCs w:val="20"/>
                <w:color w:val="auto"/>
              </w:rPr>
            </w:pPr>
            <w:r>
              <w:rPr>
                <w:rFonts w:ascii="Arial" w:cs="Arial" w:eastAsia="Arial" w:hAnsi="Arial"/>
                <w:sz w:val="20"/>
                <w:szCs w:val="20"/>
                <w:b w:val="1"/>
                <w:bCs w:val="1"/>
                <w:color w:val="auto"/>
              </w:rPr>
              <w:t>271</w:t>
            </w:r>
          </w:p>
        </w:tc>
        <w:tc>
          <w:tcPr>
            <w:tcW w:w="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119</w:t>
            </w:r>
          </w:p>
        </w:tc>
        <w:tc>
          <w:tcPr>
            <w:tcW w:w="600" w:type="dxa"/>
            <w:vAlign w:val="bottom"/>
            <w:tcBorders>
              <w:right w:val="single" w:sz="8" w:color="CCEEFF"/>
            </w:tcBorders>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line="216" w:lineRule="exact"/>
              <w:rPr>
                <w:sz w:val="20"/>
                <w:szCs w:val="20"/>
                <w:color w:val="auto"/>
              </w:rPr>
            </w:pPr>
            <w:r>
              <w:rPr>
                <w:rFonts w:ascii="Arial" w:cs="Arial" w:eastAsia="Arial" w:hAnsi="Arial"/>
                <w:sz w:val="20"/>
                <w:szCs w:val="20"/>
                <w:b w:val="1"/>
                <w:bCs w:val="1"/>
                <w:color w:val="auto"/>
              </w:rPr>
              <w:t>9</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1"/>
              <w:spacing w:after="0" w:line="216" w:lineRule="exact"/>
              <w:rPr>
                <w:sz w:val="20"/>
                <w:szCs w:val="20"/>
                <w:color w:val="auto"/>
              </w:rPr>
            </w:pPr>
            <w:r>
              <w:rPr>
                <w:rFonts w:ascii="Arial" w:cs="Arial" w:eastAsia="Arial" w:hAnsi="Arial"/>
                <w:sz w:val="20"/>
                <w:szCs w:val="20"/>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80" w:type="dxa"/>
            <w:vAlign w:val="bottom"/>
            <w:tcBorders>
              <w:bottom w:val="single" w:sz="8" w:color="auto"/>
            </w:tcBorders>
            <w:gridSpan w:val="2"/>
          </w:tcPr>
          <w:p>
            <w:pPr>
              <w:jc w:val="right"/>
              <w:ind w:right="500"/>
              <w:spacing w:after="0" w:line="217" w:lineRule="exact"/>
              <w:rPr>
                <w:sz w:val="20"/>
                <w:szCs w:val="20"/>
                <w:color w:val="auto"/>
              </w:rPr>
            </w:pPr>
            <w:r>
              <w:rPr>
                <w:rFonts w:ascii="Arial" w:cs="Arial" w:eastAsia="Arial" w:hAnsi="Arial"/>
                <w:sz w:val="20"/>
                <w:szCs w:val="20"/>
                <w:b w:val="1"/>
                <w:bCs w:val="1"/>
                <w:color w:val="auto"/>
              </w:rPr>
              <w:t>3,159</w:t>
            </w:r>
          </w:p>
        </w:tc>
        <w:tc>
          <w:tcPr>
            <w:tcW w:w="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140"/>
              <w:spacing w:after="0" w:line="217" w:lineRule="exact"/>
              <w:rPr>
                <w:sz w:val="20"/>
                <w:szCs w:val="20"/>
                <w:color w:val="auto"/>
              </w:rPr>
            </w:pPr>
            <w:r>
              <w:rPr>
                <w:rFonts w:ascii="Arial" w:cs="Arial" w:eastAsia="Arial" w:hAnsi="Arial"/>
                <w:sz w:val="20"/>
                <w:szCs w:val="20"/>
                <w:color w:val="auto"/>
              </w:rPr>
              <w:t>2,603</w:t>
            </w:r>
          </w:p>
        </w:tc>
        <w:tc>
          <w:tcPr>
            <w:tcW w:w="6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320"/>
              <w:spacing w:after="0" w:line="217" w:lineRule="exact"/>
              <w:rPr>
                <w:sz w:val="20"/>
                <w:szCs w:val="20"/>
                <w:color w:val="auto"/>
              </w:rPr>
            </w:pPr>
            <w:r>
              <w:rPr>
                <w:rFonts w:ascii="Arial" w:cs="Arial" w:eastAsia="Arial" w:hAnsi="Arial"/>
                <w:sz w:val="20"/>
                <w:szCs w:val="20"/>
                <w:b w:val="1"/>
                <w:bCs w:val="1"/>
                <w:color w:val="auto"/>
              </w:rPr>
              <w:t>9</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1"/>
              <w:spacing w:after="0" w:line="217" w:lineRule="exact"/>
              <w:rPr>
                <w:sz w:val="20"/>
                <w:szCs w:val="20"/>
                <w:color w:val="auto"/>
              </w:rPr>
            </w:pPr>
            <w:r>
              <w:rPr>
                <w:rFonts w:ascii="Arial" w:cs="Arial" w:eastAsia="Arial" w:hAnsi="Arial"/>
                <w:sz w:val="20"/>
                <w:szCs w:val="20"/>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14.</w:t>
            </w:r>
          </w:p>
        </w:tc>
        <w:tc>
          <w:tcPr>
            <w:tcW w:w="2500" w:type="dxa"/>
            <w:vAlign w:val="bottom"/>
            <w:gridSpan w:val="2"/>
          </w:tcPr>
          <w:p>
            <w:pPr>
              <w:ind w:left="260"/>
              <w:spacing w:after="0"/>
              <w:rPr>
                <w:sz w:val="20"/>
                <w:szCs w:val="20"/>
                <w:color w:val="auto"/>
              </w:rPr>
            </w:pPr>
            <w:r>
              <w:rPr>
                <w:rFonts w:ascii="Arial" w:cs="Arial" w:eastAsia="Arial" w:hAnsi="Arial"/>
                <w:sz w:val="18"/>
                <w:szCs w:val="18"/>
                <w:b w:val="1"/>
                <w:bCs w:val="1"/>
                <w:color w:val="auto"/>
              </w:rPr>
              <w:t>Inventories</w:t>
            </w: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20"/>
                <w:szCs w:val="20"/>
                <w:color w:val="auto"/>
              </w:rPr>
              <w:t>Group</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jc w:val="right"/>
              <w:ind w:right="521"/>
              <w:spacing w:after="0"/>
              <w:rPr>
                <w:sz w:val="20"/>
                <w:szCs w:val="20"/>
                <w:color w:val="auto"/>
              </w:rPr>
            </w:pPr>
            <w:r>
              <w:rPr>
                <w:rFonts w:ascii="Arial" w:cs="Arial" w:eastAsia="Arial" w:hAnsi="Arial"/>
                <w:sz w:val="20"/>
                <w:szCs w:val="20"/>
                <w:b w:val="1"/>
                <w:bCs w:val="1"/>
                <w:color w:val="auto"/>
              </w:rPr>
              <w:t>2017</w:t>
            </w: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Arial" w:cs="Arial" w:eastAsia="Arial" w:hAnsi="Arial"/>
                <w:sz w:val="20"/>
                <w:szCs w:val="20"/>
                <w:color w:val="auto"/>
                <w:w w:val="98"/>
              </w:rPr>
              <w:t>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60" w:type="dxa"/>
            <w:vAlign w:val="bottom"/>
          </w:tcPr>
          <w:p>
            <w:pPr>
              <w:jc w:val="right"/>
              <w:ind w:right="81"/>
              <w:spacing w:after="0"/>
              <w:rPr>
                <w:sz w:val="20"/>
                <w:szCs w:val="20"/>
                <w:color w:val="auto"/>
              </w:rPr>
            </w:pPr>
            <w:r>
              <w:rPr>
                <w:rFonts w:ascii="Arial" w:cs="Arial" w:eastAsia="Arial" w:hAnsi="Arial"/>
                <w:sz w:val="20"/>
                <w:szCs w:val="20"/>
                <w:b w:val="1"/>
                <w:bCs w:val="1"/>
                <w:color w:val="auto"/>
              </w:rPr>
              <w:t>(US$ millions)</w:t>
            </w: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spacing w:after="0"/>
              <w:rPr>
                <w:sz w:val="20"/>
                <w:szCs w:val="20"/>
                <w:color w:val="auto"/>
              </w:rPr>
            </w:pPr>
            <w:r>
              <w:rPr>
                <w:rFonts w:ascii="Arial" w:cs="Arial" w:eastAsia="Arial" w:hAnsi="Arial"/>
                <w:sz w:val="20"/>
                <w:szCs w:val="20"/>
                <w:color w:val="auto"/>
                <w:w w:val="99"/>
              </w:rPr>
              <w:t>(US$ millions)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52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22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2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Finished goods</w:t>
            </w: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560" w:type="dxa"/>
            <w:vAlign w:val="bottom"/>
            <w:shd w:val="clear" w:color="auto" w:fill="CCEEFF"/>
          </w:tcPr>
          <w:p>
            <w:pPr>
              <w:jc w:val="right"/>
              <w:ind w:right="81"/>
              <w:spacing w:after="0" w:line="216" w:lineRule="exact"/>
              <w:rPr>
                <w:sz w:val="20"/>
                <w:szCs w:val="20"/>
                <w:color w:val="auto"/>
              </w:rPr>
            </w:pPr>
            <w:r>
              <w:rPr>
                <w:rFonts w:ascii="Arial" w:cs="Arial" w:eastAsia="Arial" w:hAnsi="Arial"/>
                <w:sz w:val="20"/>
                <w:szCs w:val="20"/>
                <w:b w:val="1"/>
                <w:bCs w:val="1"/>
                <w:color w:val="auto"/>
              </w:rPr>
              <w:t>562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line="216" w:lineRule="exact"/>
              <w:rPr>
                <w:sz w:val="20"/>
                <w:szCs w:val="20"/>
                <w:color w:val="auto"/>
              </w:rPr>
            </w:pPr>
            <w:r>
              <w:rPr>
                <w:rFonts w:ascii="Arial" w:cs="Arial" w:eastAsia="Arial" w:hAnsi="Arial"/>
                <w:sz w:val="20"/>
                <w:szCs w:val="20"/>
                <w:color w:val="auto"/>
              </w:rPr>
              <w:t>Work-in-progress</w:t>
            </w: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tcPr>
          <w:p>
            <w:pPr>
              <w:jc w:val="right"/>
              <w:ind w:right="81"/>
              <w:spacing w:after="0" w:line="216" w:lineRule="exact"/>
              <w:rPr>
                <w:sz w:val="20"/>
                <w:szCs w:val="20"/>
                <w:color w:val="auto"/>
              </w:rPr>
            </w:pPr>
            <w:r>
              <w:rPr>
                <w:rFonts w:ascii="Arial" w:cs="Arial" w:eastAsia="Arial" w:hAnsi="Arial"/>
                <w:sz w:val="20"/>
                <w:szCs w:val="20"/>
                <w:b w:val="1"/>
                <w:bCs w:val="1"/>
                <w:color w:val="auto"/>
              </w:rPr>
              <w:t>696</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Raw materials</w:t>
            </w: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560" w:type="dxa"/>
            <w:vAlign w:val="bottom"/>
            <w:shd w:val="clear" w:color="auto" w:fill="CCEEFF"/>
          </w:tcPr>
          <w:p>
            <w:pPr>
              <w:jc w:val="right"/>
              <w:ind w:right="81"/>
              <w:spacing w:after="0" w:line="216" w:lineRule="exact"/>
              <w:rPr>
                <w:sz w:val="20"/>
                <w:szCs w:val="20"/>
                <w:color w:val="auto"/>
              </w:rPr>
            </w:pPr>
            <w:r>
              <w:rPr>
                <w:rFonts w:ascii="Arial" w:cs="Arial" w:eastAsia="Arial" w:hAnsi="Arial"/>
                <w:sz w:val="20"/>
                <w:szCs w:val="20"/>
                <w:b w:val="1"/>
                <w:bCs w:val="1"/>
                <w:color w:val="auto"/>
              </w:rPr>
              <w:t>189</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1"/>
              <w:spacing w:after="0" w:line="217" w:lineRule="exact"/>
              <w:rPr>
                <w:sz w:val="20"/>
                <w:szCs w:val="20"/>
                <w:color w:val="auto"/>
              </w:rPr>
            </w:pPr>
            <w:r>
              <w:rPr>
                <w:rFonts w:ascii="Arial" w:cs="Arial" w:eastAsia="Arial" w:hAnsi="Arial"/>
                <w:sz w:val="20"/>
                <w:szCs w:val="20"/>
                <w:b w:val="1"/>
                <w:bCs w:val="1"/>
                <w:color w:val="auto"/>
              </w:rPr>
              <w:t>1,447</w:t>
            </w:r>
          </w:p>
        </w:tc>
        <w:tc>
          <w:tcPr>
            <w:tcW w:w="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line="217" w:lineRule="exact"/>
              <w:rPr>
                <w:sz w:val="20"/>
                <w:szCs w:val="20"/>
                <w:color w:val="auto"/>
              </w:rPr>
            </w:pPr>
            <w:r>
              <w:rPr>
                <w:rFonts w:ascii="Arial" w:cs="Arial" w:eastAsia="Arial" w:hAnsi="Arial"/>
                <w:sz w:val="20"/>
                <w:szCs w:val="20"/>
                <w:color w:val="auto"/>
              </w:rPr>
              <w:t>1,400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980" w:right="20"/>
        <w:spacing w:after="0" w:line="246" w:lineRule="auto"/>
        <w:rPr>
          <w:sz w:val="20"/>
          <w:szCs w:val="20"/>
          <w:color w:val="auto"/>
        </w:rPr>
      </w:pPr>
      <w:r>
        <w:rPr>
          <w:rFonts w:ascii="Arial" w:cs="Arial" w:eastAsia="Arial" w:hAnsi="Arial"/>
          <w:sz w:val="18"/>
          <w:szCs w:val="18"/>
          <w:color w:val="auto"/>
        </w:rPr>
        <w:t>The cost of inventories recognised as an expense and included in “cost of sales” amounted to US$5,735 million in financial year 2017 and US$5,650 million in financial year 2016.</w:t>
      </w:r>
    </w:p>
    <w:p>
      <w:pPr>
        <w:spacing w:after="0" w:line="202" w:lineRule="exact"/>
        <w:rPr>
          <w:sz w:val="20"/>
          <w:szCs w:val="20"/>
          <w:color w:val="auto"/>
        </w:rPr>
      </w:pPr>
    </w:p>
    <w:p>
      <w:pPr>
        <w:ind w:left="980" w:hanging="776"/>
        <w:spacing w:after="0"/>
        <w:tabs>
          <w:tab w:leader="none" w:pos="9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subsidiaries</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940" w:type="dxa"/>
            <w:vAlign w:val="bottom"/>
            <w:gridSpan w:val="3"/>
          </w:tcPr>
          <w:p>
            <w:pPr>
              <w:ind w:left="2060"/>
              <w:spacing w:after="0"/>
              <w:rPr>
                <w:sz w:val="20"/>
                <w:szCs w:val="20"/>
                <w:color w:val="auto"/>
              </w:rPr>
            </w:pPr>
            <w:r>
              <w:rPr>
                <w:rFonts w:ascii="Arial" w:cs="Arial" w:eastAsia="Arial" w:hAnsi="Arial"/>
                <w:sz w:val="20"/>
                <w:szCs w:val="20"/>
                <w:color w:val="auto"/>
              </w:rPr>
              <w:t>Company</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620" w:type="dxa"/>
            <w:vAlign w:val="bottom"/>
            <w:gridSpan w:val="2"/>
          </w:tcPr>
          <w:p>
            <w:pPr>
              <w:jc w:val="right"/>
              <w:ind w:right="301"/>
              <w:spacing w:after="0"/>
              <w:rPr>
                <w:sz w:val="20"/>
                <w:szCs w:val="20"/>
                <w:color w:val="auto"/>
              </w:rPr>
            </w:pPr>
            <w:r>
              <w:rPr>
                <w:rFonts w:ascii="Arial" w:cs="Arial" w:eastAsia="Arial" w:hAnsi="Arial"/>
                <w:sz w:val="20"/>
                <w:szCs w:val="20"/>
                <w:b w:val="1"/>
                <w:bCs w:val="1"/>
                <w:color w:val="auto"/>
              </w:rPr>
              <w:t>2017</w:t>
            </w: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ind w:right="381"/>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61"/>
        </w:trPr>
        <w:tc>
          <w:tcPr>
            <w:tcW w:w="7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940" w:type="dxa"/>
            <w:vAlign w:val="bottom"/>
            <w:gridSpan w:val="3"/>
          </w:tcPr>
          <w:p>
            <w:pPr>
              <w:jc w:val="right"/>
              <w:ind w:right="840"/>
              <w:spacing w:after="0"/>
              <w:rPr>
                <w:sz w:val="20"/>
                <w:szCs w:val="20"/>
                <w:color w:val="auto"/>
              </w:rPr>
            </w:pPr>
            <w:r>
              <w:rPr>
                <w:rFonts w:ascii="Arial" w:cs="Arial" w:eastAsia="Arial" w:hAnsi="Arial"/>
                <w:sz w:val="20"/>
                <w:szCs w:val="20"/>
                <w:b w:val="1"/>
                <w:bCs w:val="1"/>
                <w:color w:val="auto"/>
              </w:rPr>
              <w:t>(US$ millions)</w:t>
            </w:r>
          </w:p>
        </w:tc>
        <w:tc>
          <w:tcPr>
            <w:tcW w:w="1340" w:type="dxa"/>
            <w:vAlign w:val="bottom"/>
          </w:tcPr>
          <w:p>
            <w:pPr>
              <w:jc w:val="right"/>
              <w:spacing w:after="0"/>
              <w:rPr>
                <w:sz w:val="20"/>
                <w:szCs w:val="20"/>
                <w:color w:val="auto"/>
              </w:rPr>
            </w:pPr>
            <w:r>
              <w:rPr>
                <w:rFonts w:ascii="Arial" w:cs="Arial" w:eastAsia="Arial" w:hAnsi="Arial"/>
                <w:sz w:val="20"/>
                <w:szCs w:val="20"/>
                <w:color w:val="auto"/>
                <w:w w:val="99"/>
              </w:rPr>
              <w:t>(US$ millions)</w:t>
            </w:r>
          </w:p>
        </w:tc>
        <w:tc>
          <w:tcPr>
            <w:tcW w:w="0" w:type="dxa"/>
            <w:vAlign w:val="bottom"/>
          </w:tcPr>
          <w:p>
            <w:pPr>
              <w:spacing w:after="0"/>
              <w:rPr>
                <w:sz w:val="1"/>
                <w:szCs w:val="1"/>
                <w:color w:val="auto"/>
              </w:rPr>
            </w:pPr>
          </w:p>
        </w:tc>
      </w:tr>
      <w:tr>
        <w:trPr>
          <w:trHeight w:val="91"/>
        </w:trPr>
        <w:tc>
          <w:tcPr>
            <w:tcW w:w="780" w:type="dxa"/>
            <w:vAlign w:val="bottom"/>
            <w:vMerge w:val="restart"/>
          </w:tcPr>
          <w:p>
            <w:pPr>
              <w:spacing w:after="0"/>
              <w:rPr>
                <w:sz w:val="7"/>
                <w:szCs w:val="7"/>
                <w:color w:val="auto"/>
              </w:rPr>
            </w:pPr>
          </w:p>
        </w:tc>
        <w:tc>
          <w:tcPr>
            <w:tcW w:w="3400" w:type="dxa"/>
            <w:vAlign w:val="bottom"/>
          </w:tcPr>
          <w:p>
            <w:pPr>
              <w:spacing w:after="0"/>
              <w:rPr>
                <w:sz w:val="7"/>
                <w:szCs w:val="7"/>
                <w:color w:val="auto"/>
              </w:rPr>
            </w:pPr>
          </w:p>
        </w:tc>
        <w:tc>
          <w:tcPr>
            <w:tcW w:w="2560" w:type="dxa"/>
            <w:vAlign w:val="bottom"/>
          </w:tcPr>
          <w:p>
            <w:pPr>
              <w:spacing w:after="0"/>
              <w:rPr>
                <w:sz w:val="7"/>
                <w:szCs w:val="7"/>
                <w:color w:val="auto"/>
              </w:rPr>
            </w:pPr>
          </w:p>
        </w:tc>
        <w:tc>
          <w:tcPr>
            <w:tcW w:w="20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34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Equity investments at cost</w:t>
            </w:r>
          </w:p>
        </w:tc>
        <w:tc>
          <w:tcPr>
            <w:tcW w:w="5480" w:type="dxa"/>
            <w:vAlign w:val="bottom"/>
            <w:gridSpan w:val="3"/>
            <w:shd w:val="clear" w:color="auto" w:fill="CCEEFF"/>
          </w:tcPr>
          <w:p>
            <w:pPr>
              <w:jc w:val="right"/>
              <w:ind w:right="820"/>
              <w:spacing w:after="0" w:line="216" w:lineRule="exact"/>
              <w:rPr>
                <w:sz w:val="20"/>
                <w:szCs w:val="20"/>
                <w:color w:val="auto"/>
              </w:rPr>
            </w:pPr>
            <w:r>
              <w:rPr>
                <w:rFonts w:ascii="Arial" w:cs="Arial" w:eastAsia="Arial" w:hAnsi="Arial"/>
                <w:sz w:val="20"/>
                <w:szCs w:val="20"/>
                <w:b w:val="1"/>
                <w:bCs w:val="1"/>
                <w:color w:val="auto"/>
              </w:rPr>
              <w:t>22,494</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21,229</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gridSpan w:val="2"/>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500" w:type="dxa"/>
            <w:vAlign w:val="bottom"/>
            <w:gridSpan w:val="4"/>
          </w:tcPr>
          <w:p>
            <w:pPr>
              <w:ind w:left="1120"/>
              <w:spacing w:after="0"/>
              <w:rPr>
                <w:sz w:val="20"/>
                <w:szCs w:val="20"/>
                <w:color w:val="auto"/>
              </w:rPr>
            </w:pPr>
            <w:r>
              <w:rPr>
                <w:rFonts w:ascii="Arial" w:cs="Arial" w:eastAsia="Arial" w:hAnsi="Arial"/>
                <w:sz w:val="18"/>
                <w:szCs w:val="18"/>
                <w:color w:val="auto"/>
              </w:rPr>
              <w:t>A-71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in subsidiaries </w:t>
      </w:r>
      <w:r>
        <w:rPr>
          <w:rFonts w:ascii="Arial" w:cs="Arial" w:eastAsia="Arial" w:hAnsi="Arial"/>
          <w:sz w:val="18"/>
          <w:szCs w:val="18"/>
          <w:color w:val="auto"/>
        </w:rPr>
        <w:t>(continued)</w:t>
      </w:r>
    </w:p>
    <w:p>
      <w:pPr>
        <w:spacing w:after="0" w:line="166"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The Company had the following direct subsidiary as at 29 October 2017 and 30 October 2016:</w:t>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0" w:type="dxa"/>
            <w:vAlign w:val="bottom"/>
            <w:gridSpan w:val="5"/>
          </w:tcPr>
          <w:p>
            <w:pPr>
              <w:jc w:val="center"/>
              <w:ind w:left="45"/>
              <w:spacing w:after="0"/>
              <w:rPr>
                <w:sz w:val="20"/>
                <w:szCs w:val="20"/>
                <w:color w:val="auto"/>
              </w:rPr>
            </w:pPr>
            <w:r>
              <w:rPr>
                <w:rFonts w:ascii="Arial" w:cs="Arial" w:eastAsia="Arial" w:hAnsi="Arial"/>
                <w:sz w:val="20"/>
                <w:szCs w:val="20"/>
                <w:color w:val="auto"/>
                <w:w w:val="99"/>
              </w:rPr>
              <w:t>Proportion of partnership</w:t>
            </w:r>
          </w:p>
        </w:tc>
        <w:tc>
          <w:tcPr>
            <w:tcW w:w="3160" w:type="dxa"/>
            <w:vAlign w:val="bottom"/>
            <w:gridSpan w:val="4"/>
          </w:tcPr>
          <w:p>
            <w:pPr>
              <w:jc w:val="center"/>
              <w:ind w:left="362"/>
              <w:spacing w:after="0"/>
              <w:rPr>
                <w:sz w:val="20"/>
                <w:szCs w:val="20"/>
                <w:color w:val="auto"/>
              </w:rPr>
            </w:pPr>
            <w:r>
              <w:rPr>
                <w:rFonts w:ascii="Arial" w:cs="Arial" w:eastAsia="Arial" w:hAnsi="Arial"/>
                <w:sz w:val="20"/>
                <w:szCs w:val="20"/>
                <w:color w:val="auto"/>
                <w:w w:val="99"/>
              </w:rPr>
              <w:t>Proportion of partnership</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spacing w:after="0" w:line="216" w:lineRule="exact"/>
              <w:rPr>
                <w:sz w:val="20"/>
                <w:szCs w:val="20"/>
                <w:color w:val="auto"/>
              </w:rPr>
            </w:pPr>
            <w:r>
              <w:rPr>
                <w:rFonts w:ascii="Arial" w:cs="Arial" w:eastAsia="Arial" w:hAnsi="Arial"/>
                <w:sz w:val="20"/>
                <w:szCs w:val="20"/>
                <w:color w:val="auto"/>
              </w:rPr>
              <w:t>Country of business/</w:t>
            </w:r>
          </w:p>
        </w:tc>
        <w:tc>
          <w:tcPr>
            <w:tcW w:w="2800" w:type="dxa"/>
            <w:vAlign w:val="bottom"/>
            <w:gridSpan w:val="5"/>
          </w:tcPr>
          <w:p>
            <w:pPr>
              <w:jc w:val="center"/>
              <w:ind w:left="45"/>
              <w:spacing w:after="0" w:line="216" w:lineRule="exact"/>
              <w:rPr>
                <w:sz w:val="20"/>
                <w:szCs w:val="20"/>
                <w:color w:val="auto"/>
              </w:rPr>
            </w:pPr>
            <w:r>
              <w:rPr>
                <w:rFonts w:ascii="Arial" w:cs="Arial" w:eastAsia="Arial" w:hAnsi="Arial"/>
                <w:sz w:val="20"/>
                <w:szCs w:val="20"/>
                <w:color w:val="auto"/>
                <w:w w:val="99"/>
              </w:rPr>
              <w:t>units directly held</w:t>
            </w:r>
          </w:p>
        </w:tc>
        <w:tc>
          <w:tcPr>
            <w:tcW w:w="960" w:type="dxa"/>
            <w:vAlign w:val="bottom"/>
          </w:tcPr>
          <w:p>
            <w:pPr>
              <w:spacing w:after="0"/>
              <w:rPr>
                <w:sz w:val="18"/>
                <w:szCs w:val="18"/>
                <w:color w:val="auto"/>
              </w:rPr>
            </w:pPr>
          </w:p>
        </w:tc>
        <w:tc>
          <w:tcPr>
            <w:tcW w:w="2200" w:type="dxa"/>
            <w:vAlign w:val="bottom"/>
            <w:gridSpan w:val="3"/>
          </w:tcPr>
          <w:p>
            <w:pPr>
              <w:jc w:val="center"/>
              <w:ind w:right="480"/>
              <w:spacing w:after="0" w:line="216" w:lineRule="exact"/>
              <w:rPr>
                <w:sz w:val="20"/>
                <w:szCs w:val="20"/>
                <w:color w:val="auto"/>
              </w:rPr>
            </w:pPr>
            <w:r>
              <w:rPr>
                <w:rFonts w:ascii="Arial" w:cs="Arial" w:eastAsia="Arial" w:hAnsi="Arial"/>
                <w:sz w:val="20"/>
                <w:szCs w:val="20"/>
                <w:color w:val="auto"/>
                <w:w w:val="98"/>
              </w:rPr>
              <w:t>units held by non-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520" w:type="dxa"/>
            <w:vAlign w:val="bottom"/>
          </w:tcPr>
          <w:p>
            <w:pPr>
              <w:spacing w:after="0" w:line="173" w:lineRule="exact"/>
              <w:rPr>
                <w:sz w:val="20"/>
                <w:szCs w:val="20"/>
                <w:color w:val="auto"/>
              </w:rPr>
            </w:pPr>
            <w:r>
              <w:rPr>
                <w:rFonts w:ascii="Arial" w:cs="Arial" w:eastAsia="Arial" w:hAnsi="Arial"/>
                <w:sz w:val="20"/>
                <w:szCs w:val="20"/>
                <w:color w:val="auto"/>
                <w:w w:val="93"/>
              </w:rPr>
              <w:t>Name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2"/>
          </w:tcPr>
          <w:p>
            <w:pPr>
              <w:spacing w:after="0" w:line="173" w:lineRule="exact"/>
              <w:rPr>
                <w:sz w:val="20"/>
                <w:szCs w:val="20"/>
                <w:color w:val="auto"/>
              </w:rPr>
            </w:pPr>
            <w:r>
              <w:rPr>
                <w:rFonts w:ascii="Arial" w:cs="Arial" w:eastAsia="Arial" w:hAnsi="Arial"/>
                <w:sz w:val="20"/>
                <w:szCs w:val="20"/>
                <w:color w:val="auto"/>
              </w:rPr>
              <w:t>incorporation</w:t>
            </w:r>
          </w:p>
        </w:tc>
        <w:tc>
          <w:tcPr>
            <w:tcW w:w="1060" w:type="dxa"/>
            <w:vAlign w:val="bottom"/>
          </w:tcPr>
          <w:p>
            <w:pPr>
              <w:spacing w:after="0"/>
              <w:rPr>
                <w:sz w:val="16"/>
                <w:szCs w:val="16"/>
                <w:color w:val="auto"/>
              </w:rPr>
            </w:pPr>
          </w:p>
        </w:tc>
        <w:tc>
          <w:tcPr>
            <w:tcW w:w="900" w:type="dxa"/>
            <w:vAlign w:val="bottom"/>
            <w:gridSpan w:val="3"/>
          </w:tcPr>
          <w:p>
            <w:pPr>
              <w:jc w:val="center"/>
              <w:ind w:right="80"/>
              <w:spacing w:after="0" w:line="173" w:lineRule="exact"/>
              <w:rPr>
                <w:sz w:val="20"/>
                <w:szCs w:val="20"/>
                <w:color w:val="auto"/>
              </w:rPr>
            </w:pPr>
            <w:r>
              <w:rPr>
                <w:rFonts w:ascii="Arial" w:cs="Arial" w:eastAsia="Arial" w:hAnsi="Arial"/>
                <w:sz w:val="20"/>
                <w:szCs w:val="20"/>
                <w:color w:val="auto"/>
                <w:w w:val="98"/>
              </w:rPr>
              <w:t>by parent</w:t>
            </w:r>
          </w:p>
        </w:tc>
        <w:tc>
          <w:tcPr>
            <w:tcW w:w="840" w:type="dxa"/>
            <w:vAlign w:val="bottom"/>
          </w:tcPr>
          <w:p>
            <w:pPr>
              <w:spacing w:after="0"/>
              <w:rPr>
                <w:sz w:val="16"/>
                <w:szCs w:val="16"/>
                <w:color w:val="auto"/>
              </w:rPr>
            </w:pPr>
          </w:p>
        </w:tc>
        <w:tc>
          <w:tcPr>
            <w:tcW w:w="3160" w:type="dxa"/>
            <w:vAlign w:val="bottom"/>
            <w:gridSpan w:val="4"/>
          </w:tcPr>
          <w:p>
            <w:pPr>
              <w:jc w:val="center"/>
              <w:ind w:left="382"/>
              <w:spacing w:after="0" w:line="173" w:lineRule="exact"/>
              <w:rPr>
                <w:sz w:val="20"/>
                <w:szCs w:val="20"/>
                <w:color w:val="auto"/>
              </w:rPr>
            </w:pPr>
            <w:r>
              <w:rPr>
                <w:rFonts w:ascii="Arial" w:cs="Arial" w:eastAsia="Arial" w:hAnsi="Arial"/>
                <w:sz w:val="20"/>
                <w:szCs w:val="20"/>
                <w:color w:val="auto"/>
                <w:w w:val="99"/>
              </w:rPr>
              <w:t>controlling interests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5"/>
        </w:trPr>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jc w:val="right"/>
              <w:ind w:right="85"/>
              <w:spacing w:after="0"/>
              <w:rPr>
                <w:sz w:val="20"/>
                <w:szCs w:val="20"/>
                <w:color w:val="auto"/>
              </w:rPr>
            </w:pPr>
            <w:r>
              <w:rPr>
                <w:rFonts w:ascii="Arial" w:cs="Arial" w:eastAsia="Arial" w:hAnsi="Arial"/>
                <w:sz w:val="20"/>
                <w:szCs w:val="20"/>
                <w:b w:val="1"/>
                <w:bCs w:val="1"/>
                <w:color w:val="auto"/>
              </w:rPr>
              <w:t>2017</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225"/>
              <w:spacing w:after="0"/>
              <w:rPr>
                <w:sz w:val="20"/>
                <w:szCs w:val="20"/>
                <w:color w:val="auto"/>
              </w:rPr>
            </w:pPr>
            <w:r>
              <w:rPr>
                <w:rFonts w:ascii="Arial" w:cs="Arial" w:eastAsia="Arial" w:hAnsi="Arial"/>
                <w:sz w:val="20"/>
                <w:szCs w:val="20"/>
                <w:color w:val="auto"/>
              </w:rPr>
              <w:t>2016</w:t>
            </w:r>
          </w:p>
        </w:tc>
        <w:tc>
          <w:tcPr>
            <w:tcW w:w="1640" w:type="dxa"/>
            <w:vAlign w:val="bottom"/>
            <w:gridSpan w:val="2"/>
          </w:tcPr>
          <w:p>
            <w:pPr>
              <w:jc w:val="right"/>
              <w:ind w:right="301"/>
              <w:spacing w:after="0"/>
              <w:rPr>
                <w:sz w:val="20"/>
                <w:szCs w:val="20"/>
                <w:color w:val="auto"/>
              </w:rPr>
            </w:pPr>
            <w:r>
              <w:rPr>
                <w:rFonts w:ascii="Arial" w:cs="Arial" w:eastAsia="Arial" w:hAnsi="Arial"/>
                <w:sz w:val="20"/>
                <w:szCs w:val="20"/>
                <w:b w:val="1"/>
                <w:bCs w:val="1"/>
                <w:color w:val="auto"/>
              </w:rPr>
              <w:t>2017</w:t>
            </w:r>
          </w:p>
        </w:tc>
        <w:tc>
          <w:tcPr>
            <w:tcW w:w="1520" w:type="dxa"/>
            <w:vAlign w:val="bottom"/>
            <w:gridSpan w:val="2"/>
          </w:tcPr>
          <w:p>
            <w:pPr>
              <w:jc w:val="right"/>
              <w:ind w:right="340"/>
              <w:spacing w:after="0"/>
              <w:rPr>
                <w:sz w:val="20"/>
                <w:szCs w:val="20"/>
                <w:color w:val="auto"/>
              </w:rPr>
            </w:pPr>
            <w:r>
              <w:rPr>
                <w:rFonts w:ascii="Arial" w:cs="Arial" w:eastAsia="Arial" w:hAnsi="Arial"/>
                <w:sz w:val="20"/>
                <w:szCs w:val="20"/>
                <w:color w:val="auto"/>
              </w:rPr>
              <w:t>2016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6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Broadcom</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95</w:t>
            </w: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5</w:t>
            </w: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Cayman L.P.</w:t>
            </w:r>
          </w:p>
        </w:tc>
        <w:tc>
          <w:tcPr>
            <w:tcW w:w="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Cayman Island</w:t>
            </w:r>
          </w:p>
        </w:tc>
        <w:tc>
          <w:tcPr>
            <w:tcW w:w="1560" w:type="dxa"/>
            <w:vAlign w:val="bottom"/>
            <w:gridSpan w:val="2"/>
            <w:vMerge w:val="continue"/>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40" w:type="dxa"/>
            <w:vAlign w:val="bottom"/>
            <w:gridSpan w:val="2"/>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5680" w:type="dxa"/>
            <w:vAlign w:val="bottom"/>
            <w:gridSpan w:val="9"/>
          </w:tcPr>
          <w:p>
            <w:pPr>
              <w:ind w:left="100"/>
              <w:spacing w:after="0"/>
              <w:rPr>
                <w:sz w:val="20"/>
                <w:szCs w:val="20"/>
                <w:color w:val="auto"/>
              </w:rPr>
            </w:pPr>
            <w:r>
              <w:rPr>
                <w:rFonts w:ascii="Arial" w:cs="Arial" w:eastAsia="Arial" w:hAnsi="Arial"/>
                <w:sz w:val="18"/>
                <w:szCs w:val="18"/>
                <w:color w:val="auto"/>
              </w:rPr>
              <w:t>A list of the Group’s significant subsidiaries is disclosed in Note 35.</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380" w:type="dxa"/>
            <w:vAlign w:val="bottom"/>
            <w:gridSpan w:val="6"/>
          </w:tcPr>
          <w:p>
            <w:pPr>
              <w:ind w:left="640"/>
              <w:spacing w:after="0"/>
              <w:rPr>
                <w:sz w:val="20"/>
                <w:szCs w:val="20"/>
                <w:color w:val="auto"/>
              </w:rPr>
            </w:pPr>
            <w:r>
              <w:rPr>
                <w:rFonts w:ascii="Arial" w:cs="Arial" w:eastAsia="Arial" w:hAnsi="Arial"/>
                <w:sz w:val="18"/>
                <w:szCs w:val="18"/>
                <w:i w:val="1"/>
                <w:iCs w:val="1"/>
                <w:color w:val="auto"/>
              </w:rPr>
              <w:t>Carrying value of non-controlling interests</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vMerge w:val="restart"/>
          </w:tcPr>
          <w:p>
            <w:pPr>
              <w:jc w:val="right"/>
              <w:ind w:right="362"/>
              <w:spacing w:after="0"/>
              <w:rPr>
                <w:sz w:val="20"/>
                <w:szCs w:val="20"/>
                <w:color w:val="auto"/>
              </w:rPr>
            </w:pPr>
            <w:r>
              <w:rPr>
                <w:rFonts w:ascii="Arial" w:cs="Arial" w:eastAsia="Arial" w:hAnsi="Arial"/>
                <w:sz w:val="20"/>
                <w:szCs w:val="20"/>
                <w:b w:val="1"/>
                <w:bCs w:val="1"/>
                <w:color w:val="auto"/>
              </w:rPr>
              <w:t>2017</w:t>
            </w:r>
          </w:p>
        </w:tc>
        <w:tc>
          <w:tcPr>
            <w:tcW w:w="680" w:type="dxa"/>
            <w:vAlign w:val="bottom"/>
          </w:tcPr>
          <w:p>
            <w:pPr>
              <w:spacing w:after="0"/>
              <w:rPr>
                <w:sz w:val="24"/>
                <w:szCs w:val="24"/>
                <w:color w:val="auto"/>
              </w:rPr>
            </w:pPr>
          </w:p>
        </w:tc>
        <w:tc>
          <w:tcPr>
            <w:tcW w:w="1520" w:type="dxa"/>
            <w:vAlign w:val="bottom"/>
            <w:gridSpan w:val="2"/>
            <w:vMerge w:val="restart"/>
          </w:tcPr>
          <w:p>
            <w:pPr>
              <w:jc w:val="right"/>
              <w:ind w:right="460"/>
              <w:spacing w:after="0"/>
              <w:rPr>
                <w:sz w:val="20"/>
                <w:szCs w:val="20"/>
                <w:color w:val="auto"/>
              </w:rPr>
            </w:pPr>
            <w:r>
              <w:rPr>
                <w:rFonts w:ascii="Arial" w:cs="Arial" w:eastAsia="Arial" w:hAnsi="Arial"/>
                <w:sz w:val="20"/>
                <w:szCs w:val="20"/>
                <w:color w:val="auto"/>
              </w:rPr>
              <w:t>2016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80" w:type="dxa"/>
            <w:vAlign w:val="bottom"/>
            <w:gridSpan w:val="3"/>
          </w:tcPr>
          <w:p>
            <w:pPr>
              <w:jc w:val="right"/>
              <w:ind w:right="601"/>
              <w:spacing w:after="0"/>
              <w:rPr>
                <w:sz w:val="20"/>
                <w:szCs w:val="20"/>
                <w:color w:val="auto"/>
              </w:rPr>
            </w:pPr>
            <w:r>
              <w:rPr>
                <w:rFonts w:ascii="Arial" w:cs="Arial" w:eastAsia="Arial" w:hAnsi="Arial"/>
                <w:sz w:val="20"/>
                <w:szCs w:val="20"/>
                <w:b w:val="1"/>
                <w:bCs w:val="1"/>
                <w:color w:val="auto"/>
              </w:rPr>
              <w:t>(US$ millions)</w:t>
            </w:r>
          </w:p>
        </w:tc>
        <w:tc>
          <w:tcPr>
            <w:tcW w:w="1520" w:type="dxa"/>
            <w:vAlign w:val="bottom"/>
            <w:gridSpan w:val="2"/>
          </w:tcPr>
          <w:p>
            <w:pPr>
              <w:jc w:val="right"/>
              <w:ind w:right="80"/>
              <w:spacing w:after="0"/>
              <w:rPr>
                <w:sz w:val="20"/>
                <w:szCs w:val="20"/>
                <w:color w:val="auto"/>
              </w:rPr>
            </w:pPr>
            <w:r>
              <w:rPr>
                <w:rFonts w:ascii="Arial" w:cs="Arial" w:eastAsia="Arial" w:hAnsi="Arial"/>
                <w:sz w:val="20"/>
                <w:szCs w:val="20"/>
                <w:color w:val="auto"/>
              </w:rPr>
              <w:t>(US$ millions)</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66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gridSpan w:val="2"/>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720" w:type="dxa"/>
            <w:vAlign w:val="bottom"/>
            <w:gridSpan w:val="5"/>
            <w:shd w:val="clear" w:color="auto" w:fill="CCEEFF"/>
          </w:tcPr>
          <w:p>
            <w:pPr>
              <w:spacing w:after="0" w:line="216" w:lineRule="exact"/>
              <w:rPr>
                <w:sz w:val="20"/>
                <w:szCs w:val="20"/>
                <w:color w:val="auto"/>
              </w:rPr>
            </w:pPr>
            <w:r>
              <w:rPr>
                <w:rFonts w:ascii="Arial" w:cs="Arial" w:eastAsia="Arial" w:hAnsi="Arial"/>
                <w:sz w:val="20"/>
                <w:szCs w:val="20"/>
                <w:color w:val="auto"/>
              </w:rPr>
              <w:t>Non-controlling interest</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2,901</w:t>
            </w:r>
          </w:p>
        </w:tc>
        <w:tc>
          <w:tcPr>
            <w:tcW w:w="6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rPr>
              <w:t>2,984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6520" w:type="dxa"/>
            <w:vAlign w:val="bottom"/>
            <w:gridSpan w:val="10"/>
          </w:tcPr>
          <w:p>
            <w:pPr>
              <w:ind w:left="100"/>
              <w:spacing w:after="0"/>
              <w:rPr>
                <w:sz w:val="20"/>
                <w:szCs w:val="20"/>
                <w:color w:val="auto"/>
              </w:rPr>
            </w:pPr>
            <w:r>
              <w:rPr>
                <w:rFonts w:ascii="Arial" w:cs="Arial" w:eastAsia="Arial" w:hAnsi="Arial"/>
                <w:sz w:val="18"/>
                <w:szCs w:val="18"/>
                <w:color w:val="auto"/>
              </w:rPr>
              <w:t>The summarised financial information of the Partnership is set out below:</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60" w:type="dxa"/>
            <w:vAlign w:val="bottom"/>
          </w:tcPr>
          <w:p>
            <w:pPr>
              <w:spacing w:after="0"/>
              <w:rPr>
                <w:sz w:val="24"/>
                <w:szCs w:val="24"/>
                <w:color w:val="auto"/>
              </w:rPr>
            </w:pPr>
          </w:p>
        </w:tc>
        <w:tc>
          <w:tcPr>
            <w:tcW w:w="3720" w:type="dxa"/>
            <w:vAlign w:val="bottom"/>
            <w:gridSpan w:val="5"/>
          </w:tcPr>
          <w:p>
            <w:pPr>
              <w:ind w:left="100"/>
              <w:spacing w:after="0"/>
              <w:rPr>
                <w:sz w:val="20"/>
                <w:szCs w:val="20"/>
                <w:color w:val="auto"/>
              </w:rPr>
            </w:pPr>
            <w:r>
              <w:rPr>
                <w:rFonts w:ascii="Arial" w:cs="Arial" w:eastAsia="Arial" w:hAnsi="Arial"/>
                <w:sz w:val="18"/>
                <w:szCs w:val="18"/>
                <w:i w:val="1"/>
                <w:iCs w:val="1"/>
                <w:color w:val="auto"/>
              </w:rPr>
              <w:t>Summarised balance sheet</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jc w:val="right"/>
              <w:ind w:right="282"/>
              <w:spacing w:after="0"/>
              <w:rPr>
                <w:sz w:val="20"/>
                <w:szCs w:val="20"/>
                <w:color w:val="auto"/>
              </w:rPr>
            </w:pPr>
            <w:r>
              <w:rPr>
                <w:rFonts w:ascii="Arial" w:cs="Arial" w:eastAsia="Arial" w:hAnsi="Arial"/>
                <w:sz w:val="20"/>
                <w:szCs w:val="20"/>
                <w:b w:val="1"/>
                <w:bCs w:val="1"/>
                <w:color w:val="auto"/>
              </w:rPr>
              <w:t>2017</w:t>
            </w:r>
          </w:p>
        </w:tc>
        <w:tc>
          <w:tcPr>
            <w:tcW w:w="6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2016</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80" w:type="dxa"/>
            <w:vAlign w:val="bottom"/>
            <w:gridSpan w:val="3"/>
          </w:tcPr>
          <w:p>
            <w:pPr>
              <w:jc w:val="right"/>
              <w:ind w:right="521"/>
              <w:spacing w:after="0"/>
              <w:rPr>
                <w:sz w:val="20"/>
                <w:szCs w:val="20"/>
                <w:color w:val="auto"/>
              </w:rPr>
            </w:pPr>
            <w:r>
              <w:rPr>
                <w:rFonts w:ascii="Arial" w:cs="Arial" w:eastAsia="Arial" w:hAnsi="Arial"/>
                <w:sz w:val="20"/>
                <w:szCs w:val="20"/>
                <w:b w:val="1"/>
                <w:bCs w:val="1"/>
                <w:color w:val="auto"/>
              </w:rPr>
              <w:t>(US$ millions)</w:t>
            </w:r>
          </w:p>
        </w:tc>
        <w:tc>
          <w:tcPr>
            <w:tcW w:w="1520" w:type="dxa"/>
            <w:vAlign w:val="bottom"/>
            <w:gridSpan w:val="2"/>
          </w:tcPr>
          <w:p>
            <w:pPr>
              <w:jc w:val="center"/>
              <w:spacing w:after="0"/>
              <w:rPr>
                <w:sz w:val="20"/>
                <w:szCs w:val="20"/>
                <w:color w:val="auto"/>
              </w:rPr>
            </w:pPr>
            <w:r>
              <w:rPr>
                <w:rFonts w:ascii="Arial" w:cs="Arial" w:eastAsia="Arial" w:hAnsi="Arial"/>
                <w:sz w:val="20"/>
                <w:szCs w:val="20"/>
                <w:color w:val="auto"/>
                <w:w w:val="99"/>
              </w:rPr>
              <w:t>(US$ millions)</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66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60" w:type="dxa"/>
            <w:vAlign w:val="bottom"/>
            <w:vMerge w:val="continue"/>
          </w:tcPr>
          <w:p>
            <w:pPr>
              <w:spacing w:after="0"/>
              <w:rPr>
                <w:sz w:val="19"/>
                <w:szCs w:val="19"/>
                <w:color w:val="auto"/>
              </w:rPr>
            </w:pPr>
          </w:p>
        </w:tc>
        <w:tc>
          <w:tcPr>
            <w:tcW w:w="144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Current assets</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521"/>
              <w:spacing w:after="0" w:line="216" w:lineRule="exact"/>
              <w:rPr>
                <w:sz w:val="20"/>
                <w:szCs w:val="20"/>
                <w:color w:val="auto"/>
              </w:rPr>
            </w:pPr>
            <w:r>
              <w:rPr>
                <w:rFonts w:ascii="Arial" w:cs="Arial" w:eastAsia="Arial" w:hAnsi="Arial"/>
                <w:sz w:val="20"/>
                <w:szCs w:val="20"/>
                <w:b w:val="1"/>
                <w:bCs w:val="1"/>
                <w:color w:val="auto"/>
              </w:rPr>
              <w:t>15,720</w:t>
            </w:r>
          </w:p>
        </w:tc>
        <w:tc>
          <w:tcPr>
            <w:tcW w:w="1520" w:type="dxa"/>
            <w:vAlign w:val="bottom"/>
            <w:tcBorders>
              <w:bottom w:val="single" w:sz="8" w:color="auto"/>
            </w:tcBorders>
            <w:gridSpan w:val="2"/>
            <w:shd w:val="clear" w:color="auto" w:fill="CCEEFF"/>
          </w:tcPr>
          <w:p>
            <w:pPr>
              <w:jc w:val="right"/>
              <w:ind w:right="120"/>
              <w:spacing w:after="0" w:line="216" w:lineRule="exact"/>
              <w:rPr>
                <w:sz w:val="20"/>
                <w:szCs w:val="20"/>
                <w:color w:val="auto"/>
              </w:rPr>
            </w:pPr>
            <w:r>
              <w:rPr>
                <w:rFonts w:ascii="Arial" w:cs="Arial" w:eastAsia="Arial" w:hAnsi="Arial"/>
                <w:sz w:val="20"/>
                <w:szCs w:val="20"/>
                <w:color w:val="auto"/>
              </w:rPr>
              <w:t>7,125</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720" w:type="dxa"/>
            <w:vAlign w:val="bottom"/>
            <w:tcBorders>
              <w:bottom w:val="single" w:sz="8" w:color="CCEEFF"/>
            </w:tcBorders>
            <w:gridSpan w:val="5"/>
          </w:tcPr>
          <w:p>
            <w:pPr>
              <w:spacing w:after="0" w:line="223" w:lineRule="exact"/>
              <w:rPr>
                <w:sz w:val="20"/>
                <w:szCs w:val="20"/>
                <w:color w:val="auto"/>
              </w:rPr>
            </w:pPr>
            <w:r>
              <w:rPr>
                <w:rFonts w:ascii="Arial" w:cs="Arial" w:eastAsia="Arial" w:hAnsi="Arial"/>
                <w:sz w:val="20"/>
                <w:szCs w:val="20"/>
                <w:b w:val="1"/>
                <w:bCs w:val="1"/>
                <w:color w:val="auto"/>
              </w:rPr>
              <w:t>Current liabilities</w:t>
            </w:r>
          </w:p>
        </w:tc>
        <w:tc>
          <w:tcPr>
            <w:tcW w:w="10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441"/>
              <w:spacing w:after="0" w:line="223" w:lineRule="exact"/>
              <w:rPr>
                <w:sz w:val="20"/>
                <w:szCs w:val="20"/>
                <w:color w:val="auto"/>
              </w:rPr>
            </w:pPr>
            <w:r>
              <w:rPr>
                <w:rFonts w:ascii="Arial" w:cs="Arial" w:eastAsia="Arial" w:hAnsi="Arial"/>
                <w:sz w:val="20"/>
                <w:szCs w:val="20"/>
                <w:b w:val="1"/>
                <w:bCs w:val="1"/>
                <w:color w:val="auto"/>
              </w:rPr>
              <w:t>(2,529)</w:t>
            </w:r>
          </w:p>
        </w:tc>
        <w:tc>
          <w:tcPr>
            <w:tcW w:w="1520" w:type="dxa"/>
            <w:vAlign w:val="bottom"/>
            <w:tcBorders>
              <w:bottom w:val="single" w:sz="8" w:color="auto"/>
            </w:tcBorders>
            <w:gridSpan w:val="2"/>
          </w:tcPr>
          <w:p>
            <w:pPr>
              <w:jc w:val="right"/>
              <w:ind w:right="60"/>
              <w:spacing w:after="0" w:line="223" w:lineRule="exact"/>
              <w:rPr>
                <w:sz w:val="20"/>
                <w:szCs w:val="20"/>
                <w:color w:val="auto"/>
              </w:rPr>
            </w:pPr>
            <w:r>
              <w:rPr>
                <w:rFonts w:ascii="Arial" w:cs="Arial" w:eastAsia="Arial" w:hAnsi="Arial"/>
                <w:sz w:val="20"/>
                <w:szCs w:val="20"/>
                <w:color w:val="auto"/>
              </w:rPr>
              <w:t>(3,078)</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720" w:type="dxa"/>
            <w:vAlign w:val="bottom"/>
            <w:gridSpan w:val="5"/>
            <w:shd w:val="clear" w:color="auto" w:fill="CCEEFF"/>
          </w:tcPr>
          <w:p>
            <w:pPr>
              <w:spacing w:after="0" w:line="209" w:lineRule="exact"/>
              <w:rPr>
                <w:sz w:val="20"/>
                <w:szCs w:val="20"/>
                <w:color w:val="auto"/>
              </w:rPr>
            </w:pPr>
            <w:r>
              <w:rPr>
                <w:rFonts w:ascii="Arial" w:cs="Arial" w:eastAsia="Arial" w:hAnsi="Arial"/>
                <w:sz w:val="20"/>
                <w:szCs w:val="20"/>
                <w:b w:val="1"/>
                <w:bCs w:val="1"/>
                <w:color w:val="auto"/>
              </w:rPr>
              <w:t>Non-current assets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521"/>
              <w:spacing w:after="0" w:line="216" w:lineRule="exact"/>
              <w:rPr>
                <w:sz w:val="20"/>
                <w:szCs w:val="20"/>
                <w:color w:val="auto"/>
              </w:rPr>
            </w:pPr>
            <w:r>
              <w:rPr>
                <w:rFonts w:ascii="Arial" w:cs="Arial" w:eastAsia="Arial" w:hAnsi="Arial"/>
                <w:sz w:val="20"/>
                <w:szCs w:val="20"/>
                <w:b w:val="1"/>
                <w:bCs w:val="1"/>
                <w:color w:val="auto"/>
              </w:rPr>
              <w:t>38,595</w:t>
            </w:r>
          </w:p>
        </w:tc>
        <w:tc>
          <w:tcPr>
            <w:tcW w:w="1520" w:type="dxa"/>
            <w:vAlign w:val="bottom"/>
            <w:tcBorders>
              <w:bottom w:val="single" w:sz="8" w:color="auto"/>
            </w:tcBorders>
            <w:gridSpan w:val="2"/>
            <w:shd w:val="clear" w:color="auto" w:fill="CCEEFF"/>
          </w:tcPr>
          <w:p>
            <w:pPr>
              <w:jc w:val="right"/>
              <w:ind w:right="120"/>
              <w:spacing w:after="0" w:line="216" w:lineRule="exact"/>
              <w:rPr>
                <w:sz w:val="20"/>
                <w:szCs w:val="20"/>
                <w:color w:val="auto"/>
              </w:rPr>
            </w:pPr>
            <w:r>
              <w:rPr>
                <w:rFonts w:ascii="Arial" w:cs="Arial" w:eastAsia="Arial" w:hAnsi="Arial"/>
                <w:sz w:val="20"/>
                <w:szCs w:val="20"/>
                <w:color w:val="auto"/>
              </w:rPr>
              <w:t>42,841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720" w:type="dxa"/>
            <w:vAlign w:val="bottom"/>
            <w:tcBorders>
              <w:bottom w:val="single" w:sz="8" w:color="CCEEFF"/>
            </w:tcBorders>
            <w:gridSpan w:val="5"/>
          </w:tcPr>
          <w:p>
            <w:pPr>
              <w:spacing w:after="0" w:line="223" w:lineRule="exact"/>
              <w:rPr>
                <w:sz w:val="20"/>
                <w:szCs w:val="20"/>
                <w:color w:val="auto"/>
              </w:rPr>
            </w:pPr>
            <w:r>
              <w:rPr>
                <w:rFonts w:ascii="Arial" w:cs="Arial" w:eastAsia="Arial" w:hAnsi="Arial"/>
                <w:sz w:val="20"/>
                <w:szCs w:val="20"/>
                <w:b w:val="1"/>
                <w:bCs w:val="1"/>
                <w:color w:val="auto"/>
              </w:rPr>
              <w:t>Non-current liabilities</w:t>
            </w:r>
          </w:p>
        </w:tc>
        <w:tc>
          <w:tcPr>
            <w:tcW w:w="10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441"/>
              <w:spacing w:after="0" w:line="223" w:lineRule="exact"/>
              <w:rPr>
                <w:sz w:val="20"/>
                <w:szCs w:val="20"/>
                <w:color w:val="auto"/>
              </w:rPr>
            </w:pPr>
            <w:r>
              <w:rPr>
                <w:rFonts w:ascii="Arial" w:cs="Arial" w:eastAsia="Arial" w:hAnsi="Arial"/>
                <w:sz w:val="20"/>
                <w:szCs w:val="20"/>
                <w:b w:val="1"/>
                <w:bCs w:val="1"/>
                <w:color w:val="auto"/>
              </w:rPr>
              <w:t>(28,703)</w:t>
            </w:r>
          </w:p>
        </w:tc>
        <w:tc>
          <w:tcPr>
            <w:tcW w:w="1520" w:type="dxa"/>
            <w:vAlign w:val="bottom"/>
            <w:tcBorders>
              <w:bottom w:val="single" w:sz="8" w:color="auto"/>
            </w:tcBorders>
            <w:gridSpan w:val="2"/>
          </w:tcPr>
          <w:p>
            <w:pPr>
              <w:jc w:val="right"/>
              <w:ind w:right="60"/>
              <w:spacing w:after="0" w:line="223" w:lineRule="exact"/>
              <w:rPr>
                <w:sz w:val="20"/>
                <w:szCs w:val="20"/>
                <w:color w:val="auto"/>
              </w:rPr>
            </w:pPr>
            <w:r>
              <w:rPr>
                <w:rFonts w:ascii="Arial" w:cs="Arial" w:eastAsia="Arial" w:hAnsi="Arial"/>
                <w:sz w:val="20"/>
                <w:szCs w:val="20"/>
                <w:color w:val="auto"/>
              </w:rPr>
              <w:t>(25,012)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440" w:type="dxa"/>
            <w:vAlign w:val="bottom"/>
            <w:gridSpan w:val="2"/>
            <w:shd w:val="clear" w:color="auto" w:fill="CCEEFF"/>
          </w:tcPr>
          <w:p>
            <w:pPr>
              <w:spacing w:after="0" w:line="209" w:lineRule="exact"/>
              <w:rPr>
                <w:sz w:val="20"/>
                <w:szCs w:val="20"/>
                <w:color w:val="auto"/>
              </w:rPr>
            </w:pPr>
            <w:r>
              <w:rPr>
                <w:rFonts w:ascii="Arial" w:cs="Arial" w:eastAsia="Arial" w:hAnsi="Arial"/>
                <w:sz w:val="20"/>
                <w:szCs w:val="20"/>
                <w:b w:val="1"/>
                <w:bCs w:val="1"/>
                <w:color w:val="auto"/>
              </w:rPr>
              <w:t>Net assets</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1"/>
              <w:spacing w:after="0" w:line="209" w:lineRule="exact"/>
              <w:rPr>
                <w:sz w:val="20"/>
                <w:szCs w:val="20"/>
                <w:color w:val="auto"/>
              </w:rPr>
            </w:pPr>
            <w:r>
              <w:rPr>
                <w:rFonts w:ascii="Arial" w:cs="Arial" w:eastAsia="Arial" w:hAnsi="Arial"/>
                <w:sz w:val="20"/>
                <w:szCs w:val="20"/>
                <w:b w:val="1"/>
                <w:bCs w:val="1"/>
                <w:color w:val="auto"/>
              </w:rPr>
              <w:t>23,083</w:t>
            </w:r>
          </w:p>
        </w:tc>
        <w:tc>
          <w:tcPr>
            <w:tcW w:w="1520" w:type="dxa"/>
            <w:vAlign w:val="bottom"/>
            <w:gridSpan w:val="2"/>
            <w:shd w:val="clear" w:color="auto" w:fill="CCEEFF"/>
          </w:tcPr>
          <w:p>
            <w:pPr>
              <w:jc w:val="right"/>
              <w:ind w:right="120"/>
              <w:spacing w:after="0" w:line="209" w:lineRule="exact"/>
              <w:rPr>
                <w:sz w:val="20"/>
                <w:szCs w:val="20"/>
                <w:color w:val="auto"/>
              </w:rPr>
            </w:pPr>
            <w:r>
              <w:rPr>
                <w:rFonts w:ascii="Arial" w:cs="Arial" w:eastAsia="Arial" w:hAnsi="Arial"/>
                <w:sz w:val="20"/>
                <w:szCs w:val="20"/>
                <w:color w:val="auto"/>
              </w:rPr>
              <w:t>21,876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60" w:type="dxa"/>
            <w:vAlign w:val="bottom"/>
            <w:gridSpan w:val="4"/>
          </w:tcPr>
          <w:p>
            <w:pPr>
              <w:ind w:left="920"/>
              <w:spacing w:after="0"/>
              <w:rPr>
                <w:sz w:val="20"/>
                <w:szCs w:val="20"/>
                <w:color w:val="auto"/>
              </w:rPr>
            </w:pPr>
            <w:r>
              <w:rPr>
                <w:rFonts w:ascii="Arial" w:cs="Arial" w:eastAsia="Arial" w:hAnsi="Arial"/>
                <w:sz w:val="18"/>
                <w:szCs w:val="18"/>
                <w:color w:val="auto"/>
              </w:rPr>
              <w:t>A-72</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in subsidiaries </w:t>
      </w:r>
      <w:r>
        <w:rPr>
          <w:rFonts w:ascii="Arial" w:cs="Arial" w:eastAsia="Arial" w:hAnsi="Arial"/>
          <w:sz w:val="18"/>
          <w:szCs w:val="18"/>
          <w:color w:val="auto"/>
        </w:rPr>
        <w:t>(continued)</w:t>
      </w:r>
    </w:p>
    <w:p>
      <w:pPr>
        <w:spacing w:after="0" w:line="166" w:lineRule="exact"/>
        <w:rPr>
          <w:rFonts w:ascii="Arial" w:cs="Arial" w:eastAsia="Arial" w:hAnsi="Arial"/>
          <w:sz w:val="18"/>
          <w:szCs w:val="18"/>
          <w:b w:val="1"/>
          <w:bCs w:val="1"/>
          <w:color w:val="auto"/>
        </w:rPr>
      </w:pPr>
    </w:p>
    <w:p>
      <w:pPr>
        <w:ind w:left="980" w:right="3800"/>
        <w:spacing w:after="0" w:line="485" w:lineRule="auto"/>
        <w:rPr>
          <w:rFonts w:ascii="Arial" w:cs="Arial" w:eastAsia="Arial" w:hAnsi="Arial"/>
          <w:sz w:val="18"/>
          <w:szCs w:val="18"/>
          <w:b w:val="1"/>
          <w:bCs w:val="1"/>
          <w:color w:val="auto"/>
        </w:rPr>
      </w:pPr>
      <w:r>
        <w:rPr>
          <w:rFonts w:ascii="Arial" w:cs="Arial" w:eastAsia="Arial" w:hAnsi="Arial"/>
          <w:sz w:val="18"/>
          <w:szCs w:val="18"/>
          <w:color w:val="auto"/>
        </w:rPr>
        <w:t xml:space="preserve">The summarised financial information of Broadcom Cayman L.P. is set out below: </w:t>
      </w:r>
      <w:r>
        <w:rPr>
          <w:rFonts w:ascii="Arial" w:cs="Arial" w:eastAsia="Arial" w:hAnsi="Arial"/>
          <w:sz w:val="18"/>
          <w:szCs w:val="18"/>
          <w:i w:val="1"/>
          <w:iCs w:val="1"/>
          <w:color w:val="auto"/>
        </w:rPr>
        <w:t>Summarised income statement</w:t>
      </w:r>
    </w:p>
    <w:tbl>
      <w:tblPr>
        <w:tblLayout w:type="fixed"/>
        <w:tblInd w:w="9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tcPr>
          <w:p>
            <w:pPr>
              <w:jc w:val="right"/>
              <w:ind w:right="821"/>
              <w:spacing w:after="0" w:line="217" w:lineRule="exact"/>
              <w:rPr>
                <w:sz w:val="20"/>
                <w:szCs w:val="20"/>
                <w:color w:val="auto"/>
              </w:rPr>
            </w:pPr>
            <w:r>
              <w:rPr>
                <w:rFonts w:ascii="Arial" w:cs="Arial" w:eastAsia="Arial" w:hAnsi="Arial"/>
                <w:sz w:val="20"/>
                <w:szCs w:val="20"/>
                <w:b w:val="1"/>
                <w:bCs w:val="1"/>
                <w:color w:val="auto"/>
              </w:rPr>
              <w:t>2017</w:t>
            </w:r>
          </w:p>
        </w:tc>
        <w:tc>
          <w:tcPr>
            <w:tcW w:w="1780" w:type="dxa"/>
            <w:vAlign w:val="bottom"/>
          </w:tcPr>
          <w:p>
            <w:pPr>
              <w:jc w:val="center"/>
              <w:ind w:left="161"/>
              <w:spacing w:after="0" w:line="217" w:lineRule="exact"/>
              <w:rPr>
                <w:sz w:val="20"/>
                <w:szCs w:val="20"/>
                <w:color w:val="auto"/>
              </w:rPr>
            </w:pPr>
            <w:r>
              <w:rPr>
                <w:rFonts w:ascii="Arial" w:cs="Arial" w:eastAsia="Arial" w:hAnsi="Arial"/>
                <w:sz w:val="20"/>
                <w:szCs w:val="20"/>
                <w:color w:val="auto"/>
                <w:w w:val="98"/>
              </w:rPr>
              <w:t>2016</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60" w:type="dxa"/>
            <w:vAlign w:val="bottom"/>
          </w:tcPr>
          <w:p>
            <w:pPr>
              <w:jc w:val="right"/>
              <w:ind w:right="381"/>
              <w:spacing w:after="0"/>
              <w:rPr>
                <w:sz w:val="20"/>
                <w:szCs w:val="20"/>
                <w:color w:val="auto"/>
              </w:rPr>
            </w:pPr>
            <w:r>
              <w:rPr>
                <w:rFonts w:ascii="Arial" w:cs="Arial" w:eastAsia="Arial" w:hAnsi="Arial"/>
                <w:sz w:val="20"/>
                <w:szCs w:val="20"/>
                <w:b w:val="1"/>
                <w:bCs w:val="1"/>
                <w:color w:val="auto"/>
              </w:rPr>
              <w:t>(US$ millions)</w:t>
            </w:r>
          </w:p>
        </w:tc>
        <w:tc>
          <w:tcPr>
            <w:tcW w:w="1780" w:type="dxa"/>
            <w:vAlign w:val="bottom"/>
          </w:tcPr>
          <w:p>
            <w:pPr>
              <w:jc w:val="center"/>
              <w:ind w:left="161"/>
              <w:spacing w:after="0"/>
              <w:rPr>
                <w:sz w:val="20"/>
                <w:szCs w:val="20"/>
                <w:color w:val="auto"/>
              </w:rPr>
            </w:pPr>
            <w:r>
              <w:rPr>
                <w:rFonts w:ascii="Arial" w:cs="Arial" w:eastAsia="Arial" w:hAnsi="Arial"/>
                <w:sz w:val="20"/>
                <w:szCs w:val="20"/>
                <w:color w:val="auto"/>
                <w:w w:val="99"/>
              </w:rPr>
              <w:t>(US$ millions)</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1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Revenue</w:t>
            </w:r>
          </w:p>
        </w:tc>
        <w:tc>
          <w:tcPr>
            <w:tcW w:w="2560" w:type="dxa"/>
            <w:vAlign w:val="bottom"/>
            <w:shd w:val="clear" w:color="auto" w:fill="CCEEFF"/>
          </w:tcPr>
          <w:p>
            <w:pPr>
              <w:jc w:val="right"/>
              <w:ind w:right="381"/>
              <w:spacing w:after="0" w:line="216" w:lineRule="exact"/>
              <w:rPr>
                <w:sz w:val="20"/>
                <w:szCs w:val="20"/>
                <w:color w:val="auto"/>
              </w:rPr>
            </w:pPr>
            <w:r>
              <w:rPr>
                <w:rFonts w:ascii="Arial" w:cs="Arial" w:eastAsia="Arial" w:hAnsi="Arial"/>
                <w:sz w:val="20"/>
                <w:szCs w:val="20"/>
                <w:b w:val="1"/>
                <w:bCs w:val="1"/>
                <w:color w:val="auto"/>
              </w:rPr>
              <w:t>17,636</w:t>
            </w:r>
          </w:p>
        </w:tc>
        <w:tc>
          <w:tcPr>
            <w:tcW w:w="1780" w:type="dxa"/>
            <w:vAlign w:val="bottom"/>
            <w:shd w:val="clear" w:color="auto" w:fill="CCEEFF"/>
          </w:tcPr>
          <w:p>
            <w:pPr>
              <w:jc w:val="right"/>
              <w:ind w:right="41"/>
              <w:spacing w:after="0" w:line="216" w:lineRule="exact"/>
              <w:rPr>
                <w:sz w:val="20"/>
                <w:szCs w:val="20"/>
                <w:color w:val="auto"/>
              </w:rPr>
            </w:pPr>
            <w:r>
              <w:rPr>
                <w:rFonts w:ascii="Arial" w:cs="Arial" w:eastAsia="Arial" w:hAnsi="Arial"/>
                <w:sz w:val="20"/>
                <w:szCs w:val="20"/>
                <w:color w:val="auto"/>
              </w:rPr>
              <w:t>13,240</w:t>
            </w:r>
          </w:p>
        </w:tc>
        <w:tc>
          <w:tcPr>
            <w:tcW w:w="0" w:type="dxa"/>
            <w:vAlign w:val="bottom"/>
          </w:tcPr>
          <w:p>
            <w:pPr>
              <w:spacing w:after="0"/>
              <w:rPr>
                <w:sz w:val="1"/>
                <w:szCs w:val="1"/>
                <w:color w:val="auto"/>
              </w:rPr>
            </w:pPr>
          </w:p>
        </w:tc>
      </w:tr>
      <w:tr>
        <w:trPr>
          <w:trHeight w:val="324"/>
        </w:trPr>
        <w:tc>
          <w:tcPr>
            <w:tcW w:w="5920" w:type="dxa"/>
            <w:vAlign w:val="bottom"/>
            <w:gridSpan w:val="4"/>
          </w:tcPr>
          <w:p>
            <w:pPr>
              <w:spacing w:after="0"/>
              <w:rPr>
                <w:sz w:val="20"/>
                <w:szCs w:val="20"/>
                <w:color w:val="auto"/>
              </w:rPr>
            </w:pPr>
            <w:r>
              <w:rPr>
                <w:rFonts w:ascii="Arial" w:cs="Arial" w:eastAsia="Arial" w:hAnsi="Arial"/>
                <w:sz w:val="20"/>
                <w:szCs w:val="20"/>
                <w:color w:val="auto"/>
              </w:rPr>
              <w:t>Expenses</w:t>
            </w:r>
          </w:p>
        </w:tc>
        <w:tc>
          <w:tcPr>
            <w:tcW w:w="2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Includes:</w:t>
            </w:r>
          </w:p>
        </w:tc>
        <w:tc>
          <w:tcPr>
            <w:tcW w:w="25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line="216" w:lineRule="exact"/>
              <w:rPr>
                <w:sz w:val="20"/>
                <w:szCs w:val="20"/>
                <w:color w:val="auto"/>
              </w:rPr>
            </w:pPr>
            <w:r>
              <w:rPr>
                <w:rFonts w:ascii="Arial" w:cs="Arial" w:eastAsia="Arial" w:hAnsi="Arial"/>
                <w:sz w:val="20"/>
                <w:szCs w:val="20"/>
                <w:color w:val="auto"/>
              </w:rPr>
              <w:t>- Depreciation and amortisation</w:t>
            </w:r>
          </w:p>
        </w:tc>
        <w:tc>
          <w:tcPr>
            <w:tcW w:w="2560" w:type="dxa"/>
            <w:vAlign w:val="bottom"/>
          </w:tcPr>
          <w:p>
            <w:pPr>
              <w:jc w:val="right"/>
              <w:ind w:right="321"/>
              <w:spacing w:after="0" w:line="216" w:lineRule="exact"/>
              <w:rPr>
                <w:sz w:val="20"/>
                <w:szCs w:val="20"/>
                <w:color w:val="auto"/>
              </w:rPr>
            </w:pPr>
            <w:r>
              <w:rPr>
                <w:rFonts w:ascii="Arial" w:cs="Arial" w:eastAsia="Arial" w:hAnsi="Arial"/>
                <w:sz w:val="20"/>
                <w:szCs w:val="20"/>
                <w:b w:val="1"/>
                <w:bCs w:val="1"/>
                <w:color w:val="auto"/>
              </w:rPr>
              <w:t>(4,737)</w:t>
            </w:r>
          </w:p>
        </w:tc>
        <w:tc>
          <w:tcPr>
            <w:tcW w:w="1780" w:type="dxa"/>
            <w:vAlign w:val="bottom"/>
          </w:tcPr>
          <w:p>
            <w:pPr>
              <w:jc w:val="right"/>
              <w:spacing w:after="0" w:line="216" w:lineRule="exact"/>
              <w:rPr>
                <w:sz w:val="20"/>
                <w:szCs w:val="20"/>
                <w:color w:val="auto"/>
              </w:rPr>
            </w:pPr>
            <w:r>
              <w:rPr>
                <w:rFonts w:ascii="Arial" w:cs="Arial" w:eastAsia="Arial" w:hAnsi="Arial"/>
                <w:sz w:val="20"/>
                <w:szCs w:val="20"/>
                <w:color w:val="auto"/>
              </w:rPr>
              <w:t>(3,042)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 Interest expense</w:t>
            </w:r>
          </w:p>
        </w:tc>
        <w:tc>
          <w:tcPr>
            <w:tcW w:w="2560" w:type="dxa"/>
            <w:vAlign w:val="bottom"/>
            <w:shd w:val="clear" w:color="auto" w:fill="CCEEFF"/>
          </w:tcPr>
          <w:p>
            <w:pPr>
              <w:jc w:val="right"/>
              <w:ind w:right="321"/>
              <w:spacing w:after="0" w:line="216" w:lineRule="exact"/>
              <w:rPr>
                <w:sz w:val="20"/>
                <w:szCs w:val="20"/>
                <w:color w:val="auto"/>
              </w:rPr>
            </w:pPr>
            <w:r>
              <w:rPr>
                <w:rFonts w:ascii="Arial" w:cs="Arial" w:eastAsia="Arial" w:hAnsi="Arial"/>
                <w:sz w:val="20"/>
                <w:szCs w:val="20"/>
                <w:b w:val="1"/>
                <w:bCs w:val="1"/>
                <w:color w:val="auto"/>
              </w:rPr>
              <w:t>(454)</w:t>
            </w:r>
          </w:p>
        </w:tc>
        <w:tc>
          <w:tcPr>
            <w:tcW w:w="17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(585)</w:t>
            </w:r>
          </w:p>
        </w:tc>
        <w:tc>
          <w:tcPr>
            <w:tcW w:w="0" w:type="dxa"/>
            <w:vAlign w:val="bottom"/>
          </w:tcPr>
          <w:p>
            <w:pPr>
              <w:spacing w:after="0"/>
              <w:rPr>
                <w:sz w:val="1"/>
                <w:szCs w:val="1"/>
                <w:color w:val="auto"/>
              </w:rPr>
            </w:pPr>
          </w:p>
        </w:tc>
      </w:tr>
      <w:tr>
        <w:trPr>
          <w:trHeight w:val="324"/>
        </w:trPr>
        <w:tc>
          <w:tcPr>
            <w:tcW w:w="5920" w:type="dxa"/>
            <w:vAlign w:val="bottom"/>
            <w:gridSpan w:val="4"/>
          </w:tcPr>
          <w:p>
            <w:pPr>
              <w:spacing w:after="0"/>
              <w:rPr>
                <w:sz w:val="20"/>
                <w:szCs w:val="20"/>
                <w:color w:val="auto"/>
              </w:rPr>
            </w:pPr>
            <w:r>
              <w:rPr>
                <w:rFonts w:ascii="Arial" w:cs="Arial" w:eastAsia="Arial" w:hAnsi="Arial"/>
                <w:sz w:val="20"/>
                <w:szCs w:val="20"/>
                <w:b w:val="1"/>
                <w:bCs w:val="1"/>
                <w:color w:val="auto"/>
              </w:rPr>
              <w:t>Profit/(loss) before income tax</w:t>
            </w:r>
          </w:p>
        </w:tc>
        <w:tc>
          <w:tcPr>
            <w:tcW w:w="2560" w:type="dxa"/>
            <w:vAlign w:val="bottom"/>
          </w:tcPr>
          <w:p>
            <w:pPr>
              <w:jc w:val="right"/>
              <w:ind w:right="381"/>
              <w:spacing w:after="0"/>
              <w:rPr>
                <w:sz w:val="20"/>
                <w:szCs w:val="20"/>
                <w:color w:val="auto"/>
              </w:rPr>
            </w:pPr>
            <w:r>
              <w:rPr>
                <w:rFonts w:ascii="Arial" w:cs="Arial" w:eastAsia="Arial" w:hAnsi="Arial"/>
                <w:sz w:val="20"/>
                <w:szCs w:val="20"/>
                <w:b w:val="1"/>
                <w:bCs w:val="1"/>
                <w:color w:val="auto"/>
              </w:rPr>
              <w:t>1,825</w:t>
            </w:r>
          </w:p>
        </w:tc>
        <w:tc>
          <w:tcPr>
            <w:tcW w:w="1780" w:type="dxa"/>
            <w:vAlign w:val="bottom"/>
          </w:tcPr>
          <w:p>
            <w:pPr>
              <w:jc w:val="right"/>
              <w:spacing w:after="0"/>
              <w:rPr>
                <w:sz w:val="20"/>
                <w:szCs w:val="20"/>
                <w:color w:val="auto"/>
              </w:rPr>
            </w:pPr>
            <w:r>
              <w:rPr>
                <w:rFonts w:ascii="Arial" w:cs="Arial" w:eastAsia="Arial" w:hAnsi="Arial"/>
                <w:sz w:val="20"/>
                <w:szCs w:val="20"/>
                <w:color w:val="auto"/>
              </w:rPr>
              <w:t>(1,107)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Income tax expense</w:t>
            </w:r>
          </w:p>
        </w:tc>
        <w:tc>
          <w:tcPr>
            <w:tcW w:w="2560" w:type="dxa"/>
            <w:vAlign w:val="bottom"/>
            <w:tcBorders>
              <w:bottom w:val="single" w:sz="8" w:color="auto"/>
            </w:tcBorders>
            <w:shd w:val="clear" w:color="auto" w:fill="CCEEFF"/>
          </w:tcPr>
          <w:p>
            <w:pPr>
              <w:jc w:val="right"/>
              <w:ind w:right="321"/>
              <w:spacing w:after="0" w:line="216" w:lineRule="exact"/>
              <w:rPr>
                <w:sz w:val="20"/>
                <w:szCs w:val="20"/>
                <w:color w:val="auto"/>
              </w:rPr>
            </w:pPr>
            <w:r>
              <w:rPr>
                <w:rFonts w:ascii="Arial" w:cs="Arial" w:eastAsia="Arial" w:hAnsi="Arial"/>
                <w:sz w:val="20"/>
                <w:szCs w:val="20"/>
                <w:b w:val="1"/>
                <w:bCs w:val="1"/>
                <w:color w:val="auto"/>
              </w:rPr>
              <w:t>(35)</w:t>
            </w:r>
          </w:p>
        </w:tc>
        <w:tc>
          <w:tcPr>
            <w:tcW w:w="178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gridSpan w:val="3"/>
          </w:tcPr>
          <w:p>
            <w:pPr>
              <w:spacing w:after="0" w:line="223" w:lineRule="exact"/>
              <w:rPr>
                <w:sz w:val="20"/>
                <w:szCs w:val="20"/>
                <w:color w:val="auto"/>
              </w:rPr>
            </w:pPr>
            <w:r>
              <w:rPr>
                <w:rFonts w:ascii="Arial" w:cs="Arial" w:eastAsia="Arial" w:hAnsi="Arial"/>
                <w:sz w:val="20"/>
                <w:szCs w:val="20"/>
                <w:b w:val="1"/>
                <w:bCs w:val="1"/>
                <w:color w:val="auto"/>
              </w:rPr>
              <w:t>Post-tax profit/(loss) from continuing operations</w:t>
            </w:r>
          </w:p>
        </w:tc>
        <w:tc>
          <w:tcPr>
            <w:tcW w:w="256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b w:val="1"/>
                <w:bCs w:val="1"/>
                <w:color w:val="auto"/>
              </w:rPr>
              <w:t>1,790</w:t>
            </w:r>
          </w:p>
        </w:tc>
        <w:tc>
          <w:tcPr>
            <w:tcW w:w="17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3"/>
            <w:shd w:val="clear" w:color="auto" w:fill="CCEEFF"/>
          </w:tcPr>
          <w:p>
            <w:pPr>
              <w:spacing w:after="0" w:line="209" w:lineRule="exact"/>
              <w:rPr>
                <w:sz w:val="20"/>
                <w:szCs w:val="20"/>
                <w:color w:val="auto"/>
              </w:rPr>
            </w:pPr>
            <w:r>
              <w:rPr>
                <w:rFonts w:ascii="Arial" w:cs="Arial" w:eastAsia="Arial" w:hAnsi="Arial"/>
                <w:sz w:val="20"/>
                <w:szCs w:val="20"/>
                <w:color w:val="auto"/>
              </w:rPr>
              <w:t>Post-tax loss from discontinued operations</w:t>
            </w:r>
          </w:p>
        </w:tc>
        <w:tc>
          <w:tcPr>
            <w:tcW w:w="2560" w:type="dxa"/>
            <w:vAlign w:val="bottom"/>
            <w:tcBorders>
              <w:bottom w:val="single" w:sz="8" w:color="auto"/>
            </w:tcBorders>
            <w:shd w:val="clear" w:color="auto" w:fill="CCEEFF"/>
          </w:tcPr>
          <w:p>
            <w:pPr>
              <w:jc w:val="right"/>
              <w:ind w:right="321"/>
              <w:spacing w:after="0" w:line="216" w:lineRule="exact"/>
              <w:rPr>
                <w:sz w:val="20"/>
                <w:szCs w:val="20"/>
                <w:color w:val="auto"/>
              </w:rPr>
            </w:pPr>
            <w:r>
              <w:rPr>
                <w:rFonts w:ascii="Arial" w:cs="Arial" w:eastAsia="Arial" w:hAnsi="Arial"/>
                <w:sz w:val="20"/>
                <w:szCs w:val="20"/>
                <w:b w:val="1"/>
                <w:bCs w:val="1"/>
                <w:color w:val="auto"/>
              </w:rPr>
              <w:t>(6)</w:t>
            </w:r>
          </w:p>
        </w:tc>
        <w:tc>
          <w:tcPr>
            <w:tcW w:w="178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gridSpan w:val="3"/>
          </w:tcPr>
          <w:p>
            <w:pPr>
              <w:spacing w:after="0" w:line="223" w:lineRule="exact"/>
              <w:rPr>
                <w:sz w:val="20"/>
                <w:szCs w:val="20"/>
                <w:color w:val="auto"/>
              </w:rPr>
            </w:pPr>
            <w:r>
              <w:rPr>
                <w:rFonts w:ascii="Arial" w:cs="Arial" w:eastAsia="Arial" w:hAnsi="Arial"/>
                <w:sz w:val="20"/>
                <w:szCs w:val="20"/>
                <w:b w:val="1"/>
                <w:bCs w:val="1"/>
                <w:color w:val="auto"/>
              </w:rPr>
              <w:t>Total comprehensive profit/(loss)</w:t>
            </w:r>
          </w:p>
        </w:tc>
        <w:tc>
          <w:tcPr>
            <w:tcW w:w="256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b w:val="1"/>
                <w:bCs w:val="1"/>
                <w:color w:val="auto"/>
              </w:rPr>
              <w:t>1,784</w:t>
            </w:r>
          </w:p>
        </w:tc>
        <w:tc>
          <w:tcPr>
            <w:tcW w:w="17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(1,861)</w:t>
            </w:r>
          </w:p>
        </w:tc>
        <w:tc>
          <w:tcPr>
            <w:tcW w:w="0" w:type="dxa"/>
            <w:vAlign w:val="bottom"/>
          </w:tcPr>
          <w:p>
            <w:pPr>
              <w:spacing w:after="0"/>
              <w:rPr>
                <w:sz w:val="1"/>
                <w:szCs w:val="1"/>
                <w:color w:val="auto"/>
              </w:rPr>
            </w:pPr>
          </w:p>
        </w:tc>
      </w:tr>
      <w:tr>
        <w:trPr>
          <w:trHeight w:val="432"/>
        </w:trPr>
        <w:tc>
          <w:tcPr>
            <w:tcW w:w="5920" w:type="dxa"/>
            <w:vAlign w:val="bottom"/>
            <w:gridSpan w:val="4"/>
          </w:tcPr>
          <w:p>
            <w:pPr>
              <w:spacing w:after="0"/>
              <w:rPr>
                <w:sz w:val="20"/>
                <w:szCs w:val="20"/>
                <w:color w:val="auto"/>
              </w:rPr>
            </w:pPr>
            <w:r>
              <w:rPr>
                <w:rFonts w:ascii="Arial" w:cs="Arial" w:eastAsia="Arial" w:hAnsi="Arial"/>
                <w:sz w:val="18"/>
                <w:szCs w:val="18"/>
                <w:i w:val="1"/>
                <w:iCs w:val="1"/>
                <w:color w:val="auto"/>
              </w:rPr>
              <w:t>Summarised cash flows</w:t>
            </w:r>
          </w:p>
        </w:tc>
        <w:tc>
          <w:tcPr>
            <w:tcW w:w="2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jc w:val="right"/>
              <w:ind w:right="901"/>
              <w:spacing w:after="0"/>
              <w:rPr>
                <w:sz w:val="20"/>
                <w:szCs w:val="20"/>
                <w:color w:val="auto"/>
              </w:rPr>
            </w:pPr>
            <w:r>
              <w:rPr>
                <w:rFonts w:ascii="Arial" w:cs="Arial" w:eastAsia="Arial" w:hAnsi="Arial"/>
                <w:sz w:val="20"/>
                <w:szCs w:val="20"/>
                <w:b w:val="1"/>
                <w:bCs w:val="1"/>
                <w:color w:val="auto"/>
              </w:rPr>
              <w:t>2017</w:t>
            </w:r>
          </w:p>
        </w:tc>
        <w:tc>
          <w:tcPr>
            <w:tcW w:w="1780" w:type="dxa"/>
            <w:vAlign w:val="bottom"/>
          </w:tcPr>
          <w:p>
            <w:pPr>
              <w:jc w:val="center"/>
              <w:ind w:left="161"/>
              <w:spacing w:after="0"/>
              <w:rPr>
                <w:sz w:val="20"/>
                <w:szCs w:val="20"/>
                <w:color w:val="auto"/>
              </w:rPr>
            </w:pPr>
            <w:r>
              <w:rPr>
                <w:rFonts w:ascii="Arial" w:cs="Arial" w:eastAsia="Arial" w:hAnsi="Arial"/>
                <w:sz w:val="20"/>
                <w:szCs w:val="20"/>
                <w:color w:val="auto"/>
                <w:w w:val="98"/>
              </w:rPr>
              <w:t>2016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tcPr>
          <w:p>
            <w:pPr>
              <w:jc w:val="right"/>
              <w:ind w:right="461"/>
              <w:spacing w:after="0"/>
              <w:rPr>
                <w:sz w:val="20"/>
                <w:szCs w:val="20"/>
                <w:color w:val="auto"/>
              </w:rPr>
            </w:pPr>
            <w:r>
              <w:rPr>
                <w:rFonts w:ascii="Arial" w:cs="Arial" w:eastAsia="Arial" w:hAnsi="Arial"/>
                <w:sz w:val="20"/>
                <w:szCs w:val="20"/>
                <w:b w:val="1"/>
                <w:bCs w:val="1"/>
                <w:color w:val="auto"/>
              </w:rPr>
              <w:t>(US$ millions)</w:t>
            </w:r>
          </w:p>
        </w:tc>
        <w:tc>
          <w:tcPr>
            <w:tcW w:w="1780" w:type="dxa"/>
            <w:vAlign w:val="bottom"/>
          </w:tcPr>
          <w:p>
            <w:pPr>
              <w:jc w:val="center"/>
              <w:ind w:left="161"/>
              <w:spacing w:after="0"/>
              <w:rPr>
                <w:sz w:val="20"/>
                <w:szCs w:val="20"/>
                <w:color w:val="auto"/>
              </w:rPr>
            </w:pPr>
            <w:r>
              <w:rPr>
                <w:rFonts w:ascii="Arial" w:cs="Arial" w:eastAsia="Arial" w:hAnsi="Arial"/>
                <w:sz w:val="20"/>
                <w:szCs w:val="20"/>
                <w:color w:val="auto"/>
                <w:w w:val="99"/>
              </w:rPr>
              <w:t>(US$ millions)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line="189" w:lineRule="exact"/>
              <w:rPr>
                <w:sz w:val="20"/>
                <w:szCs w:val="20"/>
                <w:color w:val="auto"/>
              </w:rPr>
            </w:pPr>
            <w:r>
              <w:rPr>
                <w:rFonts w:ascii="Arial" w:cs="Arial" w:eastAsia="Arial" w:hAnsi="Arial"/>
                <w:sz w:val="20"/>
                <w:szCs w:val="20"/>
                <w:color w:val="auto"/>
              </w:rPr>
              <w:t>Cash flows from operating activities</w:t>
            </w:r>
          </w:p>
        </w:tc>
        <w:tc>
          <w:tcPr>
            <w:tcW w:w="25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tcPr>
          <w:p>
            <w:pPr>
              <w:spacing w:after="0" w:line="203" w:lineRule="exact"/>
              <w:rPr>
                <w:sz w:val="20"/>
                <w:szCs w:val="20"/>
                <w:color w:val="auto"/>
              </w:rPr>
            </w:pPr>
            <w:r>
              <w:rPr>
                <w:rFonts w:ascii="Arial" w:cs="Arial" w:eastAsia="Arial" w:hAnsi="Arial"/>
                <w:sz w:val="20"/>
                <w:szCs w:val="20"/>
                <w:color w:val="auto"/>
              </w:rPr>
              <w:t>Cash generated from operations</w:t>
            </w:r>
          </w:p>
        </w:tc>
        <w:tc>
          <w:tcPr>
            <w:tcW w:w="2800" w:type="dxa"/>
            <w:vAlign w:val="bottom"/>
            <w:tcBorders>
              <w:top w:val="single" w:sz="8" w:color="CCEEFF"/>
            </w:tcBorders>
            <w:gridSpan w:val="2"/>
          </w:tcPr>
          <w:p>
            <w:pPr>
              <w:spacing w:after="0"/>
              <w:rPr>
                <w:sz w:val="17"/>
                <w:szCs w:val="17"/>
                <w:color w:val="auto"/>
              </w:rPr>
            </w:pPr>
          </w:p>
        </w:tc>
        <w:tc>
          <w:tcPr>
            <w:tcW w:w="2560" w:type="dxa"/>
            <w:vAlign w:val="bottom"/>
            <w:tcBorders>
              <w:top w:val="single" w:sz="8" w:color="CCEEFF"/>
            </w:tcBorders>
          </w:tcPr>
          <w:p>
            <w:pPr>
              <w:jc w:val="right"/>
              <w:ind w:right="461"/>
              <w:spacing w:after="0" w:line="203" w:lineRule="exact"/>
              <w:rPr>
                <w:sz w:val="20"/>
                <w:szCs w:val="20"/>
                <w:color w:val="auto"/>
              </w:rPr>
            </w:pPr>
            <w:r>
              <w:rPr>
                <w:rFonts w:ascii="Arial" w:cs="Arial" w:eastAsia="Arial" w:hAnsi="Arial"/>
                <w:sz w:val="20"/>
                <w:szCs w:val="20"/>
                <w:b w:val="1"/>
                <w:bCs w:val="1"/>
                <w:color w:val="auto"/>
              </w:rPr>
              <w:t>7,210</w:t>
            </w:r>
          </w:p>
        </w:tc>
        <w:tc>
          <w:tcPr>
            <w:tcW w:w="1780" w:type="dxa"/>
            <w:vAlign w:val="bottom"/>
            <w:tcBorders>
              <w:top w:val="single" w:sz="8" w:color="CCEEFF"/>
            </w:tcBorders>
          </w:tcPr>
          <w:p>
            <w:pPr>
              <w:jc w:val="right"/>
              <w:ind w:right="41"/>
              <w:spacing w:after="0" w:line="203" w:lineRule="exact"/>
              <w:rPr>
                <w:sz w:val="20"/>
                <w:szCs w:val="20"/>
                <w:color w:val="auto"/>
              </w:rPr>
            </w:pPr>
            <w:r>
              <w:rPr>
                <w:rFonts w:ascii="Arial" w:cs="Arial" w:eastAsia="Arial" w:hAnsi="Arial"/>
                <w:sz w:val="20"/>
                <w:szCs w:val="20"/>
                <w:color w:val="auto"/>
              </w:rPr>
              <w:t>4,101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Interest paid</w:t>
            </w:r>
          </w:p>
        </w:tc>
        <w:tc>
          <w:tcPr>
            <w:tcW w:w="2560" w:type="dxa"/>
            <w:vAlign w:val="bottom"/>
            <w:shd w:val="clear" w:color="auto" w:fill="CCEEFF"/>
          </w:tcPr>
          <w:p>
            <w:pPr>
              <w:jc w:val="right"/>
              <w:ind w:right="401"/>
              <w:spacing w:after="0" w:line="216" w:lineRule="exact"/>
              <w:rPr>
                <w:sz w:val="20"/>
                <w:szCs w:val="20"/>
                <w:color w:val="auto"/>
              </w:rPr>
            </w:pPr>
            <w:r>
              <w:rPr>
                <w:rFonts w:ascii="Arial" w:cs="Arial" w:eastAsia="Arial" w:hAnsi="Arial"/>
                <w:sz w:val="20"/>
                <w:szCs w:val="20"/>
                <w:b w:val="1"/>
                <w:bCs w:val="1"/>
                <w:color w:val="auto"/>
              </w:rPr>
              <w:t>(310)</w:t>
            </w:r>
          </w:p>
        </w:tc>
        <w:tc>
          <w:tcPr>
            <w:tcW w:w="17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3"/>
          </w:tcPr>
          <w:p>
            <w:pPr>
              <w:spacing w:after="0"/>
              <w:rPr>
                <w:sz w:val="20"/>
                <w:szCs w:val="20"/>
                <w:color w:val="auto"/>
              </w:rPr>
            </w:pPr>
            <w:r>
              <w:rPr>
                <w:rFonts w:ascii="Arial" w:cs="Arial" w:eastAsia="Arial" w:hAnsi="Arial"/>
                <w:sz w:val="20"/>
                <w:szCs w:val="20"/>
                <w:color w:val="auto"/>
              </w:rPr>
              <w:t>Income tax paid</w:t>
            </w:r>
          </w:p>
        </w:tc>
        <w:tc>
          <w:tcPr>
            <w:tcW w:w="2560" w:type="dxa"/>
            <w:vAlign w:val="bottom"/>
          </w:tcPr>
          <w:p>
            <w:pPr>
              <w:jc w:val="right"/>
              <w:ind w:right="401"/>
              <w:spacing w:after="0"/>
              <w:rPr>
                <w:sz w:val="20"/>
                <w:szCs w:val="20"/>
                <w:color w:val="auto"/>
              </w:rPr>
            </w:pPr>
            <w:r>
              <w:rPr>
                <w:rFonts w:ascii="Arial" w:cs="Arial" w:eastAsia="Arial" w:hAnsi="Arial"/>
                <w:sz w:val="20"/>
                <w:szCs w:val="20"/>
                <w:b w:val="1"/>
                <w:bCs w:val="1"/>
                <w:color w:val="auto"/>
              </w:rPr>
              <w:t>(349)</w:t>
            </w:r>
          </w:p>
        </w:tc>
        <w:tc>
          <w:tcPr>
            <w:tcW w:w="1780" w:type="dxa"/>
            <w:vAlign w:val="bottom"/>
          </w:tcPr>
          <w:p>
            <w:pPr>
              <w:jc w:val="right"/>
              <w:spacing w:after="0"/>
              <w:rPr>
                <w:sz w:val="20"/>
                <w:szCs w:val="20"/>
                <w:color w:val="auto"/>
              </w:rPr>
            </w:pPr>
            <w:r>
              <w:rPr>
                <w:rFonts w:ascii="Arial" w:cs="Arial" w:eastAsia="Arial" w:hAnsi="Arial"/>
                <w:sz w:val="20"/>
                <w:szCs w:val="20"/>
                <w:color w:val="auto"/>
              </w:rPr>
              <w:t>(242)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top w:val="single" w:sz="8" w:color="CCEEFF"/>
            </w:tcBorders>
            <w:gridSpan w:val="2"/>
            <w:shd w:val="clear" w:color="auto" w:fill="CCEEFF"/>
          </w:tcPr>
          <w:p>
            <w:pPr>
              <w:spacing w:after="0" w:line="209" w:lineRule="exact"/>
              <w:rPr>
                <w:sz w:val="20"/>
                <w:szCs w:val="20"/>
                <w:color w:val="auto"/>
              </w:rPr>
            </w:pPr>
            <w:r>
              <w:rPr>
                <w:rFonts w:ascii="Arial" w:cs="Arial" w:eastAsia="Arial" w:hAnsi="Arial"/>
                <w:sz w:val="20"/>
                <w:szCs w:val="20"/>
                <w:b w:val="1"/>
                <w:bCs w:val="1"/>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560" w:type="dxa"/>
            <w:vAlign w:val="bottom"/>
            <w:tcBorders>
              <w:top w:val="single" w:sz="8" w:color="auto"/>
              <w:bottom w:val="single" w:sz="8" w:color="auto"/>
            </w:tcBorders>
            <w:shd w:val="clear" w:color="auto" w:fill="CCEEFF"/>
          </w:tcPr>
          <w:p>
            <w:pPr>
              <w:jc w:val="right"/>
              <w:ind w:right="461"/>
              <w:spacing w:after="0" w:line="216" w:lineRule="exact"/>
              <w:rPr>
                <w:sz w:val="20"/>
                <w:szCs w:val="20"/>
                <w:color w:val="auto"/>
              </w:rPr>
            </w:pPr>
            <w:r>
              <w:rPr>
                <w:rFonts w:ascii="Arial" w:cs="Arial" w:eastAsia="Arial" w:hAnsi="Arial"/>
                <w:sz w:val="20"/>
                <w:szCs w:val="20"/>
                <w:b w:val="1"/>
                <w:bCs w:val="1"/>
                <w:color w:val="auto"/>
              </w:rPr>
              <w:t>6,551</w:t>
            </w:r>
          </w:p>
        </w:tc>
        <w:tc>
          <w:tcPr>
            <w:tcW w:w="1780" w:type="dxa"/>
            <w:vAlign w:val="bottom"/>
            <w:tcBorders>
              <w:top w:val="single" w:sz="8" w:color="auto"/>
              <w:bottom w:val="single" w:sz="8" w:color="auto"/>
            </w:tcBorders>
            <w:shd w:val="clear" w:color="auto" w:fill="CCEEFF"/>
          </w:tcPr>
          <w:p>
            <w:pPr>
              <w:jc w:val="right"/>
              <w:ind w:right="41"/>
              <w:spacing w:after="0" w:line="216" w:lineRule="exact"/>
              <w:rPr>
                <w:sz w:val="20"/>
                <w:szCs w:val="20"/>
                <w:color w:val="auto"/>
              </w:rPr>
            </w:pPr>
            <w:r>
              <w:rPr>
                <w:rFonts w:ascii="Arial" w:cs="Arial" w:eastAsia="Arial" w:hAnsi="Arial"/>
                <w:sz w:val="20"/>
                <w:szCs w:val="20"/>
                <w:color w:val="auto"/>
              </w:rPr>
              <w:t>3,411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gridSpan w:val="2"/>
          </w:tcPr>
          <w:p>
            <w:pPr>
              <w:spacing w:after="0" w:line="223" w:lineRule="exact"/>
              <w:rPr>
                <w:sz w:val="20"/>
                <w:szCs w:val="20"/>
                <w:color w:val="auto"/>
              </w:rPr>
            </w:pPr>
            <w:r>
              <w:rPr>
                <w:rFonts w:ascii="Arial" w:cs="Arial" w:eastAsia="Arial" w:hAnsi="Arial"/>
                <w:sz w:val="20"/>
                <w:szCs w:val="20"/>
                <w:b w:val="1"/>
                <w:bCs w:val="1"/>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b w:val="1"/>
                <w:bCs w:val="1"/>
                <w:color w:val="auto"/>
              </w:rPr>
              <w:t>(674)</w:t>
            </w:r>
          </w:p>
        </w:tc>
        <w:tc>
          <w:tcPr>
            <w:tcW w:w="17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shd w:val="clear" w:color="auto" w:fill="CCEEFF"/>
          </w:tcPr>
          <w:p>
            <w:pPr>
              <w:spacing w:after="0" w:line="209" w:lineRule="exact"/>
              <w:rPr>
                <w:sz w:val="20"/>
                <w:szCs w:val="20"/>
                <w:color w:val="auto"/>
              </w:rPr>
            </w:pPr>
            <w:r>
              <w:rPr>
                <w:rFonts w:ascii="Arial" w:cs="Arial" w:eastAsia="Arial" w:hAnsi="Arial"/>
                <w:sz w:val="20"/>
                <w:szCs w:val="20"/>
                <w:b w:val="1"/>
                <w:bCs w:val="1"/>
                <w:color w:val="auto"/>
              </w:rPr>
              <w:t>Net cash provided by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ind w:right="461"/>
              <w:spacing w:after="0" w:line="216" w:lineRule="exact"/>
              <w:rPr>
                <w:sz w:val="20"/>
                <w:szCs w:val="20"/>
                <w:color w:val="auto"/>
              </w:rPr>
            </w:pPr>
            <w:r>
              <w:rPr>
                <w:rFonts w:ascii="Arial" w:cs="Arial" w:eastAsia="Arial" w:hAnsi="Arial"/>
                <w:sz w:val="20"/>
                <w:szCs w:val="20"/>
                <w:b w:val="1"/>
                <w:bCs w:val="1"/>
                <w:color w:val="auto"/>
              </w:rPr>
              <w:t>2,096</w:t>
            </w:r>
          </w:p>
        </w:tc>
        <w:tc>
          <w:tcPr>
            <w:tcW w:w="1780" w:type="dxa"/>
            <w:vAlign w:val="bottom"/>
            <w:tcBorders>
              <w:bottom w:val="single" w:sz="8" w:color="auto"/>
            </w:tcBorders>
            <w:shd w:val="clear" w:color="auto" w:fill="CCEEFF"/>
          </w:tcPr>
          <w:p>
            <w:pPr>
              <w:jc w:val="right"/>
              <w:ind w:right="41"/>
              <w:spacing w:after="0" w:line="216" w:lineRule="exact"/>
              <w:rPr>
                <w:sz w:val="20"/>
                <w:szCs w:val="20"/>
                <w:color w:val="auto"/>
              </w:rPr>
            </w:pPr>
            <w:r>
              <w:rPr>
                <w:rFonts w:ascii="Arial" w:cs="Arial" w:eastAsia="Arial" w:hAnsi="Arial"/>
                <w:sz w:val="20"/>
                <w:szCs w:val="20"/>
                <w:color w:val="auto"/>
              </w:rPr>
              <w:t>7,651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gridSpan w:val="2"/>
          </w:tcPr>
          <w:p>
            <w:pPr>
              <w:spacing w:after="0" w:line="209" w:lineRule="exact"/>
              <w:rPr>
                <w:sz w:val="20"/>
                <w:szCs w:val="20"/>
                <w:color w:val="auto"/>
              </w:rPr>
            </w:pPr>
            <w:r>
              <w:rPr>
                <w:rFonts w:ascii="Arial" w:cs="Arial" w:eastAsia="Arial" w:hAnsi="Arial"/>
                <w:sz w:val="20"/>
                <w:szCs w:val="20"/>
                <w:b w:val="1"/>
                <w:bCs w:val="1"/>
                <w:color w:val="auto"/>
              </w:rPr>
              <w:t>Net increase in cash and cash equivalents</w:t>
            </w:r>
          </w:p>
        </w:tc>
        <w:tc>
          <w:tcPr>
            <w:tcW w:w="160" w:type="dxa"/>
            <w:vAlign w:val="bottom"/>
          </w:tcPr>
          <w:p>
            <w:pPr>
              <w:spacing w:after="0"/>
              <w:rPr>
                <w:sz w:val="18"/>
                <w:szCs w:val="18"/>
                <w:color w:val="auto"/>
              </w:rPr>
            </w:pPr>
          </w:p>
        </w:tc>
        <w:tc>
          <w:tcPr>
            <w:tcW w:w="2560" w:type="dxa"/>
            <w:vAlign w:val="bottom"/>
          </w:tcPr>
          <w:p>
            <w:pPr>
              <w:jc w:val="right"/>
              <w:ind w:right="461"/>
              <w:spacing w:after="0" w:line="209" w:lineRule="exact"/>
              <w:rPr>
                <w:sz w:val="20"/>
                <w:szCs w:val="20"/>
                <w:color w:val="auto"/>
              </w:rPr>
            </w:pPr>
            <w:r>
              <w:rPr>
                <w:rFonts w:ascii="Arial" w:cs="Arial" w:eastAsia="Arial" w:hAnsi="Arial"/>
                <w:sz w:val="20"/>
                <w:szCs w:val="20"/>
                <w:b w:val="1"/>
                <w:bCs w:val="1"/>
                <w:color w:val="auto"/>
              </w:rPr>
              <w:t>7,973</w:t>
            </w:r>
          </w:p>
        </w:tc>
        <w:tc>
          <w:tcPr>
            <w:tcW w:w="1780" w:type="dxa"/>
            <w:vAlign w:val="bottom"/>
          </w:tcPr>
          <w:p>
            <w:pPr>
              <w:jc w:val="right"/>
              <w:ind w:right="41"/>
              <w:spacing w:after="0" w:line="209" w:lineRule="exact"/>
              <w:rPr>
                <w:sz w:val="20"/>
                <w:szCs w:val="20"/>
                <w:color w:val="auto"/>
              </w:rPr>
            </w:pPr>
            <w:r>
              <w:rPr>
                <w:rFonts w:ascii="Arial" w:cs="Arial" w:eastAsia="Arial" w:hAnsi="Arial"/>
                <w:sz w:val="20"/>
                <w:szCs w:val="20"/>
                <w:color w:val="auto"/>
              </w:rPr>
              <w:t>1,222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Cash and cash equivalent at 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ind w:right="461"/>
              <w:spacing w:after="0" w:line="216" w:lineRule="exact"/>
              <w:rPr>
                <w:sz w:val="20"/>
                <w:szCs w:val="20"/>
                <w:color w:val="auto"/>
              </w:rPr>
            </w:pPr>
            <w:r>
              <w:rPr>
                <w:rFonts w:ascii="Arial" w:cs="Arial" w:eastAsia="Arial" w:hAnsi="Arial"/>
                <w:sz w:val="20"/>
                <w:szCs w:val="20"/>
                <w:b w:val="1"/>
                <w:bCs w:val="1"/>
                <w:color w:val="auto"/>
              </w:rPr>
              <w:t>3,044</w:t>
            </w:r>
          </w:p>
        </w:tc>
        <w:tc>
          <w:tcPr>
            <w:tcW w:w="1780" w:type="dxa"/>
            <w:vAlign w:val="bottom"/>
            <w:tcBorders>
              <w:bottom w:val="single" w:sz="8" w:color="auto"/>
            </w:tcBorders>
            <w:shd w:val="clear" w:color="auto" w:fill="CCEEFF"/>
          </w:tcPr>
          <w:p>
            <w:pPr>
              <w:jc w:val="right"/>
              <w:ind w:right="41"/>
              <w:spacing w:after="0" w:line="216" w:lineRule="exact"/>
              <w:rPr>
                <w:sz w:val="20"/>
                <w:szCs w:val="20"/>
                <w:color w:val="auto"/>
              </w:rPr>
            </w:pPr>
            <w:r>
              <w:rPr>
                <w:rFonts w:ascii="Arial" w:cs="Arial" w:eastAsia="Arial" w:hAnsi="Arial"/>
                <w:sz w:val="20"/>
                <w:szCs w:val="20"/>
                <w:color w:val="auto"/>
              </w:rPr>
              <w:t>1,822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gridSpan w:val="2"/>
          </w:tcPr>
          <w:p>
            <w:pPr>
              <w:spacing w:after="0" w:line="223" w:lineRule="exact"/>
              <w:rPr>
                <w:sz w:val="20"/>
                <w:szCs w:val="20"/>
                <w:color w:val="auto"/>
              </w:rPr>
            </w:pPr>
            <w:r>
              <w:rPr>
                <w:rFonts w:ascii="Arial" w:cs="Arial" w:eastAsia="Arial" w:hAnsi="Arial"/>
                <w:sz w:val="20"/>
                <w:szCs w:val="20"/>
                <w:b w:val="1"/>
                <w:bCs w:val="1"/>
                <w:color w:val="auto"/>
              </w:rPr>
              <w:t>Cash and cash equivalent at end of year</w:t>
            </w:r>
          </w:p>
        </w:tc>
        <w:tc>
          <w:tcPr>
            <w:tcW w:w="1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b w:val="1"/>
                <w:bCs w:val="1"/>
                <w:color w:val="auto"/>
              </w:rPr>
              <w:t>11,017</w:t>
            </w:r>
          </w:p>
        </w:tc>
        <w:tc>
          <w:tcPr>
            <w:tcW w:w="17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3,044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980" w:hanging="776"/>
        <w:spacing w:after="0"/>
        <w:tabs>
          <w:tab w:leader="none" w:pos="9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assets</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Group</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7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100" w:type="dxa"/>
            <w:vAlign w:val="bottom"/>
            <w:gridSpan w:val="2"/>
          </w:tcPr>
          <w:p>
            <w:pPr>
              <w:jc w:val="right"/>
              <w:ind w:right="384"/>
              <w:spacing w:after="0"/>
              <w:rPr>
                <w:sz w:val="20"/>
                <w:szCs w:val="20"/>
                <w:color w:val="auto"/>
              </w:rPr>
            </w:pPr>
            <w:r>
              <w:rPr>
                <w:rFonts w:ascii="Arial" w:cs="Arial" w:eastAsia="Arial" w:hAnsi="Arial"/>
                <w:sz w:val="20"/>
                <w:szCs w:val="20"/>
                <w:b w:val="1"/>
                <w:bCs w:val="1"/>
                <w:color w:val="auto"/>
              </w:rPr>
              <w:t>2017</w:t>
            </w:r>
          </w:p>
        </w:tc>
        <w:tc>
          <w:tcPr>
            <w:tcW w:w="2100" w:type="dxa"/>
            <w:vAlign w:val="bottom"/>
            <w:gridSpan w:val="3"/>
          </w:tcPr>
          <w:p>
            <w:pPr>
              <w:jc w:val="right"/>
              <w:ind w:right="330"/>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0" w:type="dxa"/>
            <w:vAlign w:val="bottom"/>
          </w:tcPr>
          <w:p>
            <w:pPr>
              <w:jc w:val="right"/>
              <w:ind w:right="4"/>
              <w:spacing w:after="0"/>
              <w:rPr>
                <w:sz w:val="20"/>
                <w:szCs w:val="20"/>
                <w:color w:val="auto"/>
              </w:rPr>
            </w:pPr>
            <w:r>
              <w:rPr>
                <w:rFonts w:ascii="Arial" w:cs="Arial" w:eastAsia="Arial" w:hAnsi="Arial"/>
                <w:sz w:val="18"/>
                <w:szCs w:val="18"/>
                <w:b w:val="1"/>
                <w:bCs w:val="1"/>
                <w:color w:val="auto"/>
              </w:rPr>
              <w:t>(US$ millions)</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95"/>
        </w:trPr>
        <w:tc>
          <w:tcPr>
            <w:tcW w:w="78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30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Deposits</w:t>
            </w:r>
          </w:p>
        </w:tc>
        <w:tc>
          <w:tcPr>
            <w:tcW w:w="51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w:t>
            </w:r>
          </w:p>
        </w:tc>
        <w:tc>
          <w:tcPr>
            <w:tcW w:w="210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40" w:type="dxa"/>
            <w:vAlign w:val="bottom"/>
          </w:tcPr>
          <w:p>
            <w:pPr>
              <w:spacing w:after="0" w:line="216" w:lineRule="exact"/>
              <w:rPr>
                <w:sz w:val="20"/>
                <w:szCs w:val="20"/>
                <w:color w:val="auto"/>
              </w:rPr>
            </w:pPr>
            <w:r>
              <w:rPr>
                <w:rFonts w:ascii="Arial" w:cs="Arial" w:eastAsia="Arial" w:hAnsi="Arial"/>
                <w:sz w:val="20"/>
                <w:szCs w:val="20"/>
                <w:color w:val="auto"/>
              </w:rPr>
              <w:t>Prepayments</w:t>
            </w:r>
          </w:p>
        </w:tc>
        <w:tc>
          <w:tcPr>
            <w:tcW w:w="5100" w:type="dxa"/>
            <w:vAlign w:val="bottom"/>
            <w:gridSpan w:val="2"/>
          </w:tcPr>
          <w:p>
            <w:pPr>
              <w:jc w:val="right"/>
              <w:ind w:right="4"/>
              <w:spacing w:after="0" w:line="216" w:lineRule="exact"/>
              <w:rPr>
                <w:sz w:val="20"/>
                <w:szCs w:val="20"/>
                <w:color w:val="auto"/>
              </w:rPr>
            </w:pPr>
            <w:r>
              <w:rPr>
                <w:rFonts w:ascii="Arial" w:cs="Arial" w:eastAsia="Arial" w:hAnsi="Arial"/>
                <w:sz w:val="20"/>
                <w:szCs w:val="20"/>
                <w:b w:val="1"/>
                <w:bCs w:val="1"/>
                <w:color w:val="auto"/>
              </w:rPr>
              <w:t>131</w:t>
            </w:r>
          </w:p>
        </w:tc>
        <w:tc>
          <w:tcPr>
            <w:tcW w:w="210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139</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30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Other receivables</w:t>
            </w:r>
          </w:p>
        </w:tc>
        <w:tc>
          <w:tcPr>
            <w:tcW w:w="2900" w:type="dxa"/>
            <w:vAlign w:val="bottom"/>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ind w:right="4"/>
              <w:spacing w:after="0" w:line="216" w:lineRule="exact"/>
              <w:rPr>
                <w:sz w:val="20"/>
                <w:szCs w:val="20"/>
                <w:color w:val="auto"/>
              </w:rPr>
            </w:pPr>
            <w:r>
              <w:rPr>
                <w:rFonts w:ascii="Arial" w:cs="Arial" w:eastAsia="Arial" w:hAnsi="Arial"/>
                <w:sz w:val="20"/>
                <w:szCs w:val="20"/>
                <w:b w:val="1"/>
                <w:bCs w:val="1"/>
                <w:color w:val="auto"/>
              </w:rPr>
              <w:t>303</w:t>
            </w:r>
          </w:p>
        </w:tc>
        <w:tc>
          <w:tcPr>
            <w:tcW w:w="2100" w:type="dxa"/>
            <w:vAlign w:val="bottom"/>
            <w:tcBorders>
              <w:bottom w:val="single" w:sz="8" w:color="auto"/>
            </w:tcBorders>
            <w:gridSpan w:val="3"/>
            <w:shd w:val="clear" w:color="auto" w:fill="CCEEFF"/>
          </w:tcPr>
          <w:p>
            <w:pPr>
              <w:jc w:val="right"/>
              <w:spacing w:after="0" w:line="216" w:lineRule="exact"/>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b w:val="1"/>
                <w:bCs w:val="1"/>
                <w:color w:val="auto"/>
              </w:rPr>
              <w:t>437</w:t>
            </w: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224</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5100" w:type="dxa"/>
            <w:vAlign w:val="bottom"/>
            <w:tcBorders>
              <w:bottom w:val="single" w:sz="8" w:color="auto"/>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100" w:type="dxa"/>
            <w:vAlign w:val="bottom"/>
            <w:gridSpan w:val="2"/>
          </w:tcPr>
          <w:p>
            <w:pPr>
              <w:jc w:val="right"/>
              <w:ind w:right="3144"/>
              <w:spacing w:after="0"/>
              <w:rPr>
                <w:sz w:val="20"/>
                <w:szCs w:val="20"/>
                <w:color w:val="auto"/>
              </w:rPr>
            </w:pPr>
            <w:r>
              <w:rPr>
                <w:rFonts w:ascii="Arial" w:cs="Arial" w:eastAsia="Arial" w:hAnsi="Arial"/>
                <w:sz w:val="18"/>
                <w:szCs w:val="18"/>
                <w:color w:val="auto"/>
              </w:rPr>
              <w:t>A-73</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17.</w:t>
            </w:r>
          </w:p>
        </w:tc>
        <w:tc>
          <w:tcPr>
            <w:tcW w:w="20" w:type="dxa"/>
            <w:vAlign w:val="bottom"/>
          </w:tcPr>
          <w:p>
            <w:pPr>
              <w:spacing w:after="0"/>
              <w:rPr>
                <w:sz w:val="20"/>
                <w:szCs w:val="20"/>
                <w:color w:val="auto"/>
              </w:rPr>
            </w:pPr>
          </w:p>
        </w:tc>
        <w:tc>
          <w:tcPr>
            <w:tcW w:w="3840" w:type="dxa"/>
            <w:vAlign w:val="bottom"/>
            <w:gridSpan w:val="3"/>
          </w:tcPr>
          <w:p>
            <w:pPr>
              <w:ind w:left="360"/>
              <w:spacing w:after="0"/>
              <w:rPr>
                <w:sz w:val="20"/>
                <w:szCs w:val="20"/>
                <w:color w:val="auto"/>
              </w:rPr>
            </w:pPr>
            <w:r>
              <w:rPr>
                <w:rFonts w:ascii="Arial" w:cs="Arial" w:eastAsia="Arial" w:hAnsi="Arial"/>
                <w:sz w:val="18"/>
                <w:szCs w:val="18"/>
                <w:b w:val="1"/>
                <w:bCs w:val="1"/>
                <w:color w:val="auto"/>
              </w:rPr>
              <w:t>Property, plant and equipment</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rPr>
              <w:t>Buildings and</w:t>
            </w:r>
          </w:p>
        </w:tc>
        <w:tc>
          <w:tcPr>
            <w:tcW w:w="340" w:type="dxa"/>
            <w:vAlign w:val="bottom"/>
          </w:tcPr>
          <w:p>
            <w:pPr>
              <w:spacing w:after="0"/>
              <w:rPr>
                <w:sz w:val="24"/>
                <w:szCs w:val="2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color w:val="auto"/>
              </w:rPr>
              <w:t>Machinery</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rPr>
              <w:t>leasehold</w:t>
            </w:r>
          </w:p>
        </w:tc>
        <w:tc>
          <w:tcPr>
            <w:tcW w:w="34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color w:val="auto"/>
              </w:rPr>
              <w:t>and</w:t>
            </w:r>
          </w:p>
        </w:tc>
        <w:tc>
          <w:tcPr>
            <w:tcW w:w="1420" w:type="dxa"/>
            <w:vAlign w:val="bottom"/>
            <w:gridSpan w:val="3"/>
          </w:tcPr>
          <w:p>
            <w:pPr>
              <w:jc w:val="center"/>
              <w:ind w:right="20"/>
              <w:spacing w:after="0"/>
              <w:rPr>
                <w:sz w:val="20"/>
                <w:szCs w:val="20"/>
                <w:color w:val="auto"/>
              </w:rPr>
            </w:pPr>
            <w:r>
              <w:rPr>
                <w:rFonts w:ascii="Arial" w:cs="Arial" w:eastAsia="Arial" w:hAnsi="Arial"/>
                <w:sz w:val="14"/>
                <w:szCs w:val="14"/>
                <w:color w:val="auto"/>
              </w:rPr>
              <w:t>Construction in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520"/>
              <w:spacing w:after="0" w:line="144" w:lineRule="exact"/>
              <w:rPr>
                <w:sz w:val="20"/>
                <w:szCs w:val="20"/>
                <w:color w:val="auto"/>
              </w:rPr>
            </w:pPr>
            <w:r>
              <w:rPr>
                <w:rFonts w:ascii="Arial" w:cs="Arial" w:eastAsia="Arial" w:hAnsi="Arial"/>
                <w:sz w:val="14"/>
                <w:szCs w:val="14"/>
                <w:color w:val="auto"/>
                <w:w w:val="96"/>
              </w:rPr>
              <w:t>Land</w:t>
            </w:r>
          </w:p>
        </w:tc>
        <w:tc>
          <w:tcPr>
            <w:tcW w:w="340" w:type="dxa"/>
            <w:vAlign w:val="bottom"/>
          </w:tcPr>
          <w:p>
            <w:pPr>
              <w:spacing w:after="0"/>
              <w:rPr>
                <w:sz w:val="12"/>
                <w:szCs w:val="12"/>
                <w:color w:val="auto"/>
              </w:rPr>
            </w:pPr>
          </w:p>
        </w:tc>
        <w:tc>
          <w:tcPr>
            <w:tcW w:w="1140" w:type="dxa"/>
            <w:vAlign w:val="bottom"/>
            <w:gridSpan w:val="2"/>
          </w:tcPr>
          <w:p>
            <w:pPr>
              <w:jc w:val="center"/>
              <w:ind w:right="220"/>
              <w:spacing w:after="0" w:line="144" w:lineRule="exact"/>
              <w:rPr>
                <w:sz w:val="20"/>
                <w:szCs w:val="20"/>
                <w:color w:val="auto"/>
              </w:rPr>
            </w:pPr>
            <w:r>
              <w:rPr>
                <w:rFonts w:ascii="Arial" w:cs="Arial" w:eastAsia="Arial" w:hAnsi="Arial"/>
                <w:sz w:val="14"/>
                <w:szCs w:val="14"/>
                <w:color w:val="auto"/>
              </w:rPr>
              <w:t>improvements</w:t>
            </w:r>
          </w:p>
        </w:tc>
        <w:tc>
          <w:tcPr>
            <w:tcW w:w="1360" w:type="dxa"/>
            <w:vAlign w:val="bottom"/>
            <w:gridSpan w:val="3"/>
          </w:tcPr>
          <w:p>
            <w:pPr>
              <w:jc w:val="center"/>
              <w:ind w:right="20"/>
              <w:spacing w:after="0" w:line="144" w:lineRule="exact"/>
              <w:rPr>
                <w:sz w:val="20"/>
                <w:szCs w:val="20"/>
                <w:color w:val="auto"/>
              </w:rPr>
            </w:pPr>
            <w:r>
              <w:rPr>
                <w:rFonts w:ascii="Arial" w:cs="Arial" w:eastAsia="Arial" w:hAnsi="Arial"/>
                <w:sz w:val="14"/>
                <w:szCs w:val="14"/>
                <w:color w:val="auto"/>
              </w:rPr>
              <w:t>equipment</w:t>
            </w:r>
          </w:p>
        </w:tc>
        <w:tc>
          <w:tcPr>
            <w:tcW w:w="420" w:type="dxa"/>
            <w:vAlign w:val="bottom"/>
          </w:tcPr>
          <w:p>
            <w:pPr>
              <w:spacing w:after="0"/>
              <w:rPr>
                <w:sz w:val="12"/>
                <w:szCs w:val="12"/>
                <w:color w:val="auto"/>
              </w:rPr>
            </w:pPr>
          </w:p>
        </w:tc>
        <w:tc>
          <w:tcPr>
            <w:tcW w:w="1000" w:type="dxa"/>
            <w:vAlign w:val="bottom"/>
            <w:gridSpan w:val="2"/>
          </w:tcPr>
          <w:p>
            <w:pPr>
              <w:jc w:val="center"/>
              <w:ind w:right="420"/>
              <w:spacing w:after="0" w:line="144" w:lineRule="exact"/>
              <w:rPr>
                <w:sz w:val="20"/>
                <w:szCs w:val="20"/>
                <w:color w:val="auto"/>
              </w:rPr>
            </w:pPr>
            <w:r>
              <w:rPr>
                <w:rFonts w:ascii="Arial" w:cs="Arial" w:eastAsia="Arial" w:hAnsi="Arial"/>
                <w:sz w:val="14"/>
                <w:szCs w:val="14"/>
                <w:color w:val="auto"/>
              </w:rPr>
              <w:t>Progress</w:t>
            </w:r>
          </w:p>
        </w:tc>
        <w:tc>
          <w:tcPr>
            <w:tcW w:w="580" w:type="dxa"/>
            <w:vAlign w:val="bottom"/>
          </w:tcPr>
          <w:p>
            <w:pPr>
              <w:spacing w:after="0"/>
              <w:rPr>
                <w:sz w:val="12"/>
                <w:szCs w:val="12"/>
                <w:color w:val="auto"/>
              </w:rPr>
            </w:pPr>
          </w:p>
        </w:tc>
        <w:tc>
          <w:tcPr>
            <w:tcW w:w="700" w:type="dxa"/>
            <w:vAlign w:val="bottom"/>
            <w:gridSpan w:val="2"/>
          </w:tcPr>
          <w:p>
            <w:pPr>
              <w:jc w:val="right"/>
              <w:ind w:right="400"/>
              <w:spacing w:after="0" w:line="144" w:lineRule="exact"/>
              <w:rPr>
                <w:sz w:val="20"/>
                <w:szCs w:val="20"/>
                <w:color w:val="auto"/>
              </w:rPr>
            </w:pPr>
            <w:r>
              <w:rPr>
                <w:rFonts w:ascii="Arial" w:cs="Arial" w:eastAsia="Arial" w:hAnsi="Arial"/>
                <w:sz w:val="14"/>
                <w:szCs w:val="14"/>
                <w:color w:val="auto"/>
                <w:w w:val="89"/>
              </w:rPr>
              <w:t>Total</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20" w:type="dxa"/>
            <w:vAlign w:val="bottom"/>
            <w:gridSpan w:val="4"/>
          </w:tcPr>
          <w:p>
            <w:pPr>
              <w:jc w:val="right"/>
              <w:ind w:right="220"/>
              <w:spacing w:after="0"/>
              <w:rPr>
                <w:sz w:val="20"/>
                <w:szCs w:val="20"/>
                <w:color w:val="auto"/>
              </w:rPr>
            </w:pPr>
            <w:r>
              <w:rPr>
                <w:rFonts w:ascii="Arial" w:cs="Arial" w:eastAsia="Arial" w:hAnsi="Arial"/>
                <w:sz w:val="14"/>
                <w:szCs w:val="14"/>
                <w:color w:val="auto"/>
              </w:rPr>
              <w:t>(US$ millions)</w:t>
            </w:r>
          </w:p>
        </w:tc>
        <w:tc>
          <w:tcPr>
            <w:tcW w:w="34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rPr>
              <w:t>(US$ millions)</w:t>
            </w:r>
          </w:p>
        </w:tc>
        <w:tc>
          <w:tcPr>
            <w:tcW w:w="1360" w:type="dxa"/>
            <w:vAlign w:val="bottom"/>
            <w:gridSpan w:val="3"/>
          </w:tcPr>
          <w:p>
            <w:pPr>
              <w:jc w:val="center"/>
              <w:ind w:right="20"/>
              <w:spacing w:after="0"/>
              <w:rPr>
                <w:sz w:val="20"/>
                <w:szCs w:val="20"/>
                <w:color w:val="auto"/>
              </w:rPr>
            </w:pPr>
            <w:r>
              <w:rPr>
                <w:rFonts w:ascii="Arial" w:cs="Arial" w:eastAsia="Arial" w:hAnsi="Arial"/>
                <w:sz w:val="14"/>
                <w:szCs w:val="14"/>
                <w:color w:val="auto"/>
              </w:rPr>
              <w:t>(US$ millions)</w:t>
            </w:r>
          </w:p>
        </w:tc>
        <w:tc>
          <w:tcPr>
            <w:tcW w:w="1420" w:type="dxa"/>
            <w:vAlign w:val="bottom"/>
            <w:gridSpan w:val="3"/>
          </w:tcPr>
          <w:p>
            <w:pPr>
              <w:jc w:val="center"/>
              <w:spacing w:after="0"/>
              <w:rPr>
                <w:sz w:val="20"/>
                <w:szCs w:val="20"/>
                <w:color w:val="auto"/>
              </w:rPr>
            </w:pPr>
            <w:r>
              <w:rPr>
                <w:rFonts w:ascii="Arial" w:cs="Arial" w:eastAsia="Arial" w:hAnsi="Arial"/>
                <w:sz w:val="14"/>
                <w:szCs w:val="14"/>
                <w:color w:val="auto"/>
              </w:rPr>
              <w:t>(US$ millions)</w:t>
            </w:r>
          </w:p>
        </w:tc>
        <w:tc>
          <w:tcPr>
            <w:tcW w:w="1280" w:type="dxa"/>
            <w:vAlign w:val="bottom"/>
            <w:gridSpan w:val="3"/>
          </w:tcPr>
          <w:p>
            <w:pPr>
              <w:jc w:val="right"/>
              <w:ind w:right="140"/>
              <w:spacing w:after="0"/>
              <w:rPr>
                <w:sz w:val="20"/>
                <w:szCs w:val="20"/>
                <w:color w:val="auto"/>
              </w:rPr>
            </w:pPr>
            <w:r>
              <w:rPr>
                <w:rFonts w:ascii="Arial" w:cs="Arial" w:eastAsia="Arial" w:hAnsi="Arial"/>
                <w:sz w:val="14"/>
                <w:szCs w:val="14"/>
                <w:color w:val="auto"/>
              </w:rPr>
              <w:t>(US$ millions)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60" w:type="dxa"/>
            <w:vAlign w:val="bottom"/>
            <w:gridSpan w:val="4"/>
          </w:tcPr>
          <w:p>
            <w:pPr>
              <w:spacing w:after="0" w:line="168" w:lineRule="exact"/>
              <w:rPr>
                <w:sz w:val="20"/>
                <w:szCs w:val="20"/>
                <w:color w:val="auto"/>
              </w:rPr>
            </w:pPr>
            <w:r>
              <w:rPr>
                <w:rFonts w:ascii="Arial" w:cs="Arial" w:eastAsia="Arial" w:hAnsi="Arial"/>
                <w:sz w:val="17"/>
                <w:szCs w:val="17"/>
                <w:color w:val="auto"/>
              </w:rPr>
              <w:t>Group</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2017</w:t>
            </w:r>
          </w:p>
        </w:tc>
        <w:tc>
          <w:tcPr>
            <w:tcW w:w="3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tcPr>
          <w:p>
            <w:pPr>
              <w:spacing w:after="0" w:line="189" w:lineRule="exact"/>
              <w:rPr>
                <w:sz w:val="20"/>
                <w:szCs w:val="20"/>
                <w:color w:val="auto"/>
              </w:rPr>
            </w:pPr>
            <w:r>
              <w:rPr>
                <w:rFonts w:ascii="Arial" w:cs="Arial" w:eastAsia="Arial" w:hAnsi="Arial"/>
                <w:sz w:val="17"/>
                <w:szCs w:val="17"/>
                <w:i w:val="1"/>
                <w:iCs w:val="1"/>
                <w:color w:val="auto"/>
              </w:rPr>
              <w:t>Cost</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Beginning of financial year</w:t>
            </w:r>
          </w:p>
        </w:tc>
        <w:tc>
          <w:tcPr>
            <w:tcW w:w="8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268</w:t>
            </w:r>
          </w:p>
        </w:tc>
        <w:tc>
          <w:tcPr>
            <w:tcW w:w="148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534</w:t>
            </w:r>
          </w:p>
        </w:tc>
        <w:tc>
          <w:tcPr>
            <w:tcW w:w="136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2,475</w:t>
            </w:r>
          </w:p>
        </w:tc>
        <w:tc>
          <w:tcPr>
            <w:tcW w:w="142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361</w:t>
            </w:r>
          </w:p>
        </w:tc>
        <w:tc>
          <w:tcPr>
            <w:tcW w:w="1280" w:type="dxa"/>
            <w:vAlign w:val="bottom"/>
            <w:tcBorders>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3,638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tcPr>
          <w:p>
            <w:pPr>
              <w:spacing w:after="0" w:line="189" w:lineRule="exact"/>
              <w:rPr>
                <w:sz w:val="20"/>
                <w:szCs w:val="20"/>
                <w:color w:val="auto"/>
              </w:rPr>
            </w:pPr>
            <w:r>
              <w:rPr>
                <w:rFonts w:ascii="Arial" w:cs="Arial" w:eastAsia="Arial" w:hAnsi="Arial"/>
                <w:sz w:val="17"/>
                <w:szCs w:val="17"/>
                <w:color w:val="auto"/>
              </w:rPr>
              <w:t>Additions</w:t>
            </w:r>
          </w:p>
        </w:tc>
        <w:tc>
          <w:tcPr>
            <w:tcW w:w="8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471</w:t>
            </w:r>
          </w:p>
        </w:tc>
        <w:tc>
          <w:tcPr>
            <w:tcW w:w="142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577</w:t>
            </w:r>
          </w:p>
        </w:tc>
        <w:tc>
          <w:tcPr>
            <w:tcW w:w="128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1,048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Reclassified to assets held for sale</w:t>
            </w:r>
          </w:p>
        </w:tc>
        <w:tc>
          <w:tcPr>
            <w:tcW w:w="8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(8)</w:t>
            </w:r>
          </w:p>
        </w:tc>
        <w:tc>
          <w:tcPr>
            <w:tcW w:w="148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(16)</w:t>
            </w:r>
          </w:p>
        </w:tc>
        <w:tc>
          <w:tcPr>
            <w:tcW w:w="1280" w:type="dxa"/>
            <w:vAlign w:val="bottom"/>
            <w:tcBorders>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gridSpan w:val="3"/>
          </w:tcPr>
          <w:p>
            <w:pPr>
              <w:spacing w:after="0" w:line="183" w:lineRule="exact"/>
              <w:rPr>
                <w:sz w:val="20"/>
                <w:szCs w:val="20"/>
                <w:color w:val="auto"/>
              </w:rPr>
            </w:pPr>
            <w:r>
              <w:rPr>
                <w:rFonts w:ascii="Arial" w:cs="Arial" w:eastAsia="Arial" w:hAnsi="Arial"/>
                <w:sz w:val="17"/>
                <w:szCs w:val="17"/>
                <w:color w:val="auto"/>
              </w:rPr>
              <w:t>Reclassified from Construction in</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tcPr>
          <w:p>
            <w:pPr>
              <w:ind w:left="140"/>
              <w:spacing w:after="0"/>
              <w:rPr>
                <w:sz w:val="20"/>
                <w:szCs w:val="20"/>
                <w:color w:val="auto"/>
              </w:rPr>
            </w:pPr>
            <w:r>
              <w:rPr>
                <w:rFonts w:ascii="Arial" w:cs="Arial" w:eastAsia="Arial" w:hAnsi="Arial"/>
                <w:sz w:val="17"/>
                <w:szCs w:val="17"/>
                <w:color w:val="auto"/>
              </w:rPr>
              <w:t>Progress</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52</w:t>
            </w:r>
          </w:p>
        </w:tc>
        <w:tc>
          <w:tcPr>
            <w:tcW w:w="1360" w:type="dxa"/>
            <w:vAlign w:val="bottom"/>
            <w:gridSpan w:val="3"/>
          </w:tcPr>
          <w:p>
            <w:pPr>
              <w:jc w:val="right"/>
              <w:ind w:right="240"/>
              <w:spacing w:after="0"/>
              <w:rPr>
                <w:sz w:val="20"/>
                <w:szCs w:val="20"/>
                <w:color w:val="auto"/>
              </w:rPr>
            </w:pPr>
            <w:r>
              <w:rPr>
                <w:rFonts w:ascii="Arial" w:cs="Arial" w:eastAsia="Arial" w:hAnsi="Arial"/>
                <w:sz w:val="17"/>
                <w:szCs w:val="17"/>
                <w:color w:val="auto"/>
              </w:rPr>
              <w:t>100</w:t>
            </w:r>
          </w:p>
        </w:tc>
        <w:tc>
          <w:tcPr>
            <w:tcW w:w="1420" w:type="dxa"/>
            <w:vAlign w:val="bottom"/>
            <w:gridSpan w:val="3"/>
          </w:tcPr>
          <w:p>
            <w:pPr>
              <w:jc w:val="right"/>
              <w:ind w:right="220"/>
              <w:spacing w:after="0"/>
              <w:rPr>
                <w:sz w:val="20"/>
                <w:szCs w:val="20"/>
                <w:color w:val="auto"/>
              </w:rPr>
            </w:pPr>
            <w:r>
              <w:rPr>
                <w:rFonts w:ascii="Arial" w:cs="Arial" w:eastAsia="Arial" w:hAnsi="Arial"/>
                <w:sz w:val="17"/>
                <w:szCs w:val="17"/>
                <w:color w:val="auto"/>
              </w:rPr>
              <w:t>(157)</w:t>
            </w:r>
          </w:p>
        </w:tc>
        <w:tc>
          <w:tcPr>
            <w:tcW w:w="12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Disposals</w:t>
            </w:r>
          </w:p>
        </w:tc>
        <w:tc>
          <w:tcPr>
            <w:tcW w:w="8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(85)</w:t>
            </w:r>
          </w:p>
        </w:tc>
        <w:tc>
          <w:tcPr>
            <w:tcW w:w="148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w:t>
            </w:r>
          </w:p>
        </w:tc>
        <w:tc>
          <w:tcPr>
            <w:tcW w:w="136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(121)</w:t>
            </w:r>
          </w:p>
        </w:tc>
        <w:tc>
          <w:tcPr>
            <w:tcW w:w="142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(342)</w:t>
            </w:r>
          </w:p>
        </w:tc>
        <w:tc>
          <w:tcPr>
            <w:tcW w:w="1280" w:type="dxa"/>
            <w:vAlign w:val="bottom"/>
            <w:tcBorders>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(555)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
          </w:tcPr>
          <w:p>
            <w:pPr>
              <w:spacing w:after="0" w:line="189" w:lineRule="exact"/>
              <w:rPr>
                <w:sz w:val="20"/>
                <w:szCs w:val="20"/>
                <w:color w:val="auto"/>
              </w:rPr>
            </w:pPr>
            <w:r>
              <w:rPr>
                <w:rFonts w:ascii="Arial" w:cs="Arial" w:eastAsia="Arial" w:hAnsi="Arial"/>
                <w:sz w:val="17"/>
                <w:szCs w:val="17"/>
                <w:color w:val="auto"/>
              </w:rPr>
              <w:t>Write-off</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color w:val="auto"/>
              </w:rPr>
              <w:t>(3)</w:t>
            </w:r>
          </w:p>
        </w:tc>
        <w:tc>
          <w:tcPr>
            <w:tcW w:w="1480" w:type="dxa"/>
            <w:vAlign w:val="bottom"/>
            <w:tcBorders>
              <w:bottom w:val="single" w:sz="8" w:color="auto"/>
            </w:tcBorders>
            <w:gridSpan w:val="3"/>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gridSpan w:val="3"/>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gridSpan w:val="3"/>
          </w:tcPr>
          <w:p>
            <w:pPr>
              <w:jc w:val="right"/>
              <w:ind w:right="220"/>
              <w:spacing w:after="0" w:line="189" w:lineRule="exact"/>
              <w:rPr>
                <w:sz w:val="20"/>
                <w:szCs w:val="20"/>
                <w:color w:val="auto"/>
              </w:rPr>
            </w:pPr>
            <w:r>
              <w:rPr>
                <w:rFonts w:ascii="Arial" w:cs="Arial" w:eastAsia="Arial" w:hAnsi="Arial"/>
                <w:sz w:val="17"/>
                <w:szCs w:val="17"/>
                <w:color w:val="auto"/>
              </w:rPr>
              <w:t>(12)</w:t>
            </w:r>
          </w:p>
        </w:tc>
        <w:tc>
          <w:tcPr>
            <w:tcW w:w="1280" w:type="dxa"/>
            <w:vAlign w:val="bottom"/>
            <w:tcBorders>
              <w:bottom w:val="single" w:sz="8" w:color="auto"/>
            </w:tcBorders>
            <w:gridSpan w:val="3"/>
          </w:tcPr>
          <w:p>
            <w:pPr>
              <w:jc w:val="right"/>
              <w:ind w:right="160"/>
              <w:spacing w:after="0" w:line="189" w:lineRule="exact"/>
              <w:rPr>
                <w:sz w:val="20"/>
                <w:szCs w:val="20"/>
                <w:color w:val="auto"/>
              </w:rPr>
            </w:pPr>
            <w:r>
              <w:rPr>
                <w:rFonts w:ascii="Arial" w:cs="Arial" w:eastAsia="Arial" w:hAnsi="Arial"/>
                <w:sz w:val="17"/>
                <w:szCs w:val="17"/>
                <w:color w:val="auto"/>
              </w:rPr>
              <w:t>(15)</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End of financial year</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177</w:t>
            </w:r>
          </w:p>
        </w:tc>
        <w:tc>
          <w:tcPr>
            <w:tcW w:w="1480" w:type="dxa"/>
            <w:vAlign w:val="bottom"/>
            <w:tcBorders>
              <w:bottom w:val="single" w:sz="8" w:color="auto"/>
            </w:tcBorders>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579</w:t>
            </w:r>
          </w:p>
        </w:tc>
        <w:tc>
          <w:tcPr>
            <w:tcW w:w="1360" w:type="dxa"/>
            <w:vAlign w:val="bottom"/>
            <w:tcBorders>
              <w:bottom w:val="single" w:sz="8" w:color="auto"/>
            </w:tcBorders>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2,925</w:t>
            </w:r>
          </w:p>
        </w:tc>
        <w:tc>
          <w:tcPr>
            <w:tcW w:w="1420" w:type="dxa"/>
            <w:vAlign w:val="bottom"/>
            <w:tcBorders>
              <w:bottom w:val="single" w:sz="8" w:color="auto"/>
            </w:tcBorders>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411</w:t>
            </w:r>
          </w:p>
        </w:tc>
        <w:tc>
          <w:tcPr>
            <w:tcW w:w="1280" w:type="dxa"/>
            <w:vAlign w:val="bottom"/>
            <w:tcBorders>
              <w:bottom w:val="single" w:sz="8" w:color="auto"/>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4,092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60" w:type="dxa"/>
            <w:vAlign w:val="bottom"/>
            <w:gridSpan w:val="4"/>
          </w:tcPr>
          <w:p>
            <w:pPr>
              <w:spacing w:after="0"/>
              <w:rPr>
                <w:sz w:val="20"/>
                <w:szCs w:val="20"/>
                <w:color w:val="auto"/>
              </w:rPr>
            </w:pPr>
            <w:r>
              <w:rPr>
                <w:rFonts w:ascii="Arial" w:cs="Arial" w:eastAsia="Arial" w:hAnsi="Arial"/>
                <w:sz w:val="17"/>
                <w:szCs w:val="17"/>
                <w:i w:val="1"/>
                <w:iCs w:val="1"/>
                <w:color w:val="auto"/>
              </w:rPr>
              <w:t>Accumulated depreciation and impairment losses</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Beginning of financial year</w:t>
            </w:r>
          </w:p>
        </w:tc>
        <w:tc>
          <w:tcPr>
            <w:tcW w:w="8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w:t>
            </w:r>
          </w:p>
        </w:tc>
        <w:tc>
          <w:tcPr>
            <w:tcW w:w="148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133</w:t>
            </w:r>
          </w:p>
        </w:tc>
        <w:tc>
          <w:tcPr>
            <w:tcW w:w="136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994</w:t>
            </w:r>
          </w:p>
        </w:tc>
        <w:tc>
          <w:tcPr>
            <w:tcW w:w="142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1,129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gridSpan w:val="3"/>
          </w:tcPr>
          <w:p>
            <w:pPr>
              <w:spacing w:after="0" w:line="183" w:lineRule="exact"/>
              <w:rPr>
                <w:sz w:val="20"/>
                <w:szCs w:val="20"/>
                <w:color w:val="auto"/>
              </w:rPr>
            </w:pPr>
            <w:r>
              <w:rPr>
                <w:rFonts w:ascii="Arial" w:cs="Arial" w:eastAsia="Arial" w:hAnsi="Arial"/>
                <w:sz w:val="17"/>
                <w:szCs w:val="17"/>
                <w:color w:val="auto"/>
              </w:rPr>
              <w:t>Depreciation charge</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tcPr>
          <w:p>
            <w:pPr>
              <w:ind w:left="140"/>
              <w:spacing w:after="0"/>
              <w:rPr>
                <w:sz w:val="20"/>
                <w:szCs w:val="20"/>
                <w:color w:val="auto"/>
              </w:rPr>
            </w:pPr>
            <w:r>
              <w:rPr>
                <w:rFonts w:ascii="Arial" w:cs="Arial" w:eastAsia="Arial" w:hAnsi="Arial"/>
                <w:sz w:val="17"/>
                <w:szCs w:val="17"/>
                <w:color w:val="auto"/>
              </w:rPr>
              <w:t>- Continuing operations (Note 5)</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45</w:t>
            </w:r>
          </w:p>
        </w:tc>
        <w:tc>
          <w:tcPr>
            <w:tcW w:w="1360" w:type="dxa"/>
            <w:vAlign w:val="bottom"/>
            <w:gridSpan w:val="3"/>
          </w:tcPr>
          <w:p>
            <w:pPr>
              <w:jc w:val="right"/>
              <w:ind w:right="240"/>
              <w:spacing w:after="0"/>
              <w:rPr>
                <w:sz w:val="20"/>
                <w:szCs w:val="20"/>
                <w:color w:val="auto"/>
              </w:rPr>
            </w:pPr>
            <w:r>
              <w:rPr>
                <w:rFonts w:ascii="Arial" w:cs="Arial" w:eastAsia="Arial" w:hAnsi="Arial"/>
                <w:sz w:val="17"/>
                <w:szCs w:val="17"/>
                <w:color w:val="auto"/>
              </w:rPr>
              <w:t>406</w:t>
            </w:r>
          </w:p>
        </w:tc>
        <w:tc>
          <w:tcPr>
            <w:tcW w:w="14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160"/>
              <w:spacing w:after="0"/>
              <w:rPr>
                <w:sz w:val="20"/>
                <w:szCs w:val="20"/>
                <w:color w:val="auto"/>
              </w:rPr>
            </w:pPr>
            <w:r>
              <w:rPr>
                <w:rFonts w:ascii="Arial" w:cs="Arial" w:eastAsia="Arial" w:hAnsi="Arial"/>
                <w:sz w:val="17"/>
                <w:szCs w:val="17"/>
                <w:color w:val="auto"/>
              </w:rPr>
              <w:t>451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Disposals</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w:t>
            </w:r>
          </w:p>
        </w:tc>
        <w:tc>
          <w:tcPr>
            <w:tcW w:w="1360" w:type="dxa"/>
            <w:vAlign w:val="bottom"/>
            <w:tcBorders>
              <w:bottom w:val="single" w:sz="8" w:color="auto"/>
            </w:tcBorders>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(83)</w:t>
            </w:r>
          </w:p>
        </w:tc>
        <w:tc>
          <w:tcPr>
            <w:tcW w:w="1420" w:type="dxa"/>
            <w:vAlign w:val="bottom"/>
            <w:tcBorders>
              <w:bottom w:val="single" w:sz="8" w:color="auto"/>
            </w:tcBorders>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(87)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80" w:type="dxa"/>
            <w:vAlign w:val="bottom"/>
            <w:gridSpan w:val="3"/>
          </w:tcPr>
          <w:p>
            <w:pPr>
              <w:spacing w:after="0"/>
              <w:rPr>
                <w:sz w:val="20"/>
                <w:szCs w:val="20"/>
                <w:color w:val="auto"/>
              </w:rPr>
            </w:pPr>
            <w:r>
              <w:rPr>
                <w:rFonts w:ascii="Arial" w:cs="Arial" w:eastAsia="Arial" w:hAnsi="Arial"/>
                <w:sz w:val="17"/>
                <w:szCs w:val="17"/>
                <w:color w:val="auto"/>
              </w:rPr>
              <w:t>End of financial year</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2</w:t>
            </w:r>
          </w:p>
        </w:tc>
        <w:tc>
          <w:tcPr>
            <w:tcW w:w="1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174</w:t>
            </w: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color w:val="auto"/>
              </w:rPr>
              <w:t>1,317</w:t>
            </w:r>
          </w:p>
        </w:tc>
        <w:tc>
          <w:tcPr>
            <w:tcW w:w="1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color w:val="auto"/>
              </w:rPr>
              <w:t>1,493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i w:val="1"/>
                <w:iCs w:val="1"/>
                <w:color w:val="auto"/>
              </w:rPr>
              <w:t>Net book value</w:t>
            </w: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End of financial year</w:t>
            </w:r>
          </w:p>
        </w:tc>
        <w:tc>
          <w:tcPr>
            <w:tcW w:w="8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175</w:t>
            </w:r>
          </w:p>
        </w:tc>
        <w:tc>
          <w:tcPr>
            <w:tcW w:w="148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405</w:t>
            </w:r>
          </w:p>
        </w:tc>
        <w:tc>
          <w:tcPr>
            <w:tcW w:w="136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1,608</w:t>
            </w:r>
          </w:p>
        </w:tc>
        <w:tc>
          <w:tcPr>
            <w:tcW w:w="142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411</w:t>
            </w:r>
          </w:p>
        </w:tc>
        <w:tc>
          <w:tcPr>
            <w:tcW w:w="128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2,599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3840" w:type="dxa"/>
            <w:vAlign w:val="bottom"/>
            <w:gridSpan w:val="3"/>
            <w:shd w:val="clear" w:color="auto" w:fill="CCEEFF"/>
          </w:tcPr>
          <w:p>
            <w:pPr>
              <w:spacing w:after="0" w:line="162" w:lineRule="exact"/>
              <w:rPr>
                <w:sz w:val="20"/>
                <w:szCs w:val="20"/>
                <w:color w:val="auto"/>
              </w:rPr>
            </w:pPr>
            <w:r>
              <w:rPr>
                <w:rFonts w:ascii="Arial" w:cs="Arial" w:eastAsia="Arial" w:hAnsi="Arial"/>
                <w:sz w:val="17"/>
                <w:szCs w:val="17"/>
                <w:color w:val="auto"/>
              </w:rPr>
              <w:t>Group</w:t>
            </w: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2016</w:t>
            </w:r>
          </w:p>
        </w:tc>
        <w:tc>
          <w:tcPr>
            <w:tcW w:w="3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Cost</w:t>
            </w: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tcPr>
          <w:p>
            <w:pPr>
              <w:spacing w:after="0" w:line="189" w:lineRule="exact"/>
              <w:rPr>
                <w:sz w:val="20"/>
                <w:szCs w:val="20"/>
                <w:color w:val="auto"/>
              </w:rPr>
            </w:pPr>
            <w:r>
              <w:rPr>
                <w:rFonts w:ascii="Arial" w:cs="Arial" w:eastAsia="Arial" w:hAnsi="Arial"/>
                <w:sz w:val="17"/>
                <w:szCs w:val="17"/>
                <w:color w:val="auto"/>
              </w:rPr>
              <w:t>Beginning of financial year</w:t>
            </w:r>
          </w:p>
        </w:tc>
        <w:tc>
          <w:tcPr>
            <w:tcW w:w="8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37</w:t>
            </w:r>
          </w:p>
        </w:tc>
        <w:tc>
          <w:tcPr>
            <w:tcW w:w="148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419</w:t>
            </w:r>
          </w:p>
        </w:tc>
        <w:tc>
          <w:tcPr>
            <w:tcW w:w="136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1,627</w:t>
            </w:r>
          </w:p>
        </w:tc>
        <w:tc>
          <w:tcPr>
            <w:tcW w:w="142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153</w:t>
            </w:r>
          </w:p>
        </w:tc>
        <w:tc>
          <w:tcPr>
            <w:tcW w:w="128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2,236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Additions</w:t>
            </w:r>
          </w:p>
        </w:tc>
        <w:tc>
          <w:tcPr>
            <w:tcW w:w="8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w:t>
            </w:r>
          </w:p>
        </w:tc>
        <w:tc>
          <w:tcPr>
            <w:tcW w:w="136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408</w:t>
            </w:r>
          </w:p>
        </w:tc>
        <w:tc>
          <w:tcPr>
            <w:tcW w:w="142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359</w:t>
            </w:r>
          </w:p>
        </w:tc>
        <w:tc>
          <w:tcPr>
            <w:tcW w:w="1280" w:type="dxa"/>
            <w:vAlign w:val="bottom"/>
            <w:tcBorders>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774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tcPr>
          <w:p>
            <w:pPr>
              <w:spacing w:after="0" w:line="189" w:lineRule="exact"/>
              <w:rPr>
                <w:sz w:val="20"/>
                <w:szCs w:val="20"/>
                <w:color w:val="auto"/>
              </w:rPr>
            </w:pPr>
            <w:r>
              <w:rPr>
                <w:rFonts w:ascii="Arial" w:cs="Arial" w:eastAsia="Arial" w:hAnsi="Arial"/>
                <w:sz w:val="17"/>
                <w:szCs w:val="17"/>
                <w:color w:val="auto"/>
              </w:rPr>
              <w:t>Acquisition of subsidiaries (Note 31(a)(iii))</w:t>
            </w:r>
          </w:p>
        </w:tc>
        <w:tc>
          <w:tcPr>
            <w:tcW w:w="8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245</w:t>
            </w:r>
          </w:p>
        </w:tc>
        <w:tc>
          <w:tcPr>
            <w:tcW w:w="148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64</w:t>
            </w:r>
          </w:p>
        </w:tc>
        <w:tc>
          <w:tcPr>
            <w:tcW w:w="136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374</w:t>
            </w:r>
          </w:p>
        </w:tc>
        <w:tc>
          <w:tcPr>
            <w:tcW w:w="142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206</w:t>
            </w:r>
          </w:p>
        </w:tc>
        <w:tc>
          <w:tcPr>
            <w:tcW w:w="128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889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Reclassified to assets held for sale</w:t>
            </w:r>
          </w:p>
        </w:tc>
        <w:tc>
          <w:tcPr>
            <w:tcW w:w="8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w:t>
            </w:r>
          </w:p>
        </w:tc>
        <w:tc>
          <w:tcPr>
            <w:tcW w:w="142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gridSpan w:val="3"/>
          </w:tcPr>
          <w:p>
            <w:pPr>
              <w:spacing w:after="0" w:line="183" w:lineRule="exact"/>
              <w:rPr>
                <w:sz w:val="20"/>
                <w:szCs w:val="20"/>
                <w:color w:val="auto"/>
              </w:rPr>
            </w:pPr>
            <w:r>
              <w:rPr>
                <w:rFonts w:ascii="Arial" w:cs="Arial" w:eastAsia="Arial" w:hAnsi="Arial"/>
                <w:sz w:val="17"/>
                <w:szCs w:val="17"/>
                <w:color w:val="auto"/>
              </w:rPr>
              <w:t>Reclassified from Construction in</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tcPr>
          <w:p>
            <w:pPr>
              <w:ind w:left="140"/>
              <w:spacing w:after="0"/>
              <w:rPr>
                <w:sz w:val="20"/>
                <w:szCs w:val="20"/>
                <w:color w:val="auto"/>
              </w:rPr>
            </w:pPr>
            <w:r>
              <w:rPr>
                <w:rFonts w:ascii="Arial" w:cs="Arial" w:eastAsia="Arial" w:hAnsi="Arial"/>
                <w:sz w:val="17"/>
                <w:szCs w:val="17"/>
                <w:color w:val="auto"/>
              </w:rPr>
              <w:t>Progress</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15</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61</w:t>
            </w:r>
          </w:p>
        </w:tc>
        <w:tc>
          <w:tcPr>
            <w:tcW w:w="1360" w:type="dxa"/>
            <w:vAlign w:val="bottom"/>
            <w:gridSpan w:val="3"/>
          </w:tcPr>
          <w:p>
            <w:pPr>
              <w:jc w:val="right"/>
              <w:ind w:right="240"/>
              <w:spacing w:after="0"/>
              <w:rPr>
                <w:sz w:val="20"/>
                <w:szCs w:val="20"/>
                <w:color w:val="auto"/>
              </w:rPr>
            </w:pPr>
            <w:r>
              <w:rPr>
                <w:rFonts w:ascii="Arial" w:cs="Arial" w:eastAsia="Arial" w:hAnsi="Arial"/>
                <w:sz w:val="17"/>
                <w:szCs w:val="17"/>
                <w:color w:val="auto"/>
              </w:rPr>
              <w:t>149</w:t>
            </w:r>
          </w:p>
        </w:tc>
        <w:tc>
          <w:tcPr>
            <w:tcW w:w="1420" w:type="dxa"/>
            <w:vAlign w:val="bottom"/>
            <w:gridSpan w:val="3"/>
          </w:tcPr>
          <w:p>
            <w:pPr>
              <w:jc w:val="right"/>
              <w:ind w:right="220"/>
              <w:spacing w:after="0"/>
              <w:rPr>
                <w:sz w:val="20"/>
                <w:szCs w:val="20"/>
                <w:color w:val="auto"/>
              </w:rPr>
            </w:pPr>
            <w:r>
              <w:rPr>
                <w:rFonts w:ascii="Arial" w:cs="Arial" w:eastAsia="Arial" w:hAnsi="Arial"/>
                <w:sz w:val="17"/>
                <w:szCs w:val="17"/>
                <w:color w:val="auto"/>
              </w:rPr>
              <w:t>(225)</w:t>
            </w:r>
          </w:p>
        </w:tc>
        <w:tc>
          <w:tcPr>
            <w:tcW w:w="12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Disposals</w:t>
            </w:r>
          </w:p>
        </w:tc>
        <w:tc>
          <w:tcPr>
            <w:tcW w:w="8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(15)</w:t>
            </w:r>
          </w:p>
        </w:tc>
        <w:tc>
          <w:tcPr>
            <w:tcW w:w="136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(81)</w:t>
            </w:r>
          </w:p>
        </w:tc>
        <w:tc>
          <w:tcPr>
            <w:tcW w:w="142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(13)</w:t>
            </w:r>
          </w:p>
        </w:tc>
        <w:tc>
          <w:tcPr>
            <w:tcW w:w="1280" w:type="dxa"/>
            <w:vAlign w:val="bottom"/>
            <w:tcBorders>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
          </w:tcPr>
          <w:p>
            <w:pPr>
              <w:spacing w:after="0" w:line="189" w:lineRule="exact"/>
              <w:rPr>
                <w:sz w:val="20"/>
                <w:szCs w:val="20"/>
                <w:color w:val="auto"/>
              </w:rPr>
            </w:pPr>
            <w:r>
              <w:rPr>
                <w:rFonts w:ascii="Arial" w:cs="Arial" w:eastAsia="Arial" w:hAnsi="Arial"/>
                <w:sz w:val="17"/>
                <w:szCs w:val="17"/>
                <w:color w:val="auto"/>
              </w:rPr>
              <w:t>Write-off</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color w:val="auto"/>
              </w:rPr>
              <w:t>(29)</w:t>
            </w:r>
          </w:p>
        </w:tc>
        <w:tc>
          <w:tcPr>
            <w:tcW w:w="1480" w:type="dxa"/>
            <w:vAlign w:val="bottom"/>
            <w:tcBorders>
              <w:bottom w:val="single" w:sz="8" w:color="auto"/>
            </w:tcBorders>
            <w:gridSpan w:val="3"/>
          </w:tcPr>
          <w:p>
            <w:pPr>
              <w:jc w:val="right"/>
              <w:ind w:right="220"/>
              <w:spacing w:after="0" w:line="189" w:lineRule="exact"/>
              <w:rPr>
                <w:sz w:val="20"/>
                <w:szCs w:val="20"/>
                <w:color w:val="auto"/>
              </w:rPr>
            </w:pPr>
            <w:r>
              <w:rPr>
                <w:rFonts w:ascii="Arial" w:cs="Arial" w:eastAsia="Arial" w:hAnsi="Arial"/>
                <w:sz w:val="17"/>
                <w:szCs w:val="17"/>
                <w:color w:val="auto"/>
              </w:rPr>
              <w:t>(2)</w:t>
            </w:r>
          </w:p>
        </w:tc>
        <w:tc>
          <w:tcPr>
            <w:tcW w:w="1360" w:type="dxa"/>
            <w:vAlign w:val="bottom"/>
            <w:tcBorders>
              <w:bottom w:val="single" w:sz="8" w:color="auto"/>
            </w:tcBorders>
            <w:gridSpan w:val="3"/>
          </w:tcPr>
          <w:p>
            <w:pPr>
              <w:jc w:val="right"/>
              <w:ind w:right="240"/>
              <w:spacing w:after="0" w:line="189" w:lineRule="exact"/>
              <w:rPr>
                <w:sz w:val="20"/>
                <w:szCs w:val="20"/>
                <w:color w:val="auto"/>
              </w:rPr>
            </w:pPr>
            <w:r>
              <w:rPr>
                <w:rFonts w:ascii="Arial" w:cs="Arial" w:eastAsia="Arial" w:hAnsi="Arial"/>
                <w:sz w:val="17"/>
                <w:szCs w:val="17"/>
                <w:color w:val="auto"/>
              </w:rPr>
              <w:t>(1)</w:t>
            </w:r>
          </w:p>
        </w:tc>
        <w:tc>
          <w:tcPr>
            <w:tcW w:w="1420" w:type="dxa"/>
            <w:vAlign w:val="bottom"/>
            <w:tcBorders>
              <w:bottom w:val="single" w:sz="8" w:color="auto"/>
            </w:tcBorders>
            <w:gridSpan w:val="3"/>
          </w:tcPr>
          <w:p>
            <w:pPr>
              <w:jc w:val="right"/>
              <w:ind w:right="220"/>
              <w:spacing w:after="0" w:line="189" w:lineRule="exact"/>
              <w:rPr>
                <w:sz w:val="20"/>
                <w:szCs w:val="20"/>
                <w:color w:val="auto"/>
              </w:rPr>
            </w:pPr>
            <w:r>
              <w:rPr>
                <w:rFonts w:ascii="Arial" w:cs="Arial" w:eastAsia="Arial" w:hAnsi="Arial"/>
                <w:sz w:val="17"/>
                <w:szCs w:val="17"/>
                <w:color w:val="auto"/>
              </w:rPr>
              <w:t>(119)</w:t>
            </w:r>
          </w:p>
        </w:tc>
        <w:tc>
          <w:tcPr>
            <w:tcW w:w="1280" w:type="dxa"/>
            <w:vAlign w:val="bottom"/>
            <w:tcBorders>
              <w:bottom w:val="single" w:sz="8" w:color="auto"/>
            </w:tcBorders>
            <w:gridSpan w:val="3"/>
          </w:tcPr>
          <w:p>
            <w:pPr>
              <w:jc w:val="right"/>
              <w:ind w:right="160"/>
              <w:spacing w:after="0" w:line="189" w:lineRule="exact"/>
              <w:rPr>
                <w:sz w:val="20"/>
                <w:szCs w:val="20"/>
                <w:color w:val="auto"/>
              </w:rPr>
            </w:pPr>
            <w:r>
              <w:rPr>
                <w:rFonts w:ascii="Arial" w:cs="Arial" w:eastAsia="Arial" w:hAnsi="Arial"/>
                <w:sz w:val="17"/>
                <w:szCs w:val="17"/>
                <w:color w:val="auto"/>
              </w:rPr>
              <w:t>(151)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End of financial year</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268</w:t>
            </w:r>
          </w:p>
        </w:tc>
        <w:tc>
          <w:tcPr>
            <w:tcW w:w="1480" w:type="dxa"/>
            <w:vAlign w:val="bottom"/>
            <w:tcBorders>
              <w:bottom w:val="single" w:sz="8" w:color="auto"/>
            </w:tcBorders>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534</w:t>
            </w:r>
          </w:p>
        </w:tc>
        <w:tc>
          <w:tcPr>
            <w:tcW w:w="1360" w:type="dxa"/>
            <w:vAlign w:val="bottom"/>
            <w:tcBorders>
              <w:bottom w:val="single" w:sz="8" w:color="auto"/>
            </w:tcBorders>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2,475</w:t>
            </w:r>
          </w:p>
        </w:tc>
        <w:tc>
          <w:tcPr>
            <w:tcW w:w="1420" w:type="dxa"/>
            <w:vAlign w:val="bottom"/>
            <w:tcBorders>
              <w:bottom w:val="single" w:sz="8" w:color="auto"/>
            </w:tcBorders>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361</w:t>
            </w:r>
          </w:p>
        </w:tc>
        <w:tc>
          <w:tcPr>
            <w:tcW w:w="1280" w:type="dxa"/>
            <w:vAlign w:val="bottom"/>
            <w:tcBorders>
              <w:bottom w:val="single" w:sz="8" w:color="auto"/>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3,638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60" w:type="dxa"/>
            <w:vAlign w:val="bottom"/>
            <w:gridSpan w:val="4"/>
          </w:tcPr>
          <w:p>
            <w:pPr>
              <w:spacing w:after="0"/>
              <w:rPr>
                <w:sz w:val="20"/>
                <w:szCs w:val="20"/>
                <w:color w:val="auto"/>
              </w:rPr>
            </w:pPr>
            <w:r>
              <w:rPr>
                <w:rFonts w:ascii="Arial" w:cs="Arial" w:eastAsia="Arial" w:hAnsi="Arial"/>
                <w:sz w:val="17"/>
                <w:szCs w:val="17"/>
                <w:i w:val="1"/>
                <w:iCs w:val="1"/>
                <w:color w:val="auto"/>
              </w:rPr>
              <w:t>Accumulated depreciation and impairment losses</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Beginning of financial year</w:t>
            </w:r>
          </w:p>
        </w:tc>
        <w:tc>
          <w:tcPr>
            <w:tcW w:w="8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w:t>
            </w:r>
          </w:p>
        </w:tc>
        <w:tc>
          <w:tcPr>
            <w:tcW w:w="148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95</w:t>
            </w:r>
          </w:p>
        </w:tc>
        <w:tc>
          <w:tcPr>
            <w:tcW w:w="136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679</w:t>
            </w:r>
          </w:p>
        </w:tc>
        <w:tc>
          <w:tcPr>
            <w:tcW w:w="142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776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gridSpan w:val="3"/>
          </w:tcPr>
          <w:p>
            <w:pPr>
              <w:spacing w:after="0" w:line="183" w:lineRule="exact"/>
              <w:rPr>
                <w:sz w:val="20"/>
                <w:szCs w:val="20"/>
                <w:color w:val="auto"/>
              </w:rPr>
            </w:pPr>
            <w:r>
              <w:rPr>
                <w:rFonts w:ascii="Arial" w:cs="Arial" w:eastAsia="Arial" w:hAnsi="Arial"/>
                <w:sz w:val="17"/>
                <w:szCs w:val="17"/>
                <w:color w:val="auto"/>
              </w:rPr>
              <w:t>Depreciation charge</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tcPr>
          <w:p>
            <w:pPr>
              <w:ind w:left="140"/>
              <w:spacing w:after="0"/>
              <w:rPr>
                <w:sz w:val="20"/>
                <w:szCs w:val="20"/>
                <w:color w:val="auto"/>
              </w:rPr>
            </w:pPr>
            <w:r>
              <w:rPr>
                <w:rFonts w:ascii="Arial" w:cs="Arial" w:eastAsia="Arial" w:hAnsi="Arial"/>
                <w:sz w:val="17"/>
                <w:szCs w:val="17"/>
                <w:color w:val="auto"/>
              </w:rPr>
              <w:t>- Continuing operations (Note 5)</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43</w:t>
            </w:r>
          </w:p>
        </w:tc>
        <w:tc>
          <w:tcPr>
            <w:tcW w:w="1360" w:type="dxa"/>
            <w:vAlign w:val="bottom"/>
            <w:gridSpan w:val="3"/>
          </w:tcPr>
          <w:p>
            <w:pPr>
              <w:jc w:val="right"/>
              <w:ind w:right="240"/>
              <w:spacing w:after="0"/>
              <w:rPr>
                <w:sz w:val="20"/>
                <w:szCs w:val="20"/>
                <w:color w:val="auto"/>
              </w:rPr>
            </w:pPr>
            <w:r>
              <w:rPr>
                <w:rFonts w:ascii="Arial" w:cs="Arial" w:eastAsia="Arial" w:hAnsi="Arial"/>
                <w:sz w:val="17"/>
                <w:szCs w:val="17"/>
                <w:color w:val="auto"/>
              </w:rPr>
              <w:t>361</w:t>
            </w:r>
          </w:p>
        </w:tc>
        <w:tc>
          <w:tcPr>
            <w:tcW w:w="14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160"/>
              <w:spacing w:after="0"/>
              <w:rPr>
                <w:sz w:val="20"/>
                <w:szCs w:val="20"/>
                <w:color w:val="auto"/>
              </w:rPr>
            </w:pPr>
            <w:r>
              <w:rPr>
                <w:rFonts w:ascii="Arial" w:cs="Arial" w:eastAsia="Arial" w:hAnsi="Arial"/>
                <w:sz w:val="17"/>
                <w:szCs w:val="17"/>
                <w:color w:val="auto"/>
              </w:rPr>
              <w:t>404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7"/>
                <w:szCs w:val="17"/>
                <w:color w:val="auto"/>
              </w:rPr>
              <w:t>- Discontinued operations</w:t>
            </w:r>
          </w:p>
        </w:tc>
        <w:tc>
          <w:tcPr>
            <w:tcW w:w="8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w:t>
            </w:r>
          </w:p>
        </w:tc>
        <w:tc>
          <w:tcPr>
            <w:tcW w:w="136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w:t>
            </w:r>
          </w:p>
        </w:tc>
        <w:tc>
          <w:tcPr>
            <w:tcW w:w="142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
          </w:tcPr>
          <w:p>
            <w:pPr>
              <w:spacing w:after="0" w:line="189" w:lineRule="exact"/>
              <w:rPr>
                <w:sz w:val="20"/>
                <w:szCs w:val="20"/>
                <w:color w:val="auto"/>
              </w:rPr>
            </w:pPr>
            <w:r>
              <w:rPr>
                <w:rFonts w:ascii="Arial" w:cs="Arial" w:eastAsia="Arial" w:hAnsi="Arial"/>
                <w:sz w:val="17"/>
                <w:szCs w:val="17"/>
                <w:color w:val="auto"/>
              </w:rPr>
              <w:t>Disposals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gridSpan w:val="3"/>
          </w:tcPr>
          <w:p>
            <w:pPr>
              <w:jc w:val="right"/>
              <w:ind w:right="220"/>
              <w:spacing w:after="0" w:line="189" w:lineRule="exact"/>
              <w:rPr>
                <w:sz w:val="20"/>
                <w:szCs w:val="20"/>
                <w:color w:val="auto"/>
              </w:rPr>
            </w:pPr>
            <w:r>
              <w:rPr>
                <w:rFonts w:ascii="Arial" w:cs="Arial" w:eastAsia="Arial" w:hAnsi="Arial"/>
                <w:sz w:val="17"/>
                <w:szCs w:val="17"/>
                <w:color w:val="auto"/>
              </w:rPr>
              <w:t>(4)</w:t>
            </w:r>
          </w:p>
        </w:tc>
        <w:tc>
          <w:tcPr>
            <w:tcW w:w="1360" w:type="dxa"/>
            <w:vAlign w:val="bottom"/>
            <w:tcBorders>
              <w:bottom w:val="single" w:sz="8" w:color="auto"/>
            </w:tcBorders>
            <w:gridSpan w:val="3"/>
          </w:tcPr>
          <w:p>
            <w:pPr>
              <w:jc w:val="right"/>
              <w:ind w:right="240"/>
              <w:spacing w:after="0" w:line="189" w:lineRule="exact"/>
              <w:rPr>
                <w:sz w:val="20"/>
                <w:szCs w:val="20"/>
                <w:color w:val="auto"/>
              </w:rPr>
            </w:pPr>
            <w:r>
              <w:rPr>
                <w:rFonts w:ascii="Arial" w:cs="Arial" w:eastAsia="Arial" w:hAnsi="Arial"/>
                <w:sz w:val="17"/>
                <w:szCs w:val="17"/>
                <w:color w:val="auto"/>
              </w:rPr>
              <w:t>(45)</w:t>
            </w:r>
          </w:p>
        </w:tc>
        <w:tc>
          <w:tcPr>
            <w:tcW w:w="1420" w:type="dxa"/>
            <w:vAlign w:val="bottom"/>
            <w:tcBorders>
              <w:bottom w:val="single" w:sz="8" w:color="auto"/>
            </w:tcBorders>
            <w:gridSpan w:val="3"/>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gridSpan w:val="3"/>
          </w:tcPr>
          <w:p>
            <w:pPr>
              <w:jc w:val="right"/>
              <w:ind w:right="160"/>
              <w:spacing w:after="0" w:line="189" w:lineRule="exact"/>
              <w:rPr>
                <w:sz w:val="20"/>
                <w:szCs w:val="20"/>
                <w:color w:val="auto"/>
              </w:rPr>
            </w:pPr>
            <w:r>
              <w:rPr>
                <w:rFonts w:ascii="Arial" w:cs="Arial" w:eastAsia="Arial" w:hAnsi="Arial"/>
                <w:sz w:val="17"/>
                <w:szCs w:val="17"/>
                <w:color w:val="auto"/>
              </w:rPr>
              <w:t>(49)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End of financial year</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w:t>
            </w:r>
          </w:p>
        </w:tc>
        <w:tc>
          <w:tcPr>
            <w:tcW w:w="1480" w:type="dxa"/>
            <w:vAlign w:val="bottom"/>
            <w:tcBorders>
              <w:bottom w:val="single" w:sz="8" w:color="auto"/>
            </w:tcBorders>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133</w:t>
            </w:r>
          </w:p>
        </w:tc>
        <w:tc>
          <w:tcPr>
            <w:tcW w:w="1360" w:type="dxa"/>
            <w:vAlign w:val="bottom"/>
            <w:tcBorders>
              <w:bottom w:val="single" w:sz="8" w:color="auto"/>
            </w:tcBorders>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994</w:t>
            </w:r>
          </w:p>
        </w:tc>
        <w:tc>
          <w:tcPr>
            <w:tcW w:w="1420" w:type="dxa"/>
            <w:vAlign w:val="bottom"/>
            <w:tcBorders>
              <w:bottom w:val="single" w:sz="8" w:color="auto"/>
            </w:tcBorders>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1,129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6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Net book value</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End of financial year</w:t>
            </w:r>
          </w:p>
        </w:tc>
        <w:tc>
          <w:tcPr>
            <w:tcW w:w="8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b w:val="1"/>
                <w:bCs w:val="1"/>
                <w:color w:val="auto"/>
              </w:rPr>
              <w:t>266</w:t>
            </w:r>
          </w:p>
        </w:tc>
        <w:tc>
          <w:tcPr>
            <w:tcW w:w="148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b w:val="1"/>
                <w:bCs w:val="1"/>
                <w:color w:val="auto"/>
              </w:rPr>
              <w:t>401</w:t>
            </w:r>
          </w:p>
        </w:tc>
        <w:tc>
          <w:tcPr>
            <w:tcW w:w="136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b w:val="1"/>
                <w:bCs w:val="1"/>
                <w:color w:val="auto"/>
              </w:rPr>
              <w:t>1,481</w:t>
            </w:r>
          </w:p>
        </w:tc>
        <w:tc>
          <w:tcPr>
            <w:tcW w:w="142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b w:val="1"/>
                <w:bCs w:val="1"/>
                <w:color w:val="auto"/>
              </w:rPr>
              <w:t>361</w:t>
            </w:r>
          </w:p>
        </w:tc>
        <w:tc>
          <w:tcPr>
            <w:tcW w:w="1280" w:type="dxa"/>
            <w:vAlign w:val="bottom"/>
            <w:tcBorders>
              <w:right w:val="single" w:sz="8" w:color="CCEEFF"/>
            </w:tcBorders>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b w:val="1"/>
                <w:bCs w:val="1"/>
                <w:color w:val="auto"/>
              </w:rPr>
              <w:t>2,509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A-74</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(continued)</w:t>
      </w:r>
    </w:p>
    <w:p>
      <w:pPr>
        <w:spacing w:after="0" w:line="166" w:lineRule="exact"/>
        <w:rPr>
          <w:rFonts w:ascii="Arial" w:cs="Arial" w:eastAsia="Arial" w:hAnsi="Arial"/>
          <w:sz w:val="18"/>
          <w:szCs w:val="18"/>
          <w:b w:val="1"/>
          <w:bCs w:val="1"/>
          <w:color w:val="auto"/>
        </w:rPr>
      </w:pPr>
    </w:p>
    <w:p>
      <w:pPr>
        <w:jc w:val="both"/>
        <w:ind w:left="980" w:right="20"/>
        <w:spacing w:after="0"/>
        <w:rPr>
          <w:rFonts w:ascii="Arial" w:cs="Arial" w:eastAsia="Arial" w:hAnsi="Arial"/>
          <w:sz w:val="18"/>
          <w:szCs w:val="18"/>
          <w:b w:val="1"/>
          <w:bCs w:val="1"/>
          <w:color w:val="auto"/>
        </w:rPr>
      </w:pPr>
      <w:r>
        <w:rPr>
          <w:rFonts w:ascii="Arial" w:cs="Arial" w:eastAsia="Arial" w:hAnsi="Arial"/>
          <w:sz w:val="18"/>
          <w:szCs w:val="18"/>
          <w:color w:val="auto"/>
        </w:rPr>
        <w:t>Included within additions in the consolidated financial statements are machinery and equipment acquired under finance lease amounting to US$48 million in financial year 2017. There was no property, plant and equipment acquired under finance lease in financial year 2016.</w:t>
      </w:r>
    </w:p>
    <w:p>
      <w:pPr>
        <w:spacing w:after="0" w:line="202" w:lineRule="exact"/>
        <w:rPr>
          <w:rFonts w:ascii="Arial" w:cs="Arial" w:eastAsia="Arial" w:hAnsi="Arial"/>
          <w:sz w:val="18"/>
          <w:szCs w:val="18"/>
          <w:b w:val="1"/>
          <w:bCs w:val="1"/>
          <w:color w:val="auto"/>
        </w:rPr>
      </w:pPr>
    </w:p>
    <w:p>
      <w:pPr>
        <w:ind w:left="98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carrying amount of machinery and equipment held under finance lease is US$40 million at the balance sheet date for financial year 2017.</w:t>
      </w:r>
    </w:p>
    <w:p>
      <w:pPr>
        <w:spacing w:after="0" w:line="201" w:lineRule="exact"/>
        <w:rPr>
          <w:rFonts w:ascii="Arial" w:cs="Arial" w:eastAsia="Arial" w:hAnsi="Arial"/>
          <w:sz w:val="18"/>
          <w:szCs w:val="18"/>
          <w:b w:val="1"/>
          <w:bCs w:val="1"/>
          <w:color w:val="auto"/>
        </w:rPr>
      </w:pPr>
    </w:p>
    <w:p>
      <w:pPr>
        <w:ind w:left="980" w:hanging="776"/>
        <w:spacing w:after="0"/>
        <w:tabs>
          <w:tab w:leader="none" w:pos="98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620" w:type="dxa"/>
            <w:vAlign w:val="bottom"/>
            <w:gridSpan w:val="2"/>
            <w:vMerge w:val="restart"/>
          </w:tcPr>
          <w:p>
            <w:pPr>
              <w:jc w:val="center"/>
              <w:ind w:left="2242"/>
              <w:spacing w:after="0"/>
              <w:rPr>
                <w:sz w:val="20"/>
                <w:szCs w:val="20"/>
                <w:color w:val="auto"/>
              </w:rPr>
            </w:pPr>
            <w:r>
              <w:rPr>
                <w:rFonts w:ascii="Arial" w:cs="Arial" w:eastAsia="Arial" w:hAnsi="Arial"/>
                <w:sz w:val="20"/>
                <w:szCs w:val="20"/>
                <w:b w:val="1"/>
                <w:bCs w:val="1"/>
                <w:color w:val="auto"/>
                <w:w w:val="98"/>
              </w:rPr>
              <w:t>2017</w:t>
            </w:r>
          </w:p>
        </w:tc>
        <w:tc>
          <w:tcPr>
            <w:tcW w:w="2200" w:type="dxa"/>
            <w:vAlign w:val="bottom"/>
            <w:gridSpan w:val="4"/>
          </w:tcPr>
          <w:p>
            <w:pPr>
              <w:jc w:val="right"/>
              <w:ind w:right="1547"/>
              <w:spacing w:after="0"/>
              <w:rPr>
                <w:sz w:val="20"/>
                <w:szCs w:val="20"/>
                <w:color w:val="auto"/>
              </w:rPr>
            </w:pPr>
            <w:r>
              <w:rPr>
                <w:rFonts w:ascii="Arial" w:cs="Arial" w:eastAsia="Arial" w:hAnsi="Arial"/>
                <w:sz w:val="20"/>
                <w:szCs w:val="20"/>
                <w:color w:val="auto"/>
                <w:w w:val="97"/>
              </w:rPr>
              <w:t>Group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620" w:type="dxa"/>
            <w:vAlign w:val="bottom"/>
            <w:gridSpan w:val="2"/>
            <w:vMerge w:val="continue"/>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40" w:type="dxa"/>
            <w:vAlign w:val="bottom"/>
            <w:gridSpan w:val="2"/>
          </w:tcPr>
          <w:p>
            <w:pPr>
              <w:jc w:val="center"/>
              <w:ind w:right="187"/>
              <w:spacing w:after="0" w:line="177" w:lineRule="exact"/>
              <w:rPr>
                <w:sz w:val="20"/>
                <w:szCs w:val="20"/>
                <w:color w:val="auto"/>
              </w:rPr>
            </w:pPr>
            <w:r>
              <w:rPr>
                <w:rFonts w:ascii="Arial" w:cs="Arial" w:eastAsia="Arial" w:hAnsi="Arial"/>
                <w:sz w:val="20"/>
                <w:szCs w:val="20"/>
                <w:color w:val="auto"/>
                <w:w w:val="98"/>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80" w:type="dxa"/>
            <w:vAlign w:val="bottom"/>
          </w:tcPr>
          <w:p>
            <w:pPr>
              <w:jc w:val="center"/>
              <w:ind w:left="303"/>
              <w:spacing w:after="0"/>
              <w:rPr>
                <w:sz w:val="20"/>
                <w:szCs w:val="20"/>
                <w:color w:val="auto"/>
              </w:rPr>
            </w:pPr>
            <w:r>
              <w:rPr>
                <w:rFonts w:ascii="Arial" w:cs="Arial" w:eastAsia="Arial" w:hAnsi="Arial"/>
                <w:sz w:val="18"/>
                <w:szCs w:val="18"/>
                <w:b w:val="1"/>
                <w:bCs w:val="1"/>
                <w:color w:val="auto"/>
                <w:w w:val="99"/>
              </w:rPr>
              <w:t>(US$ millions)</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jc w:val="center"/>
              <w:ind w:right="207"/>
              <w:spacing w:after="0"/>
              <w:rPr>
                <w:sz w:val="20"/>
                <w:szCs w:val="20"/>
                <w:color w:val="auto"/>
              </w:rPr>
            </w:pPr>
            <w:r>
              <w:rPr>
                <w:rFonts w:ascii="Arial" w:cs="Arial" w:eastAsia="Arial" w:hAnsi="Arial"/>
                <w:sz w:val="18"/>
                <w:szCs w:val="18"/>
                <w:color w:val="auto"/>
                <w:w w:val="99"/>
              </w:rPr>
              <w:t>(US$ millions)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420" w:type="dxa"/>
            <w:vAlign w:val="bottom"/>
            <w:gridSpan w:val="2"/>
            <w:shd w:val="clear" w:color="auto" w:fill="CCEEFF"/>
          </w:tcPr>
          <w:p>
            <w:pPr>
              <w:spacing w:after="0" w:line="189" w:lineRule="exact"/>
              <w:rPr>
                <w:sz w:val="20"/>
                <w:szCs w:val="20"/>
                <w:color w:val="auto"/>
              </w:rPr>
            </w:pPr>
            <w:r>
              <w:rPr>
                <w:rFonts w:ascii="Arial" w:cs="Arial" w:eastAsia="Arial" w:hAnsi="Arial"/>
                <w:sz w:val="20"/>
                <w:szCs w:val="20"/>
                <w:color w:val="auto"/>
              </w:rPr>
              <w:t>Composition:</w:t>
            </w:r>
          </w:p>
        </w:tc>
        <w:tc>
          <w:tcPr>
            <w:tcW w:w="1940" w:type="dxa"/>
            <w:vAlign w:val="bottom"/>
            <w:tcBorders>
              <w:right w:val="single" w:sz="8" w:color="CCEEFF"/>
            </w:tcBorders>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420" w:type="dxa"/>
            <w:vAlign w:val="bottom"/>
            <w:gridSpan w:val="2"/>
          </w:tcPr>
          <w:p>
            <w:pPr>
              <w:spacing w:after="0" w:line="203" w:lineRule="exact"/>
              <w:rPr>
                <w:sz w:val="20"/>
                <w:szCs w:val="20"/>
                <w:color w:val="auto"/>
              </w:rPr>
            </w:pPr>
            <w:r>
              <w:rPr>
                <w:rFonts w:ascii="Arial" w:cs="Arial" w:eastAsia="Arial" w:hAnsi="Arial"/>
                <w:sz w:val="20"/>
                <w:szCs w:val="20"/>
                <w:color w:val="auto"/>
              </w:rPr>
              <w:t>Goodwill (Note (a))</w:t>
            </w:r>
          </w:p>
        </w:tc>
        <w:tc>
          <w:tcPr>
            <w:tcW w:w="3620" w:type="dxa"/>
            <w:vAlign w:val="bottom"/>
            <w:gridSpan w:val="2"/>
          </w:tcPr>
          <w:p>
            <w:pPr>
              <w:jc w:val="right"/>
              <w:spacing w:after="0" w:line="203" w:lineRule="exact"/>
              <w:rPr>
                <w:sz w:val="20"/>
                <w:szCs w:val="20"/>
                <w:color w:val="auto"/>
              </w:rPr>
            </w:pPr>
            <w:r>
              <w:rPr>
                <w:rFonts w:ascii="Arial" w:cs="Arial" w:eastAsia="Arial" w:hAnsi="Arial"/>
                <w:sz w:val="20"/>
                <w:szCs w:val="20"/>
                <w:b w:val="1"/>
                <w:bCs w:val="1"/>
                <w:color w:val="auto"/>
              </w:rPr>
              <w:t>24,706</w:t>
            </w:r>
          </w:p>
        </w:tc>
        <w:tc>
          <w:tcPr>
            <w:tcW w:w="2200" w:type="dxa"/>
            <w:vAlign w:val="bottom"/>
            <w:gridSpan w:val="4"/>
          </w:tcPr>
          <w:p>
            <w:pPr>
              <w:jc w:val="right"/>
              <w:ind w:right="307"/>
              <w:spacing w:after="0" w:line="203" w:lineRule="exact"/>
              <w:rPr>
                <w:sz w:val="20"/>
                <w:szCs w:val="20"/>
                <w:color w:val="auto"/>
              </w:rPr>
            </w:pPr>
            <w:r>
              <w:rPr>
                <w:rFonts w:ascii="Arial" w:cs="Arial" w:eastAsia="Arial" w:hAnsi="Arial"/>
                <w:sz w:val="20"/>
                <w:szCs w:val="20"/>
                <w:color w:val="auto"/>
              </w:rPr>
              <w:t>24,732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Borders>
              <w:top w:val="single" w:sz="8" w:color="CCEEFF"/>
            </w:tcBorders>
            <w:gridSpan w:val="2"/>
            <w:shd w:val="clear" w:color="auto" w:fill="CCEEFF"/>
          </w:tcPr>
          <w:p>
            <w:pPr>
              <w:ind w:left="120"/>
              <w:spacing w:after="0" w:line="209" w:lineRule="exact"/>
              <w:rPr>
                <w:sz w:val="20"/>
                <w:szCs w:val="20"/>
                <w:color w:val="auto"/>
              </w:rPr>
            </w:pPr>
            <w:r>
              <w:rPr>
                <w:rFonts w:ascii="Arial" w:cs="Arial" w:eastAsia="Arial" w:hAnsi="Arial"/>
                <w:sz w:val="20"/>
                <w:szCs w:val="20"/>
                <w:color w:val="auto"/>
              </w:rPr>
              <w:t>Acquired finite-lived intangible asset (Note (b))</w:t>
            </w:r>
          </w:p>
        </w:tc>
        <w:tc>
          <w:tcPr>
            <w:tcW w:w="1940" w:type="dxa"/>
            <w:vAlign w:val="bottom"/>
            <w:tcBorders>
              <w:top w:val="single" w:sz="8" w:color="CCEEFF"/>
              <w:right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b w:val="1"/>
                <w:bCs w:val="1"/>
                <w:color w:val="auto"/>
              </w:rPr>
              <w:t>10,120</w:t>
            </w:r>
          </w:p>
        </w:tc>
        <w:tc>
          <w:tcPr>
            <w:tcW w:w="2200" w:type="dxa"/>
            <w:vAlign w:val="bottom"/>
            <w:tcBorders>
              <w:top w:val="single" w:sz="8" w:color="auto"/>
            </w:tcBorders>
            <w:gridSpan w:val="4"/>
            <w:shd w:val="clear" w:color="auto" w:fill="CCEEFF"/>
          </w:tcPr>
          <w:p>
            <w:pPr>
              <w:jc w:val="right"/>
              <w:ind w:right="307"/>
              <w:spacing w:after="0" w:line="209" w:lineRule="exact"/>
              <w:rPr>
                <w:sz w:val="20"/>
                <w:szCs w:val="20"/>
                <w:color w:val="auto"/>
              </w:rPr>
            </w:pPr>
            <w:r>
              <w:rPr>
                <w:rFonts w:ascii="Arial" w:cs="Arial" w:eastAsia="Arial" w:hAnsi="Arial"/>
                <w:sz w:val="20"/>
                <w:szCs w:val="20"/>
                <w:color w:val="auto"/>
              </w:rPr>
              <w:t>13,732</w:t>
            </w: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20"/>
                <w:szCs w:val="20"/>
                <w:color w:val="auto"/>
              </w:rPr>
              <w:t>In-process research and development (Note (c))</w:t>
            </w:r>
          </w:p>
        </w:tc>
        <w:tc>
          <w:tcPr>
            <w:tcW w:w="1940" w:type="dxa"/>
            <w:vAlign w:val="bottom"/>
            <w:tcBorders>
              <w:bottom w:val="single" w:sz="8" w:color="CCEEFF"/>
              <w:right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b w:val="1"/>
                <w:bCs w:val="1"/>
                <w:color w:val="auto"/>
              </w:rPr>
              <w:t>712</w:t>
            </w:r>
          </w:p>
        </w:tc>
        <w:tc>
          <w:tcPr>
            <w:tcW w:w="2200" w:type="dxa"/>
            <w:vAlign w:val="bottom"/>
            <w:tcBorders>
              <w:bottom w:val="single" w:sz="8" w:color="auto"/>
            </w:tcBorders>
            <w:gridSpan w:val="4"/>
          </w:tcPr>
          <w:p>
            <w:pPr>
              <w:jc w:val="right"/>
              <w:ind w:right="307"/>
              <w:spacing w:after="0" w:line="216" w:lineRule="exact"/>
              <w:rPr>
                <w:sz w:val="20"/>
                <w:szCs w:val="20"/>
                <w:color w:val="auto"/>
              </w:rPr>
            </w:pPr>
            <w:r>
              <w:rPr>
                <w:rFonts w:ascii="Arial" w:cs="Arial" w:eastAsia="Arial" w:hAnsi="Arial"/>
                <w:sz w:val="20"/>
                <w:szCs w:val="20"/>
                <w:color w:val="auto"/>
              </w:rPr>
              <w:t>1,336</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gridSpan w:val="2"/>
            <w:shd w:val="clear" w:color="auto" w:fill="CCEEFF"/>
          </w:tcPr>
          <w:p>
            <w:pPr>
              <w:spacing w:after="0" w:line="209" w:lineRule="exact"/>
              <w:rPr>
                <w:sz w:val="20"/>
                <w:szCs w:val="20"/>
                <w:color w:val="auto"/>
              </w:rPr>
            </w:pPr>
            <w:r>
              <w:rPr>
                <w:rFonts w:ascii="Arial" w:cs="Arial" w:eastAsia="Arial" w:hAnsi="Arial"/>
                <w:sz w:val="20"/>
                <w:szCs w:val="20"/>
                <w:color w:val="auto"/>
              </w:rPr>
              <w:t>Total intangible assets</w:t>
            </w:r>
          </w:p>
        </w:tc>
        <w:tc>
          <w:tcPr>
            <w:tcW w:w="1940" w:type="dxa"/>
            <w:vAlign w:val="bottom"/>
            <w:tcBorders>
              <w:right w:val="single" w:sz="8" w:color="CCEEFF"/>
            </w:tcBorders>
            <w:shd w:val="clear" w:color="auto" w:fill="CCEEFF"/>
          </w:tcPr>
          <w:p>
            <w:pPr>
              <w:spacing w:after="0"/>
              <w:rPr>
                <w:sz w:val="18"/>
                <w:szCs w:val="18"/>
                <w:color w:val="auto"/>
              </w:rPr>
            </w:pPr>
          </w:p>
        </w:tc>
        <w:tc>
          <w:tcPr>
            <w:tcW w:w="168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b w:val="1"/>
                <w:bCs w:val="1"/>
                <w:color w:val="auto"/>
              </w:rPr>
              <w:t>10,832</w:t>
            </w:r>
          </w:p>
        </w:tc>
        <w:tc>
          <w:tcPr>
            <w:tcW w:w="2200" w:type="dxa"/>
            <w:vAlign w:val="bottom"/>
            <w:gridSpan w:val="4"/>
            <w:shd w:val="clear" w:color="auto" w:fill="CCEEFF"/>
          </w:tcPr>
          <w:p>
            <w:pPr>
              <w:jc w:val="right"/>
              <w:ind w:right="307"/>
              <w:spacing w:after="0" w:line="209" w:lineRule="exact"/>
              <w:rPr>
                <w:sz w:val="20"/>
                <w:szCs w:val="20"/>
                <w:color w:val="auto"/>
              </w:rPr>
            </w:pPr>
            <w:r>
              <w:rPr>
                <w:rFonts w:ascii="Arial" w:cs="Arial" w:eastAsia="Arial" w:hAnsi="Arial"/>
                <w:sz w:val="20"/>
                <w:szCs w:val="20"/>
                <w:color w:val="auto"/>
              </w:rPr>
              <w:t>15,068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940" w:type="dxa"/>
            <w:vAlign w:val="bottom"/>
            <w:vMerge w:val="restart"/>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6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b w:val="1"/>
                <w:bCs w:val="1"/>
                <w:color w:val="auto"/>
              </w:rPr>
              <w:t>35,538</w:t>
            </w:r>
          </w:p>
        </w:tc>
        <w:tc>
          <w:tcPr>
            <w:tcW w:w="2200" w:type="dxa"/>
            <w:vAlign w:val="bottom"/>
            <w:tcBorders>
              <w:bottom w:val="single" w:sz="8" w:color="auto"/>
            </w:tcBorders>
            <w:gridSpan w:val="4"/>
          </w:tcPr>
          <w:p>
            <w:pPr>
              <w:jc w:val="right"/>
              <w:ind w:right="307"/>
              <w:spacing w:after="0" w:line="217" w:lineRule="exact"/>
              <w:rPr>
                <w:sz w:val="20"/>
                <w:szCs w:val="20"/>
                <w:color w:val="auto"/>
              </w:rPr>
            </w:pPr>
            <w:r>
              <w:rPr>
                <w:rFonts w:ascii="Arial" w:cs="Arial" w:eastAsia="Arial" w:hAnsi="Arial"/>
                <w:sz w:val="20"/>
                <w:szCs w:val="20"/>
                <w:color w:val="auto"/>
              </w:rPr>
              <w:t>39,800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00" w:type="dxa"/>
            <w:vAlign w:val="bottom"/>
            <w:gridSpan w:val="2"/>
          </w:tcPr>
          <w:p>
            <w:pPr>
              <w:spacing w:after="0"/>
              <w:rPr>
                <w:sz w:val="20"/>
                <w:szCs w:val="20"/>
                <w:color w:val="auto"/>
              </w:rPr>
            </w:pPr>
            <w:r>
              <w:rPr>
                <w:rFonts w:ascii="Arial" w:cs="Arial" w:eastAsia="Arial" w:hAnsi="Arial"/>
                <w:sz w:val="18"/>
                <w:szCs w:val="18"/>
                <w:color w:val="auto"/>
              </w:rPr>
              <w:t>(a)</w:t>
            </w:r>
          </w:p>
        </w:tc>
        <w:tc>
          <w:tcPr>
            <w:tcW w:w="4720" w:type="dxa"/>
            <w:vAlign w:val="bottom"/>
            <w:gridSpan w:val="4"/>
          </w:tcPr>
          <w:p>
            <w:pPr>
              <w:ind w:left="280"/>
              <w:spacing w:after="0"/>
              <w:rPr>
                <w:sz w:val="20"/>
                <w:szCs w:val="20"/>
                <w:color w:val="auto"/>
              </w:rPr>
            </w:pPr>
            <w:r>
              <w:rPr>
                <w:rFonts w:ascii="Arial" w:cs="Arial" w:eastAsia="Arial" w:hAnsi="Arial"/>
                <w:sz w:val="18"/>
                <w:szCs w:val="18"/>
                <w:color w:val="auto"/>
              </w:rPr>
              <w:t>Goodwill</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620" w:type="dxa"/>
            <w:vAlign w:val="bottom"/>
            <w:gridSpan w:val="2"/>
            <w:vMerge w:val="restart"/>
          </w:tcPr>
          <w:p>
            <w:pPr>
              <w:jc w:val="center"/>
              <w:ind w:left="2242"/>
              <w:spacing w:after="0"/>
              <w:rPr>
                <w:sz w:val="20"/>
                <w:szCs w:val="20"/>
                <w:color w:val="auto"/>
              </w:rPr>
            </w:pPr>
            <w:r>
              <w:rPr>
                <w:rFonts w:ascii="Arial" w:cs="Arial" w:eastAsia="Arial" w:hAnsi="Arial"/>
                <w:sz w:val="20"/>
                <w:szCs w:val="20"/>
                <w:b w:val="1"/>
                <w:bCs w:val="1"/>
                <w:color w:val="auto"/>
                <w:w w:val="98"/>
              </w:rPr>
              <w:t>2017</w:t>
            </w:r>
          </w:p>
        </w:tc>
        <w:tc>
          <w:tcPr>
            <w:tcW w:w="20" w:type="dxa"/>
            <w:vAlign w:val="bottom"/>
          </w:tcPr>
          <w:p>
            <w:pPr>
              <w:spacing w:after="0"/>
              <w:rPr>
                <w:sz w:val="24"/>
                <w:szCs w:val="24"/>
                <w:color w:val="auto"/>
              </w:rPr>
            </w:pPr>
          </w:p>
        </w:tc>
        <w:tc>
          <w:tcPr>
            <w:tcW w:w="2180" w:type="dxa"/>
            <w:vAlign w:val="bottom"/>
            <w:gridSpan w:val="3"/>
          </w:tcPr>
          <w:p>
            <w:pPr>
              <w:jc w:val="right"/>
              <w:ind w:right="1547"/>
              <w:spacing w:after="0"/>
              <w:rPr>
                <w:sz w:val="20"/>
                <w:szCs w:val="20"/>
                <w:color w:val="auto"/>
              </w:rPr>
            </w:pPr>
            <w:r>
              <w:rPr>
                <w:rFonts w:ascii="Arial" w:cs="Arial" w:eastAsia="Arial" w:hAnsi="Arial"/>
                <w:sz w:val="20"/>
                <w:szCs w:val="20"/>
                <w:color w:val="auto"/>
                <w:w w:val="93"/>
              </w:rPr>
              <w:t>Group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6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auto"/>
            </w:tcBorders>
            <w:gridSpan w:val="2"/>
          </w:tcPr>
          <w:p>
            <w:pPr>
              <w:spacing w:after="0"/>
              <w:rPr>
                <w:sz w:val="15"/>
                <w:szCs w:val="15"/>
                <w:color w:val="auto"/>
              </w:rPr>
            </w:pPr>
          </w:p>
        </w:tc>
        <w:tc>
          <w:tcPr>
            <w:tcW w:w="1620" w:type="dxa"/>
            <w:vAlign w:val="bottom"/>
          </w:tcPr>
          <w:p>
            <w:pPr>
              <w:jc w:val="center"/>
              <w:ind w:right="167"/>
              <w:spacing w:after="0" w:line="177" w:lineRule="exact"/>
              <w:rPr>
                <w:sz w:val="20"/>
                <w:szCs w:val="20"/>
                <w:color w:val="auto"/>
              </w:rPr>
            </w:pPr>
            <w:r>
              <w:rPr>
                <w:rFonts w:ascii="Arial" w:cs="Arial" w:eastAsia="Arial" w:hAnsi="Arial"/>
                <w:sz w:val="20"/>
                <w:szCs w:val="20"/>
                <w:color w:val="auto"/>
                <w:w w:val="98"/>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80" w:type="dxa"/>
            <w:vAlign w:val="bottom"/>
          </w:tcPr>
          <w:p>
            <w:pPr>
              <w:jc w:val="center"/>
              <w:ind w:left="303"/>
              <w:spacing w:after="0"/>
              <w:rPr>
                <w:sz w:val="20"/>
                <w:szCs w:val="20"/>
                <w:color w:val="auto"/>
              </w:rPr>
            </w:pPr>
            <w:r>
              <w:rPr>
                <w:rFonts w:ascii="Arial" w:cs="Arial" w:eastAsia="Arial" w:hAnsi="Arial"/>
                <w:sz w:val="18"/>
                <w:szCs w:val="18"/>
                <w:b w:val="1"/>
                <w:bCs w:val="1"/>
                <w:color w:val="auto"/>
                <w:w w:val="99"/>
              </w:rPr>
              <w:t>(US$ millions)</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jc w:val="center"/>
              <w:ind w:right="167"/>
              <w:spacing w:after="0"/>
              <w:rPr>
                <w:sz w:val="20"/>
                <w:szCs w:val="20"/>
                <w:color w:val="auto"/>
              </w:rPr>
            </w:pPr>
            <w:r>
              <w:rPr>
                <w:rFonts w:ascii="Arial" w:cs="Arial" w:eastAsia="Arial" w:hAnsi="Arial"/>
                <w:sz w:val="18"/>
                <w:szCs w:val="18"/>
                <w:color w:val="auto"/>
                <w:w w:val="99"/>
              </w:rPr>
              <w:t>(US$ millions)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i w:val="1"/>
                <w:iCs w:val="1"/>
                <w:color w:val="auto"/>
              </w:rPr>
              <w:t>Cost</w:t>
            </w:r>
          </w:p>
        </w:tc>
        <w:tc>
          <w:tcPr>
            <w:tcW w:w="1940" w:type="dxa"/>
            <w:vAlign w:val="bottom"/>
            <w:tcBorders>
              <w:right w:val="single" w:sz="8" w:color="CCEEFF"/>
            </w:tcBorders>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gridSpan w:val="2"/>
          </w:tcPr>
          <w:p>
            <w:pPr>
              <w:spacing w:after="0" w:line="216" w:lineRule="exact"/>
              <w:rPr>
                <w:sz w:val="20"/>
                <w:szCs w:val="20"/>
                <w:color w:val="auto"/>
              </w:rPr>
            </w:pPr>
            <w:r>
              <w:rPr>
                <w:rFonts w:ascii="Arial" w:cs="Arial" w:eastAsia="Arial" w:hAnsi="Arial"/>
                <w:sz w:val="20"/>
                <w:szCs w:val="20"/>
                <w:color w:val="auto"/>
              </w:rPr>
              <w:t>Beginning of financial year</w:t>
            </w:r>
          </w:p>
        </w:tc>
        <w:tc>
          <w:tcPr>
            <w:tcW w:w="3620" w:type="dxa"/>
            <w:vAlign w:val="bottom"/>
            <w:gridSpan w:val="2"/>
          </w:tcPr>
          <w:p>
            <w:pPr>
              <w:jc w:val="right"/>
              <w:spacing w:after="0" w:line="216" w:lineRule="exact"/>
              <w:rPr>
                <w:sz w:val="20"/>
                <w:szCs w:val="20"/>
                <w:color w:val="auto"/>
              </w:rPr>
            </w:pPr>
            <w:r>
              <w:rPr>
                <w:rFonts w:ascii="Arial" w:cs="Arial" w:eastAsia="Arial" w:hAnsi="Arial"/>
                <w:sz w:val="20"/>
                <w:szCs w:val="20"/>
                <w:b w:val="1"/>
                <w:bCs w:val="1"/>
                <w:color w:val="auto"/>
              </w:rPr>
              <w:t>24,732</w:t>
            </w:r>
          </w:p>
        </w:tc>
        <w:tc>
          <w:tcPr>
            <w:tcW w:w="2200" w:type="dxa"/>
            <w:vAlign w:val="bottom"/>
            <w:gridSpan w:val="4"/>
          </w:tcPr>
          <w:p>
            <w:pPr>
              <w:jc w:val="right"/>
              <w:ind w:right="287"/>
              <w:spacing w:after="0" w:line="216" w:lineRule="exact"/>
              <w:rPr>
                <w:sz w:val="20"/>
                <w:szCs w:val="20"/>
                <w:color w:val="auto"/>
              </w:rPr>
            </w:pPr>
            <w:r>
              <w:rPr>
                <w:rFonts w:ascii="Arial" w:cs="Arial" w:eastAsia="Arial" w:hAnsi="Arial"/>
                <w:sz w:val="20"/>
                <w:szCs w:val="20"/>
                <w:color w:val="auto"/>
              </w:rPr>
              <w:t>1,674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Acquisition of subsidiary (Note 31)</w:t>
            </w:r>
          </w:p>
        </w:tc>
        <w:tc>
          <w:tcPr>
            <w:tcW w:w="36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6</w:t>
            </w:r>
          </w:p>
        </w:tc>
        <w:tc>
          <w:tcPr>
            <w:tcW w:w="2200" w:type="dxa"/>
            <w:vAlign w:val="bottom"/>
            <w:gridSpan w:val="4"/>
            <w:shd w:val="clear" w:color="auto" w:fill="CCEEFF"/>
          </w:tcPr>
          <w:p>
            <w:pPr>
              <w:jc w:val="right"/>
              <w:ind w:right="287"/>
              <w:spacing w:after="0" w:line="216" w:lineRule="exact"/>
              <w:rPr>
                <w:sz w:val="20"/>
                <w:szCs w:val="20"/>
                <w:color w:val="auto"/>
              </w:rPr>
            </w:pPr>
            <w:r>
              <w:rPr>
                <w:rFonts w:ascii="Arial" w:cs="Arial" w:eastAsia="Arial" w:hAnsi="Arial"/>
                <w:sz w:val="20"/>
                <w:szCs w:val="20"/>
                <w:color w:val="auto"/>
              </w:rPr>
              <w:t>23,058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20"/>
                <w:szCs w:val="20"/>
                <w:color w:val="auto"/>
              </w:rPr>
              <w:t>Measurement period adjustment</w:t>
            </w:r>
          </w:p>
        </w:tc>
        <w:tc>
          <w:tcPr>
            <w:tcW w:w="3620" w:type="dxa"/>
            <w:vAlign w:val="bottom"/>
            <w:gridSpan w:val="2"/>
          </w:tcPr>
          <w:p>
            <w:pPr>
              <w:jc w:val="right"/>
              <w:spacing w:after="0"/>
              <w:rPr>
                <w:sz w:val="20"/>
                <w:szCs w:val="20"/>
                <w:color w:val="auto"/>
              </w:rPr>
            </w:pPr>
            <w:r>
              <w:rPr>
                <w:rFonts w:ascii="Arial" w:cs="Arial" w:eastAsia="Arial" w:hAnsi="Arial"/>
                <w:sz w:val="20"/>
                <w:szCs w:val="20"/>
                <w:b w:val="1"/>
                <w:bCs w:val="1"/>
                <w:color w:val="auto"/>
              </w:rPr>
              <w:t>(32)</w:t>
            </w:r>
          </w:p>
        </w:tc>
        <w:tc>
          <w:tcPr>
            <w:tcW w:w="2200" w:type="dxa"/>
            <w:vAlign w:val="bottom"/>
            <w:gridSpan w:val="4"/>
          </w:tcPr>
          <w:p>
            <w:pPr>
              <w:jc w:val="right"/>
              <w:ind w:right="287"/>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Borders>
              <w:top w:val="single" w:sz="8" w:color="CCEEFF"/>
            </w:tcBorders>
            <w:gridSpan w:val="2"/>
            <w:shd w:val="clear" w:color="auto" w:fill="CCEEFF"/>
          </w:tcPr>
          <w:p>
            <w:pPr>
              <w:spacing w:after="0" w:line="209" w:lineRule="exact"/>
              <w:rPr>
                <w:sz w:val="20"/>
                <w:szCs w:val="20"/>
                <w:color w:val="auto"/>
              </w:rPr>
            </w:pPr>
            <w:r>
              <w:rPr>
                <w:rFonts w:ascii="Arial" w:cs="Arial" w:eastAsia="Arial" w:hAnsi="Arial"/>
                <w:sz w:val="20"/>
                <w:szCs w:val="20"/>
                <w:color w:val="auto"/>
              </w:rPr>
              <w:t>End of financial year</w:t>
            </w:r>
          </w:p>
        </w:tc>
        <w:tc>
          <w:tcPr>
            <w:tcW w:w="1940" w:type="dxa"/>
            <w:vAlign w:val="bottom"/>
            <w:tcBorders>
              <w:top w:val="single" w:sz="8" w:color="CCEEFF"/>
              <w:right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b w:val="1"/>
                <w:bCs w:val="1"/>
                <w:color w:val="auto"/>
              </w:rPr>
              <w:t>24,706</w:t>
            </w:r>
          </w:p>
        </w:tc>
        <w:tc>
          <w:tcPr>
            <w:tcW w:w="2200" w:type="dxa"/>
            <w:vAlign w:val="bottom"/>
            <w:tcBorders>
              <w:top w:val="single" w:sz="8" w:color="auto"/>
            </w:tcBorders>
            <w:gridSpan w:val="4"/>
            <w:shd w:val="clear" w:color="auto" w:fill="CCEEFF"/>
          </w:tcPr>
          <w:p>
            <w:pPr>
              <w:jc w:val="right"/>
              <w:ind w:right="287"/>
              <w:spacing w:after="0" w:line="209" w:lineRule="exact"/>
              <w:rPr>
                <w:sz w:val="20"/>
                <w:szCs w:val="20"/>
                <w:color w:val="auto"/>
              </w:rPr>
            </w:pPr>
            <w:r>
              <w:rPr>
                <w:rFonts w:ascii="Arial" w:cs="Arial" w:eastAsia="Arial" w:hAnsi="Arial"/>
                <w:sz w:val="20"/>
                <w:szCs w:val="20"/>
                <w:color w:val="auto"/>
              </w:rPr>
              <w:t>24,732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gridSpan w:val="3"/>
            <w:vMerge w:val="restart"/>
          </w:tcPr>
          <w:p>
            <w:pPr>
              <w:spacing w:after="0"/>
              <w:rPr>
                <w:sz w:val="20"/>
                <w:szCs w:val="20"/>
                <w:color w:val="auto"/>
              </w:rPr>
            </w:pPr>
            <w:r>
              <w:rPr>
                <w:rFonts w:ascii="Arial" w:cs="Arial" w:eastAsia="Arial" w:hAnsi="Arial"/>
                <w:sz w:val="20"/>
                <w:szCs w:val="20"/>
                <w:i w:val="1"/>
                <w:iCs w:val="1"/>
                <w:color w:val="auto"/>
              </w:rPr>
              <w:t>Accumulated impairment</w:t>
            </w:r>
          </w:p>
        </w:tc>
        <w:tc>
          <w:tcPr>
            <w:tcW w:w="19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gridSpan w:val="3"/>
            <w:vMerge w:val="continue"/>
          </w:tcPr>
          <w:p>
            <w:pPr>
              <w:spacing w:after="0"/>
              <w:rPr>
                <w:sz w:val="24"/>
                <w:szCs w:val="24"/>
                <w:color w:val="auto"/>
              </w:rPr>
            </w:pP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Beginning of financial year</w:t>
            </w:r>
          </w:p>
        </w:tc>
        <w:tc>
          <w:tcPr>
            <w:tcW w:w="36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2200" w:type="dxa"/>
            <w:vAlign w:val="bottom"/>
            <w:gridSpan w:val="4"/>
            <w:shd w:val="clear" w:color="auto" w:fill="CCEEFF"/>
          </w:tcPr>
          <w:p>
            <w:pPr>
              <w:jc w:val="right"/>
              <w:ind w:right="287"/>
              <w:spacing w:after="0" w:line="216"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20"/>
                <w:szCs w:val="20"/>
                <w:color w:val="auto"/>
              </w:rPr>
              <w:t>Impairment charge (Note 5)</w:t>
            </w:r>
          </w:p>
        </w:tc>
        <w:tc>
          <w:tcPr>
            <w:tcW w:w="3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200" w:type="dxa"/>
            <w:vAlign w:val="bottom"/>
            <w:gridSpan w:val="4"/>
          </w:tcPr>
          <w:p>
            <w:pPr>
              <w:jc w:val="right"/>
              <w:ind w:right="287"/>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Borders>
              <w:top w:val="single" w:sz="8" w:color="CCEEFF"/>
            </w:tcBorders>
            <w:gridSpan w:val="2"/>
            <w:shd w:val="clear" w:color="auto" w:fill="CCEEFF"/>
          </w:tcPr>
          <w:p>
            <w:pPr>
              <w:spacing w:after="0" w:line="209" w:lineRule="exact"/>
              <w:rPr>
                <w:sz w:val="20"/>
                <w:szCs w:val="20"/>
                <w:color w:val="auto"/>
              </w:rPr>
            </w:pPr>
            <w:r>
              <w:rPr>
                <w:rFonts w:ascii="Arial" w:cs="Arial" w:eastAsia="Arial" w:hAnsi="Arial"/>
                <w:sz w:val="20"/>
                <w:szCs w:val="20"/>
                <w:color w:val="auto"/>
              </w:rPr>
              <w:t>End of financial year</w:t>
            </w:r>
          </w:p>
        </w:tc>
        <w:tc>
          <w:tcPr>
            <w:tcW w:w="1940" w:type="dxa"/>
            <w:vAlign w:val="bottom"/>
            <w:tcBorders>
              <w:top w:val="single" w:sz="8" w:color="CCEEFF"/>
              <w:right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2200" w:type="dxa"/>
            <w:vAlign w:val="bottom"/>
            <w:tcBorders>
              <w:top w:val="single" w:sz="8" w:color="auto"/>
            </w:tcBorders>
            <w:gridSpan w:val="4"/>
            <w:shd w:val="clear" w:color="auto" w:fill="CCEEFF"/>
          </w:tcPr>
          <w:p>
            <w:pPr>
              <w:jc w:val="right"/>
              <w:ind w:right="287"/>
              <w:spacing w:after="0" w:line="209"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Net book value</w:t>
            </w:r>
          </w:p>
        </w:tc>
        <w:tc>
          <w:tcPr>
            <w:tcW w:w="194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24,706</w:t>
            </w:r>
          </w:p>
        </w:tc>
        <w:tc>
          <w:tcPr>
            <w:tcW w:w="2200" w:type="dxa"/>
            <w:vAlign w:val="bottom"/>
            <w:tcBorders>
              <w:bottom w:val="single" w:sz="8" w:color="auto"/>
            </w:tcBorders>
            <w:gridSpan w:val="4"/>
          </w:tcPr>
          <w:p>
            <w:pPr>
              <w:jc w:val="right"/>
              <w:ind w:right="287"/>
              <w:spacing w:after="0"/>
              <w:rPr>
                <w:sz w:val="20"/>
                <w:szCs w:val="20"/>
                <w:color w:val="auto"/>
              </w:rPr>
            </w:pPr>
            <w:r>
              <w:rPr>
                <w:rFonts w:ascii="Arial" w:cs="Arial" w:eastAsia="Arial" w:hAnsi="Arial"/>
                <w:sz w:val="20"/>
                <w:szCs w:val="20"/>
                <w:color w:val="auto"/>
              </w:rPr>
              <w:t>24,732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620" w:type="dxa"/>
            <w:vAlign w:val="bottom"/>
            <w:gridSpan w:val="2"/>
          </w:tcPr>
          <w:p>
            <w:pPr>
              <w:jc w:val="right"/>
              <w:ind w:right="3043"/>
              <w:spacing w:after="0"/>
              <w:rPr>
                <w:sz w:val="20"/>
                <w:szCs w:val="20"/>
                <w:color w:val="auto"/>
              </w:rPr>
            </w:pPr>
            <w:r>
              <w:rPr>
                <w:rFonts w:ascii="Arial" w:cs="Arial" w:eastAsia="Arial" w:hAnsi="Arial"/>
                <w:sz w:val="18"/>
                <w:szCs w:val="18"/>
                <w:color w:val="auto"/>
              </w:rPr>
              <w:t>A-75</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Goodwill (continued)</w:t>
      </w:r>
    </w:p>
    <w:p>
      <w:pPr>
        <w:spacing w:after="0" w:line="144" w:lineRule="exact"/>
        <w:rPr>
          <w:rFonts w:ascii="Arial" w:cs="Arial" w:eastAsia="Arial" w:hAnsi="Arial"/>
          <w:sz w:val="18"/>
          <w:szCs w:val="18"/>
          <w:color w:val="auto"/>
        </w:rPr>
      </w:pPr>
    </w:p>
    <w:p>
      <w:pPr>
        <w:ind w:left="980" w:right="20"/>
        <w:spacing w:after="0" w:line="246" w:lineRule="auto"/>
        <w:rPr>
          <w:rFonts w:ascii="Arial" w:cs="Arial" w:eastAsia="Arial" w:hAnsi="Arial"/>
          <w:sz w:val="18"/>
          <w:szCs w:val="18"/>
          <w:color w:val="auto"/>
        </w:rPr>
      </w:pPr>
      <w:r>
        <w:rPr>
          <w:rFonts w:ascii="Arial" w:cs="Arial" w:eastAsia="Arial" w:hAnsi="Arial"/>
          <w:sz w:val="18"/>
          <w:szCs w:val="18"/>
          <w:color w:val="auto"/>
        </w:rPr>
        <w:t>In financial year 2017, the Group recorded a measurement period adjustment related to the estimated tax impact of Employee Stock Purchase Plan deductions in relation to the Broadcom Merger (as described in Note 31) completed in financial year 2016.</w:t>
      </w:r>
    </w:p>
    <w:p>
      <w:pPr>
        <w:spacing w:after="0" w:line="17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i w:val="1"/>
          <w:iCs w:val="1"/>
          <w:color w:val="auto"/>
        </w:rPr>
        <w:t>Impairment tests for goodwill</w:t>
      </w:r>
    </w:p>
    <w:p>
      <w:pPr>
        <w:spacing w:after="0" w:line="229" w:lineRule="exact"/>
        <w:rPr>
          <w:rFonts w:ascii="Arial" w:cs="Arial" w:eastAsia="Arial" w:hAnsi="Arial"/>
          <w:sz w:val="18"/>
          <w:szCs w:val="18"/>
          <w:color w:val="auto"/>
        </w:rPr>
      </w:pPr>
    </w:p>
    <w:p>
      <w:pPr>
        <w:ind w:left="980" w:right="3440"/>
        <w:spacing w:after="0" w:line="496" w:lineRule="auto"/>
        <w:rPr>
          <w:rFonts w:ascii="Arial" w:cs="Arial" w:eastAsia="Arial" w:hAnsi="Arial"/>
          <w:sz w:val="18"/>
          <w:szCs w:val="18"/>
          <w:color w:val="auto"/>
        </w:rPr>
      </w:pPr>
      <w:r>
        <w:rPr>
          <w:rFonts w:ascii="Arial" w:cs="Arial" w:eastAsia="Arial" w:hAnsi="Arial"/>
          <w:sz w:val="18"/>
          <w:szCs w:val="18"/>
          <w:color w:val="auto"/>
        </w:rPr>
        <w:t>Goodwill is allocated to the Group’s CGUs identified according its business segments. A segment-level summary of the goodwill allocation is as follows:</w:t>
      </w:r>
    </w:p>
    <w:tbl>
      <w:tblPr>
        <w:tblLayout w:type="fixed"/>
        <w:tblInd w:w="98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940" w:type="dxa"/>
            <w:vAlign w:val="bottom"/>
            <w:vMerge w:val="restart"/>
          </w:tcPr>
          <w:p>
            <w:pPr>
              <w:jc w:val="right"/>
              <w:ind w:right="302"/>
              <w:spacing w:after="0"/>
              <w:rPr>
                <w:sz w:val="20"/>
                <w:szCs w:val="20"/>
                <w:color w:val="auto"/>
              </w:rPr>
            </w:pPr>
            <w:r>
              <w:rPr>
                <w:rFonts w:ascii="Arial" w:cs="Arial" w:eastAsia="Arial" w:hAnsi="Arial"/>
                <w:sz w:val="20"/>
                <w:szCs w:val="20"/>
                <w:b w:val="1"/>
                <w:bCs w:val="1"/>
                <w:color w:val="auto"/>
              </w:rPr>
              <w:t>2017</w:t>
            </w:r>
          </w:p>
        </w:tc>
        <w:tc>
          <w:tcPr>
            <w:tcW w:w="1920" w:type="dxa"/>
            <w:vAlign w:val="bottom"/>
            <w:gridSpan w:val="3"/>
          </w:tcPr>
          <w:p>
            <w:pPr>
              <w:jc w:val="right"/>
              <w:ind w:right="1265"/>
              <w:spacing w:after="0" w:line="222" w:lineRule="exact"/>
              <w:rPr>
                <w:sz w:val="20"/>
                <w:szCs w:val="20"/>
                <w:color w:val="auto"/>
              </w:rPr>
            </w:pPr>
            <w:r>
              <w:rPr>
                <w:rFonts w:ascii="Arial" w:cs="Arial" w:eastAsia="Arial" w:hAnsi="Arial"/>
                <w:sz w:val="20"/>
                <w:szCs w:val="20"/>
                <w:color w:val="auto"/>
                <w:w w:val="97"/>
              </w:rPr>
              <w:t>Group</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360" w:type="dxa"/>
            <w:vAlign w:val="bottom"/>
          </w:tcPr>
          <w:p>
            <w:pPr>
              <w:jc w:val="right"/>
              <w:ind w:right="365"/>
              <w:spacing w:after="0" w:line="177"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(US$ millions)</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jc w:val="right"/>
              <w:ind w:right="25"/>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Wired Infrastructure</w:t>
            </w:r>
          </w:p>
        </w:tc>
        <w:tc>
          <w:tcPr>
            <w:tcW w:w="19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17,622</w:t>
            </w:r>
          </w:p>
        </w:tc>
        <w:tc>
          <w:tcPr>
            <w:tcW w:w="1920" w:type="dxa"/>
            <w:vAlign w:val="bottom"/>
            <w:gridSpan w:val="3"/>
            <w:shd w:val="clear" w:color="auto" w:fill="CCEEFF"/>
          </w:tcPr>
          <w:p>
            <w:pPr>
              <w:jc w:val="right"/>
              <w:ind w:right="25"/>
              <w:spacing w:after="0" w:line="216" w:lineRule="exact"/>
              <w:rPr>
                <w:sz w:val="20"/>
                <w:szCs w:val="20"/>
                <w:color w:val="auto"/>
              </w:rPr>
            </w:pPr>
            <w:r>
              <w:rPr>
                <w:rFonts w:ascii="Arial" w:cs="Arial" w:eastAsia="Arial" w:hAnsi="Arial"/>
                <w:sz w:val="20"/>
                <w:szCs w:val="20"/>
                <w:color w:val="auto"/>
              </w:rPr>
              <w:t>17,641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line="216" w:lineRule="exact"/>
              <w:rPr>
                <w:sz w:val="20"/>
                <w:szCs w:val="20"/>
                <w:color w:val="auto"/>
              </w:rPr>
            </w:pPr>
            <w:r>
              <w:rPr>
                <w:rFonts w:ascii="Arial" w:cs="Arial" w:eastAsia="Arial" w:hAnsi="Arial"/>
                <w:sz w:val="20"/>
                <w:szCs w:val="20"/>
                <w:color w:val="auto"/>
              </w:rPr>
              <w:t>Wireless Communication</w:t>
            </w:r>
          </w:p>
        </w:tc>
        <w:tc>
          <w:tcPr>
            <w:tcW w:w="194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5,945</w:t>
            </w:r>
          </w:p>
        </w:tc>
        <w:tc>
          <w:tcPr>
            <w:tcW w:w="1920" w:type="dxa"/>
            <w:vAlign w:val="bottom"/>
            <w:gridSpan w:val="3"/>
          </w:tcPr>
          <w:p>
            <w:pPr>
              <w:jc w:val="right"/>
              <w:ind w:right="25"/>
              <w:spacing w:after="0" w:line="216" w:lineRule="exact"/>
              <w:rPr>
                <w:sz w:val="20"/>
                <w:szCs w:val="20"/>
                <w:color w:val="auto"/>
              </w:rPr>
            </w:pPr>
            <w:r>
              <w:rPr>
                <w:rFonts w:ascii="Arial" w:cs="Arial" w:eastAsia="Arial" w:hAnsi="Arial"/>
                <w:sz w:val="20"/>
                <w:szCs w:val="20"/>
                <w:color w:val="auto"/>
              </w:rPr>
              <w:t>5,952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Enterprise Storage</w:t>
            </w:r>
          </w:p>
        </w:tc>
        <w:tc>
          <w:tcPr>
            <w:tcW w:w="19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995</w:t>
            </w:r>
          </w:p>
        </w:tc>
        <w:tc>
          <w:tcPr>
            <w:tcW w:w="1920" w:type="dxa"/>
            <w:vAlign w:val="bottom"/>
            <w:gridSpan w:val="3"/>
            <w:shd w:val="clear" w:color="auto" w:fill="CCEEFF"/>
          </w:tcPr>
          <w:p>
            <w:pPr>
              <w:jc w:val="right"/>
              <w:ind w:right="25"/>
              <w:spacing w:after="0" w:line="216" w:lineRule="exact"/>
              <w:rPr>
                <w:sz w:val="20"/>
                <w:szCs w:val="20"/>
                <w:color w:val="auto"/>
              </w:rPr>
            </w:pPr>
            <w:r>
              <w:rPr>
                <w:rFonts w:ascii="Arial" w:cs="Arial" w:eastAsia="Arial" w:hAnsi="Arial"/>
                <w:sz w:val="20"/>
                <w:szCs w:val="20"/>
                <w:color w:val="auto"/>
              </w:rPr>
              <w:t>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20"/>
                <w:szCs w:val="20"/>
                <w:color w:val="auto"/>
              </w:rPr>
              <w:t>Industrial &amp; Other</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144</w:t>
            </w:r>
          </w:p>
        </w:tc>
        <w:tc>
          <w:tcPr>
            <w:tcW w:w="19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9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b w:val="1"/>
                <w:bCs w:val="1"/>
                <w:color w:val="auto"/>
              </w:rPr>
              <w:t>24,706</w:t>
            </w:r>
          </w:p>
        </w:tc>
        <w:tc>
          <w:tcPr>
            <w:tcW w:w="1920" w:type="dxa"/>
            <w:vAlign w:val="bottom"/>
            <w:tcBorders>
              <w:bottom w:val="single" w:sz="8" w:color="auto"/>
            </w:tcBorders>
            <w:gridSpan w:val="3"/>
          </w:tcPr>
          <w:p>
            <w:pPr>
              <w:jc w:val="right"/>
              <w:ind w:right="25"/>
              <w:spacing w:after="0" w:line="223" w:lineRule="exact"/>
              <w:rPr>
                <w:sz w:val="20"/>
                <w:szCs w:val="20"/>
                <w:color w:val="auto"/>
              </w:rPr>
            </w:pPr>
            <w:r>
              <w:rPr>
                <w:rFonts w:ascii="Arial" w:cs="Arial" w:eastAsia="Arial" w:hAnsi="Arial"/>
                <w:sz w:val="20"/>
                <w:szCs w:val="20"/>
                <w:color w:val="auto"/>
              </w:rPr>
              <w:t>24,732</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980" w:right="20"/>
        <w:spacing w:after="0" w:line="239" w:lineRule="auto"/>
        <w:rPr>
          <w:sz w:val="20"/>
          <w:szCs w:val="20"/>
          <w:color w:val="auto"/>
        </w:rPr>
      </w:pPr>
      <w:r>
        <w:rPr>
          <w:rFonts w:ascii="Arial" w:cs="Arial" w:eastAsia="Arial" w:hAnsi="Arial"/>
          <w:sz w:val="18"/>
          <w:szCs w:val="18"/>
          <w:color w:val="auto"/>
        </w:rPr>
        <w:t>The recoverable amount of a CGU was determined based on fair value less cost to sell. Cash flow projections used in the fair value less cost to sell calculations were based on financial budgets approved by management covering a five-year period. Cash flows beyond the five-year period were extrapolated using the estimated rates stated below. The growth rate did not exceed the long-term average growth rate for the component parts business in which the CGU operates.</w:t>
      </w:r>
    </w:p>
    <w:p>
      <w:pPr>
        <w:spacing w:after="0" w:line="202" w:lineRule="exact"/>
        <w:rPr>
          <w:sz w:val="20"/>
          <w:szCs w:val="20"/>
          <w:color w:val="auto"/>
        </w:rPr>
      </w:pPr>
    </w:p>
    <w:p>
      <w:pPr>
        <w:jc w:val="both"/>
        <w:ind w:left="980" w:right="20"/>
        <w:spacing w:after="0"/>
        <w:rPr>
          <w:sz w:val="20"/>
          <w:szCs w:val="20"/>
          <w:color w:val="auto"/>
        </w:rPr>
      </w:pPr>
      <w:r>
        <w:rPr>
          <w:rFonts w:ascii="Arial" w:cs="Arial" w:eastAsia="Arial" w:hAnsi="Arial"/>
          <w:sz w:val="18"/>
          <w:szCs w:val="18"/>
          <w:color w:val="auto"/>
        </w:rPr>
        <w:t>Key assumptions used in the income approach to obtain the fair values of the four segments for financial year 2017 includes growth rates and discount rates in the ranges of 3.6%-9.2% (2016: 1.6%-9.9%) and 10.8%-14.8% (2016: 9.8%-14.2%) respectively.</w:t>
      </w:r>
    </w:p>
    <w:p>
      <w:pPr>
        <w:spacing w:after="0" w:line="203" w:lineRule="exact"/>
        <w:rPr>
          <w:sz w:val="20"/>
          <w:szCs w:val="20"/>
          <w:color w:val="auto"/>
        </w:rPr>
      </w:pPr>
    </w:p>
    <w:p>
      <w:pPr>
        <w:jc w:val="both"/>
        <w:ind w:left="980" w:right="20"/>
        <w:spacing w:after="0"/>
        <w:rPr>
          <w:sz w:val="20"/>
          <w:szCs w:val="20"/>
          <w:color w:val="auto"/>
        </w:rPr>
      </w:pPr>
      <w:r>
        <w:rPr>
          <w:rFonts w:ascii="Arial" w:cs="Arial" w:eastAsia="Arial" w:hAnsi="Arial"/>
          <w:sz w:val="18"/>
          <w:szCs w:val="18"/>
          <w:color w:val="auto"/>
        </w:rPr>
        <w:t>These assumptions were used for the analysis of each CGU within the business segment. The growth rates used were consistent with forecasts included in industry reports. The discount rates used were pre-tax and reflected specific risks relating to the relevant segments.</w:t>
      </w:r>
    </w:p>
    <w:p>
      <w:pPr>
        <w:spacing w:after="0" w:line="203"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The results of impairment reviews undertaken indicate that if there is significant change in the discount rates and/or significant change in projected performance of the business, it may be necessary to take impairment charge to profit and loss in the future.</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Based on the impairment assessment, no impairment is required for goodwill attributed to the respective CGUs.</w:t>
      </w:r>
    </w:p>
    <w:p>
      <w:pPr>
        <w:spacing w:after="0" w:line="212"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There are no reasonably possible changes in any of the key assumptions that would cause the carrying amount of these CGUs to materially exceed the recoverable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Acquired finite-lived intangible asset</w:t>
      </w:r>
    </w:p>
    <w:p>
      <w:pPr>
        <w:spacing w:after="0" w:line="222"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620" w:type="dxa"/>
            <w:vAlign w:val="bottom"/>
            <w:vMerge w:val="restart"/>
          </w:tcPr>
          <w:p>
            <w:pPr>
              <w:jc w:val="right"/>
              <w:ind w:right="322"/>
              <w:spacing w:after="0"/>
              <w:rPr>
                <w:sz w:val="20"/>
                <w:szCs w:val="20"/>
                <w:color w:val="auto"/>
              </w:rPr>
            </w:pPr>
            <w:r>
              <w:rPr>
                <w:rFonts w:ascii="Arial" w:cs="Arial" w:eastAsia="Arial" w:hAnsi="Arial"/>
                <w:sz w:val="20"/>
                <w:szCs w:val="20"/>
                <w:b w:val="1"/>
                <w:bCs w:val="1"/>
                <w:color w:val="auto"/>
              </w:rPr>
              <w:t>2017</w:t>
            </w:r>
          </w:p>
        </w:tc>
        <w:tc>
          <w:tcPr>
            <w:tcW w:w="2380" w:type="dxa"/>
            <w:vAlign w:val="bottom"/>
            <w:gridSpan w:val="3"/>
          </w:tcPr>
          <w:p>
            <w:pPr>
              <w:jc w:val="right"/>
              <w:ind w:right="1685"/>
              <w:spacing w:after="0"/>
              <w:rPr>
                <w:sz w:val="20"/>
                <w:szCs w:val="20"/>
                <w:color w:val="auto"/>
              </w:rPr>
            </w:pPr>
            <w:r>
              <w:rPr>
                <w:rFonts w:ascii="Arial" w:cs="Arial" w:eastAsia="Arial" w:hAnsi="Arial"/>
                <w:sz w:val="20"/>
                <w:szCs w:val="20"/>
                <w:color w:val="auto"/>
              </w:rPr>
              <w:t>Group</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780" w:type="dxa"/>
            <w:vAlign w:val="bottom"/>
          </w:tcPr>
          <w:p>
            <w:pPr>
              <w:jc w:val="right"/>
              <w:ind w:right="725"/>
              <w:spacing w:after="0" w:line="177"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(US$ millions)</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80" w:type="dxa"/>
            <w:vAlign w:val="bottom"/>
          </w:tcPr>
          <w:p>
            <w:pPr>
              <w:jc w:val="right"/>
              <w:ind w:right="385"/>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line="216" w:lineRule="exact"/>
              <w:rPr>
                <w:sz w:val="20"/>
                <w:szCs w:val="20"/>
                <w:color w:val="auto"/>
              </w:rPr>
            </w:pPr>
            <w:r>
              <w:rPr>
                <w:rFonts w:ascii="Arial" w:cs="Arial" w:eastAsia="Arial" w:hAnsi="Arial"/>
                <w:sz w:val="20"/>
                <w:szCs w:val="20"/>
                <w:i w:val="1"/>
                <w:iCs w:val="1"/>
                <w:color w:val="auto"/>
              </w:rPr>
              <w:t>Cost</w:t>
            </w: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line="216" w:lineRule="exact"/>
              <w:rPr>
                <w:sz w:val="20"/>
                <w:szCs w:val="20"/>
                <w:color w:val="auto"/>
              </w:rPr>
            </w:pPr>
            <w:r>
              <w:rPr>
                <w:rFonts w:ascii="Arial" w:cs="Arial" w:eastAsia="Arial" w:hAnsi="Arial"/>
                <w:sz w:val="20"/>
                <w:szCs w:val="20"/>
                <w:color w:val="auto"/>
              </w:rPr>
              <w:t>Beginning of financial year</w:t>
            </w:r>
          </w:p>
        </w:tc>
        <w:tc>
          <w:tcPr>
            <w:tcW w:w="162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17,048</w:t>
            </w:r>
          </w:p>
        </w:tc>
        <w:tc>
          <w:tcPr>
            <w:tcW w:w="2380" w:type="dxa"/>
            <w:vAlign w:val="bottom"/>
            <w:gridSpan w:val="3"/>
          </w:tcPr>
          <w:p>
            <w:pPr>
              <w:jc w:val="right"/>
              <w:ind w:right="385"/>
              <w:spacing w:after="0" w:line="216" w:lineRule="exact"/>
              <w:rPr>
                <w:sz w:val="20"/>
                <w:szCs w:val="20"/>
                <w:color w:val="auto"/>
              </w:rPr>
            </w:pPr>
            <w:r>
              <w:rPr>
                <w:rFonts w:ascii="Arial" w:cs="Arial" w:eastAsia="Arial" w:hAnsi="Arial"/>
                <w:sz w:val="20"/>
                <w:szCs w:val="20"/>
                <w:color w:val="auto"/>
              </w:rPr>
              <w:t>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Acquisition of subsidiaries</w:t>
            </w:r>
          </w:p>
        </w:tc>
        <w:tc>
          <w:tcPr>
            <w:tcW w:w="16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34</w:t>
            </w:r>
          </w:p>
        </w:tc>
        <w:tc>
          <w:tcPr>
            <w:tcW w:w="2380" w:type="dxa"/>
            <w:vAlign w:val="bottom"/>
            <w:gridSpan w:val="3"/>
            <w:shd w:val="clear" w:color="auto" w:fill="CCEEFF"/>
          </w:tcPr>
          <w:p>
            <w:pPr>
              <w:jc w:val="right"/>
              <w:ind w:right="385"/>
              <w:spacing w:after="0" w:line="216" w:lineRule="exact"/>
              <w:rPr>
                <w:sz w:val="20"/>
                <w:szCs w:val="20"/>
                <w:color w:val="auto"/>
              </w:rPr>
            </w:pPr>
            <w:r>
              <w:rPr>
                <w:rFonts w:ascii="Arial" w:cs="Arial" w:eastAsia="Arial" w:hAnsi="Arial"/>
                <w:sz w:val="20"/>
                <w:szCs w:val="20"/>
                <w:color w:val="auto"/>
              </w:rPr>
              <w:t>12,871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line="216" w:lineRule="exact"/>
              <w:rPr>
                <w:sz w:val="20"/>
                <w:szCs w:val="20"/>
                <w:color w:val="auto"/>
              </w:rPr>
            </w:pPr>
            <w:r>
              <w:rPr>
                <w:rFonts w:ascii="Arial" w:cs="Arial" w:eastAsia="Arial" w:hAnsi="Arial"/>
                <w:sz w:val="20"/>
                <w:szCs w:val="20"/>
                <w:color w:val="auto"/>
              </w:rPr>
              <w:t>Additions</w:t>
            </w:r>
          </w:p>
        </w:tc>
        <w:tc>
          <w:tcPr>
            <w:tcW w:w="162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28</w:t>
            </w:r>
          </w:p>
        </w:tc>
        <w:tc>
          <w:tcPr>
            <w:tcW w:w="2380" w:type="dxa"/>
            <w:vAlign w:val="bottom"/>
            <w:gridSpan w:val="3"/>
          </w:tcPr>
          <w:p>
            <w:pPr>
              <w:jc w:val="right"/>
              <w:ind w:right="385"/>
              <w:spacing w:after="0" w:line="216" w:lineRule="exact"/>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Reclassified from in-process research and development</w:t>
            </w:r>
          </w:p>
        </w:tc>
        <w:tc>
          <w:tcPr>
            <w:tcW w:w="16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611</w:t>
            </w:r>
          </w:p>
        </w:tc>
        <w:tc>
          <w:tcPr>
            <w:tcW w:w="2380" w:type="dxa"/>
            <w:vAlign w:val="bottom"/>
            <w:gridSpan w:val="3"/>
            <w:shd w:val="clear" w:color="auto" w:fill="CCEEFF"/>
          </w:tcPr>
          <w:p>
            <w:pPr>
              <w:jc w:val="right"/>
              <w:ind w:right="385"/>
              <w:spacing w:after="0" w:line="216" w:lineRule="exact"/>
              <w:rPr>
                <w:sz w:val="20"/>
                <w:szCs w:val="20"/>
                <w:color w:val="auto"/>
              </w:rPr>
            </w:pPr>
            <w:r>
              <w:rPr>
                <w:rFonts w:ascii="Arial" w:cs="Arial" w:eastAsia="Arial" w:hAnsi="Arial"/>
                <w:sz w:val="20"/>
                <w:szCs w:val="20"/>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line="216" w:lineRule="exact"/>
              <w:rPr>
                <w:sz w:val="20"/>
                <w:szCs w:val="20"/>
                <w:color w:val="auto"/>
              </w:rPr>
            </w:pPr>
            <w:r>
              <w:rPr>
                <w:rFonts w:ascii="Arial" w:cs="Arial" w:eastAsia="Arial" w:hAnsi="Arial"/>
                <w:sz w:val="20"/>
                <w:szCs w:val="20"/>
                <w:color w:val="auto"/>
              </w:rPr>
              <w:t>Reclassified to disposal group</w:t>
            </w:r>
          </w:p>
        </w:tc>
        <w:tc>
          <w:tcPr>
            <w:tcW w:w="162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380" w:type="dxa"/>
            <w:vAlign w:val="bottom"/>
            <w:gridSpan w:val="3"/>
          </w:tcPr>
          <w:p>
            <w:pPr>
              <w:jc w:val="right"/>
              <w:ind w:right="385"/>
              <w:spacing w:after="0" w:line="216" w:lineRule="exact"/>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Disposals</w:t>
            </w:r>
          </w:p>
        </w:tc>
        <w:tc>
          <w:tcPr>
            <w:tcW w:w="16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2380" w:type="dxa"/>
            <w:vAlign w:val="bottom"/>
            <w:gridSpan w:val="3"/>
            <w:shd w:val="clear" w:color="auto" w:fill="CCEEFF"/>
          </w:tcPr>
          <w:p>
            <w:pPr>
              <w:jc w:val="right"/>
              <w:ind w:right="385"/>
              <w:spacing w:after="0" w:line="216" w:lineRule="exact"/>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Write-offs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(94)</w:t>
            </w:r>
          </w:p>
        </w:tc>
        <w:tc>
          <w:tcPr>
            <w:tcW w:w="238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20"/>
                <w:szCs w:val="20"/>
                <w:color w:val="auto"/>
              </w:rPr>
              <w:t>(1,088)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line="209" w:lineRule="exact"/>
              <w:rPr>
                <w:sz w:val="20"/>
                <w:szCs w:val="20"/>
                <w:color w:val="auto"/>
              </w:rPr>
            </w:pPr>
            <w:r>
              <w:rPr>
                <w:rFonts w:ascii="Arial" w:cs="Arial" w:eastAsia="Arial" w:hAnsi="Arial"/>
                <w:sz w:val="20"/>
                <w:szCs w:val="20"/>
                <w:color w:val="auto"/>
              </w:rPr>
              <w:t>End of financial year</w:t>
            </w:r>
          </w:p>
        </w:tc>
        <w:tc>
          <w:tcPr>
            <w:tcW w:w="162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b w:val="1"/>
                <w:bCs w:val="1"/>
                <w:color w:val="auto"/>
              </w:rPr>
              <w:t>17,627</w:t>
            </w:r>
          </w:p>
        </w:tc>
        <w:tc>
          <w:tcPr>
            <w:tcW w:w="2380" w:type="dxa"/>
            <w:vAlign w:val="bottom"/>
            <w:gridSpan w:val="3"/>
            <w:shd w:val="clear" w:color="auto" w:fill="CCEEFF"/>
          </w:tcPr>
          <w:p>
            <w:pPr>
              <w:jc w:val="right"/>
              <w:ind w:right="385"/>
              <w:spacing w:after="0" w:line="209" w:lineRule="exact"/>
              <w:rPr>
                <w:sz w:val="20"/>
                <w:szCs w:val="20"/>
                <w:color w:val="auto"/>
              </w:rPr>
            </w:pPr>
            <w:r>
              <w:rPr>
                <w:rFonts w:ascii="Arial" w:cs="Arial" w:eastAsia="Arial" w:hAnsi="Arial"/>
                <w:sz w:val="20"/>
                <w:szCs w:val="20"/>
                <w:color w:val="auto"/>
              </w:rPr>
              <w:t>17,048</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20"/>
                <w:szCs w:val="20"/>
                <w:i w:val="1"/>
                <w:iCs w:val="1"/>
                <w:color w:val="auto"/>
              </w:rPr>
              <w:t>Accumulated amortisation and impairment losses</w:t>
            </w: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26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Beginning of financial year</w:t>
            </w:r>
          </w:p>
        </w:tc>
        <w:tc>
          <w:tcPr>
            <w:tcW w:w="16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3,316</w:t>
            </w:r>
          </w:p>
        </w:tc>
        <w:tc>
          <w:tcPr>
            <w:tcW w:w="2380" w:type="dxa"/>
            <w:vAlign w:val="bottom"/>
            <w:gridSpan w:val="3"/>
            <w:shd w:val="clear" w:color="auto" w:fill="CCEEFF"/>
          </w:tcPr>
          <w:p>
            <w:pPr>
              <w:jc w:val="right"/>
              <w:ind w:right="385"/>
              <w:spacing w:after="0" w:line="216" w:lineRule="exact"/>
              <w:rPr>
                <w:sz w:val="20"/>
                <w:szCs w:val="20"/>
                <w:color w:val="auto"/>
              </w:rPr>
            </w:pPr>
            <w:r>
              <w:rPr>
                <w:rFonts w:ascii="Arial" w:cs="Arial" w:eastAsia="Arial" w:hAnsi="Arial"/>
                <w:sz w:val="20"/>
                <w:szCs w:val="20"/>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line="216" w:lineRule="exact"/>
              <w:rPr>
                <w:sz w:val="20"/>
                <w:szCs w:val="20"/>
                <w:color w:val="auto"/>
              </w:rPr>
            </w:pPr>
            <w:r>
              <w:rPr>
                <w:rFonts w:ascii="Arial" w:cs="Arial" w:eastAsia="Arial" w:hAnsi="Arial"/>
                <w:sz w:val="20"/>
                <w:szCs w:val="20"/>
                <w:color w:val="auto"/>
              </w:rPr>
              <w:t>Amortisation charge</w:t>
            </w: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line="216" w:lineRule="exact"/>
              <w:rPr>
                <w:sz w:val="20"/>
                <w:szCs w:val="20"/>
                <w:color w:val="auto"/>
              </w:rPr>
            </w:pPr>
            <w:r>
              <w:rPr>
                <w:rFonts w:ascii="Arial" w:cs="Arial" w:eastAsia="Arial" w:hAnsi="Arial"/>
                <w:sz w:val="20"/>
                <w:szCs w:val="20"/>
                <w:color w:val="auto"/>
              </w:rPr>
              <w:t>- Continuing operations</w:t>
            </w:r>
          </w:p>
        </w:tc>
        <w:tc>
          <w:tcPr>
            <w:tcW w:w="16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4,285</w:t>
            </w:r>
          </w:p>
        </w:tc>
        <w:tc>
          <w:tcPr>
            <w:tcW w:w="2380" w:type="dxa"/>
            <w:vAlign w:val="bottom"/>
            <w:gridSpan w:val="3"/>
            <w:shd w:val="clear" w:color="auto" w:fill="CCEEFF"/>
          </w:tcPr>
          <w:p>
            <w:pPr>
              <w:jc w:val="right"/>
              <w:ind w:right="385"/>
              <w:spacing w:after="0" w:line="216" w:lineRule="exact"/>
              <w:rPr>
                <w:sz w:val="20"/>
                <w:szCs w:val="20"/>
                <w:color w:val="auto"/>
              </w:rPr>
            </w:pPr>
            <w:r>
              <w:rPr>
                <w:rFonts w:ascii="Arial" w:cs="Arial" w:eastAsia="Arial" w:hAnsi="Arial"/>
                <w:sz w:val="20"/>
                <w:szCs w:val="20"/>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line="216" w:lineRule="exact"/>
              <w:rPr>
                <w:sz w:val="20"/>
                <w:szCs w:val="20"/>
                <w:color w:val="auto"/>
              </w:rPr>
            </w:pPr>
            <w:r>
              <w:rPr>
                <w:rFonts w:ascii="Arial" w:cs="Arial" w:eastAsia="Arial" w:hAnsi="Arial"/>
                <w:sz w:val="20"/>
                <w:szCs w:val="20"/>
                <w:color w:val="auto"/>
              </w:rPr>
              <w:t>- Discontinued operations</w:t>
            </w:r>
          </w:p>
        </w:tc>
        <w:tc>
          <w:tcPr>
            <w:tcW w:w="162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380" w:type="dxa"/>
            <w:vAlign w:val="bottom"/>
            <w:gridSpan w:val="3"/>
          </w:tcPr>
          <w:p>
            <w:pPr>
              <w:jc w:val="right"/>
              <w:ind w:right="385"/>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Reclassified to disposal group</w:t>
            </w:r>
          </w:p>
        </w:tc>
        <w:tc>
          <w:tcPr>
            <w:tcW w:w="16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2380" w:type="dxa"/>
            <w:vAlign w:val="bottom"/>
            <w:gridSpan w:val="3"/>
            <w:shd w:val="clear" w:color="auto" w:fill="CCEEFF"/>
          </w:tcPr>
          <w:p>
            <w:pPr>
              <w:jc w:val="right"/>
              <w:ind w:right="385"/>
              <w:spacing w:after="0" w:line="216"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line="216" w:lineRule="exact"/>
              <w:rPr>
                <w:sz w:val="20"/>
                <w:szCs w:val="20"/>
                <w:color w:val="auto"/>
              </w:rPr>
            </w:pPr>
            <w:r>
              <w:rPr>
                <w:rFonts w:ascii="Arial" w:cs="Arial" w:eastAsia="Arial" w:hAnsi="Arial"/>
                <w:sz w:val="20"/>
                <w:szCs w:val="20"/>
                <w:color w:val="auto"/>
              </w:rPr>
              <w:t>Disposals</w:t>
            </w:r>
          </w:p>
        </w:tc>
        <w:tc>
          <w:tcPr>
            <w:tcW w:w="162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380" w:type="dxa"/>
            <w:vAlign w:val="bottom"/>
            <w:gridSpan w:val="3"/>
          </w:tcPr>
          <w:p>
            <w:pPr>
              <w:jc w:val="right"/>
              <w:ind w:right="385"/>
              <w:spacing w:after="0" w:line="21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Impairment and write-offs</w:t>
            </w:r>
          </w:p>
        </w:tc>
        <w:tc>
          <w:tcPr>
            <w:tcW w:w="16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(94)</w:t>
            </w:r>
          </w:p>
        </w:tc>
        <w:tc>
          <w:tcPr>
            <w:tcW w:w="2380" w:type="dxa"/>
            <w:vAlign w:val="bottom"/>
            <w:gridSpan w:val="3"/>
            <w:shd w:val="clear" w:color="auto" w:fill="CCEEFF"/>
          </w:tcPr>
          <w:p>
            <w:pPr>
              <w:jc w:val="right"/>
              <w:ind w:right="385"/>
              <w:spacing w:after="0" w:line="216" w:lineRule="exact"/>
              <w:rPr>
                <w:sz w:val="20"/>
                <w:szCs w:val="20"/>
                <w:color w:val="auto"/>
              </w:rPr>
            </w:pPr>
            <w:r>
              <w:rPr>
                <w:rFonts w:ascii="Arial" w:cs="Arial" w:eastAsia="Arial" w:hAnsi="Arial"/>
                <w:sz w:val="20"/>
                <w:szCs w:val="20"/>
                <w:color w:val="auto"/>
              </w:rPr>
              <w:t>(1,082)</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20"/>
                <w:szCs w:val="20"/>
                <w:color w:val="auto"/>
              </w:rPr>
              <w:t>End of financial year</w:t>
            </w: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gridSpan w:val="2"/>
            <w:vMerge w:val="continue"/>
          </w:tcPr>
          <w:p>
            <w:pPr>
              <w:spacing w:after="0"/>
              <w:rPr>
                <w:sz w:val="18"/>
                <w:szCs w:val="18"/>
                <w:color w:val="auto"/>
              </w:rPr>
            </w:pPr>
          </w:p>
        </w:tc>
        <w:tc>
          <w:tcPr>
            <w:tcW w:w="16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b w:val="1"/>
                <w:bCs w:val="1"/>
                <w:color w:val="auto"/>
              </w:rPr>
              <w:t>7,507</w:t>
            </w:r>
          </w:p>
        </w:tc>
        <w:tc>
          <w:tcPr>
            <w:tcW w:w="2380" w:type="dxa"/>
            <w:vAlign w:val="bottom"/>
            <w:tcBorders>
              <w:bottom w:val="single" w:sz="8" w:color="auto"/>
            </w:tcBorders>
            <w:gridSpan w:val="3"/>
          </w:tcPr>
          <w:p>
            <w:pPr>
              <w:jc w:val="right"/>
              <w:ind w:right="385"/>
              <w:spacing w:after="0" w:line="217" w:lineRule="exact"/>
              <w:rPr>
                <w:sz w:val="20"/>
                <w:szCs w:val="20"/>
                <w:color w:val="auto"/>
              </w:rPr>
            </w:pPr>
            <w:r>
              <w:rPr>
                <w:rFonts w:ascii="Arial" w:cs="Arial" w:eastAsia="Arial" w:hAnsi="Arial"/>
                <w:sz w:val="20"/>
                <w:szCs w:val="20"/>
                <w:color w:val="auto"/>
              </w:rPr>
              <w:t>3,316</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i w:val="1"/>
                <w:iCs w:val="1"/>
                <w:color w:val="auto"/>
              </w:rPr>
              <w:t>Net book value</w:t>
            </w:r>
          </w:p>
        </w:tc>
        <w:tc>
          <w:tcPr>
            <w:tcW w:w="16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10,120</w:t>
            </w:r>
          </w:p>
        </w:tc>
        <w:tc>
          <w:tcPr>
            <w:tcW w:w="2380" w:type="dxa"/>
            <w:vAlign w:val="bottom"/>
            <w:gridSpan w:val="3"/>
            <w:shd w:val="clear" w:color="auto" w:fill="CCEEFF"/>
          </w:tcPr>
          <w:p>
            <w:pPr>
              <w:jc w:val="right"/>
              <w:ind w:right="385"/>
              <w:spacing w:after="0" w:line="216" w:lineRule="exact"/>
              <w:rPr>
                <w:sz w:val="20"/>
                <w:szCs w:val="20"/>
                <w:color w:val="auto"/>
              </w:rPr>
            </w:pPr>
            <w:r>
              <w:rPr>
                <w:rFonts w:ascii="Arial" w:cs="Arial" w:eastAsia="Arial" w:hAnsi="Arial"/>
                <w:sz w:val="20"/>
                <w:szCs w:val="20"/>
                <w:color w:val="auto"/>
              </w:rPr>
              <w:t>13,732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In financial year 2016, US$12,871 million of finite-lived intangible assets were acquired in business combinations, of which US$12,858 million were acquired in the Broadcom Merger (Note 31(a)(vi)).</w:t>
      </w:r>
    </w:p>
    <w:p>
      <w:pPr>
        <w:spacing w:after="0" w:line="22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IPR&amp;D</w:t>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820" w:type="dxa"/>
            <w:vAlign w:val="bottom"/>
            <w:vMerge w:val="restart"/>
          </w:tcPr>
          <w:p>
            <w:pPr>
              <w:jc w:val="right"/>
              <w:ind w:right="462"/>
              <w:spacing w:after="0"/>
              <w:rPr>
                <w:sz w:val="20"/>
                <w:szCs w:val="20"/>
                <w:color w:val="auto"/>
              </w:rPr>
            </w:pPr>
            <w:r>
              <w:rPr>
                <w:rFonts w:ascii="Arial" w:cs="Arial" w:eastAsia="Arial" w:hAnsi="Arial"/>
                <w:sz w:val="20"/>
                <w:szCs w:val="20"/>
                <w:b w:val="1"/>
                <w:bCs w:val="1"/>
                <w:color w:val="auto"/>
              </w:rPr>
              <w:t>2017</w:t>
            </w:r>
          </w:p>
        </w:tc>
        <w:tc>
          <w:tcPr>
            <w:tcW w:w="2460" w:type="dxa"/>
            <w:vAlign w:val="bottom"/>
            <w:gridSpan w:val="2"/>
          </w:tcPr>
          <w:p>
            <w:pPr>
              <w:jc w:val="right"/>
              <w:ind w:right="1825"/>
              <w:spacing w:after="0"/>
              <w:rPr>
                <w:sz w:val="20"/>
                <w:szCs w:val="20"/>
                <w:color w:val="auto"/>
              </w:rPr>
            </w:pPr>
            <w:r>
              <w:rPr>
                <w:rFonts w:ascii="Arial" w:cs="Arial" w:eastAsia="Arial" w:hAnsi="Arial"/>
                <w:sz w:val="20"/>
                <w:szCs w:val="20"/>
                <w:color w:val="auto"/>
                <w:w w:val="93"/>
              </w:rPr>
              <w:t>Group</w:t>
            </w:r>
          </w:p>
        </w:tc>
        <w:tc>
          <w:tcPr>
            <w:tcW w:w="0" w:type="dxa"/>
            <w:vAlign w:val="bottom"/>
          </w:tcPr>
          <w:p>
            <w:pPr>
              <w:spacing w:after="0"/>
              <w:rPr>
                <w:sz w:val="1"/>
                <w:szCs w:val="1"/>
                <w:color w:val="auto"/>
              </w:rPr>
            </w:pPr>
          </w:p>
        </w:tc>
      </w:tr>
      <w:tr>
        <w:trPr>
          <w:trHeight w:val="177"/>
        </w:trPr>
        <w:tc>
          <w:tcPr>
            <w:tcW w:w="7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920" w:type="dxa"/>
            <w:vAlign w:val="bottom"/>
          </w:tcPr>
          <w:p>
            <w:pPr>
              <w:jc w:val="right"/>
              <w:ind w:right="785"/>
              <w:spacing w:after="0" w:line="177"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820" w:type="dxa"/>
            <w:vAlign w:val="bottom"/>
          </w:tcPr>
          <w:p>
            <w:pPr>
              <w:jc w:val="right"/>
              <w:ind w:right="82"/>
              <w:spacing w:after="0"/>
              <w:rPr>
                <w:sz w:val="20"/>
                <w:szCs w:val="20"/>
                <w:color w:val="auto"/>
              </w:rPr>
            </w:pPr>
            <w:r>
              <w:rPr>
                <w:rFonts w:ascii="Arial" w:cs="Arial" w:eastAsia="Arial" w:hAnsi="Arial"/>
                <w:sz w:val="18"/>
                <w:szCs w:val="18"/>
                <w:b w:val="1"/>
                <w:bCs w:val="1"/>
                <w:color w:val="auto"/>
              </w:rPr>
              <w:t>(US$ millions)</w:t>
            </w:r>
          </w:p>
        </w:tc>
        <w:tc>
          <w:tcPr>
            <w:tcW w:w="540" w:type="dxa"/>
            <w:vAlign w:val="bottom"/>
          </w:tcPr>
          <w:p>
            <w:pPr>
              <w:spacing w:after="0"/>
              <w:rPr>
                <w:sz w:val="20"/>
                <w:szCs w:val="20"/>
                <w:color w:val="auto"/>
              </w:rPr>
            </w:pPr>
          </w:p>
        </w:tc>
        <w:tc>
          <w:tcPr>
            <w:tcW w:w="1920" w:type="dxa"/>
            <w:vAlign w:val="bottom"/>
          </w:tcPr>
          <w:p>
            <w:pPr>
              <w:jc w:val="right"/>
              <w:ind w:right="445"/>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960" w:type="dxa"/>
            <w:vAlign w:val="bottom"/>
            <w:shd w:val="clear" w:color="auto" w:fill="CCEEFF"/>
          </w:tcPr>
          <w:p>
            <w:pPr>
              <w:spacing w:after="0" w:line="216" w:lineRule="exact"/>
              <w:rPr>
                <w:sz w:val="20"/>
                <w:szCs w:val="20"/>
                <w:color w:val="auto"/>
              </w:rPr>
            </w:pPr>
            <w:r>
              <w:rPr>
                <w:rFonts w:ascii="Arial" w:cs="Arial" w:eastAsia="Arial" w:hAnsi="Arial"/>
                <w:sz w:val="20"/>
                <w:szCs w:val="20"/>
                <w:i w:val="1"/>
                <w:iCs w:val="1"/>
                <w:color w:val="auto"/>
              </w:rPr>
              <w:t>Cost</w:t>
            </w:r>
          </w:p>
        </w:tc>
        <w:tc>
          <w:tcPr>
            <w:tcW w:w="1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960" w:type="dxa"/>
            <w:vAlign w:val="bottom"/>
          </w:tcPr>
          <w:p>
            <w:pPr>
              <w:spacing w:after="0" w:line="216" w:lineRule="exact"/>
              <w:rPr>
                <w:sz w:val="20"/>
                <w:szCs w:val="20"/>
                <w:color w:val="auto"/>
              </w:rPr>
            </w:pPr>
            <w:r>
              <w:rPr>
                <w:rFonts w:ascii="Arial" w:cs="Arial" w:eastAsia="Arial" w:hAnsi="Arial"/>
                <w:sz w:val="20"/>
                <w:szCs w:val="20"/>
                <w:color w:val="auto"/>
              </w:rPr>
              <w:t>Beginning of financial year</w:t>
            </w:r>
          </w:p>
        </w:tc>
        <w:tc>
          <w:tcPr>
            <w:tcW w:w="1820" w:type="dxa"/>
            <w:vAlign w:val="bottom"/>
          </w:tcPr>
          <w:p>
            <w:pPr>
              <w:jc w:val="right"/>
              <w:ind w:right="82"/>
              <w:spacing w:after="0" w:line="216" w:lineRule="exact"/>
              <w:rPr>
                <w:sz w:val="20"/>
                <w:szCs w:val="20"/>
                <w:color w:val="auto"/>
              </w:rPr>
            </w:pPr>
            <w:r>
              <w:rPr>
                <w:rFonts w:ascii="Arial" w:cs="Arial" w:eastAsia="Arial" w:hAnsi="Arial"/>
                <w:sz w:val="20"/>
                <w:szCs w:val="20"/>
                <w:b w:val="1"/>
                <w:bCs w:val="1"/>
                <w:color w:val="auto"/>
              </w:rPr>
              <w:t>1,336</w:t>
            </w:r>
          </w:p>
        </w:tc>
        <w:tc>
          <w:tcPr>
            <w:tcW w:w="2460" w:type="dxa"/>
            <w:vAlign w:val="bottom"/>
            <w:gridSpan w:val="2"/>
          </w:tcPr>
          <w:p>
            <w:pPr>
              <w:jc w:val="right"/>
              <w:ind w:right="445"/>
              <w:spacing w:after="0" w:line="216" w:lineRule="exact"/>
              <w:rPr>
                <w:sz w:val="20"/>
                <w:szCs w:val="20"/>
                <w:color w:val="auto"/>
              </w:rPr>
            </w:pPr>
            <w:r>
              <w:rPr>
                <w:rFonts w:ascii="Arial" w:cs="Arial" w:eastAsia="Arial" w:hAnsi="Arial"/>
                <w:sz w:val="20"/>
                <w:szCs w:val="20"/>
                <w:color w:val="auto"/>
              </w:rPr>
              <w:t>125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9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Acquisition of subsidiaries</w:t>
            </w:r>
          </w:p>
        </w:tc>
        <w:tc>
          <w:tcPr>
            <w:tcW w:w="1820" w:type="dxa"/>
            <w:vAlign w:val="bottom"/>
            <w:shd w:val="clear" w:color="auto" w:fill="CCEEFF"/>
          </w:tcPr>
          <w:p>
            <w:pPr>
              <w:jc w:val="right"/>
              <w:ind w:right="82"/>
              <w:spacing w:after="0" w:line="216" w:lineRule="exact"/>
              <w:rPr>
                <w:sz w:val="20"/>
                <w:szCs w:val="20"/>
                <w:color w:val="auto"/>
              </w:rPr>
            </w:pPr>
            <w:r>
              <w:rPr>
                <w:rFonts w:ascii="Arial" w:cs="Arial" w:eastAsia="Arial" w:hAnsi="Arial"/>
                <w:sz w:val="20"/>
                <w:szCs w:val="20"/>
                <w:color w:val="auto"/>
              </w:rPr>
              <w:t>-</w:t>
            </w:r>
          </w:p>
        </w:tc>
        <w:tc>
          <w:tcPr>
            <w:tcW w:w="2460" w:type="dxa"/>
            <w:vAlign w:val="bottom"/>
            <w:gridSpan w:val="2"/>
            <w:shd w:val="clear" w:color="auto" w:fill="CCEEFF"/>
          </w:tcPr>
          <w:p>
            <w:pPr>
              <w:jc w:val="right"/>
              <w:ind w:right="445"/>
              <w:spacing w:after="0" w:line="216" w:lineRule="exact"/>
              <w:rPr>
                <w:sz w:val="20"/>
                <w:szCs w:val="20"/>
                <w:color w:val="auto"/>
              </w:rPr>
            </w:pPr>
            <w:r>
              <w:rPr>
                <w:rFonts w:ascii="Arial" w:cs="Arial" w:eastAsia="Arial" w:hAnsi="Arial"/>
                <w:sz w:val="20"/>
                <w:szCs w:val="20"/>
                <w:color w:val="auto"/>
              </w:rPr>
              <w:t>1,969</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960" w:type="dxa"/>
            <w:vAlign w:val="bottom"/>
          </w:tcPr>
          <w:p>
            <w:pPr>
              <w:spacing w:after="0" w:line="216" w:lineRule="exact"/>
              <w:rPr>
                <w:sz w:val="20"/>
                <w:szCs w:val="20"/>
                <w:color w:val="auto"/>
              </w:rPr>
            </w:pPr>
            <w:r>
              <w:rPr>
                <w:rFonts w:ascii="Arial" w:cs="Arial" w:eastAsia="Arial" w:hAnsi="Arial"/>
                <w:sz w:val="20"/>
                <w:szCs w:val="20"/>
                <w:color w:val="auto"/>
              </w:rPr>
              <w:t>Reclassified to acquired finite-lived intangible assets</w:t>
            </w:r>
          </w:p>
        </w:tc>
        <w:tc>
          <w:tcPr>
            <w:tcW w:w="1820" w:type="dxa"/>
            <w:vAlign w:val="bottom"/>
          </w:tcPr>
          <w:p>
            <w:pPr>
              <w:jc w:val="right"/>
              <w:ind w:right="82"/>
              <w:spacing w:after="0" w:line="216" w:lineRule="exact"/>
              <w:rPr>
                <w:sz w:val="20"/>
                <w:szCs w:val="20"/>
                <w:color w:val="auto"/>
              </w:rPr>
            </w:pPr>
            <w:r>
              <w:rPr>
                <w:rFonts w:ascii="Arial" w:cs="Arial" w:eastAsia="Arial" w:hAnsi="Arial"/>
                <w:sz w:val="20"/>
                <w:szCs w:val="20"/>
                <w:b w:val="1"/>
                <w:bCs w:val="1"/>
                <w:color w:val="auto"/>
              </w:rPr>
              <w:t>(611)</w:t>
            </w:r>
          </w:p>
        </w:tc>
        <w:tc>
          <w:tcPr>
            <w:tcW w:w="2460" w:type="dxa"/>
            <w:vAlign w:val="bottom"/>
            <w:gridSpan w:val="2"/>
          </w:tcPr>
          <w:p>
            <w:pPr>
              <w:jc w:val="right"/>
              <w:ind w:right="445"/>
              <w:spacing w:after="0" w:line="216" w:lineRule="exact"/>
              <w:rPr>
                <w:sz w:val="20"/>
                <w:szCs w:val="20"/>
                <w:color w:val="auto"/>
              </w:rPr>
            </w:pPr>
            <w:r>
              <w:rPr>
                <w:rFonts w:ascii="Arial" w:cs="Arial" w:eastAsia="Arial" w:hAnsi="Arial"/>
                <w:sz w:val="20"/>
                <w:szCs w:val="20"/>
                <w:color w:val="auto"/>
              </w:rPr>
              <w:t>(341)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9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Write-offs</w:t>
            </w:r>
          </w:p>
        </w:tc>
        <w:tc>
          <w:tcPr>
            <w:tcW w:w="1820" w:type="dxa"/>
            <w:vAlign w:val="bottom"/>
            <w:shd w:val="clear" w:color="auto" w:fill="CCEEFF"/>
          </w:tcPr>
          <w:p>
            <w:pPr>
              <w:jc w:val="right"/>
              <w:ind w:right="82"/>
              <w:spacing w:after="0" w:line="216" w:lineRule="exact"/>
              <w:rPr>
                <w:sz w:val="20"/>
                <w:szCs w:val="20"/>
                <w:color w:val="auto"/>
              </w:rPr>
            </w:pPr>
            <w:r>
              <w:rPr>
                <w:rFonts w:ascii="Arial" w:cs="Arial" w:eastAsia="Arial" w:hAnsi="Arial"/>
                <w:sz w:val="20"/>
                <w:szCs w:val="20"/>
                <w:b w:val="1"/>
                <w:bCs w:val="1"/>
                <w:color w:val="auto"/>
              </w:rPr>
              <w:t>(13)</w:t>
            </w:r>
          </w:p>
        </w:tc>
        <w:tc>
          <w:tcPr>
            <w:tcW w:w="2460" w:type="dxa"/>
            <w:vAlign w:val="bottom"/>
            <w:gridSpan w:val="2"/>
            <w:shd w:val="clear" w:color="auto" w:fill="CCEEFF"/>
          </w:tcPr>
          <w:p>
            <w:pPr>
              <w:jc w:val="right"/>
              <w:ind w:right="445"/>
              <w:spacing w:after="0" w:line="216" w:lineRule="exact"/>
              <w:rPr>
                <w:sz w:val="20"/>
                <w:szCs w:val="20"/>
                <w:color w:val="auto"/>
              </w:rPr>
            </w:pPr>
            <w:r>
              <w:rPr>
                <w:rFonts w:ascii="Arial" w:cs="Arial" w:eastAsia="Arial" w:hAnsi="Arial"/>
                <w:sz w:val="20"/>
                <w:szCs w:val="20"/>
                <w:color w:val="auto"/>
              </w:rPr>
              <w:t>(417)</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59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20"/>
                <w:szCs w:val="20"/>
                <w:color w:val="auto"/>
              </w:rPr>
              <w:t>End of financial year</w:t>
            </w:r>
          </w:p>
        </w:tc>
        <w:tc>
          <w:tcPr>
            <w:tcW w:w="1820" w:type="dxa"/>
            <w:vAlign w:val="bottom"/>
            <w:tcBorders>
              <w:top w:val="single" w:sz="8" w:color="auto"/>
            </w:tcBorders>
            <w:shd w:val="clear" w:color="auto" w:fill="CCEEFF"/>
          </w:tcPr>
          <w:p>
            <w:pPr>
              <w:jc w:val="right"/>
              <w:ind w:right="82"/>
              <w:spacing w:after="0" w:line="203" w:lineRule="exact"/>
              <w:rPr>
                <w:sz w:val="20"/>
                <w:szCs w:val="20"/>
                <w:color w:val="auto"/>
              </w:rPr>
            </w:pPr>
            <w:r>
              <w:rPr>
                <w:rFonts w:ascii="Arial" w:cs="Arial" w:eastAsia="Arial" w:hAnsi="Arial"/>
                <w:sz w:val="20"/>
                <w:szCs w:val="20"/>
                <w:b w:val="1"/>
                <w:bCs w:val="1"/>
                <w:color w:val="auto"/>
              </w:rPr>
              <w:t>712</w:t>
            </w:r>
          </w:p>
        </w:tc>
        <w:tc>
          <w:tcPr>
            <w:tcW w:w="2460" w:type="dxa"/>
            <w:vAlign w:val="bottom"/>
            <w:tcBorders>
              <w:top w:val="single" w:sz="8" w:color="auto"/>
            </w:tcBorders>
            <w:gridSpan w:val="2"/>
            <w:shd w:val="clear" w:color="auto" w:fill="CCEEFF"/>
          </w:tcPr>
          <w:p>
            <w:pPr>
              <w:jc w:val="right"/>
              <w:ind w:right="445"/>
              <w:spacing w:after="0" w:line="203" w:lineRule="exact"/>
              <w:rPr>
                <w:sz w:val="20"/>
                <w:szCs w:val="20"/>
                <w:color w:val="auto"/>
              </w:rPr>
            </w:pPr>
            <w:r>
              <w:rPr>
                <w:rFonts w:ascii="Arial" w:cs="Arial" w:eastAsia="Arial" w:hAnsi="Arial"/>
                <w:sz w:val="20"/>
                <w:szCs w:val="20"/>
                <w:color w:val="auto"/>
              </w:rPr>
              <w:t>1,336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5960" w:type="dxa"/>
            <w:vAlign w:val="bottom"/>
            <w:shd w:val="clear" w:color="auto" w:fill="CCEEFF"/>
          </w:tcPr>
          <w:p>
            <w:pPr>
              <w:spacing w:after="0" w:line="203" w:lineRule="exact"/>
              <w:rPr>
                <w:sz w:val="20"/>
                <w:szCs w:val="20"/>
                <w:color w:val="auto"/>
              </w:rPr>
            </w:pPr>
            <w:r>
              <w:rPr>
                <w:rFonts w:ascii="Arial" w:cs="Arial" w:eastAsia="Arial" w:hAnsi="Arial"/>
                <w:sz w:val="20"/>
                <w:szCs w:val="20"/>
                <w:i w:val="1"/>
                <w:iCs w:val="1"/>
                <w:color w:val="auto"/>
              </w:rPr>
              <w:t>Accumulated impairment losses</w:t>
            </w:r>
          </w:p>
        </w:tc>
        <w:tc>
          <w:tcPr>
            <w:tcW w:w="1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960" w:type="dxa"/>
            <w:vAlign w:val="bottom"/>
          </w:tcPr>
          <w:p>
            <w:pPr>
              <w:spacing w:after="0" w:line="216" w:lineRule="exact"/>
              <w:rPr>
                <w:sz w:val="20"/>
                <w:szCs w:val="20"/>
                <w:color w:val="auto"/>
              </w:rPr>
            </w:pPr>
            <w:r>
              <w:rPr>
                <w:rFonts w:ascii="Arial" w:cs="Arial" w:eastAsia="Arial" w:hAnsi="Arial"/>
                <w:sz w:val="20"/>
                <w:szCs w:val="20"/>
                <w:color w:val="auto"/>
              </w:rPr>
              <w:t>Beginning and end of financial year</w:t>
            </w:r>
          </w:p>
        </w:tc>
        <w:tc>
          <w:tcPr>
            <w:tcW w:w="1820" w:type="dxa"/>
            <w:vAlign w:val="bottom"/>
          </w:tcPr>
          <w:p>
            <w:pPr>
              <w:jc w:val="right"/>
              <w:ind w:right="82"/>
              <w:spacing w:after="0" w:line="216" w:lineRule="exact"/>
              <w:rPr>
                <w:sz w:val="20"/>
                <w:szCs w:val="20"/>
                <w:color w:val="auto"/>
              </w:rPr>
            </w:pPr>
            <w:r>
              <w:rPr>
                <w:rFonts w:ascii="Arial" w:cs="Arial" w:eastAsia="Arial" w:hAnsi="Arial"/>
                <w:sz w:val="20"/>
                <w:szCs w:val="20"/>
                <w:b w:val="1"/>
                <w:bCs w:val="1"/>
                <w:color w:val="auto"/>
              </w:rPr>
              <w:t>-</w:t>
            </w:r>
          </w:p>
        </w:tc>
        <w:tc>
          <w:tcPr>
            <w:tcW w:w="2460" w:type="dxa"/>
            <w:vAlign w:val="bottom"/>
            <w:gridSpan w:val="2"/>
          </w:tcPr>
          <w:p>
            <w:pPr>
              <w:jc w:val="right"/>
              <w:ind w:right="445"/>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96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i w:val="1"/>
                <w:iCs w:val="1"/>
                <w:color w:val="auto"/>
              </w:rPr>
              <w:t>Net book value</w:t>
            </w:r>
          </w:p>
        </w:tc>
        <w:tc>
          <w:tcPr>
            <w:tcW w:w="1820" w:type="dxa"/>
            <w:vAlign w:val="bottom"/>
            <w:shd w:val="clear" w:color="auto" w:fill="CCEEFF"/>
          </w:tcPr>
          <w:p>
            <w:pPr>
              <w:jc w:val="right"/>
              <w:ind w:right="82"/>
              <w:spacing w:after="0" w:line="216" w:lineRule="exact"/>
              <w:rPr>
                <w:sz w:val="20"/>
                <w:szCs w:val="20"/>
                <w:color w:val="auto"/>
              </w:rPr>
            </w:pPr>
            <w:r>
              <w:rPr>
                <w:rFonts w:ascii="Arial" w:cs="Arial" w:eastAsia="Arial" w:hAnsi="Arial"/>
                <w:sz w:val="20"/>
                <w:szCs w:val="20"/>
                <w:b w:val="1"/>
                <w:bCs w:val="1"/>
                <w:color w:val="auto"/>
              </w:rPr>
              <w:t>712</w:t>
            </w:r>
          </w:p>
        </w:tc>
        <w:tc>
          <w:tcPr>
            <w:tcW w:w="2460" w:type="dxa"/>
            <w:vAlign w:val="bottom"/>
            <w:gridSpan w:val="2"/>
            <w:shd w:val="clear" w:color="auto" w:fill="CCEEFF"/>
          </w:tcPr>
          <w:p>
            <w:pPr>
              <w:jc w:val="right"/>
              <w:ind w:right="445"/>
              <w:spacing w:after="0" w:line="216" w:lineRule="exact"/>
              <w:rPr>
                <w:sz w:val="20"/>
                <w:szCs w:val="20"/>
                <w:color w:val="auto"/>
              </w:rPr>
            </w:pPr>
            <w:r>
              <w:rPr>
                <w:rFonts w:ascii="Arial" w:cs="Arial" w:eastAsia="Arial" w:hAnsi="Arial"/>
                <w:sz w:val="20"/>
                <w:szCs w:val="20"/>
                <w:color w:val="auto"/>
              </w:rPr>
              <w:t>1,336</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spacing w:after="0"/>
              <w:rPr>
                <w:sz w:val="14"/>
                <w:szCs w:val="14"/>
                <w:color w:val="auto"/>
              </w:rPr>
            </w:pPr>
          </w:p>
        </w:tc>
        <w:tc>
          <w:tcPr>
            <w:tcW w:w="59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5960" w:type="dxa"/>
            <w:vAlign w:val="bottom"/>
          </w:tcPr>
          <w:p>
            <w:pPr>
              <w:ind w:left="4520"/>
              <w:spacing w:after="0"/>
              <w:rPr>
                <w:sz w:val="20"/>
                <w:szCs w:val="20"/>
                <w:color w:val="auto"/>
              </w:rPr>
            </w:pPr>
            <w:r>
              <w:rPr>
                <w:rFonts w:ascii="Arial" w:cs="Arial" w:eastAsia="Arial" w:hAnsi="Arial"/>
                <w:sz w:val="18"/>
                <w:szCs w:val="18"/>
                <w:color w:val="auto"/>
              </w:rPr>
              <w:t>A-77</w:t>
            </w:r>
          </w:p>
        </w:tc>
        <w:tc>
          <w:tcPr>
            <w:tcW w:w="1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IPR&amp;D (continued)</w:t>
      </w:r>
    </w:p>
    <w:p>
      <w:pPr>
        <w:spacing w:after="0" w:line="144" w:lineRule="exact"/>
        <w:rPr>
          <w:rFonts w:ascii="Arial" w:cs="Arial" w:eastAsia="Arial" w:hAnsi="Arial"/>
          <w:sz w:val="18"/>
          <w:szCs w:val="18"/>
          <w:color w:val="auto"/>
        </w:rPr>
      </w:pPr>
    </w:p>
    <w:p>
      <w:pPr>
        <w:ind w:left="980" w:right="20"/>
        <w:spacing w:after="0" w:line="246" w:lineRule="auto"/>
        <w:rPr>
          <w:rFonts w:ascii="Arial" w:cs="Arial" w:eastAsia="Arial" w:hAnsi="Arial"/>
          <w:sz w:val="18"/>
          <w:szCs w:val="18"/>
          <w:color w:val="auto"/>
        </w:rPr>
      </w:pPr>
      <w:r>
        <w:rPr>
          <w:rFonts w:ascii="Arial" w:cs="Arial" w:eastAsia="Arial" w:hAnsi="Arial"/>
          <w:sz w:val="18"/>
          <w:szCs w:val="18"/>
          <w:color w:val="auto"/>
        </w:rPr>
        <w:t>During financial year 2016, US$1,969 million of IPR&amp;D were acquired in business combinations, of which US$1,950 million were acquired in the Broadcom Merger (Note 31(a)(vi)).</w:t>
      </w:r>
    </w:p>
    <w:p>
      <w:pPr>
        <w:spacing w:after="0" w:line="223" w:lineRule="exact"/>
        <w:rPr>
          <w:rFonts w:ascii="Arial" w:cs="Arial" w:eastAsia="Arial" w:hAnsi="Arial"/>
          <w:sz w:val="18"/>
          <w:szCs w:val="18"/>
          <w:color w:val="auto"/>
        </w:rPr>
      </w:pPr>
    </w:p>
    <w:p>
      <w:pPr>
        <w:ind w:left="980" w:hanging="776"/>
        <w:spacing w:after="0"/>
        <w:tabs>
          <w:tab w:leader="none" w:pos="9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Amortisation expense included in the statement of comprehensive income is analysed as follows:</w:t>
      </w:r>
    </w:p>
    <w:p>
      <w:pPr>
        <w:spacing w:after="0" w:line="222"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920" w:type="dxa"/>
            <w:vAlign w:val="bottom"/>
            <w:vMerge w:val="restart"/>
          </w:tcPr>
          <w:p>
            <w:pPr>
              <w:jc w:val="center"/>
              <w:ind w:left="384"/>
              <w:spacing w:after="0"/>
              <w:rPr>
                <w:sz w:val="20"/>
                <w:szCs w:val="20"/>
                <w:color w:val="auto"/>
              </w:rPr>
            </w:pPr>
            <w:r>
              <w:rPr>
                <w:rFonts w:ascii="Arial" w:cs="Arial" w:eastAsia="Arial" w:hAnsi="Arial"/>
                <w:sz w:val="20"/>
                <w:szCs w:val="20"/>
                <w:b w:val="1"/>
                <w:bCs w:val="1"/>
                <w:color w:val="auto"/>
                <w:w w:val="98"/>
              </w:rPr>
              <w:t>2017</w:t>
            </w:r>
          </w:p>
        </w:tc>
        <w:tc>
          <w:tcPr>
            <w:tcW w:w="1740" w:type="dxa"/>
            <w:vAlign w:val="bottom"/>
            <w:gridSpan w:val="2"/>
          </w:tcPr>
          <w:p>
            <w:pPr>
              <w:jc w:val="right"/>
              <w:ind w:right="1081"/>
              <w:spacing w:after="0"/>
              <w:rPr>
                <w:sz w:val="20"/>
                <w:szCs w:val="20"/>
                <w:color w:val="auto"/>
              </w:rPr>
            </w:pPr>
            <w:r>
              <w:rPr>
                <w:rFonts w:ascii="Arial" w:cs="Arial" w:eastAsia="Arial" w:hAnsi="Arial"/>
                <w:sz w:val="20"/>
                <w:szCs w:val="20"/>
                <w:color w:val="auto"/>
                <w:w w:val="97"/>
              </w:rPr>
              <w:t>Group</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180" w:type="dxa"/>
            <w:vAlign w:val="bottom"/>
          </w:tcPr>
          <w:p>
            <w:pPr>
              <w:jc w:val="right"/>
              <w:ind w:right="321"/>
              <w:spacing w:after="0" w:line="177"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920" w:type="dxa"/>
            <w:vAlign w:val="bottom"/>
          </w:tcPr>
          <w:p>
            <w:pPr>
              <w:jc w:val="center"/>
              <w:ind w:left="364"/>
              <w:spacing w:after="0" w:line="202" w:lineRule="exact"/>
              <w:rPr>
                <w:sz w:val="20"/>
                <w:szCs w:val="20"/>
                <w:color w:val="auto"/>
              </w:rPr>
            </w:pPr>
            <w:r>
              <w:rPr>
                <w:rFonts w:ascii="Arial" w:cs="Arial" w:eastAsia="Arial" w:hAnsi="Arial"/>
                <w:sz w:val="18"/>
                <w:szCs w:val="18"/>
                <w:b w:val="1"/>
                <w:bCs w:val="1"/>
                <w:color w:val="auto"/>
              </w:rPr>
              <w:t>(US$</w:t>
            </w: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920" w:type="dxa"/>
            <w:vAlign w:val="bottom"/>
          </w:tcPr>
          <w:p>
            <w:pPr>
              <w:jc w:val="center"/>
              <w:ind w:left="364"/>
              <w:spacing w:after="0"/>
              <w:rPr>
                <w:sz w:val="20"/>
                <w:szCs w:val="20"/>
                <w:color w:val="auto"/>
              </w:rPr>
            </w:pPr>
            <w:r>
              <w:rPr>
                <w:rFonts w:ascii="Arial" w:cs="Arial" w:eastAsia="Arial" w:hAnsi="Arial"/>
                <w:sz w:val="18"/>
                <w:szCs w:val="18"/>
                <w:b w:val="1"/>
                <w:bCs w:val="1"/>
                <w:color w:val="auto"/>
                <w:w w:val="99"/>
              </w:rPr>
              <w:t>millions)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Cost of sales</w:t>
            </w:r>
          </w:p>
        </w:tc>
        <w:tc>
          <w:tcPr>
            <w:tcW w:w="1920" w:type="dxa"/>
            <w:vAlign w:val="bottom"/>
            <w:shd w:val="clear" w:color="auto" w:fill="CCEEFF"/>
          </w:tcPr>
          <w:p>
            <w:pPr>
              <w:jc w:val="right"/>
              <w:ind w:right="264"/>
              <w:spacing w:after="0" w:line="216" w:lineRule="exact"/>
              <w:rPr>
                <w:sz w:val="20"/>
                <w:szCs w:val="20"/>
                <w:color w:val="auto"/>
              </w:rPr>
            </w:pPr>
            <w:r>
              <w:rPr>
                <w:rFonts w:ascii="Arial" w:cs="Arial" w:eastAsia="Arial" w:hAnsi="Arial"/>
                <w:sz w:val="20"/>
                <w:szCs w:val="20"/>
                <w:b w:val="1"/>
                <w:bCs w:val="1"/>
                <w:color w:val="auto"/>
              </w:rPr>
              <w:t>2,511</w:t>
            </w:r>
          </w:p>
        </w:tc>
        <w:tc>
          <w:tcPr>
            <w:tcW w:w="17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line="216" w:lineRule="exact"/>
              <w:rPr>
                <w:sz w:val="20"/>
                <w:szCs w:val="20"/>
                <w:color w:val="auto"/>
              </w:rPr>
            </w:pPr>
            <w:r>
              <w:rPr>
                <w:rFonts w:ascii="Arial" w:cs="Arial" w:eastAsia="Arial" w:hAnsi="Arial"/>
                <w:sz w:val="20"/>
                <w:szCs w:val="20"/>
                <w:color w:val="auto"/>
              </w:rPr>
              <w:t>Research and development</w:t>
            </w:r>
          </w:p>
        </w:tc>
        <w:tc>
          <w:tcPr>
            <w:tcW w:w="1920" w:type="dxa"/>
            <w:vAlign w:val="bottom"/>
          </w:tcPr>
          <w:p>
            <w:pPr>
              <w:jc w:val="right"/>
              <w:ind w:right="264"/>
              <w:spacing w:after="0" w:line="216" w:lineRule="exact"/>
              <w:rPr>
                <w:sz w:val="20"/>
                <w:szCs w:val="20"/>
                <w:color w:val="auto"/>
              </w:rPr>
            </w:pPr>
            <w:r>
              <w:rPr>
                <w:rFonts w:ascii="Arial" w:cs="Arial" w:eastAsia="Arial" w:hAnsi="Arial"/>
                <w:sz w:val="20"/>
                <w:szCs w:val="20"/>
                <w:b w:val="1"/>
                <w:bCs w:val="1"/>
                <w:color w:val="auto"/>
              </w:rPr>
              <w:t>10</w:t>
            </w:r>
          </w:p>
        </w:tc>
        <w:tc>
          <w:tcPr>
            <w:tcW w:w="17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Administrative</w:t>
            </w:r>
          </w:p>
        </w:tc>
        <w:tc>
          <w:tcPr>
            <w:tcW w:w="1920" w:type="dxa"/>
            <w:vAlign w:val="bottom"/>
            <w:shd w:val="clear" w:color="auto" w:fill="CCEEFF"/>
          </w:tcPr>
          <w:p>
            <w:pPr>
              <w:jc w:val="right"/>
              <w:ind w:right="264"/>
              <w:spacing w:after="0" w:line="216" w:lineRule="exact"/>
              <w:rPr>
                <w:sz w:val="20"/>
                <w:szCs w:val="20"/>
                <w:color w:val="auto"/>
              </w:rPr>
            </w:pPr>
            <w:r>
              <w:rPr>
                <w:rFonts w:ascii="Arial" w:cs="Arial" w:eastAsia="Arial" w:hAnsi="Arial"/>
                <w:sz w:val="20"/>
                <w:szCs w:val="20"/>
                <w:b w:val="1"/>
                <w:bCs w:val="1"/>
                <w:color w:val="auto"/>
              </w:rPr>
              <w:t>1,764</w:t>
            </w:r>
          </w:p>
        </w:tc>
        <w:tc>
          <w:tcPr>
            <w:tcW w:w="17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1,873</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20"/>
                <w:szCs w:val="20"/>
                <w:color w:val="auto"/>
              </w:rPr>
              <w:t>Total (Note 5)</w:t>
            </w:r>
          </w:p>
        </w:tc>
        <w:tc>
          <w:tcPr>
            <w:tcW w:w="1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00" w:type="dxa"/>
            <w:vAlign w:val="bottom"/>
            <w:gridSpan w:val="2"/>
            <w:vMerge w:val="continue"/>
          </w:tcPr>
          <w:p>
            <w:pPr>
              <w:spacing w:after="0"/>
              <w:rPr>
                <w:sz w:val="19"/>
                <w:szCs w:val="19"/>
                <w:color w:val="auto"/>
              </w:rPr>
            </w:pPr>
          </w:p>
        </w:tc>
        <w:tc>
          <w:tcPr>
            <w:tcW w:w="1920" w:type="dxa"/>
            <w:vAlign w:val="bottom"/>
            <w:tcBorders>
              <w:bottom w:val="single" w:sz="8" w:color="auto"/>
            </w:tcBorders>
          </w:tcPr>
          <w:p>
            <w:pPr>
              <w:jc w:val="right"/>
              <w:ind w:right="264"/>
              <w:spacing w:after="0" w:line="217" w:lineRule="exact"/>
              <w:rPr>
                <w:sz w:val="20"/>
                <w:szCs w:val="20"/>
                <w:color w:val="auto"/>
              </w:rPr>
            </w:pPr>
            <w:r>
              <w:rPr>
                <w:rFonts w:ascii="Arial" w:cs="Arial" w:eastAsia="Arial" w:hAnsi="Arial"/>
                <w:sz w:val="20"/>
                <w:szCs w:val="20"/>
                <w:b w:val="1"/>
                <w:bCs w:val="1"/>
                <w:color w:val="auto"/>
              </w:rPr>
              <w:t>4,285</w:t>
            </w:r>
          </w:p>
        </w:tc>
        <w:tc>
          <w:tcPr>
            <w:tcW w:w="1740" w:type="dxa"/>
            <w:vAlign w:val="bottom"/>
            <w:tcBorders>
              <w:bottom w:val="single" w:sz="8" w:color="auto"/>
            </w:tcBorders>
            <w:gridSpan w:val="2"/>
          </w:tcPr>
          <w:p>
            <w:pPr>
              <w:jc w:val="right"/>
              <w:spacing w:after="0" w:line="217" w:lineRule="exact"/>
              <w:rPr>
                <w:sz w:val="20"/>
                <w:szCs w:val="20"/>
                <w:color w:val="auto"/>
              </w:rPr>
            </w:pPr>
            <w:r>
              <w:rPr>
                <w:rFonts w:ascii="Arial" w:cs="Arial" w:eastAsia="Arial" w:hAnsi="Arial"/>
                <w:sz w:val="20"/>
                <w:szCs w:val="20"/>
                <w:color w:val="auto"/>
              </w:rPr>
              <w:t>2,638</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980" w:hanging="776"/>
        <w:spacing w:after="0"/>
        <w:tabs>
          <w:tab w:leader="none" w:pos="98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Trade payables and other liabilities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740" w:type="dxa"/>
            <w:vAlign w:val="bottom"/>
            <w:gridSpan w:val="2"/>
            <w:vMerge w:val="restart"/>
          </w:tcPr>
          <w:p>
            <w:pPr>
              <w:jc w:val="right"/>
              <w:ind w:right="341"/>
              <w:spacing w:after="0"/>
              <w:rPr>
                <w:sz w:val="20"/>
                <w:szCs w:val="20"/>
                <w:color w:val="auto"/>
              </w:rPr>
            </w:pPr>
            <w:r>
              <w:rPr>
                <w:rFonts w:ascii="Arial" w:cs="Arial" w:eastAsia="Arial" w:hAnsi="Arial"/>
                <w:sz w:val="20"/>
                <w:szCs w:val="20"/>
                <w:b w:val="1"/>
                <w:bCs w:val="1"/>
                <w:color w:val="auto"/>
              </w:rPr>
              <w:t>2017</w:t>
            </w:r>
          </w:p>
        </w:tc>
        <w:tc>
          <w:tcPr>
            <w:tcW w:w="2440" w:type="dxa"/>
            <w:vAlign w:val="bottom"/>
            <w:gridSpan w:val="4"/>
          </w:tcPr>
          <w:p>
            <w:pPr>
              <w:ind w:left="20"/>
              <w:spacing w:after="0"/>
              <w:rPr>
                <w:sz w:val="20"/>
                <w:szCs w:val="20"/>
                <w:color w:val="auto"/>
              </w:rPr>
            </w:pPr>
            <w:r>
              <w:rPr>
                <w:rFonts w:ascii="Arial" w:cs="Arial" w:eastAsia="Arial" w:hAnsi="Arial"/>
                <w:sz w:val="20"/>
                <w:szCs w:val="20"/>
                <w:color w:val="auto"/>
              </w:rPr>
              <w:t>Group</w:t>
            </w:r>
          </w:p>
        </w:tc>
        <w:tc>
          <w:tcPr>
            <w:tcW w:w="1440" w:type="dxa"/>
            <w:vAlign w:val="bottom"/>
            <w:gridSpan w:val="2"/>
            <w:vMerge w:val="restart"/>
          </w:tcPr>
          <w:p>
            <w:pPr>
              <w:jc w:val="right"/>
              <w:ind w:right="121"/>
              <w:spacing w:after="0"/>
              <w:rPr>
                <w:sz w:val="20"/>
                <w:szCs w:val="20"/>
                <w:color w:val="auto"/>
              </w:rPr>
            </w:pPr>
            <w:r>
              <w:rPr>
                <w:rFonts w:ascii="Arial" w:cs="Arial" w:eastAsia="Arial" w:hAnsi="Arial"/>
                <w:sz w:val="20"/>
                <w:szCs w:val="20"/>
                <w:b w:val="1"/>
                <w:bCs w:val="1"/>
                <w:color w:val="auto"/>
              </w:rPr>
              <w:t>2017</w:t>
            </w:r>
          </w:p>
        </w:tc>
        <w:tc>
          <w:tcPr>
            <w:tcW w:w="2000" w:type="dxa"/>
            <w:vAlign w:val="bottom"/>
            <w:gridSpan w:val="4"/>
          </w:tcPr>
          <w:p>
            <w:pPr>
              <w:spacing w:after="0"/>
              <w:rPr>
                <w:sz w:val="20"/>
                <w:szCs w:val="20"/>
                <w:color w:val="auto"/>
              </w:rPr>
            </w:pPr>
            <w:r>
              <w:rPr>
                <w:rFonts w:ascii="Arial" w:cs="Arial" w:eastAsia="Arial" w:hAnsi="Arial"/>
                <w:sz w:val="20"/>
                <w:szCs w:val="20"/>
                <w:color w:val="auto"/>
              </w:rPr>
              <w:t>Company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7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Arial" w:cs="Arial" w:eastAsia="Arial" w:hAnsi="Arial"/>
                <w:sz w:val="20"/>
                <w:szCs w:val="20"/>
                <w:color w:val="auto"/>
              </w:rPr>
              <w:t>2016</w:t>
            </w: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60" w:type="dxa"/>
            <w:vAlign w:val="bottom"/>
            <w:gridSpan w:val="2"/>
          </w:tcPr>
          <w:p>
            <w:pPr>
              <w:jc w:val="right"/>
              <w:ind w:right="500"/>
              <w:spacing w:after="0" w:line="177" w:lineRule="exact"/>
              <w:rPr>
                <w:sz w:val="20"/>
                <w:szCs w:val="20"/>
                <w:color w:val="auto"/>
              </w:rPr>
            </w:pPr>
            <w:r>
              <w:rPr>
                <w:rFonts w:ascii="Arial" w:cs="Arial" w:eastAsia="Arial" w:hAnsi="Arial"/>
                <w:sz w:val="20"/>
                <w:szCs w:val="20"/>
                <w:color w:val="auto"/>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(US$ millions)</w:t>
            </w:r>
          </w:p>
        </w:tc>
        <w:tc>
          <w:tcPr>
            <w:tcW w:w="560" w:type="dxa"/>
            <w:vAlign w:val="bottom"/>
          </w:tcPr>
          <w:p>
            <w:pPr>
              <w:spacing w:after="0"/>
              <w:rPr>
                <w:sz w:val="20"/>
                <w:szCs w:val="20"/>
                <w:color w:val="auto"/>
              </w:rPr>
            </w:pPr>
          </w:p>
        </w:tc>
        <w:tc>
          <w:tcPr>
            <w:tcW w:w="1880" w:type="dxa"/>
            <w:vAlign w:val="bottom"/>
            <w:gridSpan w:val="3"/>
          </w:tcPr>
          <w:p>
            <w:pPr>
              <w:ind w:left="120"/>
              <w:spacing w:after="0"/>
              <w:rPr>
                <w:sz w:val="20"/>
                <w:szCs w:val="20"/>
                <w:color w:val="auto"/>
              </w:rPr>
            </w:pPr>
            <w:r>
              <w:rPr>
                <w:rFonts w:ascii="Arial" w:cs="Arial" w:eastAsia="Arial" w:hAnsi="Arial"/>
                <w:sz w:val="18"/>
                <w:szCs w:val="18"/>
                <w:color w:val="auto"/>
              </w:rPr>
              <w:t>(US$ millions)</w:t>
            </w:r>
          </w:p>
        </w:tc>
        <w:tc>
          <w:tcPr>
            <w:tcW w:w="1880" w:type="dxa"/>
            <w:vAlign w:val="bottom"/>
            <w:gridSpan w:val="3"/>
          </w:tcPr>
          <w:p>
            <w:pPr>
              <w:ind w:left="400"/>
              <w:spacing w:after="0"/>
              <w:rPr>
                <w:sz w:val="20"/>
                <w:szCs w:val="20"/>
                <w:color w:val="auto"/>
              </w:rPr>
            </w:pPr>
            <w:r>
              <w:rPr>
                <w:rFonts w:ascii="Arial" w:cs="Arial" w:eastAsia="Arial" w:hAnsi="Arial"/>
                <w:sz w:val="18"/>
                <w:szCs w:val="18"/>
                <w:b w:val="1"/>
                <w:bCs w:val="1"/>
                <w:color w:val="auto"/>
              </w:rPr>
              <w:t>(US$ millions)</w:t>
            </w:r>
          </w:p>
        </w:tc>
        <w:tc>
          <w:tcPr>
            <w:tcW w:w="1560" w:type="dxa"/>
            <w:vAlign w:val="bottom"/>
            <w:gridSpan w:val="3"/>
          </w:tcPr>
          <w:p>
            <w:pPr>
              <w:jc w:val="center"/>
              <w:ind w:left="22"/>
              <w:spacing w:after="0"/>
              <w:rPr>
                <w:sz w:val="20"/>
                <w:szCs w:val="20"/>
                <w:color w:val="auto"/>
              </w:rPr>
            </w:pPr>
            <w:r>
              <w:rPr>
                <w:rFonts w:ascii="Arial" w:cs="Arial" w:eastAsia="Arial" w:hAnsi="Arial"/>
                <w:sz w:val="18"/>
                <w:szCs w:val="18"/>
                <w:color w:val="auto"/>
                <w:w w:val="99"/>
              </w:rPr>
              <w:t>(US$ millions)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6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20"/>
                <w:szCs w:val="20"/>
                <w:i w:val="1"/>
                <w:iCs w:val="1"/>
                <w:color w:val="auto"/>
              </w:rPr>
              <w:t>Current</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62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Trade payables to:</w:t>
            </w:r>
          </w:p>
        </w:tc>
        <w:tc>
          <w:tcPr>
            <w:tcW w:w="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620" w:type="dxa"/>
            <w:vAlign w:val="bottom"/>
            <w:tcBorders>
              <w:right w:val="single" w:sz="8" w:color="auto"/>
            </w:tcBorders>
            <w:shd w:val="clear" w:color="auto" w:fill="CCEEFF"/>
          </w:tcPr>
          <w:p>
            <w:pPr>
              <w:ind w:left="120"/>
              <w:spacing w:after="0" w:line="209" w:lineRule="exact"/>
              <w:rPr>
                <w:sz w:val="20"/>
                <w:szCs w:val="20"/>
                <w:color w:val="auto"/>
              </w:rPr>
            </w:pPr>
            <w:r>
              <w:rPr>
                <w:rFonts w:ascii="Arial" w:cs="Arial" w:eastAsia="Arial" w:hAnsi="Arial"/>
                <w:sz w:val="20"/>
                <w:szCs w:val="20"/>
                <w:color w:val="auto"/>
              </w:rPr>
              <w:t>- non-related parties</w:t>
            </w:r>
          </w:p>
        </w:tc>
        <w:tc>
          <w:tcPr>
            <w:tcW w:w="1740" w:type="dxa"/>
            <w:vAlign w:val="bottom"/>
            <w:gridSpan w:val="2"/>
            <w:shd w:val="clear" w:color="auto" w:fill="CCEEFF"/>
          </w:tcPr>
          <w:p>
            <w:pPr>
              <w:jc w:val="right"/>
              <w:ind w:right="281"/>
              <w:spacing w:after="0" w:line="209" w:lineRule="exact"/>
              <w:rPr>
                <w:sz w:val="20"/>
                <w:szCs w:val="20"/>
                <w:color w:val="auto"/>
              </w:rPr>
            </w:pPr>
            <w:r>
              <w:rPr>
                <w:rFonts w:ascii="Arial" w:cs="Arial" w:eastAsia="Arial" w:hAnsi="Arial"/>
                <w:sz w:val="20"/>
                <w:szCs w:val="20"/>
                <w:b w:val="1"/>
                <w:bCs w:val="1"/>
                <w:color w:val="auto"/>
              </w:rPr>
              <w:t>1,093</w:t>
            </w:r>
          </w:p>
        </w:tc>
        <w:tc>
          <w:tcPr>
            <w:tcW w:w="1520" w:type="dxa"/>
            <w:vAlign w:val="bottom"/>
            <w:gridSpan w:val="2"/>
            <w:shd w:val="clear" w:color="auto" w:fill="CCEEFF"/>
          </w:tcPr>
          <w:p>
            <w:pPr>
              <w:jc w:val="right"/>
              <w:spacing w:after="0" w:line="209" w:lineRule="exact"/>
              <w:rPr>
                <w:sz w:val="20"/>
                <w:szCs w:val="20"/>
                <w:color w:val="auto"/>
              </w:rPr>
            </w:pPr>
            <w:r>
              <w:rPr>
                <w:rFonts w:ascii="Arial" w:cs="Arial" w:eastAsia="Arial" w:hAnsi="Arial"/>
                <w:sz w:val="20"/>
                <w:szCs w:val="20"/>
                <w:color w:val="auto"/>
              </w:rPr>
              <w:t>1,254</w:t>
            </w:r>
          </w:p>
        </w:tc>
        <w:tc>
          <w:tcPr>
            <w:tcW w:w="520" w:type="dxa"/>
            <w:vAlign w:val="bottom"/>
            <w:tcBorders>
              <w:right w:val="single" w:sz="8" w:color="auto"/>
            </w:tcBorders>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line="209" w:lineRule="exact"/>
              <w:rPr>
                <w:sz w:val="20"/>
                <w:szCs w:val="20"/>
                <w:color w:val="auto"/>
              </w:rPr>
            </w:pPr>
            <w:r>
              <w:rPr>
                <w:rFonts w:ascii="Arial" w:cs="Arial" w:eastAsia="Arial" w:hAnsi="Arial"/>
                <w:sz w:val="20"/>
                <w:szCs w:val="20"/>
                <w:b w:val="1"/>
                <w:bCs w:val="1"/>
                <w:color w:val="auto"/>
              </w:rPr>
              <w:t>7</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line="209" w:lineRule="exact"/>
              <w:rPr>
                <w:sz w:val="20"/>
                <w:szCs w:val="20"/>
                <w:color w:val="auto"/>
              </w:rPr>
            </w:pPr>
            <w:r>
              <w:rPr>
                <w:rFonts w:ascii="Arial" w:cs="Arial" w:eastAsia="Arial" w:hAnsi="Arial"/>
                <w:sz w:val="20"/>
                <w:szCs w:val="20"/>
                <w:color w:val="auto"/>
              </w:rPr>
              <w:t>4</w:t>
            </w:r>
          </w:p>
        </w:tc>
        <w:tc>
          <w:tcPr>
            <w:tcW w:w="5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62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 subsidiaries</w:t>
            </w:r>
          </w:p>
        </w:tc>
        <w:tc>
          <w:tcPr>
            <w:tcW w:w="1740" w:type="dxa"/>
            <w:vAlign w:val="bottom"/>
            <w:gridSpan w:val="2"/>
          </w:tcPr>
          <w:p>
            <w:pPr>
              <w:jc w:val="right"/>
              <w:ind w:right="281"/>
              <w:spacing w:after="0" w:line="216" w:lineRule="exact"/>
              <w:rPr>
                <w:sz w:val="20"/>
                <w:szCs w:val="20"/>
                <w:color w:val="auto"/>
              </w:rPr>
            </w:pPr>
            <w:r>
              <w:rPr>
                <w:rFonts w:ascii="Arial" w:cs="Arial" w:eastAsia="Arial" w:hAnsi="Arial"/>
                <w:sz w:val="20"/>
                <w:szCs w:val="20"/>
                <w:color w:val="auto"/>
              </w:rPr>
              <w:t>-</w:t>
            </w:r>
          </w:p>
        </w:tc>
        <w:tc>
          <w:tcPr>
            <w:tcW w:w="152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5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440" w:type="dxa"/>
            <w:vAlign w:val="bottom"/>
            <w:gridSpan w:val="2"/>
          </w:tcPr>
          <w:p>
            <w:pPr>
              <w:jc w:val="right"/>
              <w:ind w:right="141"/>
              <w:spacing w:after="0" w:line="216" w:lineRule="exact"/>
              <w:rPr>
                <w:sz w:val="20"/>
                <w:szCs w:val="20"/>
                <w:color w:val="auto"/>
              </w:rPr>
            </w:pPr>
            <w:r>
              <w:rPr>
                <w:rFonts w:ascii="Arial" w:cs="Arial" w:eastAsia="Arial" w:hAnsi="Arial"/>
                <w:sz w:val="20"/>
                <w:szCs w:val="20"/>
                <w:b w:val="1"/>
                <w:bCs w:val="1"/>
                <w:color w:val="auto"/>
              </w:rPr>
              <w:t>173</w:t>
            </w:r>
          </w:p>
        </w:tc>
        <w:tc>
          <w:tcPr>
            <w:tcW w:w="440" w:type="dxa"/>
            <w:vAlign w:val="bottom"/>
          </w:tcPr>
          <w:p>
            <w:pPr>
              <w:spacing w:after="0"/>
              <w:rPr>
                <w:sz w:val="18"/>
                <w:szCs w:val="18"/>
                <w:color w:val="auto"/>
              </w:rPr>
            </w:pPr>
          </w:p>
        </w:tc>
        <w:tc>
          <w:tcPr>
            <w:tcW w:w="106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151</w:t>
            </w:r>
          </w:p>
        </w:tc>
        <w:tc>
          <w:tcPr>
            <w:tcW w:w="5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620" w:type="dxa"/>
            <w:vAlign w:val="bottom"/>
            <w:tcBorders>
              <w:right w:val="single" w:sz="8" w:color="auto"/>
            </w:tcBorders>
            <w:shd w:val="clear" w:color="auto" w:fill="CCEEFF"/>
          </w:tcPr>
          <w:p>
            <w:pPr>
              <w:ind w:left="120"/>
              <w:spacing w:after="0" w:line="216" w:lineRule="exact"/>
              <w:rPr>
                <w:sz w:val="20"/>
                <w:szCs w:val="20"/>
                <w:color w:val="auto"/>
              </w:rPr>
            </w:pPr>
            <w:r>
              <w:rPr>
                <w:rFonts w:ascii="Arial" w:cs="Arial" w:eastAsia="Arial" w:hAnsi="Arial"/>
                <w:sz w:val="20"/>
                <w:szCs w:val="20"/>
                <w:color w:val="auto"/>
              </w:rPr>
              <w:t>- other related parties</w:t>
            </w:r>
          </w:p>
        </w:tc>
        <w:tc>
          <w:tcPr>
            <w:tcW w:w="1740" w:type="dxa"/>
            <w:vAlign w:val="bottom"/>
            <w:tcBorders>
              <w:bottom w:val="single" w:sz="8" w:color="auto"/>
            </w:tcBorders>
            <w:gridSpan w:val="2"/>
            <w:shd w:val="clear" w:color="auto" w:fill="CCEEFF"/>
          </w:tcPr>
          <w:p>
            <w:pPr>
              <w:jc w:val="right"/>
              <w:ind w:right="281"/>
              <w:spacing w:after="0" w:line="216" w:lineRule="exact"/>
              <w:rPr>
                <w:sz w:val="20"/>
                <w:szCs w:val="20"/>
                <w:color w:val="auto"/>
              </w:rPr>
            </w:pPr>
            <w:r>
              <w:rPr>
                <w:rFonts w:ascii="Arial" w:cs="Arial" w:eastAsia="Arial" w:hAnsi="Arial"/>
                <w:sz w:val="20"/>
                <w:szCs w:val="20"/>
                <w:b w:val="1"/>
                <w:bCs w:val="1"/>
                <w:color w:val="auto"/>
              </w:rPr>
              <w:t>12</w:t>
            </w:r>
          </w:p>
        </w:tc>
        <w:tc>
          <w:tcPr>
            <w:tcW w:w="1520" w:type="dxa"/>
            <w:vAlign w:val="bottom"/>
            <w:tcBorders>
              <w:bottom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7</w:t>
            </w:r>
          </w:p>
        </w:tc>
        <w:tc>
          <w:tcPr>
            <w:tcW w:w="520" w:type="dxa"/>
            <w:vAlign w:val="bottom"/>
            <w:tcBorders>
              <w:bottom w:val="single" w:sz="8" w:color="auto"/>
              <w:right w:val="single" w:sz="8" w:color="auto"/>
            </w:tcBorders>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ind w:right="141"/>
              <w:spacing w:after="0" w:line="216" w:lineRule="exact"/>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620" w:type="dxa"/>
            <w:vAlign w:val="bottom"/>
          </w:tcPr>
          <w:p>
            <w:pPr>
              <w:spacing w:after="0" w:line="209" w:lineRule="exact"/>
              <w:rPr>
                <w:sz w:val="20"/>
                <w:szCs w:val="20"/>
                <w:color w:val="auto"/>
              </w:rPr>
            </w:pPr>
            <w:r>
              <w:rPr>
                <w:rFonts w:ascii="Arial" w:cs="Arial" w:eastAsia="Arial" w:hAnsi="Arial"/>
                <w:sz w:val="20"/>
                <w:szCs w:val="20"/>
                <w:color w:val="auto"/>
              </w:rPr>
              <w:t>Total trade payables</w:t>
            </w:r>
          </w:p>
        </w:tc>
        <w:tc>
          <w:tcPr>
            <w:tcW w:w="1740" w:type="dxa"/>
            <w:vAlign w:val="bottom"/>
            <w:gridSpan w:val="2"/>
          </w:tcPr>
          <w:p>
            <w:pPr>
              <w:jc w:val="right"/>
              <w:ind w:right="281"/>
              <w:spacing w:after="0" w:line="209" w:lineRule="exact"/>
              <w:rPr>
                <w:sz w:val="20"/>
                <w:szCs w:val="20"/>
                <w:color w:val="auto"/>
              </w:rPr>
            </w:pPr>
            <w:r>
              <w:rPr>
                <w:rFonts w:ascii="Arial" w:cs="Arial" w:eastAsia="Arial" w:hAnsi="Arial"/>
                <w:sz w:val="20"/>
                <w:szCs w:val="20"/>
                <w:b w:val="1"/>
                <w:bCs w:val="1"/>
                <w:color w:val="auto"/>
              </w:rPr>
              <w:t>1,105</w:t>
            </w:r>
          </w:p>
        </w:tc>
        <w:tc>
          <w:tcPr>
            <w:tcW w:w="152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1,261</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41"/>
              <w:spacing w:after="0" w:line="209" w:lineRule="exact"/>
              <w:rPr>
                <w:sz w:val="20"/>
                <w:szCs w:val="20"/>
                <w:color w:val="auto"/>
              </w:rPr>
            </w:pPr>
            <w:r>
              <w:rPr>
                <w:rFonts w:ascii="Arial" w:cs="Arial" w:eastAsia="Arial" w:hAnsi="Arial"/>
                <w:sz w:val="20"/>
                <w:szCs w:val="20"/>
                <w:b w:val="1"/>
                <w:bCs w:val="1"/>
                <w:color w:val="auto"/>
              </w:rPr>
              <w:t>180</w:t>
            </w:r>
          </w:p>
        </w:tc>
        <w:tc>
          <w:tcPr>
            <w:tcW w:w="440" w:type="dxa"/>
            <w:vAlign w:val="bottom"/>
          </w:tcPr>
          <w:p>
            <w:pPr>
              <w:spacing w:after="0"/>
              <w:rPr>
                <w:sz w:val="18"/>
                <w:szCs w:val="18"/>
                <w:color w:val="auto"/>
              </w:rPr>
            </w:pPr>
          </w:p>
        </w:tc>
        <w:tc>
          <w:tcPr>
            <w:tcW w:w="106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155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78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26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Other payables</w:t>
            </w:r>
          </w:p>
        </w:tc>
        <w:tc>
          <w:tcPr>
            <w:tcW w:w="1740" w:type="dxa"/>
            <w:vAlign w:val="bottom"/>
            <w:gridSpan w:val="2"/>
            <w:shd w:val="clear" w:color="auto" w:fill="CCEEFF"/>
          </w:tcPr>
          <w:p>
            <w:pPr>
              <w:jc w:val="right"/>
              <w:ind w:right="281"/>
              <w:spacing w:after="0" w:line="216" w:lineRule="exact"/>
              <w:rPr>
                <w:sz w:val="20"/>
                <w:szCs w:val="20"/>
                <w:color w:val="auto"/>
              </w:rPr>
            </w:pPr>
            <w:r>
              <w:rPr>
                <w:rFonts w:ascii="Arial" w:cs="Arial" w:eastAsia="Arial" w:hAnsi="Arial"/>
                <w:sz w:val="20"/>
                <w:szCs w:val="20"/>
                <w:b w:val="1"/>
                <w:bCs w:val="1"/>
                <w:color w:val="auto"/>
              </w:rPr>
              <w:t>198</w:t>
            </w:r>
          </w:p>
        </w:tc>
        <w:tc>
          <w:tcPr>
            <w:tcW w:w="15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64</w:t>
            </w:r>
          </w:p>
        </w:tc>
        <w:tc>
          <w:tcPr>
            <w:tcW w:w="5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line="216" w:lineRule="exact"/>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620" w:type="dxa"/>
            <w:vAlign w:val="bottom"/>
          </w:tcPr>
          <w:p>
            <w:pPr>
              <w:spacing w:after="0" w:line="216" w:lineRule="exact"/>
              <w:rPr>
                <w:sz w:val="20"/>
                <w:szCs w:val="20"/>
                <w:color w:val="auto"/>
              </w:rPr>
            </w:pPr>
            <w:r>
              <w:rPr>
                <w:rFonts w:ascii="Arial" w:cs="Arial" w:eastAsia="Arial" w:hAnsi="Arial"/>
                <w:sz w:val="20"/>
                <w:szCs w:val="20"/>
                <w:color w:val="auto"/>
              </w:rPr>
              <w:t>Deferred income</w:t>
            </w:r>
          </w:p>
        </w:tc>
        <w:tc>
          <w:tcPr>
            <w:tcW w:w="1740" w:type="dxa"/>
            <w:vAlign w:val="bottom"/>
            <w:gridSpan w:val="2"/>
          </w:tcPr>
          <w:p>
            <w:pPr>
              <w:jc w:val="right"/>
              <w:ind w:right="281"/>
              <w:spacing w:after="0" w:line="216" w:lineRule="exact"/>
              <w:rPr>
                <w:sz w:val="20"/>
                <w:szCs w:val="20"/>
                <w:color w:val="auto"/>
              </w:rPr>
            </w:pPr>
            <w:r>
              <w:rPr>
                <w:rFonts w:ascii="Arial" w:cs="Arial" w:eastAsia="Arial" w:hAnsi="Arial"/>
                <w:sz w:val="20"/>
                <w:szCs w:val="20"/>
                <w:b w:val="1"/>
                <w:bCs w:val="1"/>
                <w:color w:val="auto"/>
              </w:rPr>
              <w:t>51</w:t>
            </w:r>
          </w:p>
        </w:tc>
        <w:tc>
          <w:tcPr>
            <w:tcW w:w="152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101</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41"/>
              <w:spacing w:after="0" w:line="216" w:lineRule="exact"/>
              <w:rPr>
                <w:sz w:val="20"/>
                <w:szCs w:val="20"/>
                <w:color w:val="auto"/>
              </w:rPr>
            </w:pPr>
            <w:r>
              <w:rPr>
                <w:rFonts w:ascii="Arial" w:cs="Arial" w:eastAsia="Arial" w:hAnsi="Arial"/>
                <w:sz w:val="20"/>
                <w:szCs w:val="20"/>
                <w:color w:val="auto"/>
              </w:rPr>
              <w:t>-</w:t>
            </w:r>
          </w:p>
        </w:tc>
        <w:tc>
          <w:tcPr>
            <w:tcW w:w="440" w:type="dxa"/>
            <w:vAlign w:val="bottom"/>
          </w:tcPr>
          <w:p>
            <w:pPr>
              <w:spacing w:after="0"/>
              <w:rPr>
                <w:sz w:val="18"/>
                <w:szCs w:val="18"/>
                <w:color w:val="auto"/>
              </w:rPr>
            </w:pPr>
          </w:p>
        </w:tc>
        <w:tc>
          <w:tcPr>
            <w:tcW w:w="106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0" w:type="dxa"/>
            <w:vAlign w:val="bottom"/>
          </w:tcPr>
          <w:p>
            <w:pPr>
              <w:spacing w:after="0"/>
              <w:rPr>
                <w:sz w:val="18"/>
                <w:szCs w:val="18"/>
                <w:color w:val="auto"/>
              </w:rPr>
            </w:pPr>
          </w:p>
        </w:tc>
        <w:tc>
          <w:tcPr>
            <w:tcW w:w="2620" w:type="dxa"/>
            <w:vAlign w:val="bottom"/>
            <w:tcBorders>
              <w:right w:val="single" w:sz="8" w:color="CCEEFF"/>
            </w:tcBorders>
            <w:shd w:val="clear" w:color="auto" w:fill="CCEEFF"/>
          </w:tcPr>
          <w:p>
            <w:pPr>
              <w:spacing w:after="0" w:line="212" w:lineRule="exact"/>
              <w:rPr>
                <w:sz w:val="20"/>
                <w:szCs w:val="20"/>
                <w:color w:val="auto"/>
              </w:rPr>
            </w:pPr>
            <w:r>
              <w:rPr>
                <w:rFonts w:ascii="Arial" w:cs="Arial" w:eastAsia="Arial" w:hAnsi="Arial"/>
                <w:sz w:val="20"/>
                <w:szCs w:val="20"/>
                <w:color w:val="auto"/>
              </w:rPr>
              <w:t>Accruals for operating</w:t>
            </w:r>
          </w:p>
        </w:tc>
        <w:tc>
          <w:tcPr>
            <w:tcW w:w="1740" w:type="dxa"/>
            <w:vAlign w:val="bottom"/>
            <w:gridSpan w:val="2"/>
            <w:vMerge w:val="restart"/>
            <w:shd w:val="clear" w:color="auto" w:fill="CCEEFF"/>
          </w:tcPr>
          <w:p>
            <w:pPr>
              <w:jc w:val="right"/>
              <w:ind w:right="281"/>
              <w:spacing w:after="0"/>
              <w:rPr>
                <w:sz w:val="20"/>
                <w:szCs w:val="20"/>
                <w:color w:val="auto"/>
              </w:rPr>
            </w:pPr>
            <w:r>
              <w:rPr>
                <w:rFonts w:ascii="Arial" w:cs="Arial" w:eastAsia="Arial" w:hAnsi="Arial"/>
                <w:sz w:val="20"/>
                <w:szCs w:val="20"/>
                <w:b w:val="1"/>
                <w:bCs w:val="1"/>
                <w:color w:val="auto"/>
              </w:rPr>
              <w:t>154</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0" w:type="dxa"/>
            <w:vAlign w:val="bottom"/>
          </w:tcPr>
          <w:p>
            <w:pPr>
              <w:spacing w:after="0"/>
              <w:rPr>
                <w:sz w:val="19"/>
                <w:szCs w:val="19"/>
                <w:color w:val="auto"/>
              </w:rPr>
            </w:pPr>
          </w:p>
        </w:tc>
        <w:tc>
          <w:tcPr>
            <w:tcW w:w="2620" w:type="dxa"/>
            <w:vAlign w:val="bottom"/>
            <w:tcBorders>
              <w:right w:val="single" w:sz="8" w:color="CCEEFF"/>
            </w:tcBorders>
            <w:shd w:val="clear" w:color="auto" w:fill="CCEEFF"/>
          </w:tcPr>
          <w:p>
            <w:pPr>
              <w:ind w:left="180"/>
              <w:spacing w:after="0" w:line="220" w:lineRule="exact"/>
              <w:rPr>
                <w:sz w:val="20"/>
                <w:szCs w:val="20"/>
                <w:color w:val="auto"/>
              </w:rPr>
            </w:pPr>
            <w:r>
              <w:rPr>
                <w:rFonts w:ascii="Arial" w:cs="Arial" w:eastAsia="Arial" w:hAnsi="Arial"/>
                <w:sz w:val="20"/>
                <w:szCs w:val="20"/>
                <w:color w:val="auto"/>
              </w:rPr>
              <w:t>expenses</w:t>
            </w:r>
          </w:p>
        </w:tc>
        <w:tc>
          <w:tcPr>
            <w:tcW w:w="1740" w:type="dxa"/>
            <w:vAlign w:val="bottom"/>
            <w:gridSpan w:val="2"/>
            <w:vMerge w:val="continue"/>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line="220" w:lineRule="exact"/>
              <w:rPr>
                <w:sz w:val="20"/>
                <w:szCs w:val="20"/>
                <w:color w:val="auto"/>
              </w:rPr>
            </w:pPr>
            <w:r>
              <w:rPr>
                <w:rFonts w:ascii="Arial" w:cs="Arial" w:eastAsia="Arial" w:hAnsi="Arial"/>
                <w:sz w:val="20"/>
                <w:szCs w:val="20"/>
                <w:color w:val="auto"/>
              </w:rPr>
              <w:t>122</w:t>
            </w:r>
          </w:p>
        </w:tc>
        <w:tc>
          <w:tcPr>
            <w:tcW w:w="52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1440" w:type="dxa"/>
            <w:vAlign w:val="bottom"/>
            <w:gridSpan w:val="2"/>
            <w:shd w:val="clear" w:color="auto" w:fill="CCEEFF"/>
          </w:tcPr>
          <w:p>
            <w:pPr>
              <w:jc w:val="right"/>
              <w:ind w:right="141"/>
              <w:spacing w:after="0" w:line="220" w:lineRule="exact"/>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line="220" w:lineRule="exact"/>
              <w:rPr>
                <w:sz w:val="20"/>
                <w:szCs w:val="20"/>
                <w:color w:val="auto"/>
              </w:rPr>
            </w:pPr>
            <w:r>
              <w:rPr>
                <w:rFonts w:ascii="Arial" w:cs="Arial" w:eastAsia="Arial" w:hAnsi="Arial"/>
                <w:sz w:val="20"/>
                <w:szCs w:val="20"/>
                <w:color w:val="auto"/>
              </w:rPr>
              <w:t>-</w:t>
            </w:r>
          </w:p>
        </w:tc>
        <w:tc>
          <w:tcPr>
            <w:tcW w:w="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620" w:type="dxa"/>
            <w:vAlign w:val="bottom"/>
          </w:tcPr>
          <w:p>
            <w:pPr>
              <w:spacing w:after="0" w:line="216" w:lineRule="exact"/>
              <w:rPr>
                <w:sz w:val="20"/>
                <w:szCs w:val="20"/>
                <w:color w:val="auto"/>
              </w:rPr>
            </w:pPr>
            <w:r>
              <w:rPr>
                <w:rFonts w:ascii="Arial" w:cs="Arial" w:eastAsia="Arial" w:hAnsi="Arial"/>
                <w:sz w:val="20"/>
                <w:szCs w:val="20"/>
                <w:color w:val="auto"/>
              </w:rPr>
              <w:t>Provisions (Note 21)</w:t>
            </w:r>
          </w:p>
        </w:tc>
        <w:tc>
          <w:tcPr>
            <w:tcW w:w="800" w:type="dxa"/>
            <w:vAlign w:val="bottom"/>
          </w:tcPr>
          <w:p>
            <w:pPr>
              <w:spacing w:after="0"/>
              <w:rPr>
                <w:sz w:val="19"/>
                <w:szCs w:val="19"/>
                <w:color w:val="auto"/>
              </w:rPr>
            </w:pPr>
          </w:p>
        </w:tc>
        <w:tc>
          <w:tcPr>
            <w:tcW w:w="940" w:type="dxa"/>
            <w:vAlign w:val="bottom"/>
            <w:tcBorders>
              <w:bottom w:val="single" w:sz="8" w:color="auto"/>
            </w:tcBorders>
          </w:tcPr>
          <w:p>
            <w:pPr>
              <w:jc w:val="right"/>
              <w:ind w:right="281"/>
              <w:spacing w:after="0" w:line="216" w:lineRule="exact"/>
              <w:rPr>
                <w:sz w:val="20"/>
                <w:szCs w:val="20"/>
                <w:color w:val="auto"/>
              </w:rPr>
            </w:pPr>
            <w:r>
              <w:rPr>
                <w:rFonts w:ascii="Arial" w:cs="Arial" w:eastAsia="Arial" w:hAnsi="Arial"/>
                <w:sz w:val="20"/>
                <w:szCs w:val="20"/>
                <w:b w:val="1"/>
                <w:bCs w:val="1"/>
                <w:color w:val="auto"/>
              </w:rPr>
              <w:t>176</w:t>
            </w:r>
          </w:p>
        </w:tc>
        <w:tc>
          <w:tcPr>
            <w:tcW w:w="152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20"/>
                <w:szCs w:val="20"/>
                <w:color w:val="auto"/>
              </w:rPr>
              <w:t>463</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Borders>
              <w:bottom w:val="single" w:sz="8" w:color="auto"/>
            </w:tcBorders>
          </w:tcPr>
          <w:p>
            <w:pPr>
              <w:jc w:val="right"/>
              <w:ind w:right="141"/>
              <w:spacing w:after="0" w:line="216" w:lineRule="exact"/>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6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Total other current liabilities</w:t>
            </w:r>
          </w:p>
        </w:tc>
        <w:tc>
          <w:tcPr>
            <w:tcW w:w="1740" w:type="dxa"/>
            <w:vAlign w:val="bottom"/>
            <w:gridSpan w:val="2"/>
            <w:shd w:val="clear" w:color="auto" w:fill="CCEEFF"/>
          </w:tcPr>
          <w:p>
            <w:pPr>
              <w:jc w:val="right"/>
              <w:ind w:right="281"/>
              <w:spacing w:after="0" w:line="216" w:lineRule="exact"/>
              <w:rPr>
                <w:sz w:val="20"/>
                <w:szCs w:val="20"/>
                <w:color w:val="auto"/>
              </w:rPr>
            </w:pPr>
            <w:r>
              <w:rPr>
                <w:rFonts w:ascii="Arial" w:cs="Arial" w:eastAsia="Arial" w:hAnsi="Arial"/>
                <w:sz w:val="20"/>
                <w:szCs w:val="20"/>
                <w:b w:val="1"/>
                <w:bCs w:val="1"/>
                <w:color w:val="auto"/>
              </w:rPr>
              <w:t>579</w:t>
            </w:r>
          </w:p>
        </w:tc>
        <w:tc>
          <w:tcPr>
            <w:tcW w:w="15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750</w:t>
            </w:r>
          </w:p>
        </w:tc>
        <w:tc>
          <w:tcPr>
            <w:tcW w:w="5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line="216" w:lineRule="exact"/>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00" w:type="dxa"/>
            <w:vAlign w:val="bottom"/>
            <w:gridSpan w:val="2"/>
          </w:tcPr>
          <w:p>
            <w:pPr>
              <w:ind w:left="760"/>
              <w:spacing w:after="0"/>
              <w:rPr>
                <w:sz w:val="20"/>
                <w:szCs w:val="20"/>
                <w:color w:val="auto"/>
              </w:rPr>
            </w:pPr>
            <w:r>
              <w:rPr>
                <w:rFonts w:ascii="Arial" w:cs="Arial" w:eastAsia="Arial" w:hAnsi="Arial"/>
                <w:sz w:val="20"/>
                <w:szCs w:val="20"/>
                <w:i w:val="1"/>
                <w:iCs w:val="1"/>
                <w:color w:val="auto"/>
              </w:rPr>
              <w:t>Non-current</w:t>
            </w:r>
          </w:p>
        </w:tc>
        <w:tc>
          <w:tcPr>
            <w:tcW w:w="8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6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Deferred Income</w:t>
            </w:r>
          </w:p>
        </w:tc>
        <w:tc>
          <w:tcPr>
            <w:tcW w:w="1740" w:type="dxa"/>
            <w:vAlign w:val="bottom"/>
            <w:gridSpan w:val="2"/>
            <w:shd w:val="clear" w:color="auto" w:fill="CCEEFF"/>
          </w:tcPr>
          <w:p>
            <w:pPr>
              <w:jc w:val="right"/>
              <w:ind w:right="281"/>
              <w:spacing w:after="0" w:line="216" w:lineRule="exact"/>
              <w:rPr>
                <w:sz w:val="20"/>
                <w:szCs w:val="20"/>
                <w:color w:val="auto"/>
              </w:rPr>
            </w:pPr>
            <w:r>
              <w:rPr>
                <w:rFonts w:ascii="Arial" w:cs="Arial" w:eastAsia="Arial" w:hAnsi="Arial"/>
                <w:sz w:val="20"/>
                <w:szCs w:val="20"/>
                <w:b w:val="1"/>
                <w:bCs w:val="1"/>
                <w:color w:val="auto"/>
              </w:rPr>
              <w:t>17</w:t>
            </w:r>
          </w:p>
        </w:tc>
        <w:tc>
          <w:tcPr>
            <w:tcW w:w="15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18</w:t>
            </w:r>
          </w:p>
        </w:tc>
        <w:tc>
          <w:tcPr>
            <w:tcW w:w="5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line="216" w:lineRule="exact"/>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620" w:type="dxa"/>
            <w:vAlign w:val="bottom"/>
          </w:tcPr>
          <w:p>
            <w:pPr>
              <w:spacing w:after="0" w:line="216" w:lineRule="exact"/>
              <w:rPr>
                <w:sz w:val="20"/>
                <w:szCs w:val="20"/>
                <w:color w:val="auto"/>
              </w:rPr>
            </w:pPr>
            <w:r>
              <w:rPr>
                <w:rFonts w:ascii="Arial" w:cs="Arial" w:eastAsia="Arial" w:hAnsi="Arial"/>
                <w:sz w:val="20"/>
                <w:szCs w:val="20"/>
                <w:color w:val="auto"/>
              </w:rPr>
              <w:t>Other Payables</w:t>
            </w:r>
          </w:p>
        </w:tc>
        <w:tc>
          <w:tcPr>
            <w:tcW w:w="1740" w:type="dxa"/>
            <w:vAlign w:val="bottom"/>
            <w:gridSpan w:val="2"/>
          </w:tcPr>
          <w:p>
            <w:pPr>
              <w:jc w:val="right"/>
              <w:ind w:right="281"/>
              <w:spacing w:after="0" w:line="216" w:lineRule="exact"/>
              <w:rPr>
                <w:sz w:val="20"/>
                <w:szCs w:val="20"/>
                <w:color w:val="auto"/>
              </w:rPr>
            </w:pPr>
            <w:r>
              <w:rPr>
                <w:rFonts w:ascii="Arial" w:cs="Arial" w:eastAsia="Arial" w:hAnsi="Arial"/>
                <w:sz w:val="20"/>
                <w:szCs w:val="20"/>
                <w:b w:val="1"/>
                <w:bCs w:val="1"/>
                <w:color w:val="auto"/>
              </w:rPr>
              <w:t>6</w:t>
            </w:r>
          </w:p>
        </w:tc>
        <w:tc>
          <w:tcPr>
            <w:tcW w:w="152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9</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41"/>
              <w:spacing w:after="0" w:line="216" w:lineRule="exact"/>
              <w:rPr>
                <w:sz w:val="20"/>
                <w:szCs w:val="20"/>
                <w:color w:val="auto"/>
              </w:rPr>
            </w:pPr>
            <w:r>
              <w:rPr>
                <w:rFonts w:ascii="Arial" w:cs="Arial" w:eastAsia="Arial" w:hAnsi="Arial"/>
                <w:sz w:val="20"/>
                <w:szCs w:val="20"/>
                <w:color w:val="auto"/>
              </w:rPr>
              <w:t>-</w:t>
            </w:r>
          </w:p>
        </w:tc>
        <w:tc>
          <w:tcPr>
            <w:tcW w:w="440" w:type="dxa"/>
            <w:vAlign w:val="bottom"/>
          </w:tcPr>
          <w:p>
            <w:pPr>
              <w:spacing w:after="0"/>
              <w:rPr>
                <w:sz w:val="18"/>
                <w:szCs w:val="18"/>
                <w:color w:val="auto"/>
              </w:rPr>
            </w:pPr>
          </w:p>
        </w:tc>
        <w:tc>
          <w:tcPr>
            <w:tcW w:w="106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6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Provisions (Note 21)</w:t>
            </w:r>
          </w:p>
        </w:tc>
        <w:tc>
          <w:tcPr>
            <w:tcW w:w="1740" w:type="dxa"/>
            <w:vAlign w:val="bottom"/>
            <w:gridSpan w:val="2"/>
            <w:shd w:val="clear" w:color="auto" w:fill="CCEEFF"/>
          </w:tcPr>
          <w:p>
            <w:pPr>
              <w:jc w:val="right"/>
              <w:ind w:right="281"/>
              <w:spacing w:after="0" w:line="216" w:lineRule="exact"/>
              <w:rPr>
                <w:sz w:val="20"/>
                <w:szCs w:val="20"/>
                <w:color w:val="auto"/>
              </w:rPr>
            </w:pPr>
            <w:r>
              <w:rPr>
                <w:rFonts w:ascii="Arial" w:cs="Arial" w:eastAsia="Arial" w:hAnsi="Arial"/>
                <w:sz w:val="20"/>
                <w:szCs w:val="20"/>
                <w:b w:val="1"/>
                <w:bCs w:val="1"/>
                <w:color w:val="auto"/>
              </w:rPr>
              <w:t>136</w:t>
            </w:r>
          </w:p>
        </w:tc>
        <w:tc>
          <w:tcPr>
            <w:tcW w:w="15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121</w:t>
            </w:r>
          </w:p>
        </w:tc>
        <w:tc>
          <w:tcPr>
            <w:tcW w:w="5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line="216" w:lineRule="exact"/>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0" w:type="dxa"/>
            <w:vAlign w:val="bottom"/>
          </w:tcPr>
          <w:p>
            <w:pPr>
              <w:spacing w:after="0"/>
              <w:rPr>
                <w:sz w:val="18"/>
                <w:szCs w:val="18"/>
                <w:color w:val="auto"/>
              </w:rPr>
            </w:pPr>
          </w:p>
        </w:tc>
        <w:tc>
          <w:tcPr>
            <w:tcW w:w="2620" w:type="dxa"/>
            <w:vAlign w:val="bottom"/>
          </w:tcPr>
          <w:p>
            <w:pPr>
              <w:spacing w:after="0" w:line="212" w:lineRule="exact"/>
              <w:rPr>
                <w:sz w:val="20"/>
                <w:szCs w:val="20"/>
                <w:color w:val="auto"/>
              </w:rPr>
            </w:pPr>
            <w:r>
              <w:rPr>
                <w:rFonts w:ascii="Arial" w:cs="Arial" w:eastAsia="Arial" w:hAnsi="Arial"/>
                <w:sz w:val="20"/>
                <w:szCs w:val="20"/>
                <w:color w:val="auto"/>
              </w:rPr>
              <w:t>Accruals for operating</w:t>
            </w:r>
          </w:p>
        </w:tc>
        <w:tc>
          <w:tcPr>
            <w:tcW w:w="800" w:type="dxa"/>
            <w:vAlign w:val="bottom"/>
            <w:vMerge w:val="restart"/>
          </w:tcPr>
          <w:p>
            <w:pPr>
              <w:spacing w:after="0"/>
              <w:rPr>
                <w:sz w:val="18"/>
                <w:szCs w:val="18"/>
                <w:color w:val="auto"/>
              </w:rPr>
            </w:pPr>
          </w:p>
        </w:tc>
        <w:tc>
          <w:tcPr>
            <w:tcW w:w="940" w:type="dxa"/>
            <w:vAlign w:val="bottom"/>
            <w:vMerge w:val="restart"/>
          </w:tcPr>
          <w:p>
            <w:pPr>
              <w:jc w:val="right"/>
              <w:ind w:right="281"/>
              <w:spacing w:after="0"/>
              <w:rPr>
                <w:sz w:val="20"/>
                <w:szCs w:val="20"/>
                <w:color w:val="auto"/>
              </w:rPr>
            </w:pPr>
            <w:r>
              <w:rPr>
                <w:rFonts w:ascii="Arial" w:cs="Arial" w:eastAsia="Arial" w:hAnsi="Arial"/>
                <w:sz w:val="20"/>
                <w:szCs w:val="20"/>
                <w:b w:val="1"/>
                <w:bCs w:val="1"/>
                <w:color w:val="auto"/>
              </w:rPr>
              <w:t>103</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0" w:type="dxa"/>
            <w:vAlign w:val="bottom"/>
          </w:tcPr>
          <w:p>
            <w:pPr>
              <w:spacing w:after="0"/>
              <w:rPr>
                <w:sz w:val="19"/>
                <w:szCs w:val="19"/>
                <w:color w:val="auto"/>
              </w:rPr>
            </w:pPr>
          </w:p>
        </w:tc>
        <w:tc>
          <w:tcPr>
            <w:tcW w:w="2620" w:type="dxa"/>
            <w:vAlign w:val="bottom"/>
          </w:tcPr>
          <w:p>
            <w:pPr>
              <w:ind w:left="180"/>
              <w:spacing w:after="0" w:line="220" w:lineRule="exact"/>
              <w:rPr>
                <w:sz w:val="20"/>
                <w:szCs w:val="20"/>
                <w:color w:val="auto"/>
              </w:rPr>
            </w:pPr>
            <w:r>
              <w:rPr>
                <w:rFonts w:ascii="Arial" w:cs="Arial" w:eastAsia="Arial" w:hAnsi="Arial"/>
                <w:sz w:val="20"/>
                <w:szCs w:val="20"/>
                <w:color w:val="auto"/>
              </w:rPr>
              <w:t>expenses</w:t>
            </w:r>
          </w:p>
        </w:tc>
        <w:tc>
          <w:tcPr>
            <w:tcW w:w="800" w:type="dxa"/>
            <w:vAlign w:val="bottom"/>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52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67</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Borders>
              <w:bottom w:val="single" w:sz="8" w:color="auto"/>
            </w:tcBorders>
          </w:tcPr>
          <w:p>
            <w:pPr>
              <w:jc w:val="right"/>
              <w:ind w:right="141"/>
              <w:spacing w:after="0" w:line="220" w:lineRule="exact"/>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80" w:type="dxa"/>
            <w:vAlign w:val="bottom"/>
          </w:tcPr>
          <w:p>
            <w:pPr>
              <w:spacing w:after="0"/>
              <w:rPr>
                <w:sz w:val="18"/>
                <w:szCs w:val="18"/>
                <w:color w:val="auto"/>
              </w:rPr>
            </w:pPr>
          </w:p>
        </w:tc>
        <w:tc>
          <w:tcPr>
            <w:tcW w:w="2620" w:type="dxa"/>
            <w:vAlign w:val="bottom"/>
            <w:tcBorders>
              <w:right w:val="single" w:sz="8" w:color="CCEEFF"/>
            </w:tcBorders>
            <w:shd w:val="clear" w:color="auto" w:fill="CCEEFF"/>
          </w:tcPr>
          <w:p>
            <w:pPr>
              <w:spacing w:after="0" w:line="212" w:lineRule="exact"/>
              <w:rPr>
                <w:sz w:val="20"/>
                <w:szCs w:val="20"/>
                <w:color w:val="auto"/>
              </w:rPr>
            </w:pPr>
            <w:r>
              <w:rPr>
                <w:rFonts w:ascii="Arial" w:cs="Arial" w:eastAsia="Arial" w:hAnsi="Arial"/>
                <w:sz w:val="20"/>
                <w:szCs w:val="20"/>
                <w:color w:val="auto"/>
              </w:rPr>
              <w:t>Total other non-current</w:t>
            </w:r>
          </w:p>
        </w:tc>
        <w:tc>
          <w:tcPr>
            <w:tcW w:w="800" w:type="dxa"/>
            <w:vAlign w:val="bottom"/>
            <w:vMerge w:val="restart"/>
            <w:shd w:val="clear" w:color="auto" w:fill="CCEEFF"/>
          </w:tcPr>
          <w:p>
            <w:pPr>
              <w:spacing w:after="0"/>
              <w:rPr>
                <w:sz w:val="18"/>
                <w:szCs w:val="18"/>
                <w:color w:val="auto"/>
              </w:rPr>
            </w:pPr>
          </w:p>
        </w:tc>
        <w:tc>
          <w:tcPr>
            <w:tcW w:w="940" w:type="dxa"/>
            <w:vAlign w:val="bottom"/>
            <w:vMerge w:val="restart"/>
            <w:shd w:val="clear" w:color="auto" w:fill="CCEEFF"/>
          </w:tcPr>
          <w:p>
            <w:pPr>
              <w:jc w:val="right"/>
              <w:ind w:right="281"/>
              <w:spacing w:after="0"/>
              <w:rPr>
                <w:sz w:val="20"/>
                <w:szCs w:val="20"/>
                <w:color w:val="auto"/>
              </w:rPr>
            </w:pPr>
            <w:r>
              <w:rPr>
                <w:rFonts w:ascii="Arial" w:cs="Arial" w:eastAsia="Arial" w:hAnsi="Arial"/>
                <w:sz w:val="20"/>
                <w:szCs w:val="20"/>
                <w:b w:val="1"/>
                <w:bCs w:val="1"/>
                <w:color w:val="auto"/>
              </w:rPr>
              <w:t>262</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0" w:type="dxa"/>
            <w:vAlign w:val="bottom"/>
          </w:tcPr>
          <w:p>
            <w:pPr>
              <w:spacing w:after="0"/>
              <w:rPr>
                <w:sz w:val="19"/>
                <w:szCs w:val="19"/>
                <w:color w:val="auto"/>
              </w:rPr>
            </w:pPr>
          </w:p>
        </w:tc>
        <w:tc>
          <w:tcPr>
            <w:tcW w:w="2620" w:type="dxa"/>
            <w:vAlign w:val="bottom"/>
            <w:tcBorders>
              <w:right w:val="single" w:sz="8" w:color="CCEEFF"/>
            </w:tcBorders>
            <w:shd w:val="clear" w:color="auto" w:fill="CCEEFF"/>
          </w:tcPr>
          <w:p>
            <w:pPr>
              <w:ind w:left="180"/>
              <w:spacing w:after="0" w:line="220" w:lineRule="exact"/>
              <w:rPr>
                <w:sz w:val="20"/>
                <w:szCs w:val="20"/>
                <w:color w:val="auto"/>
              </w:rPr>
            </w:pPr>
            <w:r>
              <w:rPr>
                <w:rFonts w:ascii="Arial" w:cs="Arial" w:eastAsia="Arial" w:hAnsi="Arial"/>
                <w:sz w:val="20"/>
                <w:szCs w:val="20"/>
                <w:color w:val="auto"/>
              </w:rPr>
              <w:t>liabilities</w:t>
            </w:r>
          </w:p>
        </w:tc>
        <w:tc>
          <w:tcPr>
            <w:tcW w:w="80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spacing w:after="0" w:line="220" w:lineRule="exact"/>
              <w:rPr>
                <w:sz w:val="20"/>
                <w:szCs w:val="20"/>
                <w:color w:val="auto"/>
              </w:rPr>
            </w:pPr>
            <w:r>
              <w:rPr>
                <w:rFonts w:ascii="Arial" w:cs="Arial" w:eastAsia="Arial" w:hAnsi="Arial"/>
                <w:sz w:val="20"/>
                <w:szCs w:val="20"/>
                <w:color w:val="auto"/>
              </w:rPr>
              <w:t>215</w:t>
            </w:r>
          </w:p>
        </w:tc>
        <w:tc>
          <w:tcPr>
            <w:tcW w:w="52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41"/>
              <w:spacing w:after="0" w:line="220" w:lineRule="exact"/>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line="220" w:lineRule="exact"/>
              <w:rPr>
                <w:sz w:val="20"/>
                <w:szCs w:val="20"/>
                <w:color w:val="auto"/>
              </w:rPr>
            </w:pPr>
            <w:r>
              <w:rPr>
                <w:rFonts w:ascii="Arial" w:cs="Arial" w:eastAsia="Arial" w:hAnsi="Arial"/>
                <w:sz w:val="20"/>
                <w:szCs w:val="20"/>
                <w:color w:val="auto"/>
              </w:rPr>
              <w:t>-</w:t>
            </w:r>
          </w:p>
        </w:tc>
        <w:tc>
          <w:tcPr>
            <w:tcW w:w="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00" w:type="dxa"/>
            <w:vAlign w:val="bottom"/>
            <w:gridSpan w:val="2"/>
          </w:tcPr>
          <w:p>
            <w:pPr>
              <w:ind w:left="760"/>
              <w:spacing w:after="0" w:line="220" w:lineRule="exact"/>
              <w:rPr>
                <w:sz w:val="20"/>
                <w:szCs w:val="20"/>
                <w:color w:val="auto"/>
              </w:rPr>
            </w:pPr>
            <w:r>
              <w:rPr>
                <w:rFonts w:ascii="Arial" w:cs="Arial" w:eastAsia="Arial" w:hAnsi="Arial"/>
                <w:sz w:val="20"/>
                <w:szCs w:val="20"/>
                <w:color w:val="auto"/>
              </w:rPr>
              <w:t>Total trade payables and</w:t>
            </w:r>
          </w:p>
        </w:tc>
        <w:tc>
          <w:tcPr>
            <w:tcW w:w="800" w:type="dxa"/>
            <w:vAlign w:val="bottom"/>
            <w:vMerge w:val="restart"/>
          </w:tcPr>
          <w:p>
            <w:pPr>
              <w:spacing w:after="0"/>
              <w:rPr>
                <w:sz w:val="19"/>
                <w:szCs w:val="19"/>
                <w:color w:val="auto"/>
              </w:rPr>
            </w:pPr>
          </w:p>
        </w:tc>
        <w:tc>
          <w:tcPr>
            <w:tcW w:w="940" w:type="dxa"/>
            <w:vAlign w:val="bottom"/>
            <w:vMerge w:val="restart"/>
          </w:tcPr>
          <w:p>
            <w:pPr>
              <w:jc w:val="right"/>
              <w:ind w:right="281"/>
              <w:spacing w:after="0"/>
              <w:rPr>
                <w:sz w:val="20"/>
                <w:szCs w:val="20"/>
                <w:color w:val="auto"/>
              </w:rPr>
            </w:pPr>
            <w:r>
              <w:rPr>
                <w:rFonts w:ascii="Arial" w:cs="Arial" w:eastAsia="Arial" w:hAnsi="Arial"/>
                <w:sz w:val="20"/>
                <w:szCs w:val="20"/>
                <w:b w:val="1"/>
                <w:bCs w:val="1"/>
                <w:color w:val="auto"/>
              </w:rPr>
              <w:t>1,946</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vMerge w:val="restart"/>
          </w:tcPr>
          <w:p>
            <w:pPr>
              <w:spacing w:after="0"/>
              <w:rPr>
                <w:sz w:val="19"/>
                <w:szCs w:val="19"/>
                <w:color w:val="auto"/>
              </w:rPr>
            </w:pPr>
          </w:p>
        </w:tc>
        <w:tc>
          <w:tcPr>
            <w:tcW w:w="64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rPr>
              <w:t>180</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0" w:type="dxa"/>
            <w:vAlign w:val="bottom"/>
          </w:tcPr>
          <w:p>
            <w:pPr>
              <w:spacing w:after="0"/>
              <w:rPr>
                <w:sz w:val="19"/>
                <w:szCs w:val="19"/>
                <w:color w:val="auto"/>
              </w:rPr>
            </w:pPr>
          </w:p>
        </w:tc>
        <w:tc>
          <w:tcPr>
            <w:tcW w:w="2620" w:type="dxa"/>
            <w:vAlign w:val="bottom"/>
          </w:tcPr>
          <w:p>
            <w:pPr>
              <w:ind w:left="180"/>
              <w:spacing w:after="0" w:line="220" w:lineRule="exact"/>
              <w:rPr>
                <w:sz w:val="20"/>
                <w:szCs w:val="20"/>
                <w:color w:val="auto"/>
              </w:rPr>
            </w:pPr>
            <w:r>
              <w:rPr>
                <w:rFonts w:ascii="Arial" w:cs="Arial" w:eastAsia="Arial" w:hAnsi="Arial"/>
                <w:sz w:val="20"/>
                <w:szCs w:val="20"/>
                <w:color w:val="auto"/>
              </w:rPr>
              <w:t>other liabilities</w:t>
            </w:r>
          </w:p>
        </w:tc>
        <w:tc>
          <w:tcPr>
            <w:tcW w:w="800" w:type="dxa"/>
            <w:vAlign w:val="bottom"/>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52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2,226</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155</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40" w:type="dxa"/>
            <w:vAlign w:val="bottom"/>
            <w:gridSpan w:val="4"/>
          </w:tcPr>
          <w:p>
            <w:pPr>
              <w:ind w:left="160"/>
              <w:spacing w:after="0"/>
              <w:rPr>
                <w:sz w:val="20"/>
                <w:szCs w:val="20"/>
                <w:color w:val="auto"/>
              </w:rPr>
            </w:pPr>
            <w:r>
              <w:rPr>
                <w:rFonts w:ascii="Arial" w:cs="Arial" w:eastAsia="Arial" w:hAnsi="Arial"/>
                <w:sz w:val="18"/>
                <w:szCs w:val="18"/>
                <w:color w:val="auto"/>
              </w:rPr>
              <w:t>A-78</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Borrowings</w:t>
      </w:r>
    </w:p>
    <w:p>
      <w:pPr>
        <w:spacing w:after="0" w:line="244"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80" w:type="dxa"/>
            <w:vAlign w:val="bottom"/>
            <w:vMerge w:val="restart"/>
          </w:tcPr>
          <w:p>
            <w:pPr>
              <w:jc w:val="right"/>
              <w:ind w:right="403"/>
              <w:spacing w:after="0"/>
              <w:rPr>
                <w:sz w:val="20"/>
                <w:szCs w:val="20"/>
                <w:color w:val="auto"/>
              </w:rPr>
            </w:pPr>
            <w:r>
              <w:rPr>
                <w:rFonts w:ascii="Arial" w:cs="Arial" w:eastAsia="Arial" w:hAnsi="Arial"/>
                <w:sz w:val="20"/>
                <w:szCs w:val="20"/>
                <w:b w:val="1"/>
                <w:bCs w:val="1"/>
                <w:color w:val="auto"/>
              </w:rPr>
              <w:t>2017</w:t>
            </w:r>
          </w:p>
        </w:tc>
        <w:tc>
          <w:tcPr>
            <w:tcW w:w="2440" w:type="dxa"/>
            <w:vAlign w:val="bottom"/>
            <w:gridSpan w:val="3"/>
          </w:tcPr>
          <w:p>
            <w:pPr>
              <w:jc w:val="right"/>
              <w:ind w:right="1665"/>
              <w:spacing w:after="0"/>
              <w:rPr>
                <w:sz w:val="20"/>
                <w:szCs w:val="20"/>
                <w:color w:val="auto"/>
              </w:rPr>
            </w:pPr>
            <w:r>
              <w:rPr>
                <w:rFonts w:ascii="Arial" w:cs="Arial" w:eastAsia="Arial" w:hAnsi="Arial"/>
                <w:sz w:val="20"/>
                <w:szCs w:val="20"/>
                <w:color w:val="auto"/>
              </w:rPr>
              <w:t>Group</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760" w:type="dxa"/>
            <w:vAlign w:val="bottom"/>
          </w:tcPr>
          <w:p>
            <w:pPr>
              <w:jc w:val="right"/>
              <w:ind w:right="585"/>
              <w:spacing w:after="0" w:line="177"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080" w:type="dxa"/>
            <w:vAlign w:val="bottom"/>
          </w:tcPr>
          <w:p>
            <w:pPr>
              <w:jc w:val="right"/>
              <w:ind w:right="23"/>
              <w:spacing w:after="0"/>
              <w:rPr>
                <w:sz w:val="20"/>
                <w:szCs w:val="20"/>
                <w:color w:val="auto"/>
              </w:rPr>
            </w:pPr>
            <w:r>
              <w:rPr>
                <w:rFonts w:ascii="Arial" w:cs="Arial" w:eastAsia="Arial" w:hAnsi="Arial"/>
                <w:sz w:val="18"/>
                <w:szCs w:val="18"/>
                <w:b w:val="1"/>
                <w:bCs w:val="1"/>
                <w:color w:val="auto"/>
              </w:rPr>
              <w:t>(US$ millions)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jc w:val="right"/>
              <w:ind w:right="245"/>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line="216" w:lineRule="exact"/>
              <w:rPr>
                <w:sz w:val="20"/>
                <w:szCs w:val="20"/>
                <w:color w:val="auto"/>
              </w:rPr>
            </w:pPr>
            <w:r>
              <w:rPr>
                <w:rFonts w:ascii="Arial" w:cs="Arial" w:eastAsia="Arial" w:hAnsi="Arial"/>
                <w:sz w:val="20"/>
                <w:szCs w:val="20"/>
                <w:i w:val="1"/>
                <w:iCs w:val="1"/>
                <w:color w:val="auto"/>
              </w:rPr>
              <w:t>Current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Term loans and senior notes</w:t>
            </w:r>
          </w:p>
        </w:tc>
        <w:tc>
          <w:tcPr>
            <w:tcW w:w="2080" w:type="dxa"/>
            <w:vAlign w:val="bottom"/>
            <w:tcBorders>
              <w:bottom w:val="single" w:sz="8" w:color="auto"/>
            </w:tcBorders>
          </w:tcPr>
          <w:p>
            <w:pPr>
              <w:jc w:val="right"/>
              <w:ind w:right="343"/>
              <w:spacing w:after="0"/>
              <w:rPr>
                <w:sz w:val="20"/>
                <w:szCs w:val="20"/>
                <w:color w:val="auto"/>
              </w:rPr>
            </w:pPr>
            <w:r>
              <w:rPr>
                <w:rFonts w:ascii="Arial" w:cs="Arial" w:eastAsia="Arial" w:hAnsi="Arial"/>
                <w:sz w:val="20"/>
                <w:szCs w:val="20"/>
                <w:b w:val="1"/>
                <w:bCs w:val="1"/>
                <w:color w:val="auto"/>
              </w:rPr>
              <w:t>117</w:t>
            </w:r>
          </w:p>
        </w:tc>
        <w:tc>
          <w:tcPr>
            <w:tcW w:w="2440" w:type="dxa"/>
            <w:vAlign w:val="bottom"/>
            <w:tcBorders>
              <w:bottom w:val="single" w:sz="8" w:color="auto"/>
            </w:tcBorders>
            <w:gridSpan w:val="3"/>
          </w:tcPr>
          <w:p>
            <w:pPr>
              <w:jc w:val="right"/>
              <w:ind w:right="525"/>
              <w:spacing w:after="0"/>
              <w:rPr>
                <w:sz w:val="20"/>
                <w:szCs w:val="20"/>
                <w:color w:val="auto"/>
              </w:rPr>
            </w:pPr>
            <w:r>
              <w:rPr>
                <w:rFonts w:ascii="Arial" w:cs="Arial" w:eastAsia="Arial" w:hAnsi="Arial"/>
                <w:sz w:val="20"/>
                <w:szCs w:val="20"/>
                <w:color w:val="auto"/>
              </w:rPr>
              <w:t>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43"/>
              <w:spacing w:after="0" w:line="209" w:lineRule="exact"/>
              <w:rPr>
                <w:sz w:val="20"/>
                <w:szCs w:val="20"/>
                <w:color w:val="auto"/>
              </w:rPr>
            </w:pPr>
            <w:r>
              <w:rPr>
                <w:rFonts w:ascii="Arial" w:cs="Arial" w:eastAsia="Arial" w:hAnsi="Arial"/>
                <w:sz w:val="20"/>
                <w:szCs w:val="20"/>
                <w:b w:val="1"/>
                <w:bCs w:val="1"/>
                <w:color w:val="auto"/>
              </w:rPr>
              <w:t>117</w:t>
            </w:r>
          </w:p>
        </w:tc>
        <w:tc>
          <w:tcPr>
            <w:tcW w:w="2440" w:type="dxa"/>
            <w:vAlign w:val="bottom"/>
            <w:gridSpan w:val="3"/>
            <w:shd w:val="clear" w:color="auto" w:fill="CCEEFF"/>
          </w:tcPr>
          <w:p>
            <w:pPr>
              <w:jc w:val="right"/>
              <w:ind w:right="525"/>
              <w:spacing w:after="0" w:line="209" w:lineRule="exact"/>
              <w:rPr>
                <w:sz w:val="20"/>
                <w:szCs w:val="20"/>
                <w:color w:val="auto"/>
              </w:rPr>
            </w:pPr>
            <w:r>
              <w:rPr>
                <w:rFonts w:ascii="Arial" w:cs="Arial" w:eastAsia="Arial" w:hAnsi="Arial"/>
                <w:sz w:val="20"/>
                <w:szCs w:val="20"/>
                <w:color w:val="auto"/>
              </w:rPr>
              <w:t>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spacing w:after="0"/>
              <w:rPr>
                <w:sz w:val="20"/>
                <w:szCs w:val="20"/>
                <w:color w:val="auto"/>
              </w:rPr>
            </w:pPr>
            <w:r>
              <w:rPr>
                <w:rFonts w:ascii="Arial" w:cs="Arial" w:eastAsia="Arial" w:hAnsi="Arial"/>
                <w:sz w:val="20"/>
                <w:szCs w:val="20"/>
                <w:i w:val="1"/>
                <w:iCs w:val="1"/>
                <w:color w:val="auto"/>
              </w:rPr>
              <w:t>Non-current</w:t>
            </w:r>
          </w:p>
        </w:tc>
        <w:tc>
          <w:tcPr>
            <w:tcW w:w="2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Term loans and senior notes</w:t>
            </w:r>
          </w:p>
        </w:tc>
        <w:tc>
          <w:tcPr>
            <w:tcW w:w="2080" w:type="dxa"/>
            <w:vAlign w:val="bottom"/>
            <w:shd w:val="clear" w:color="auto" w:fill="CCEEFF"/>
          </w:tcPr>
          <w:p>
            <w:pPr>
              <w:jc w:val="right"/>
              <w:ind w:right="343"/>
              <w:spacing w:after="0" w:line="216" w:lineRule="exact"/>
              <w:rPr>
                <w:sz w:val="20"/>
                <w:szCs w:val="20"/>
                <w:color w:val="auto"/>
              </w:rPr>
            </w:pPr>
            <w:r>
              <w:rPr>
                <w:rFonts w:ascii="Arial" w:cs="Arial" w:eastAsia="Arial" w:hAnsi="Arial"/>
                <w:sz w:val="20"/>
                <w:szCs w:val="20"/>
                <w:b w:val="1"/>
                <w:bCs w:val="1"/>
                <w:color w:val="auto"/>
              </w:rPr>
              <w:t>17,431</w:t>
            </w:r>
          </w:p>
        </w:tc>
        <w:tc>
          <w:tcPr>
            <w:tcW w:w="2440" w:type="dxa"/>
            <w:vAlign w:val="bottom"/>
            <w:gridSpan w:val="3"/>
            <w:shd w:val="clear" w:color="auto" w:fill="CCEEFF"/>
          </w:tcPr>
          <w:p>
            <w:pPr>
              <w:jc w:val="right"/>
              <w:ind w:right="525"/>
              <w:spacing w:after="0" w:line="216" w:lineRule="exact"/>
              <w:rPr>
                <w:sz w:val="20"/>
                <w:szCs w:val="20"/>
                <w:color w:val="auto"/>
              </w:rPr>
            </w:pPr>
            <w:r>
              <w:rPr>
                <w:rFonts w:ascii="Arial" w:cs="Arial" w:eastAsia="Arial" w:hAnsi="Arial"/>
                <w:sz w:val="20"/>
                <w:szCs w:val="20"/>
                <w:color w:val="auto"/>
              </w:rPr>
              <w:t>13,188</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20"/>
                <w:szCs w:val="20"/>
                <w:color w:val="auto"/>
              </w:rPr>
              <w:t>Total borrowings</w:t>
            </w:r>
          </w:p>
        </w:tc>
        <w:tc>
          <w:tcPr>
            <w:tcW w:w="2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gridSpan w:val="2"/>
            <w:vMerge w:val="continue"/>
          </w:tcPr>
          <w:p>
            <w:pPr>
              <w:spacing w:after="0"/>
              <w:rPr>
                <w:sz w:val="19"/>
                <w:szCs w:val="19"/>
                <w:color w:val="auto"/>
              </w:rPr>
            </w:pPr>
          </w:p>
        </w:tc>
        <w:tc>
          <w:tcPr>
            <w:tcW w:w="2080" w:type="dxa"/>
            <w:vAlign w:val="bottom"/>
            <w:tcBorders>
              <w:bottom w:val="single" w:sz="8" w:color="auto"/>
            </w:tcBorders>
          </w:tcPr>
          <w:p>
            <w:pPr>
              <w:jc w:val="right"/>
              <w:ind w:right="343"/>
              <w:spacing w:after="0" w:line="217" w:lineRule="exact"/>
              <w:rPr>
                <w:sz w:val="20"/>
                <w:szCs w:val="20"/>
                <w:color w:val="auto"/>
              </w:rPr>
            </w:pPr>
            <w:r>
              <w:rPr>
                <w:rFonts w:ascii="Arial" w:cs="Arial" w:eastAsia="Arial" w:hAnsi="Arial"/>
                <w:sz w:val="20"/>
                <w:szCs w:val="20"/>
                <w:b w:val="1"/>
                <w:bCs w:val="1"/>
                <w:color w:val="auto"/>
              </w:rPr>
              <w:t>17,548</w:t>
            </w:r>
          </w:p>
        </w:tc>
        <w:tc>
          <w:tcPr>
            <w:tcW w:w="2440" w:type="dxa"/>
            <w:vAlign w:val="bottom"/>
            <w:tcBorders>
              <w:bottom w:val="single" w:sz="8" w:color="auto"/>
            </w:tcBorders>
            <w:gridSpan w:val="3"/>
          </w:tcPr>
          <w:p>
            <w:pPr>
              <w:jc w:val="right"/>
              <w:ind w:right="525"/>
              <w:spacing w:after="0" w:line="217" w:lineRule="exact"/>
              <w:rPr>
                <w:sz w:val="20"/>
                <w:szCs w:val="20"/>
                <w:color w:val="auto"/>
              </w:rPr>
            </w:pPr>
            <w:r>
              <w:rPr>
                <w:rFonts w:ascii="Arial" w:cs="Arial" w:eastAsia="Arial" w:hAnsi="Arial"/>
                <w:sz w:val="20"/>
                <w:szCs w:val="20"/>
                <w:color w:val="auto"/>
              </w:rPr>
              <w:t>13,642</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980" w:right="20"/>
        <w:spacing w:after="0"/>
        <w:rPr>
          <w:sz w:val="20"/>
          <w:szCs w:val="20"/>
          <w:color w:val="auto"/>
        </w:rPr>
      </w:pPr>
      <w:r>
        <w:rPr>
          <w:rFonts w:ascii="Arial" w:cs="Arial" w:eastAsia="Arial" w:hAnsi="Arial"/>
          <w:sz w:val="18"/>
          <w:szCs w:val="18"/>
          <w:color w:val="auto"/>
        </w:rPr>
        <w:t>The following table presents the details of the senior unsecured notes issued and sold in January 2017 (the “January 2017 Senior Notes”) and in October 2017 (the “October 2017 Senior Notes”, and collectively, the “2017 Senior Notes”) and the term loans (the “2016 Term Loans”) under our guaranteed collateralized credit agreement (the “2016 Credit Agreement”):</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5"/>
          </w:tcPr>
          <w:p>
            <w:pPr>
              <w:ind w:left="500"/>
              <w:spacing w:after="0"/>
              <w:rPr>
                <w:sz w:val="20"/>
                <w:szCs w:val="20"/>
                <w:color w:val="auto"/>
              </w:rPr>
            </w:pPr>
            <w:r>
              <w:rPr>
                <w:rFonts w:ascii="Arial" w:cs="Arial" w:eastAsia="Arial" w:hAnsi="Arial"/>
                <w:sz w:val="20"/>
                <w:szCs w:val="20"/>
                <w:color w:val="auto"/>
              </w:rPr>
              <w:t>Group</w:t>
            </w:r>
          </w:p>
        </w:tc>
        <w:tc>
          <w:tcPr>
            <w:tcW w:w="160" w:type="dxa"/>
            <w:vAlign w:val="bottom"/>
          </w:tcPr>
          <w:p>
            <w:pPr>
              <w:spacing w:after="0"/>
              <w:rPr>
                <w:sz w:val="19"/>
                <w:szCs w:val="19"/>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20"/>
                <w:szCs w:val="20"/>
                <w:color w:val="auto"/>
              </w:rPr>
              <w:t>Amount</w:t>
            </w: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680" w:type="dxa"/>
            <w:vAlign w:val="bottom"/>
            <w:gridSpan w:val="7"/>
          </w:tcPr>
          <w:p>
            <w:pPr>
              <w:jc w:val="right"/>
              <w:ind w:right="1220"/>
              <w:spacing w:after="0" w:line="190" w:lineRule="exact"/>
              <w:rPr>
                <w:sz w:val="20"/>
                <w:szCs w:val="20"/>
                <w:color w:val="auto"/>
              </w:rPr>
            </w:pPr>
            <w:r>
              <w:rPr>
                <w:rFonts w:ascii="Arial" w:cs="Arial" w:eastAsia="Arial" w:hAnsi="Arial"/>
                <w:sz w:val="18"/>
                <w:szCs w:val="18"/>
                <w:color w:val="auto"/>
              </w:rPr>
              <w:t>Interest rate</w:t>
            </w:r>
          </w:p>
        </w:tc>
        <w:tc>
          <w:tcPr>
            <w:tcW w:w="1500" w:type="dxa"/>
            <w:vAlign w:val="bottom"/>
            <w:gridSpan w:val="3"/>
          </w:tcPr>
          <w:p>
            <w:pPr>
              <w:jc w:val="right"/>
              <w:ind w:right="220"/>
              <w:spacing w:after="0" w:line="190" w:lineRule="exact"/>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millions)</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20"/>
                <w:szCs w:val="20"/>
                <w:i w:val="1"/>
                <w:iCs w:val="1"/>
                <w:color w:val="auto"/>
              </w:rPr>
              <w:t>January 2017 Senior Notes</w:t>
            </w:r>
          </w:p>
        </w:tc>
        <w:tc>
          <w:tcPr>
            <w:tcW w:w="2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Arial" w:cs="Arial" w:eastAsia="Arial" w:hAnsi="Arial"/>
                <w:sz w:val="20"/>
                <w:szCs w:val="20"/>
                <w:color w:val="auto"/>
              </w:rPr>
              <w:t>Fixed rate 2.375% notes due January 2020</w:t>
            </w:r>
          </w:p>
        </w:tc>
        <w:tc>
          <w:tcPr>
            <w:tcW w:w="346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2.615%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2,750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Fixed rate 3.000% notes due January 2022</w:t>
            </w:r>
          </w:p>
        </w:tc>
        <w:tc>
          <w:tcPr>
            <w:tcW w:w="346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3.214%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3,500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Arial" w:cs="Arial" w:eastAsia="Arial" w:hAnsi="Arial"/>
                <w:sz w:val="20"/>
                <w:szCs w:val="20"/>
                <w:color w:val="auto"/>
              </w:rPr>
              <w:t>Fixed rate 3.625% notes due January 2024</w:t>
            </w:r>
          </w:p>
        </w:tc>
        <w:tc>
          <w:tcPr>
            <w:tcW w:w="346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3.744%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2,500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Fixed rate 3.875% notes due January 2027</w:t>
            </w:r>
          </w:p>
        </w:tc>
        <w:tc>
          <w:tcPr>
            <w:tcW w:w="346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4.018%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4,800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840" w:type="dxa"/>
            <w:vAlign w:val="bottom"/>
            <w:gridSpan w:val="2"/>
          </w:tcPr>
          <w:p>
            <w:pPr>
              <w:ind w:left="760"/>
              <w:spacing w:after="0"/>
              <w:rPr>
                <w:sz w:val="20"/>
                <w:szCs w:val="20"/>
                <w:color w:val="auto"/>
              </w:rPr>
            </w:pPr>
            <w:r>
              <w:rPr>
                <w:rFonts w:ascii="Arial" w:cs="Arial" w:eastAsia="Arial" w:hAnsi="Arial"/>
                <w:sz w:val="20"/>
                <w:szCs w:val="20"/>
                <w:i w:val="1"/>
                <w:iCs w:val="1"/>
                <w:color w:val="auto"/>
              </w:rPr>
              <w:t>October 2017 Senior Notes</w:t>
            </w:r>
          </w:p>
        </w:tc>
        <w:tc>
          <w:tcPr>
            <w:tcW w:w="2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Fixed rate 2.200% notes due January 2021</w:t>
            </w:r>
          </w:p>
        </w:tc>
        <w:tc>
          <w:tcPr>
            <w:tcW w:w="346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2.406%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750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Arial" w:cs="Arial" w:eastAsia="Arial" w:hAnsi="Arial"/>
                <w:sz w:val="20"/>
                <w:szCs w:val="20"/>
                <w:color w:val="auto"/>
              </w:rPr>
              <w:t>Fixed rate 2.650% notes due January 2023</w:t>
            </w:r>
          </w:p>
        </w:tc>
        <w:tc>
          <w:tcPr>
            <w:tcW w:w="346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2.781%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Fixed rate 3.125% notes due January 2025</w:t>
            </w:r>
          </w:p>
        </w:tc>
        <w:tc>
          <w:tcPr>
            <w:tcW w:w="346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3.234%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1,000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20"/>
                <w:szCs w:val="20"/>
                <w:color w:val="auto"/>
              </w:rPr>
              <w:t>Fixed rate 3.500% notes due January 2028</w:t>
            </w:r>
          </w:p>
        </w:tc>
        <w:tc>
          <w:tcPr>
            <w:tcW w:w="3460" w:type="dxa"/>
            <w:vAlign w:val="bottom"/>
            <w:gridSpan w:val="2"/>
          </w:tcPr>
          <w:p>
            <w:pPr>
              <w:jc w:val="right"/>
              <w:ind w:right="100"/>
              <w:spacing w:after="0"/>
              <w:rPr>
                <w:sz w:val="20"/>
                <w:szCs w:val="20"/>
                <w:color w:val="auto"/>
              </w:rPr>
            </w:pPr>
            <w:r>
              <w:rPr>
                <w:rFonts w:ascii="Arial" w:cs="Arial" w:eastAsia="Arial" w:hAnsi="Arial"/>
                <w:sz w:val="20"/>
                <w:szCs w:val="20"/>
                <w:color w:val="auto"/>
              </w:rPr>
              <w:t>3.596%</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1,250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780" w:type="dxa"/>
            <w:vAlign w:val="bottom"/>
          </w:tcPr>
          <w:p>
            <w:pPr>
              <w:spacing w:after="0"/>
              <w:rPr>
                <w:sz w:val="7"/>
                <w:szCs w:val="7"/>
                <w:color w:val="auto"/>
              </w:rPr>
            </w:pPr>
          </w:p>
        </w:tc>
        <w:tc>
          <w:tcPr>
            <w:tcW w:w="6560" w:type="dxa"/>
            <w:vAlign w:val="bottom"/>
            <w:gridSpan w:val="2"/>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740" w:type="dxa"/>
            <w:vAlign w:val="bottom"/>
            <w:gridSpan w:val="8"/>
            <w:shd w:val="clear" w:color="auto" w:fill="CCEEFF"/>
          </w:tcPr>
          <w:p>
            <w:pPr>
              <w:ind w:left="3200"/>
              <w:spacing w:after="0" w:line="216" w:lineRule="exact"/>
              <w:rPr>
                <w:sz w:val="20"/>
                <w:szCs w:val="20"/>
                <w:color w:val="auto"/>
              </w:rPr>
            </w:pPr>
            <w:r>
              <w:rPr>
                <w:rFonts w:ascii="Arial" w:cs="Arial" w:eastAsia="Arial" w:hAnsi="Arial"/>
                <w:sz w:val="20"/>
                <w:szCs w:val="20"/>
                <w:color w:val="auto"/>
              </w:rPr>
              <w:t>Unaccreted discount and unamortised debt issuance cost</w:t>
            </w:r>
            <w:r>
              <w:rPr>
                <w:rFonts w:ascii="Arial" w:cs="Arial" w:eastAsia="Arial" w:hAnsi="Arial"/>
                <w:sz w:val="20"/>
                <w:szCs w:val="20"/>
                <w:u w:val="single" w:color="auto"/>
                <w:color w:val="auto"/>
              </w:rPr>
              <w:t>s</w:t>
            </w:r>
          </w:p>
        </w:tc>
        <w:tc>
          <w:tcPr>
            <w:tcW w:w="1500" w:type="dxa"/>
            <w:vAlign w:val="bottom"/>
            <w:gridSpan w:val="3"/>
            <w:shd w:val="clear" w:color="auto" w:fill="CCEEFF"/>
          </w:tcPr>
          <w:p>
            <w:pPr>
              <w:jc w:val="right"/>
              <w:ind w:right="160"/>
              <w:spacing w:after="0" w:line="216" w:lineRule="exact"/>
              <w:rPr>
                <w:sz w:val="20"/>
                <w:szCs w:val="20"/>
                <w:color w:val="auto"/>
              </w:rPr>
            </w:pPr>
            <w:r>
              <w:rPr>
                <w:rFonts w:ascii="Arial" w:cs="Arial" w:eastAsia="Arial" w:hAnsi="Arial"/>
                <w:sz w:val="20"/>
                <w:szCs w:val="20"/>
                <w:color w:val="auto"/>
              </w:rPr>
              <w:t>(141)</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4680" w:type="dxa"/>
            <w:vAlign w:val="bottom"/>
            <w:gridSpan w:val="7"/>
          </w:tcPr>
          <w:p>
            <w:pPr>
              <w:jc w:val="right"/>
              <w:ind w:right="1220"/>
              <w:spacing w:after="0" w:line="223" w:lineRule="exact"/>
              <w:rPr>
                <w:sz w:val="20"/>
                <w:szCs w:val="20"/>
                <w:color w:val="auto"/>
              </w:rPr>
            </w:pPr>
            <w:r>
              <w:rPr>
                <w:rFonts w:ascii="Arial" w:cs="Arial" w:eastAsia="Arial" w:hAnsi="Arial"/>
                <w:sz w:val="20"/>
                <w:szCs w:val="20"/>
                <w:color w:val="auto"/>
              </w:rPr>
              <w:t>Carrying value of 2017 Senior Notes</w:t>
            </w:r>
          </w:p>
        </w:tc>
        <w:tc>
          <w:tcPr>
            <w:tcW w:w="1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b w:val="1"/>
                <w:bCs w:val="1"/>
                <w:color w:val="auto"/>
              </w:rPr>
              <w:t>17,409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8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680" w:type="dxa"/>
            <w:vAlign w:val="bottom"/>
            <w:gridSpan w:val="7"/>
          </w:tcPr>
          <w:p>
            <w:pPr>
              <w:ind w:left="460"/>
              <w:spacing w:after="0"/>
              <w:rPr>
                <w:sz w:val="20"/>
                <w:szCs w:val="20"/>
                <w:color w:val="auto"/>
              </w:rPr>
            </w:pPr>
            <w:r>
              <w:rPr>
                <w:rFonts w:ascii="Arial" w:cs="Arial" w:eastAsia="Arial" w:hAnsi="Arial"/>
                <w:sz w:val="18"/>
                <w:szCs w:val="18"/>
                <w:color w:val="auto"/>
              </w:rPr>
              <w:t>A-79</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20.</w:t>
            </w:r>
          </w:p>
        </w:tc>
        <w:tc>
          <w:tcPr>
            <w:tcW w:w="160" w:type="dxa"/>
            <w:vAlign w:val="bottom"/>
          </w:tcPr>
          <w:p>
            <w:pPr>
              <w:spacing w:after="0"/>
              <w:rPr>
                <w:sz w:val="20"/>
                <w:szCs w:val="20"/>
                <w:color w:val="auto"/>
              </w:rPr>
            </w:pPr>
          </w:p>
        </w:tc>
        <w:tc>
          <w:tcPr>
            <w:tcW w:w="3040" w:type="dxa"/>
            <w:vAlign w:val="bottom"/>
          </w:tcPr>
          <w:p>
            <w:pPr>
              <w:ind w:left="220"/>
              <w:spacing w:after="0"/>
              <w:rPr>
                <w:sz w:val="20"/>
                <w:szCs w:val="20"/>
                <w:color w:val="auto"/>
              </w:rPr>
            </w:pPr>
            <w:r>
              <w:rPr>
                <w:rFonts w:ascii="Arial" w:cs="Arial" w:eastAsia="Arial" w:hAnsi="Arial"/>
                <w:sz w:val="18"/>
                <w:szCs w:val="18"/>
                <w:b w:val="1"/>
                <w:bCs w:val="1"/>
                <w:color w:val="auto"/>
              </w:rPr>
              <w:t xml:space="preserve">Borrowings </w:t>
            </w:r>
            <w:r>
              <w:rPr>
                <w:rFonts w:ascii="Arial" w:cs="Arial" w:eastAsia="Arial" w:hAnsi="Arial"/>
                <w:sz w:val="18"/>
                <w:szCs w:val="18"/>
                <w:color w:val="auto"/>
              </w:rPr>
              <w:t>(continued)</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auto"/>
              </w:rPr>
              <w:t>Group</w:t>
            </w:r>
          </w:p>
        </w:tc>
        <w:tc>
          <w:tcPr>
            <w:tcW w:w="1160" w:type="dxa"/>
            <w:vAlign w:val="bottom"/>
            <w:gridSpan w:val="7"/>
            <w:vMerge w:val="restart"/>
          </w:tcPr>
          <w:p>
            <w:pPr>
              <w:jc w:val="right"/>
              <w:ind w:right="220"/>
              <w:spacing w:after="0"/>
              <w:rPr>
                <w:sz w:val="20"/>
                <w:szCs w:val="20"/>
                <w:color w:val="auto"/>
              </w:rPr>
            </w:pPr>
            <w:r>
              <w:rPr>
                <w:rFonts w:ascii="Arial" w:cs="Arial" w:eastAsia="Arial" w:hAnsi="Arial"/>
                <w:sz w:val="16"/>
                <w:szCs w:val="16"/>
                <w:color w:val="auto"/>
              </w:rPr>
              <w:t>Effective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40" w:type="dxa"/>
            <w:vAlign w:val="bottom"/>
            <w:gridSpan w:val="3"/>
            <w:vMerge w:val="restart"/>
          </w:tcPr>
          <w:p>
            <w:pPr>
              <w:jc w:val="right"/>
              <w:ind w:right="234"/>
              <w:spacing w:after="0"/>
              <w:rPr>
                <w:sz w:val="20"/>
                <w:szCs w:val="20"/>
                <w:color w:val="auto"/>
              </w:rPr>
            </w:pPr>
            <w:r>
              <w:rPr>
                <w:rFonts w:ascii="Arial" w:cs="Arial" w:eastAsia="Arial" w:hAnsi="Arial"/>
                <w:sz w:val="16"/>
                <w:szCs w:val="16"/>
                <w:color w:val="auto"/>
              </w:rPr>
              <w:t>Interest</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7"/>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top w:val="single" w:sz="8" w:color="auto"/>
            </w:tcBorders>
            <w:gridSpan w:val="5"/>
          </w:tcPr>
          <w:p>
            <w:pPr>
              <w:jc w:val="center"/>
              <w:ind w:right="20"/>
              <w:spacing w:after="0" w:line="169" w:lineRule="exact"/>
              <w:rPr>
                <w:sz w:val="20"/>
                <w:szCs w:val="20"/>
                <w:color w:val="auto"/>
              </w:rPr>
            </w:pPr>
            <w:r>
              <w:rPr>
                <w:rFonts w:ascii="Arial" w:cs="Arial" w:eastAsia="Arial" w:hAnsi="Arial"/>
                <w:sz w:val="16"/>
                <w:szCs w:val="16"/>
                <w:color w:val="auto"/>
              </w:rPr>
              <w:t>interest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40" w:type="dxa"/>
            <w:vAlign w:val="bottom"/>
            <w:gridSpan w:val="3"/>
          </w:tcPr>
          <w:p>
            <w:pPr>
              <w:jc w:val="right"/>
              <w:ind w:right="354"/>
              <w:spacing w:after="0" w:line="169" w:lineRule="exact"/>
              <w:rPr>
                <w:sz w:val="20"/>
                <w:szCs w:val="20"/>
                <w:color w:val="auto"/>
              </w:rPr>
            </w:pPr>
            <w:r>
              <w:rPr>
                <w:rFonts w:ascii="Arial" w:cs="Arial" w:eastAsia="Arial" w:hAnsi="Arial"/>
                <w:sz w:val="16"/>
                <w:szCs w:val="16"/>
                <w:color w:val="auto"/>
              </w:rPr>
              <w:t>rate</w:t>
            </w:r>
          </w:p>
        </w:tc>
        <w:tc>
          <w:tcPr>
            <w:tcW w:w="1140" w:type="dxa"/>
            <w:vAlign w:val="bottom"/>
          </w:tcPr>
          <w:p>
            <w:pPr>
              <w:spacing w:after="0"/>
              <w:rPr>
                <w:sz w:val="14"/>
                <w:szCs w:val="14"/>
                <w:color w:val="auto"/>
              </w:rPr>
            </w:pPr>
          </w:p>
        </w:tc>
        <w:tc>
          <w:tcPr>
            <w:tcW w:w="2360" w:type="dxa"/>
            <w:vAlign w:val="bottom"/>
            <w:gridSpan w:val="4"/>
          </w:tcPr>
          <w:p>
            <w:pPr>
              <w:spacing w:after="0" w:line="169" w:lineRule="exact"/>
              <w:rPr>
                <w:sz w:val="20"/>
                <w:szCs w:val="20"/>
                <w:color w:val="auto"/>
              </w:rPr>
            </w:pPr>
            <w:r>
              <w:rPr>
                <w:rFonts w:ascii="Arial" w:cs="Arial" w:eastAsia="Arial" w:hAnsi="Arial"/>
                <w:sz w:val="16"/>
                <w:szCs w:val="16"/>
                <w:color w:val="auto"/>
              </w:rPr>
              <w:t>Applicable margins</w:t>
            </w:r>
            <w:r>
              <w:rPr>
                <w:rFonts w:ascii="Arial" w:cs="Arial" w:eastAsia="Arial" w:hAnsi="Arial"/>
                <w:sz w:val="10"/>
                <w:szCs w:val="10"/>
                <w:color w:val="auto"/>
              </w:rPr>
              <w:t>†</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gridSpan w:val="2"/>
          </w:tcPr>
          <w:p>
            <w:pPr>
              <w:jc w:val="center"/>
              <w:ind w:right="39"/>
              <w:spacing w:after="0" w:line="169" w:lineRule="exact"/>
              <w:rPr>
                <w:sz w:val="20"/>
                <w:szCs w:val="20"/>
                <w:color w:val="auto"/>
              </w:rPr>
            </w:pPr>
            <w:r>
              <w:rPr>
                <w:rFonts w:ascii="Arial" w:cs="Arial" w:eastAsia="Arial" w:hAnsi="Arial"/>
                <w:sz w:val="16"/>
                <w:szCs w:val="16"/>
                <w:color w:val="auto"/>
              </w:rPr>
              <w:t>rate</w:t>
            </w:r>
          </w:p>
        </w:tc>
        <w:tc>
          <w:tcPr>
            <w:tcW w:w="260" w:type="dxa"/>
            <w:vAlign w:val="bottom"/>
            <w:gridSpan w:val="2"/>
          </w:tcPr>
          <w:p>
            <w:pPr>
              <w:spacing w:after="0"/>
              <w:rPr>
                <w:sz w:val="14"/>
                <w:szCs w:val="14"/>
                <w:color w:val="auto"/>
              </w:rPr>
            </w:pPr>
          </w:p>
        </w:tc>
        <w:tc>
          <w:tcPr>
            <w:tcW w:w="1340" w:type="dxa"/>
            <w:vAlign w:val="bottom"/>
            <w:gridSpan w:val="3"/>
          </w:tcPr>
          <w:p>
            <w:pPr>
              <w:jc w:val="center"/>
              <w:ind w:left="99"/>
              <w:spacing w:after="0" w:line="169" w:lineRule="exact"/>
              <w:rPr>
                <w:sz w:val="20"/>
                <w:szCs w:val="20"/>
                <w:color w:val="auto"/>
              </w:rPr>
            </w:pPr>
            <w:r>
              <w:rPr>
                <w:rFonts w:ascii="Arial" w:cs="Arial" w:eastAsia="Arial" w:hAnsi="Arial"/>
                <w:sz w:val="16"/>
                <w:szCs w:val="16"/>
                <w:u w:val="single" w:color="auto"/>
                <w:color w:val="auto"/>
              </w:rPr>
              <w:t>(US</w:t>
            </w:r>
            <w:r>
              <w:rPr>
                <w:rFonts w:ascii="Arial" w:cs="Arial" w:eastAsia="Arial" w:hAnsi="Arial"/>
                <w:sz w:val="16"/>
                <w:szCs w:val="16"/>
                <w:color w:val="auto"/>
              </w:rPr>
              <w:t>$ millions)</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Term A Loan due February 2021</w:t>
            </w:r>
          </w:p>
        </w:tc>
        <w:tc>
          <w:tcPr>
            <w:tcW w:w="7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74"/>
              <w:spacing w:after="0"/>
              <w:rPr>
                <w:sz w:val="20"/>
                <w:szCs w:val="20"/>
                <w:color w:val="auto"/>
              </w:rPr>
            </w:pPr>
            <w:r>
              <w:rPr>
                <w:rFonts w:ascii="Arial" w:cs="Arial" w:eastAsia="Arial" w:hAnsi="Arial"/>
                <w:sz w:val="16"/>
                <w:szCs w:val="16"/>
                <w:color w:val="auto"/>
                <w:w w:val="87"/>
              </w:rPr>
              <w:t>28%</w:t>
            </w:r>
          </w:p>
        </w:tc>
        <w:tc>
          <w:tcPr>
            <w:tcW w:w="114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w w:val="89"/>
              </w:rPr>
              <w:t>Variable based</w:t>
            </w:r>
          </w:p>
        </w:tc>
        <w:tc>
          <w:tcPr>
            <w:tcW w:w="1440" w:type="dxa"/>
            <w:vAlign w:val="bottom"/>
            <w:gridSpan w:val="2"/>
            <w:shd w:val="clear" w:color="auto" w:fill="000000"/>
          </w:tcPr>
          <w:p>
            <w:pPr>
              <w:spacing w:after="0" w:line="20" w:lineRule="exact"/>
              <w:rPr>
                <w:sz w:val="1"/>
                <w:szCs w:val="1"/>
                <w:color w:val="auto"/>
              </w:rPr>
            </w:pPr>
          </w:p>
        </w:tc>
        <w:tc>
          <w:tcPr>
            <w:tcW w:w="920" w:type="dxa"/>
            <w:vAlign w:val="bottom"/>
            <w:gridSpan w:val="2"/>
            <w:shd w:val="clear" w:color="auto" w:fill="CCEEFF"/>
          </w:tcPr>
          <w:p>
            <w:pPr>
              <w:spacing w:after="0" w:line="20" w:lineRule="exact"/>
              <w:rPr>
                <w:sz w:val="1"/>
                <w:szCs w:val="1"/>
                <w:color w:val="auto"/>
              </w:rPr>
            </w:pPr>
          </w:p>
        </w:tc>
        <w:tc>
          <w:tcPr>
            <w:tcW w:w="500" w:type="dxa"/>
            <w:vAlign w:val="bottom"/>
            <w:gridSpan w:val="3"/>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7"/>
              </w:rPr>
              <w:t>52%</w:t>
            </w:r>
          </w:p>
        </w:tc>
        <w:tc>
          <w:tcPr>
            <w:tcW w:w="2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w:t>
            </w:r>
          </w:p>
        </w:tc>
        <w:tc>
          <w:tcPr>
            <w:tcW w:w="46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2360" w:type="dxa"/>
            <w:vAlign w:val="bottom"/>
            <w:gridSpan w:val="4"/>
            <w:shd w:val="clear" w:color="auto" w:fill="CCEEFF"/>
          </w:tcPr>
          <w:p>
            <w:pPr>
              <w:ind w:left="140"/>
              <w:spacing w:after="0" w:line="169" w:lineRule="exact"/>
              <w:rPr>
                <w:sz w:val="20"/>
                <w:szCs w:val="20"/>
                <w:color w:val="auto"/>
              </w:rPr>
            </w:pPr>
            <w:r>
              <w:rPr>
                <w:rFonts w:ascii="Arial" w:cs="Arial" w:eastAsia="Arial" w:hAnsi="Arial"/>
                <w:sz w:val="16"/>
                <w:szCs w:val="16"/>
                <w:color w:val="auto"/>
              </w:rPr>
              <w:t>on applicable credit rating.</w:t>
            </w:r>
          </w:p>
        </w:tc>
        <w:tc>
          <w:tcPr>
            <w:tcW w:w="500" w:type="dxa"/>
            <w:vAlign w:val="bottom"/>
            <w:gridSpan w:val="3"/>
            <w:vMerge w:val="continue"/>
            <w:shd w:val="clear" w:color="auto" w:fill="CCEEFF"/>
          </w:tcPr>
          <w:p>
            <w:pPr>
              <w:spacing w:after="0"/>
              <w:rPr>
                <w:sz w:val="14"/>
                <w:szCs w:val="14"/>
                <w:color w:val="auto"/>
              </w:rPr>
            </w:pP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w:t>
            </w:r>
          </w:p>
        </w:tc>
        <w:tc>
          <w:tcPr>
            <w:tcW w:w="380" w:type="dxa"/>
            <w:vAlign w:val="bottom"/>
            <w:gridSpan w:val="3"/>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000" w:type="dxa"/>
            <w:vAlign w:val="bottom"/>
            <w:shd w:val="clear" w:color="auto" w:fill="CCEEFF"/>
          </w:tcPr>
          <w:p>
            <w:pPr>
              <w:jc w:val="right"/>
              <w:ind w:right="139"/>
              <w:spacing w:after="0" w:line="169" w:lineRule="exact"/>
              <w:rPr>
                <w:sz w:val="20"/>
                <w:szCs w:val="20"/>
                <w:color w:val="auto"/>
              </w:rPr>
            </w:pPr>
            <w:r>
              <w:rPr>
                <w:rFonts w:ascii="Arial" w:cs="Arial" w:eastAsia="Arial" w:hAnsi="Arial"/>
                <w:sz w:val="16"/>
                <w:szCs w:val="16"/>
                <w:color w:val="auto"/>
              </w:rPr>
              <w:t>7,090</w:t>
            </w:r>
          </w:p>
        </w:tc>
        <w:tc>
          <w:tcPr>
            <w:tcW w:w="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00" w:type="dxa"/>
            <w:vAlign w:val="bottom"/>
            <w:gridSpan w:val="5"/>
          </w:tcPr>
          <w:p>
            <w:pPr>
              <w:ind w:left="160"/>
              <w:spacing w:after="0"/>
              <w:rPr>
                <w:sz w:val="20"/>
                <w:szCs w:val="20"/>
                <w:color w:val="auto"/>
              </w:rPr>
            </w:pPr>
            <w:r>
              <w:rPr>
                <w:rFonts w:ascii="Arial" w:cs="Arial" w:eastAsia="Arial" w:hAnsi="Arial"/>
                <w:sz w:val="16"/>
                <w:szCs w:val="16"/>
                <w:color w:val="auto"/>
              </w:rPr>
              <w:t>Eurocurrency Loans: 3.0%,</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00" w:type="dxa"/>
            <w:vAlign w:val="bottom"/>
            <w:gridSpan w:val="5"/>
          </w:tcPr>
          <w:p>
            <w:pPr>
              <w:ind w:left="160"/>
              <w:spacing w:after="0"/>
              <w:rPr>
                <w:sz w:val="20"/>
                <w:szCs w:val="20"/>
                <w:color w:val="auto"/>
              </w:rPr>
            </w:pPr>
            <w:r>
              <w:rPr>
                <w:rFonts w:ascii="Arial" w:cs="Arial" w:eastAsia="Arial" w:hAnsi="Arial"/>
                <w:sz w:val="16"/>
                <w:szCs w:val="16"/>
                <w:color w:val="auto"/>
              </w:rPr>
              <w:t>Base Rate Loans: 2.0%.</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3200" w:type="dxa"/>
            <w:vAlign w:val="bottom"/>
            <w:gridSpan w:val="2"/>
          </w:tcPr>
          <w:p>
            <w:pPr>
              <w:ind w:left="160"/>
              <w:spacing w:after="0"/>
              <w:rPr>
                <w:sz w:val="20"/>
                <w:szCs w:val="20"/>
                <w:color w:val="auto"/>
              </w:rPr>
            </w:pPr>
            <w:r>
              <w:rPr>
                <w:rFonts w:ascii="Arial" w:cs="Arial" w:eastAsia="Arial" w:hAnsi="Arial"/>
                <w:sz w:val="16"/>
                <w:szCs w:val="16"/>
                <w:color w:val="auto"/>
              </w:rPr>
              <w:t>Term B-3 Loan due February 2023</w:t>
            </w:r>
          </w:p>
        </w:tc>
        <w:tc>
          <w:tcPr>
            <w:tcW w:w="1440" w:type="dxa"/>
            <w:vAlign w:val="bottom"/>
            <w:gridSpan w:val="3"/>
          </w:tcPr>
          <w:p>
            <w:pPr>
              <w:jc w:val="right"/>
              <w:ind w:right="74"/>
              <w:spacing w:after="0"/>
              <w:rPr>
                <w:sz w:val="20"/>
                <w:szCs w:val="20"/>
                <w:color w:val="auto"/>
              </w:rPr>
            </w:pPr>
            <w:r>
              <w:rPr>
                <w:rFonts w:ascii="Arial" w:cs="Arial" w:eastAsia="Arial" w:hAnsi="Arial"/>
                <w:sz w:val="16"/>
                <w:szCs w:val="16"/>
                <w:color w:val="auto"/>
              </w:rPr>
              <w:t>3.53%</w:t>
            </w:r>
          </w:p>
        </w:tc>
        <w:tc>
          <w:tcPr>
            <w:tcW w:w="3500" w:type="dxa"/>
            <w:vAlign w:val="bottom"/>
            <w:gridSpan w:val="5"/>
          </w:tcPr>
          <w:p>
            <w:pPr>
              <w:ind w:left="160"/>
              <w:spacing w:after="0" w:line="205" w:lineRule="exact"/>
              <w:rPr>
                <w:sz w:val="20"/>
                <w:szCs w:val="20"/>
                <w:color w:val="auto"/>
              </w:rPr>
            </w:pPr>
            <w:r>
              <w:rPr>
                <w:rFonts w:ascii="Arial" w:cs="Arial" w:eastAsia="Arial" w:hAnsi="Arial"/>
                <w:sz w:val="14"/>
                <w:szCs w:val="14"/>
                <w:color w:val="auto"/>
              </w:rPr>
              <w:t xml:space="preserve">No LIBOR floor </w:t>
            </w:r>
            <w:r>
              <w:rPr>
                <w:rFonts w:ascii="Arial" w:cs="Arial" w:eastAsia="Arial" w:hAnsi="Arial"/>
                <w:sz w:val="23"/>
                <w:szCs w:val="23"/>
                <w:color w:val="auto"/>
                <w:vertAlign w:val="superscript"/>
              </w:rPr>
              <w:t>(a)</w:t>
            </w:r>
          </w:p>
        </w:tc>
        <w:tc>
          <w:tcPr>
            <w:tcW w:w="1160" w:type="dxa"/>
            <w:vAlign w:val="bottom"/>
            <w:gridSpan w:val="7"/>
          </w:tcPr>
          <w:p>
            <w:pPr>
              <w:jc w:val="right"/>
              <w:ind w:right="80"/>
              <w:spacing w:after="0"/>
              <w:rPr>
                <w:sz w:val="20"/>
                <w:szCs w:val="20"/>
                <w:color w:val="auto"/>
              </w:rPr>
            </w:pPr>
            <w:r>
              <w:rPr>
                <w:rFonts w:ascii="Arial" w:cs="Arial" w:eastAsia="Arial" w:hAnsi="Arial"/>
                <w:sz w:val="16"/>
                <w:szCs w:val="16"/>
                <w:color w:val="auto"/>
              </w:rPr>
              <w:t>3.84%</w:t>
            </w:r>
          </w:p>
        </w:tc>
        <w:tc>
          <w:tcPr>
            <w:tcW w:w="1260" w:type="dxa"/>
            <w:vAlign w:val="bottom"/>
            <w:gridSpan w:val="2"/>
          </w:tcPr>
          <w:p>
            <w:pPr>
              <w:jc w:val="right"/>
              <w:ind w:right="139"/>
              <w:spacing w:after="0"/>
              <w:rPr>
                <w:sz w:val="20"/>
                <w:szCs w:val="20"/>
                <w:color w:val="auto"/>
              </w:rPr>
            </w:pPr>
            <w:r>
              <w:rPr>
                <w:rFonts w:ascii="Arial" w:cs="Arial" w:eastAsia="Arial" w:hAnsi="Arial"/>
                <w:sz w:val="16"/>
                <w:szCs w:val="16"/>
                <w:color w:val="auto"/>
              </w:rPr>
              <w:t>6,578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120" w:type="dxa"/>
            <w:vAlign w:val="bottom"/>
            <w:gridSpan w:val="1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Unaccreted discount and unamortised debt issuance costs</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20" w:type="dxa"/>
            <w:vAlign w:val="bottom"/>
            <w:gridSpan w:val="11"/>
            <w:vMerge w:val="restart"/>
          </w:tcPr>
          <w:p>
            <w:pPr>
              <w:jc w:val="right"/>
              <w:ind w:right="220"/>
              <w:spacing w:after="0"/>
              <w:rPr>
                <w:sz w:val="20"/>
                <w:szCs w:val="20"/>
                <w:color w:val="auto"/>
              </w:rPr>
            </w:pPr>
            <w:r>
              <w:rPr>
                <w:rFonts w:ascii="Arial" w:cs="Arial" w:eastAsia="Arial" w:hAnsi="Arial"/>
                <w:sz w:val="16"/>
                <w:szCs w:val="16"/>
                <w:color w:val="auto"/>
              </w:rPr>
              <w:t>Carrying value of 2016 Term Loans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520" w:type="dxa"/>
            <w:vAlign w:val="bottom"/>
            <w:gridSpan w:val="11"/>
            <w:vMerge w:val="continue"/>
          </w:tcPr>
          <w:p>
            <w:pPr>
              <w:spacing w:after="0"/>
              <w:rPr>
                <w:sz w:val="17"/>
                <w:szCs w:val="17"/>
                <w:color w:val="auto"/>
              </w:rPr>
            </w:pPr>
          </w:p>
        </w:tc>
        <w:tc>
          <w:tcPr>
            <w:tcW w:w="12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13,503</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300" w:hanging="326"/>
        <w:spacing w:after="0"/>
        <w:tabs>
          <w:tab w:leader="none" w:pos="13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All capitalised terms are as defined in the 2016 Credit Agreement.</w:t>
      </w:r>
    </w:p>
    <w:p>
      <w:pPr>
        <w:spacing w:after="0" w:line="5" w:lineRule="exact"/>
        <w:rPr>
          <w:sz w:val="20"/>
          <w:szCs w:val="20"/>
          <w:color w:val="auto"/>
        </w:rPr>
      </w:pPr>
    </w:p>
    <w:p>
      <w:pPr>
        <w:ind w:left="1300" w:right="20" w:hanging="326"/>
        <w:spacing w:after="0"/>
        <w:tabs>
          <w:tab w:leader="none" w:pos="1300" w:val="left"/>
        </w:tabs>
        <w:numPr>
          <w:ilvl w:val="0"/>
          <w:numId w:val="216"/>
        </w:numPr>
        <w:rPr>
          <w:rFonts w:ascii="Arial" w:cs="Arial" w:eastAsia="Arial" w:hAnsi="Arial"/>
          <w:sz w:val="28"/>
          <w:szCs w:val="28"/>
          <w:color w:val="auto"/>
          <w:vertAlign w:val="superscript"/>
        </w:rPr>
      </w:pPr>
      <w:r>
        <w:rPr>
          <w:rFonts w:ascii="Arial" w:cs="Arial" w:eastAsia="Arial" w:hAnsi="Arial"/>
          <w:sz w:val="16"/>
          <w:szCs w:val="16"/>
          <w:color w:val="auto"/>
        </w:rPr>
        <w:t>Margins are subjected to a step-down adjustment of 0.25% upon achievement of a total net leverage ratio of less than or equal to 1.50:1.00.</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Senior Notes</w:t>
      </w:r>
    </w:p>
    <w:p>
      <w:pPr>
        <w:spacing w:after="0" w:line="23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of outstanding Assumed Senior Notes (defined below) as at 29 October 2017 and 30 October 2016 is as follows:</w:t>
      </w:r>
    </w:p>
    <w:p>
      <w:pPr>
        <w:spacing w:after="0" w:line="234"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Effective</w:t>
            </w:r>
          </w:p>
        </w:tc>
        <w:tc>
          <w:tcPr>
            <w:tcW w:w="64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Amount</w:t>
            </w:r>
          </w:p>
        </w:tc>
      </w:tr>
      <w:tr>
        <w:trPr>
          <w:trHeight w:val="183"/>
        </w:trPr>
        <w:tc>
          <w:tcPr>
            <w:tcW w:w="4800" w:type="dxa"/>
            <w:vAlign w:val="bottom"/>
          </w:tcPr>
          <w:p>
            <w:pPr>
              <w:spacing w:after="0"/>
              <w:rPr>
                <w:sz w:val="15"/>
                <w:szCs w:val="15"/>
                <w:color w:val="auto"/>
              </w:rPr>
            </w:pPr>
          </w:p>
        </w:tc>
        <w:tc>
          <w:tcPr>
            <w:tcW w:w="2060" w:type="dxa"/>
            <w:vAlign w:val="bottom"/>
            <w:gridSpan w:val="3"/>
          </w:tcPr>
          <w:p>
            <w:pPr>
              <w:ind w:left="680"/>
              <w:spacing w:after="0" w:line="183" w:lineRule="exact"/>
              <w:rPr>
                <w:sz w:val="20"/>
                <w:szCs w:val="20"/>
                <w:color w:val="auto"/>
              </w:rPr>
            </w:pPr>
            <w:r>
              <w:rPr>
                <w:rFonts w:ascii="Arial" w:cs="Arial" w:eastAsia="Arial" w:hAnsi="Arial"/>
                <w:sz w:val="18"/>
                <w:szCs w:val="18"/>
                <w:color w:val="auto"/>
              </w:rPr>
              <w:t>Interest rate</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right"/>
              <w:ind w:right="500"/>
              <w:spacing w:after="0" w:line="183" w:lineRule="exact"/>
              <w:rPr>
                <w:sz w:val="20"/>
                <w:szCs w:val="20"/>
                <w:color w:val="auto"/>
              </w:rPr>
            </w:pPr>
            <w:r>
              <w:rPr>
                <w:rFonts w:ascii="Arial" w:cs="Arial" w:eastAsia="Arial" w:hAnsi="Arial"/>
                <w:sz w:val="18"/>
                <w:szCs w:val="18"/>
                <w:color w:val="auto"/>
                <w:w w:val="84"/>
              </w:rPr>
              <w:t>interest rate</w:t>
            </w:r>
          </w:p>
        </w:tc>
        <w:tc>
          <w:tcPr>
            <w:tcW w:w="1800" w:type="dxa"/>
            <w:vAlign w:val="bottom"/>
            <w:gridSpan w:val="3"/>
          </w:tcPr>
          <w:p>
            <w:pPr>
              <w:jc w:val="right"/>
              <w:ind w:right="300"/>
              <w:spacing w:after="0" w:line="183" w:lineRule="exact"/>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millions)</w:t>
            </w: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Fixed rate notes due November 2018</w:t>
            </w:r>
          </w:p>
        </w:tc>
        <w:tc>
          <w:tcPr>
            <w:tcW w:w="6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2.70%</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ind w:right="20"/>
              <w:spacing w:after="0" w:line="196" w:lineRule="exact"/>
              <w:rPr>
                <w:sz w:val="20"/>
                <w:szCs w:val="20"/>
                <w:color w:val="auto"/>
              </w:rPr>
            </w:pPr>
            <w:r>
              <w:rPr>
                <w:rFonts w:ascii="Arial" w:cs="Arial" w:eastAsia="Arial" w:hAnsi="Arial"/>
                <w:sz w:val="20"/>
                <w:szCs w:val="20"/>
                <w:color w:val="auto"/>
              </w:rPr>
              <w:t>2.70%</w:t>
            </w:r>
          </w:p>
        </w:tc>
        <w:tc>
          <w:tcPr>
            <w:tcW w:w="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117</w:t>
            </w:r>
          </w:p>
        </w:tc>
        <w:tc>
          <w:tcPr>
            <w:tcW w:w="300" w:type="dxa"/>
            <w:vAlign w:val="bottom"/>
            <w:tcBorders>
              <w:top w:val="single" w:sz="8" w:color="CCEEFF"/>
            </w:tcBorders>
            <w:shd w:val="clear" w:color="auto" w:fill="CCEEFF"/>
          </w:tcPr>
          <w:p>
            <w:pPr>
              <w:spacing w:after="0"/>
              <w:rPr>
                <w:sz w:val="17"/>
                <w:szCs w:val="17"/>
                <w:color w:val="auto"/>
              </w:rPr>
            </w:pPr>
          </w:p>
        </w:tc>
      </w:tr>
      <w:tr>
        <w:trPr>
          <w:trHeight w:val="230"/>
        </w:trPr>
        <w:tc>
          <w:tcPr>
            <w:tcW w:w="48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Fixed rate notes due August 2022 - August 2034</w:t>
            </w:r>
          </w:p>
        </w:tc>
        <w:tc>
          <w:tcPr>
            <w:tcW w:w="2060" w:type="dxa"/>
            <w:vAlign w:val="bottom"/>
            <w:tcBorders>
              <w:bottom w:val="single" w:sz="8" w:color="CCEEFF"/>
            </w:tcBorders>
            <w:gridSpan w:val="3"/>
          </w:tcPr>
          <w:p>
            <w:pPr>
              <w:ind w:left="540"/>
              <w:spacing w:after="0"/>
              <w:rPr>
                <w:sz w:val="20"/>
                <w:szCs w:val="20"/>
                <w:color w:val="auto"/>
              </w:rPr>
            </w:pPr>
            <w:r>
              <w:rPr>
                <w:rFonts w:ascii="Arial" w:cs="Arial" w:eastAsia="Arial" w:hAnsi="Arial"/>
                <w:sz w:val="20"/>
                <w:szCs w:val="20"/>
                <w:color w:val="auto"/>
              </w:rPr>
              <w:t>2.50% - 4.50%</w:t>
            </w:r>
          </w:p>
        </w:tc>
        <w:tc>
          <w:tcPr>
            <w:tcW w:w="1820" w:type="dxa"/>
            <w:vAlign w:val="bottom"/>
            <w:tcBorders>
              <w:bottom w:val="single" w:sz="8" w:color="CCEEFF"/>
            </w:tcBorders>
            <w:gridSpan w:val="5"/>
          </w:tcPr>
          <w:p>
            <w:pPr>
              <w:jc w:val="right"/>
              <w:ind w:right="300"/>
              <w:spacing w:after="0"/>
              <w:rPr>
                <w:sz w:val="20"/>
                <w:szCs w:val="20"/>
                <w:color w:val="auto"/>
              </w:rPr>
            </w:pPr>
            <w:r>
              <w:rPr>
                <w:rFonts w:ascii="Arial" w:cs="Arial" w:eastAsia="Arial" w:hAnsi="Arial"/>
                <w:sz w:val="20"/>
                <w:szCs w:val="20"/>
                <w:color w:val="auto"/>
              </w:rPr>
              <w:t>2.50% - 4.50%</w:t>
            </w:r>
          </w:p>
        </w:tc>
        <w:tc>
          <w:tcPr>
            <w:tcW w:w="18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20"/>
                <w:szCs w:val="20"/>
                <w:color w:val="auto"/>
              </w:rPr>
              <w:t>22</w:t>
            </w:r>
          </w:p>
        </w:tc>
      </w:tr>
      <w:tr>
        <w:trPr>
          <w:trHeight w:val="210"/>
        </w:trPr>
        <w:tc>
          <w:tcPr>
            <w:tcW w:w="4800" w:type="dxa"/>
            <w:vAlign w:val="bottom"/>
            <w:shd w:val="clear" w:color="auto" w:fill="CCEEFF"/>
          </w:tcPr>
          <w:p>
            <w:pPr>
              <w:spacing w:after="0"/>
              <w:rPr>
                <w:sz w:val="18"/>
                <w:szCs w:val="18"/>
                <w:color w:val="auto"/>
              </w:rPr>
            </w:pPr>
          </w:p>
        </w:tc>
        <w:tc>
          <w:tcPr>
            <w:tcW w:w="3880" w:type="dxa"/>
            <w:vAlign w:val="bottom"/>
            <w:gridSpan w:val="8"/>
            <w:shd w:val="clear" w:color="auto" w:fill="CCEEFF"/>
          </w:tcPr>
          <w:p>
            <w:pPr>
              <w:ind w:left="540"/>
              <w:spacing w:after="0" w:line="209" w:lineRule="exact"/>
              <w:rPr>
                <w:sz w:val="20"/>
                <w:szCs w:val="20"/>
                <w:color w:val="auto"/>
              </w:rPr>
            </w:pPr>
            <w:r>
              <w:rPr>
                <w:rFonts w:ascii="Arial" w:cs="Arial" w:eastAsia="Arial" w:hAnsi="Arial"/>
                <w:sz w:val="20"/>
                <w:szCs w:val="20"/>
                <w:color w:val="auto"/>
              </w:rPr>
              <w:t>Carrying value of Senior Notes</w:t>
            </w:r>
          </w:p>
        </w:tc>
        <w:tc>
          <w:tcPr>
            <w:tcW w:w="1800" w:type="dxa"/>
            <w:vAlign w:val="bottom"/>
            <w:gridSpan w:val="3"/>
            <w:shd w:val="clear" w:color="auto" w:fill="CCEEFF"/>
          </w:tcPr>
          <w:p>
            <w:pPr>
              <w:jc w:val="right"/>
              <w:ind w:right="300"/>
              <w:spacing w:after="0" w:line="209" w:lineRule="exact"/>
              <w:rPr>
                <w:sz w:val="20"/>
                <w:szCs w:val="20"/>
                <w:color w:val="auto"/>
              </w:rPr>
            </w:pPr>
            <w:r>
              <w:rPr>
                <w:rFonts w:ascii="Arial" w:cs="Arial" w:eastAsia="Arial" w:hAnsi="Arial"/>
                <w:sz w:val="20"/>
                <w:szCs w:val="20"/>
                <w:color w:val="auto"/>
              </w:rPr>
              <w:t>139</w:t>
            </w:r>
          </w:p>
        </w:tc>
      </w:tr>
      <w:tr>
        <w:trPr>
          <w:trHeight w:val="21"/>
        </w:trPr>
        <w:tc>
          <w:tcPr>
            <w:tcW w:w="4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Future Principal Payments of Debt</w:t>
      </w:r>
    </w:p>
    <w:p>
      <w:pPr>
        <w:spacing w:after="0" w:line="234" w:lineRule="exact"/>
        <w:rPr>
          <w:sz w:val="20"/>
          <w:szCs w:val="20"/>
          <w:color w:val="auto"/>
        </w:rPr>
      </w:pPr>
    </w:p>
    <w:p>
      <w:pPr>
        <w:ind w:left="980" w:right="20"/>
        <w:spacing w:after="0" w:line="246" w:lineRule="auto"/>
        <w:rPr>
          <w:sz w:val="20"/>
          <w:szCs w:val="20"/>
          <w:color w:val="auto"/>
        </w:rPr>
      </w:pPr>
      <w:r>
        <w:rPr>
          <w:rFonts w:ascii="Arial" w:cs="Arial" w:eastAsia="Arial" w:hAnsi="Arial"/>
          <w:sz w:val="18"/>
          <w:szCs w:val="18"/>
          <w:color w:val="auto"/>
        </w:rPr>
        <w:t>The future scheduled principal payments for the outstanding 2017 Senior Notes and the senior unsecured notes that the Group assumed in connection with the Broadcom Merger (the “Assumed Senior Notes”) as of 29 October 2017 are as follows: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520" w:type="dxa"/>
            <w:vAlign w:val="bottom"/>
            <w:gridSpan w:val="2"/>
            <w:vMerge w:val="restart"/>
          </w:tcPr>
          <w:p>
            <w:pPr>
              <w:ind w:left="540"/>
              <w:spacing w:after="0"/>
              <w:rPr>
                <w:sz w:val="20"/>
                <w:szCs w:val="20"/>
                <w:color w:val="auto"/>
              </w:rPr>
            </w:pPr>
            <w:r>
              <w:rPr>
                <w:rFonts w:ascii="Arial" w:cs="Arial" w:eastAsia="Arial" w:hAnsi="Arial"/>
                <w:sz w:val="18"/>
                <w:szCs w:val="18"/>
                <w:b w:val="1"/>
                <w:bCs w:val="1"/>
                <w:color w:val="auto"/>
              </w:rPr>
              <w:t>Financial Year</w:t>
            </w:r>
          </w:p>
        </w:tc>
        <w:tc>
          <w:tcPr>
            <w:tcW w:w="5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Amount</w:t>
            </w:r>
          </w:p>
        </w:tc>
        <w:tc>
          <w:tcPr>
            <w:tcW w:w="0" w:type="dxa"/>
            <w:vAlign w:val="bottom"/>
          </w:tcPr>
          <w:p>
            <w:pPr>
              <w:spacing w:after="0"/>
              <w:rPr>
                <w:sz w:val="1"/>
                <w:szCs w:val="1"/>
                <w:color w:val="auto"/>
              </w:rPr>
            </w:pPr>
          </w:p>
        </w:tc>
      </w:tr>
      <w:tr>
        <w:trPr>
          <w:trHeight w:val="203"/>
        </w:trPr>
        <w:tc>
          <w:tcPr>
            <w:tcW w:w="3520" w:type="dxa"/>
            <w:vAlign w:val="bottom"/>
            <w:gridSpan w:val="2"/>
            <w:vMerge w:val="continue"/>
          </w:tcPr>
          <w:p>
            <w:pPr>
              <w:spacing w:after="0"/>
              <w:rPr>
                <w:sz w:val="17"/>
                <w:szCs w:val="17"/>
                <w:color w:val="auto"/>
              </w:rPr>
            </w:pPr>
          </w:p>
        </w:tc>
        <w:tc>
          <w:tcPr>
            <w:tcW w:w="5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120"/>
              <w:spacing w:after="0" w:line="203" w:lineRule="exact"/>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 millions)</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2018</w:t>
            </w:r>
          </w:p>
        </w:tc>
        <w:tc>
          <w:tcPr>
            <w:tcW w:w="6220" w:type="dxa"/>
            <w:vAlign w:val="bottom"/>
            <w:tcBorders>
              <w:top w:val="single" w:sz="8" w:color="CCEEFF"/>
            </w:tcBorders>
            <w:gridSpan w:val="2"/>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27"/>
              <w:spacing w:after="0" w:line="209" w:lineRule="exact"/>
              <w:rPr>
                <w:sz w:val="20"/>
                <w:szCs w:val="20"/>
                <w:color w:val="auto"/>
              </w:rPr>
            </w:pPr>
            <w:r>
              <w:rPr>
                <w:rFonts w:ascii="Arial" w:cs="Arial" w:eastAsia="Arial" w:hAnsi="Arial"/>
                <w:sz w:val="20"/>
                <w:szCs w:val="20"/>
                <w:color w:val="auto"/>
              </w:rPr>
              <w:t>117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980" w:type="dxa"/>
            <w:vAlign w:val="bottom"/>
          </w:tcPr>
          <w:p>
            <w:pPr>
              <w:spacing w:after="0" w:line="216" w:lineRule="exact"/>
              <w:rPr>
                <w:sz w:val="20"/>
                <w:szCs w:val="20"/>
                <w:color w:val="auto"/>
              </w:rPr>
            </w:pPr>
            <w:r>
              <w:rPr>
                <w:rFonts w:ascii="Arial" w:cs="Arial" w:eastAsia="Arial" w:hAnsi="Arial"/>
                <w:sz w:val="20"/>
                <w:szCs w:val="20"/>
                <w:color w:val="auto"/>
              </w:rPr>
              <w:t>2019</w:t>
            </w:r>
          </w:p>
        </w:tc>
        <w:tc>
          <w:tcPr>
            <w:tcW w:w="7400" w:type="dxa"/>
            <w:vAlign w:val="bottom"/>
            <w:gridSpan w:val="3"/>
          </w:tcPr>
          <w:p>
            <w:pPr>
              <w:jc w:val="right"/>
              <w:ind w:right="127"/>
              <w:spacing w:after="0" w:line="21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9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2020</w:t>
            </w:r>
          </w:p>
        </w:tc>
        <w:tc>
          <w:tcPr>
            <w:tcW w:w="7400" w:type="dxa"/>
            <w:vAlign w:val="bottom"/>
            <w:gridSpan w:val="3"/>
            <w:shd w:val="clear" w:color="auto" w:fill="CCEEFF"/>
          </w:tcPr>
          <w:p>
            <w:pPr>
              <w:jc w:val="right"/>
              <w:ind w:right="127"/>
              <w:spacing w:after="0" w:line="216" w:lineRule="exact"/>
              <w:rPr>
                <w:sz w:val="20"/>
                <w:szCs w:val="20"/>
                <w:color w:val="auto"/>
              </w:rPr>
            </w:pPr>
            <w:r>
              <w:rPr>
                <w:rFonts w:ascii="Arial" w:cs="Arial" w:eastAsia="Arial" w:hAnsi="Arial"/>
                <w:sz w:val="20"/>
                <w:szCs w:val="20"/>
                <w:color w:val="auto"/>
              </w:rPr>
              <w:t>2,750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980" w:type="dxa"/>
            <w:vAlign w:val="bottom"/>
          </w:tcPr>
          <w:p>
            <w:pPr>
              <w:spacing w:after="0" w:line="216" w:lineRule="exact"/>
              <w:rPr>
                <w:sz w:val="20"/>
                <w:szCs w:val="20"/>
                <w:color w:val="auto"/>
              </w:rPr>
            </w:pPr>
            <w:r>
              <w:rPr>
                <w:rFonts w:ascii="Arial" w:cs="Arial" w:eastAsia="Arial" w:hAnsi="Arial"/>
                <w:sz w:val="20"/>
                <w:szCs w:val="20"/>
                <w:color w:val="auto"/>
              </w:rPr>
              <w:t>2021</w:t>
            </w:r>
          </w:p>
        </w:tc>
        <w:tc>
          <w:tcPr>
            <w:tcW w:w="7400" w:type="dxa"/>
            <w:vAlign w:val="bottom"/>
            <w:gridSpan w:val="3"/>
          </w:tcPr>
          <w:p>
            <w:pPr>
              <w:jc w:val="right"/>
              <w:ind w:right="127"/>
              <w:spacing w:after="0" w:line="216" w:lineRule="exact"/>
              <w:rPr>
                <w:sz w:val="20"/>
                <w:szCs w:val="20"/>
                <w:color w:val="auto"/>
              </w:rPr>
            </w:pPr>
            <w:r>
              <w:rPr>
                <w:rFonts w:ascii="Arial" w:cs="Arial" w:eastAsia="Arial" w:hAnsi="Arial"/>
                <w:sz w:val="20"/>
                <w:szCs w:val="20"/>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9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2022</w:t>
            </w:r>
          </w:p>
        </w:tc>
        <w:tc>
          <w:tcPr>
            <w:tcW w:w="7400" w:type="dxa"/>
            <w:vAlign w:val="bottom"/>
            <w:gridSpan w:val="3"/>
            <w:shd w:val="clear" w:color="auto" w:fill="CCEEFF"/>
          </w:tcPr>
          <w:p>
            <w:pPr>
              <w:jc w:val="right"/>
              <w:ind w:right="127"/>
              <w:spacing w:after="0" w:line="216" w:lineRule="exact"/>
              <w:rPr>
                <w:sz w:val="20"/>
                <w:szCs w:val="20"/>
                <w:color w:val="auto"/>
              </w:rPr>
            </w:pPr>
            <w:r>
              <w:rPr>
                <w:rFonts w:ascii="Arial" w:cs="Arial" w:eastAsia="Arial" w:hAnsi="Arial"/>
                <w:sz w:val="20"/>
                <w:szCs w:val="20"/>
                <w:color w:val="auto"/>
              </w:rPr>
              <w:t>3,509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20"/>
                <w:szCs w:val="20"/>
                <w:color w:val="auto"/>
              </w:rPr>
              <w:t>Thereafter</w:t>
            </w:r>
          </w:p>
        </w:tc>
        <w:tc>
          <w:tcPr>
            <w:tcW w:w="7400" w:type="dxa"/>
            <w:vAlign w:val="bottom"/>
            <w:gridSpan w:val="3"/>
          </w:tcPr>
          <w:p>
            <w:pPr>
              <w:jc w:val="right"/>
              <w:ind w:right="127"/>
              <w:spacing w:after="0"/>
              <w:rPr>
                <w:sz w:val="20"/>
                <w:szCs w:val="20"/>
                <w:color w:val="auto"/>
              </w:rPr>
            </w:pPr>
            <w:r>
              <w:rPr>
                <w:rFonts w:ascii="Arial" w:cs="Arial" w:eastAsia="Arial" w:hAnsi="Arial"/>
                <w:sz w:val="20"/>
                <w:szCs w:val="20"/>
                <w:color w:val="auto"/>
              </w:rPr>
              <w:t>10,563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Total</w:t>
            </w:r>
          </w:p>
        </w:tc>
        <w:tc>
          <w:tcPr>
            <w:tcW w:w="59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right"/>
              <w:ind w:right="127"/>
              <w:spacing w:after="0" w:line="209" w:lineRule="exact"/>
              <w:rPr>
                <w:sz w:val="20"/>
                <w:szCs w:val="20"/>
                <w:color w:val="auto"/>
              </w:rPr>
            </w:pPr>
            <w:r>
              <w:rPr>
                <w:rFonts w:ascii="Arial" w:cs="Arial" w:eastAsia="Arial" w:hAnsi="Arial"/>
                <w:sz w:val="20"/>
                <w:szCs w:val="20"/>
                <w:color w:val="auto"/>
              </w:rPr>
              <w:t>17,689</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5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500" w:type="dxa"/>
            <w:vAlign w:val="bottom"/>
            <w:gridSpan w:val="4"/>
          </w:tcPr>
          <w:p>
            <w:pPr>
              <w:ind w:left="1780"/>
              <w:spacing w:after="0"/>
              <w:rPr>
                <w:sz w:val="20"/>
                <w:szCs w:val="20"/>
                <w:color w:val="auto"/>
              </w:rPr>
            </w:pPr>
            <w:r>
              <w:rPr>
                <w:rFonts w:ascii="Arial" w:cs="Arial" w:eastAsia="Arial" w:hAnsi="Arial"/>
                <w:sz w:val="18"/>
                <w:szCs w:val="18"/>
                <w:color w:val="auto"/>
              </w:rPr>
              <w:t>A-80</w:t>
            </w: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Borrowings </w:t>
      </w:r>
      <w:r>
        <w:rPr>
          <w:rFonts w:ascii="Arial" w:cs="Arial" w:eastAsia="Arial" w:hAnsi="Arial"/>
          <w:sz w:val="18"/>
          <w:szCs w:val="18"/>
          <w:color w:val="auto"/>
        </w:rPr>
        <w:t>(continued)</w:t>
      </w:r>
    </w:p>
    <w:p>
      <w:pPr>
        <w:spacing w:after="0" w:line="144"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Future Principal Payments of Debt </w:t>
      </w:r>
      <w:r>
        <w:rPr>
          <w:rFonts w:ascii="Arial" w:cs="Arial" w:eastAsia="Arial" w:hAnsi="Arial"/>
          <w:sz w:val="18"/>
          <w:szCs w:val="18"/>
          <w:color w:val="auto"/>
        </w:rPr>
        <w:t>(continued)</w:t>
      </w:r>
    </w:p>
    <w:p>
      <w:pPr>
        <w:spacing w:after="0" w:line="166" w:lineRule="exact"/>
        <w:rPr>
          <w:rFonts w:ascii="Arial" w:cs="Arial" w:eastAsia="Arial" w:hAnsi="Arial"/>
          <w:sz w:val="18"/>
          <w:szCs w:val="18"/>
          <w:b w:val="1"/>
          <w:bCs w:val="1"/>
          <w:color w:val="auto"/>
        </w:rPr>
      </w:pPr>
    </w:p>
    <w:p>
      <w:pPr>
        <w:jc w:val="both"/>
        <w:ind w:left="980" w:right="20"/>
        <w:spacing w:after="0"/>
        <w:rPr>
          <w:rFonts w:ascii="Arial" w:cs="Arial" w:eastAsia="Arial" w:hAnsi="Arial"/>
          <w:sz w:val="18"/>
          <w:szCs w:val="18"/>
          <w:b w:val="1"/>
          <w:bCs w:val="1"/>
          <w:color w:val="auto"/>
        </w:rPr>
      </w:pPr>
      <w:r>
        <w:rPr>
          <w:rFonts w:ascii="Arial" w:cs="Arial" w:eastAsia="Arial" w:hAnsi="Arial"/>
          <w:sz w:val="18"/>
          <w:szCs w:val="18"/>
          <w:color w:val="auto"/>
        </w:rPr>
        <w:t>As of 29 October 2017, the estimated fair values of the 2017 Senior Notes and the Assumed Senior Notes was US$17,953 million. The fair value of the 2017 Senior Notes and the Assumed Senior Notes is classified as Level 2 as quoted prices from less active markets have been used.</w:t>
      </w:r>
    </w:p>
    <w:p>
      <w:pPr>
        <w:spacing w:after="0" w:line="207" w:lineRule="exact"/>
        <w:rPr>
          <w:rFonts w:ascii="Arial" w:cs="Arial" w:eastAsia="Arial" w:hAnsi="Arial"/>
          <w:sz w:val="18"/>
          <w:szCs w:val="18"/>
          <w:b w:val="1"/>
          <w:bCs w:val="1"/>
          <w:color w:val="auto"/>
        </w:rPr>
      </w:pPr>
    </w:p>
    <w:p>
      <w:pPr>
        <w:ind w:left="980" w:hanging="776"/>
        <w:spacing w:after="0"/>
        <w:tabs>
          <w:tab w:leader="none" w:pos="98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244"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960" w:type="dxa"/>
            <w:vAlign w:val="bottom"/>
            <w:vMerge w:val="restart"/>
          </w:tcPr>
          <w:p>
            <w:pPr>
              <w:jc w:val="right"/>
              <w:ind w:right="382"/>
              <w:spacing w:after="0"/>
              <w:rPr>
                <w:sz w:val="20"/>
                <w:szCs w:val="20"/>
                <w:color w:val="auto"/>
              </w:rPr>
            </w:pPr>
            <w:r>
              <w:rPr>
                <w:rFonts w:ascii="Arial" w:cs="Arial" w:eastAsia="Arial" w:hAnsi="Arial"/>
                <w:sz w:val="20"/>
                <w:szCs w:val="20"/>
                <w:b w:val="1"/>
                <w:bCs w:val="1"/>
                <w:color w:val="auto"/>
              </w:rPr>
              <w:t>2017</w:t>
            </w:r>
          </w:p>
        </w:tc>
        <w:tc>
          <w:tcPr>
            <w:tcW w:w="2080" w:type="dxa"/>
            <w:vAlign w:val="bottom"/>
            <w:gridSpan w:val="3"/>
          </w:tcPr>
          <w:p>
            <w:pPr>
              <w:ind w:left="100"/>
              <w:spacing w:after="0"/>
              <w:rPr>
                <w:sz w:val="20"/>
                <w:szCs w:val="20"/>
                <w:color w:val="auto"/>
              </w:rPr>
            </w:pPr>
            <w:r>
              <w:rPr>
                <w:rFonts w:ascii="Arial" w:cs="Arial" w:eastAsia="Arial" w:hAnsi="Arial"/>
                <w:sz w:val="20"/>
                <w:szCs w:val="20"/>
                <w:color w:val="auto"/>
              </w:rPr>
              <w:t>Group</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20" w:type="dxa"/>
            <w:vAlign w:val="bottom"/>
          </w:tcPr>
          <w:p>
            <w:pPr>
              <w:jc w:val="right"/>
              <w:ind w:right="265"/>
              <w:spacing w:after="0" w:line="177"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960" w:type="dxa"/>
            <w:vAlign w:val="bottom"/>
          </w:tcPr>
          <w:p>
            <w:pPr>
              <w:jc w:val="right"/>
              <w:ind w:right="2"/>
              <w:spacing w:after="0"/>
              <w:rPr>
                <w:sz w:val="20"/>
                <w:szCs w:val="20"/>
                <w:color w:val="auto"/>
              </w:rPr>
            </w:pPr>
            <w:r>
              <w:rPr>
                <w:rFonts w:ascii="Arial" w:cs="Arial" w:eastAsia="Arial" w:hAnsi="Arial"/>
                <w:sz w:val="18"/>
                <w:szCs w:val="18"/>
                <w:b w:val="1"/>
                <w:bCs w:val="1"/>
                <w:color w:val="auto"/>
              </w:rPr>
              <w:t>(US$ millions)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jc w:val="center"/>
              <w:ind w:left="165"/>
              <w:spacing w:after="0"/>
              <w:rPr>
                <w:sz w:val="20"/>
                <w:szCs w:val="20"/>
                <w:color w:val="auto"/>
              </w:rPr>
            </w:pPr>
            <w:r>
              <w:rPr>
                <w:rFonts w:ascii="Arial" w:cs="Arial" w:eastAsia="Arial" w:hAnsi="Arial"/>
                <w:sz w:val="18"/>
                <w:szCs w:val="18"/>
                <w:color w:val="auto"/>
                <w:w w:val="99"/>
              </w:rPr>
              <w:t>(US$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line="216" w:lineRule="exact"/>
              <w:rPr>
                <w:sz w:val="20"/>
                <w:szCs w:val="20"/>
                <w:color w:val="auto"/>
              </w:rPr>
            </w:pPr>
            <w:r>
              <w:rPr>
                <w:rFonts w:ascii="Arial" w:cs="Arial" w:eastAsia="Arial" w:hAnsi="Arial"/>
                <w:sz w:val="20"/>
                <w:szCs w:val="20"/>
                <w:i w:val="1"/>
                <w:iCs w:val="1"/>
                <w:color w:val="auto"/>
              </w:rPr>
              <w:t>Current</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line="216" w:lineRule="exact"/>
              <w:rPr>
                <w:sz w:val="20"/>
                <w:szCs w:val="20"/>
                <w:color w:val="auto"/>
              </w:rPr>
            </w:pPr>
            <w:r>
              <w:rPr>
                <w:rFonts w:ascii="Arial" w:cs="Arial" w:eastAsia="Arial" w:hAnsi="Arial"/>
                <w:sz w:val="20"/>
                <w:szCs w:val="20"/>
                <w:color w:val="auto"/>
              </w:rPr>
              <w:t>Warranty (Note (a))</w:t>
            </w:r>
          </w:p>
        </w:tc>
        <w:tc>
          <w:tcPr>
            <w:tcW w:w="1960" w:type="dxa"/>
            <w:vAlign w:val="bottom"/>
          </w:tcPr>
          <w:p>
            <w:pPr>
              <w:jc w:val="right"/>
              <w:ind w:right="102"/>
              <w:spacing w:after="0" w:line="216" w:lineRule="exact"/>
              <w:rPr>
                <w:sz w:val="20"/>
                <w:szCs w:val="20"/>
                <w:color w:val="auto"/>
              </w:rPr>
            </w:pPr>
            <w:r>
              <w:rPr>
                <w:rFonts w:ascii="Arial" w:cs="Arial" w:eastAsia="Arial" w:hAnsi="Arial"/>
                <w:sz w:val="20"/>
                <w:szCs w:val="20"/>
                <w:b w:val="1"/>
                <w:bCs w:val="1"/>
                <w:color w:val="auto"/>
              </w:rPr>
              <w:t>11</w:t>
            </w:r>
          </w:p>
        </w:tc>
        <w:tc>
          <w:tcPr>
            <w:tcW w:w="2080" w:type="dxa"/>
            <w:vAlign w:val="bottom"/>
            <w:gridSpan w:val="3"/>
          </w:tcPr>
          <w:p>
            <w:pPr>
              <w:jc w:val="center"/>
              <w:ind w:left="721"/>
              <w:spacing w:after="0" w:line="216" w:lineRule="exact"/>
              <w:rPr>
                <w:sz w:val="20"/>
                <w:szCs w:val="20"/>
                <w:color w:val="auto"/>
              </w:rPr>
            </w:pPr>
            <w:r>
              <w:rPr>
                <w:rFonts w:ascii="Arial" w:cs="Arial" w:eastAsia="Arial" w:hAnsi="Arial"/>
                <w:sz w:val="20"/>
                <w:szCs w:val="20"/>
                <w:color w:val="auto"/>
                <w:w w:val="98"/>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Accrued rebates (Note (b))</w:t>
            </w:r>
          </w:p>
        </w:tc>
        <w:tc>
          <w:tcPr>
            <w:tcW w:w="1960" w:type="dxa"/>
            <w:vAlign w:val="bottom"/>
            <w:shd w:val="clear" w:color="auto" w:fill="CCEEFF"/>
          </w:tcPr>
          <w:p>
            <w:pPr>
              <w:jc w:val="right"/>
              <w:ind w:right="102"/>
              <w:spacing w:after="0" w:line="216" w:lineRule="exact"/>
              <w:rPr>
                <w:sz w:val="20"/>
                <w:szCs w:val="20"/>
                <w:color w:val="auto"/>
              </w:rPr>
            </w:pPr>
            <w:r>
              <w:rPr>
                <w:rFonts w:ascii="Arial" w:cs="Arial" w:eastAsia="Arial" w:hAnsi="Arial"/>
                <w:sz w:val="20"/>
                <w:szCs w:val="20"/>
                <w:b w:val="1"/>
                <w:bCs w:val="1"/>
                <w:color w:val="auto"/>
              </w:rPr>
              <w:t>124</w:t>
            </w:r>
          </w:p>
        </w:tc>
        <w:tc>
          <w:tcPr>
            <w:tcW w:w="2080" w:type="dxa"/>
            <w:vAlign w:val="bottom"/>
            <w:gridSpan w:val="3"/>
            <w:shd w:val="clear" w:color="auto" w:fill="CCEEFF"/>
          </w:tcPr>
          <w:p>
            <w:pPr>
              <w:jc w:val="center"/>
              <w:ind w:left="721"/>
              <w:spacing w:after="0" w:line="216" w:lineRule="exact"/>
              <w:rPr>
                <w:sz w:val="20"/>
                <w:szCs w:val="20"/>
                <w:color w:val="auto"/>
              </w:rPr>
            </w:pPr>
            <w:r>
              <w:rPr>
                <w:rFonts w:ascii="Arial" w:cs="Arial" w:eastAsia="Arial" w:hAnsi="Arial"/>
                <w:sz w:val="20"/>
                <w:szCs w:val="20"/>
                <w:color w:val="auto"/>
              </w:rPr>
              <w:t>317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Restructuring liabilities (Note (c))</w:t>
            </w:r>
          </w:p>
        </w:tc>
        <w:tc>
          <w:tcPr>
            <w:tcW w:w="19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b w:val="1"/>
                <w:bCs w:val="1"/>
                <w:color w:val="auto"/>
              </w:rPr>
              <w:t>41</w:t>
            </w:r>
          </w:p>
        </w:tc>
        <w:tc>
          <w:tcPr>
            <w:tcW w:w="208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line="209" w:lineRule="exact"/>
              <w:rPr>
                <w:sz w:val="20"/>
                <w:szCs w:val="20"/>
                <w:color w:val="auto"/>
              </w:rPr>
            </w:pPr>
            <w:r>
              <w:rPr>
                <w:rFonts w:ascii="Arial" w:cs="Arial" w:eastAsia="Arial" w:hAnsi="Arial"/>
                <w:sz w:val="20"/>
                <w:szCs w:val="20"/>
                <w:color w:val="auto"/>
              </w:rPr>
              <w:t>Total</w:t>
            </w:r>
          </w:p>
        </w:tc>
        <w:tc>
          <w:tcPr>
            <w:tcW w:w="1960" w:type="dxa"/>
            <w:vAlign w:val="bottom"/>
            <w:shd w:val="clear" w:color="auto" w:fill="CCEEFF"/>
          </w:tcPr>
          <w:p>
            <w:pPr>
              <w:jc w:val="right"/>
              <w:ind w:right="102"/>
              <w:spacing w:after="0" w:line="209" w:lineRule="exact"/>
              <w:rPr>
                <w:sz w:val="20"/>
                <w:szCs w:val="20"/>
                <w:color w:val="auto"/>
              </w:rPr>
            </w:pPr>
            <w:r>
              <w:rPr>
                <w:rFonts w:ascii="Arial" w:cs="Arial" w:eastAsia="Arial" w:hAnsi="Arial"/>
                <w:sz w:val="20"/>
                <w:szCs w:val="20"/>
                <w:b w:val="1"/>
                <w:bCs w:val="1"/>
                <w:color w:val="auto"/>
              </w:rPr>
              <w:t>176</w:t>
            </w:r>
          </w:p>
        </w:tc>
        <w:tc>
          <w:tcPr>
            <w:tcW w:w="2080" w:type="dxa"/>
            <w:vAlign w:val="bottom"/>
            <w:gridSpan w:val="3"/>
            <w:shd w:val="clear" w:color="auto" w:fill="CCEEFF"/>
          </w:tcPr>
          <w:p>
            <w:pPr>
              <w:jc w:val="center"/>
              <w:ind w:left="721"/>
              <w:spacing w:after="0" w:line="209" w:lineRule="exact"/>
              <w:rPr>
                <w:sz w:val="20"/>
                <w:szCs w:val="20"/>
                <w:color w:val="auto"/>
              </w:rPr>
            </w:pPr>
            <w:r>
              <w:rPr>
                <w:rFonts w:ascii="Arial" w:cs="Arial" w:eastAsia="Arial" w:hAnsi="Arial"/>
                <w:sz w:val="20"/>
                <w:szCs w:val="20"/>
                <w:color w:val="auto"/>
              </w:rPr>
              <w:t>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vMerge w:val="restart"/>
          </w:tcPr>
          <w:p>
            <w:pPr>
              <w:spacing w:after="0"/>
              <w:rPr>
                <w:sz w:val="20"/>
                <w:szCs w:val="20"/>
                <w:color w:val="auto"/>
              </w:rPr>
            </w:pPr>
            <w:r>
              <w:rPr>
                <w:rFonts w:ascii="Arial" w:cs="Arial" w:eastAsia="Arial" w:hAnsi="Arial"/>
                <w:sz w:val="20"/>
                <w:szCs w:val="20"/>
                <w:i w:val="1"/>
                <w:iCs w:val="1"/>
                <w:color w:val="auto"/>
              </w:rPr>
              <w:t>Non-Current</w:t>
            </w: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Restructuring liabilities (Note (c))</w:t>
            </w:r>
          </w:p>
        </w:tc>
        <w:tc>
          <w:tcPr>
            <w:tcW w:w="1960" w:type="dxa"/>
            <w:vAlign w:val="bottom"/>
            <w:shd w:val="clear" w:color="auto" w:fill="CCEEFF"/>
          </w:tcPr>
          <w:p>
            <w:pPr>
              <w:jc w:val="right"/>
              <w:ind w:right="102"/>
              <w:spacing w:after="0" w:line="216" w:lineRule="exact"/>
              <w:rPr>
                <w:sz w:val="20"/>
                <w:szCs w:val="20"/>
                <w:color w:val="auto"/>
              </w:rPr>
            </w:pPr>
            <w:r>
              <w:rPr>
                <w:rFonts w:ascii="Arial" w:cs="Arial" w:eastAsia="Arial" w:hAnsi="Arial"/>
                <w:sz w:val="20"/>
                <w:szCs w:val="20"/>
                <w:b w:val="1"/>
                <w:bCs w:val="1"/>
                <w:color w:val="auto"/>
              </w:rPr>
              <w:t>4</w:t>
            </w:r>
          </w:p>
        </w:tc>
        <w:tc>
          <w:tcPr>
            <w:tcW w:w="2080" w:type="dxa"/>
            <w:vAlign w:val="bottom"/>
            <w:gridSpan w:val="3"/>
            <w:shd w:val="clear" w:color="auto" w:fill="CCEEFF"/>
          </w:tcPr>
          <w:p>
            <w:pPr>
              <w:jc w:val="center"/>
              <w:ind w:left="721"/>
              <w:spacing w:after="0" w:line="216" w:lineRule="exact"/>
              <w:rPr>
                <w:sz w:val="20"/>
                <w:szCs w:val="20"/>
                <w:color w:val="auto"/>
              </w:rPr>
            </w:pPr>
            <w:r>
              <w:rPr>
                <w:rFonts w:ascii="Arial" w:cs="Arial" w:eastAsia="Arial" w:hAnsi="Arial"/>
                <w:sz w:val="20"/>
                <w:szCs w:val="20"/>
                <w:color w:val="auto"/>
                <w:w w:val="98"/>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Accrued interest and penalties (Note (d))</w:t>
            </w:r>
          </w:p>
        </w:tc>
        <w:tc>
          <w:tcPr>
            <w:tcW w:w="19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b w:val="1"/>
                <w:bCs w:val="1"/>
                <w:color w:val="auto"/>
              </w:rPr>
              <w:t>132</w:t>
            </w:r>
          </w:p>
        </w:tc>
        <w:tc>
          <w:tcPr>
            <w:tcW w:w="208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02"/>
              <w:spacing w:after="0" w:line="209" w:lineRule="exact"/>
              <w:rPr>
                <w:sz w:val="20"/>
                <w:szCs w:val="20"/>
                <w:color w:val="auto"/>
              </w:rPr>
            </w:pPr>
            <w:r>
              <w:rPr>
                <w:rFonts w:ascii="Arial" w:cs="Arial" w:eastAsia="Arial" w:hAnsi="Arial"/>
                <w:sz w:val="20"/>
                <w:szCs w:val="20"/>
                <w:b w:val="1"/>
                <w:bCs w:val="1"/>
                <w:color w:val="auto"/>
              </w:rPr>
              <w:t>136</w:t>
            </w:r>
          </w:p>
        </w:tc>
        <w:tc>
          <w:tcPr>
            <w:tcW w:w="2080" w:type="dxa"/>
            <w:vAlign w:val="bottom"/>
            <w:gridSpan w:val="3"/>
            <w:shd w:val="clear" w:color="auto" w:fill="CCEEFF"/>
          </w:tcPr>
          <w:p>
            <w:pPr>
              <w:jc w:val="center"/>
              <w:ind w:left="721"/>
              <w:spacing w:after="0" w:line="209" w:lineRule="exact"/>
              <w:rPr>
                <w:sz w:val="20"/>
                <w:szCs w:val="20"/>
                <w:color w:val="auto"/>
              </w:rPr>
            </w:pPr>
            <w:r>
              <w:rPr>
                <w:rFonts w:ascii="Arial" w:cs="Arial" w:eastAsia="Arial" w:hAnsi="Arial"/>
                <w:sz w:val="20"/>
                <w:szCs w:val="20"/>
                <w:color w:val="auto"/>
              </w:rPr>
              <w:t>121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980" w:hanging="776"/>
        <w:spacing w:after="0"/>
        <w:tabs>
          <w:tab w:leader="none" w:pos="9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Warranty</w:t>
      </w:r>
    </w:p>
    <w:p>
      <w:pPr>
        <w:spacing w:after="0" w:line="211" w:lineRule="exact"/>
        <w:rPr>
          <w:rFonts w:ascii="Arial" w:cs="Arial" w:eastAsia="Arial" w:hAnsi="Arial"/>
          <w:sz w:val="18"/>
          <w:szCs w:val="18"/>
          <w:color w:val="auto"/>
        </w:rPr>
      </w:pPr>
    </w:p>
    <w:p>
      <w:pPr>
        <w:jc w:val="both"/>
        <w:ind w:left="980" w:right="20"/>
        <w:spacing w:after="0" w:line="239" w:lineRule="auto"/>
        <w:rPr>
          <w:rFonts w:ascii="Arial" w:cs="Arial" w:eastAsia="Arial" w:hAnsi="Arial"/>
          <w:sz w:val="18"/>
          <w:szCs w:val="18"/>
          <w:color w:val="auto"/>
        </w:rPr>
      </w:pPr>
      <w:r>
        <w:rPr>
          <w:rFonts w:ascii="Arial" w:cs="Arial" w:eastAsia="Arial" w:hAnsi="Arial"/>
          <w:sz w:val="18"/>
          <w:szCs w:val="18"/>
          <w:color w:val="auto"/>
        </w:rPr>
        <w:t>The Group accrues for the estimated costs of product warranties at the time revenue is recognised. Product warranty costs are estimated based upon the historical experience and specific identification of the products requirements, which may fluctuate based on product mix. Additionally, the Group accrues for warranty costs associated with occasional or unanticipated product quality issues if a loss is probable and can be reasonably estimated.</w:t>
      </w:r>
    </w:p>
    <w:p>
      <w:pPr>
        <w:spacing w:after="0" w:line="228" w:lineRule="exact"/>
        <w:rPr>
          <w:rFonts w:ascii="Arial" w:cs="Arial" w:eastAsia="Arial" w:hAnsi="Arial"/>
          <w:sz w:val="18"/>
          <w:szCs w:val="18"/>
          <w:color w:val="auto"/>
        </w:rPr>
      </w:pPr>
    </w:p>
    <w:p>
      <w:pPr>
        <w:ind w:left="980" w:hanging="776"/>
        <w:spacing w:after="0"/>
        <w:tabs>
          <w:tab w:leader="none" w:pos="9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Accrued rebates</w:t>
      </w:r>
    </w:p>
    <w:p>
      <w:pPr>
        <w:spacing w:after="0" w:line="211" w:lineRule="exact"/>
        <w:rPr>
          <w:rFonts w:ascii="Arial" w:cs="Arial" w:eastAsia="Arial" w:hAnsi="Arial"/>
          <w:sz w:val="18"/>
          <w:szCs w:val="18"/>
          <w:color w:val="auto"/>
        </w:rPr>
      </w:pPr>
    </w:p>
    <w:p>
      <w:pPr>
        <w:jc w:val="both"/>
        <w:ind w:left="980" w:right="20"/>
        <w:spacing w:after="0" w:line="239" w:lineRule="auto"/>
        <w:rPr>
          <w:rFonts w:ascii="Arial" w:cs="Arial" w:eastAsia="Arial" w:hAnsi="Arial"/>
          <w:sz w:val="18"/>
          <w:szCs w:val="18"/>
          <w:color w:val="auto"/>
        </w:rPr>
      </w:pPr>
      <w:r>
        <w:rPr>
          <w:rFonts w:ascii="Arial" w:cs="Arial" w:eastAsia="Arial" w:hAnsi="Arial"/>
          <w:sz w:val="18"/>
          <w:szCs w:val="18"/>
          <w:color w:val="auto"/>
        </w:rPr>
        <w:t>The Group accrues for 100% of potential rebates at the time of sale and does not apply a breakage factor. The Group reverses the accrual of unclaimed rebate amounts as specific rebate programs contractually end and when the Group believes unclaimed rebates are no longer subjected to payment and will not be paid. Thus, the reversal of unclaimed rebates may have a positive impact on the net revenue and net income in 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A-81</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Provisions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Accrued rebates (continued)</w:t>
      </w:r>
    </w:p>
    <w:p>
      <w:pPr>
        <w:spacing w:after="0" w:line="14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Movement in provision for accrued rebates is as follows:</w:t>
      </w:r>
    </w:p>
    <w:p>
      <w:pPr>
        <w:spacing w:after="0" w:line="222"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100" w:type="dxa"/>
            <w:vAlign w:val="bottom"/>
            <w:vMerge w:val="restart"/>
          </w:tcPr>
          <w:p>
            <w:pPr>
              <w:jc w:val="right"/>
              <w:ind w:right="382"/>
              <w:spacing w:after="0"/>
              <w:rPr>
                <w:sz w:val="20"/>
                <w:szCs w:val="20"/>
                <w:color w:val="auto"/>
              </w:rPr>
            </w:pPr>
            <w:r>
              <w:rPr>
                <w:rFonts w:ascii="Arial" w:cs="Arial" w:eastAsia="Arial" w:hAnsi="Arial"/>
                <w:sz w:val="20"/>
                <w:szCs w:val="20"/>
                <w:b w:val="1"/>
                <w:bCs w:val="1"/>
                <w:color w:val="auto"/>
              </w:rPr>
              <w:t>2017</w:t>
            </w:r>
          </w:p>
        </w:tc>
        <w:tc>
          <w:tcPr>
            <w:tcW w:w="1960" w:type="dxa"/>
            <w:vAlign w:val="bottom"/>
            <w:gridSpan w:val="2"/>
          </w:tcPr>
          <w:p>
            <w:pPr>
              <w:jc w:val="right"/>
              <w:ind w:right="1305"/>
              <w:spacing w:after="0"/>
              <w:rPr>
                <w:sz w:val="20"/>
                <w:szCs w:val="20"/>
                <w:color w:val="auto"/>
              </w:rPr>
            </w:pPr>
            <w:r>
              <w:rPr>
                <w:rFonts w:ascii="Arial" w:cs="Arial" w:eastAsia="Arial" w:hAnsi="Arial"/>
                <w:sz w:val="20"/>
                <w:szCs w:val="20"/>
                <w:color w:val="auto"/>
                <w:w w:val="97"/>
              </w:rPr>
              <w:t>Group</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0" w:type="dxa"/>
            <w:vAlign w:val="bottom"/>
          </w:tcPr>
          <w:p>
            <w:pPr>
              <w:jc w:val="right"/>
              <w:ind w:right="325"/>
              <w:spacing w:after="0" w:line="177"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100" w:type="dxa"/>
            <w:vAlign w:val="bottom"/>
          </w:tcPr>
          <w:p>
            <w:pPr>
              <w:jc w:val="right"/>
              <w:ind w:right="2"/>
              <w:spacing w:after="0"/>
              <w:rPr>
                <w:sz w:val="20"/>
                <w:szCs w:val="20"/>
                <w:color w:val="auto"/>
              </w:rPr>
            </w:pPr>
            <w:r>
              <w:rPr>
                <w:rFonts w:ascii="Arial" w:cs="Arial" w:eastAsia="Arial" w:hAnsi="Arial"/>
                <w:sz w:val="18"/>
                <w:szCs w:val="18"/>
                <w:b w:val="1"/>
                <w:bCs w:val="1"/>
                <w:color w:val="auto"/>
              </w:rPr>
              <w:t>(US$ millions)</w:t>
            </w:r>
          </w:p>
        </w:tc>
        <w:tc>
          <w:tcPr>
            <w:tcW w:w="5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Beginning of financial year</w:t>
            </w:r>
          </w:p>
        </w:tc>
        <w:tc>
          <w:tcPr>
            <w:tcW w:w="2100" w:type="dxa"/>
            <w:vAlign w:val="bottom"/>
            <w:shd w:val="clear" w:color="auto" w:fill="CCEEFF"/>
          </w:tcPr>
          <w:p>
            <w:pPr>
              <w:jc w:val="right"/>
              <w:ind w:right="122"/>
              <w:spacing w:after="0" w:line="216" w:lineRule="exact"/>
              <w:rPr>
                <w:sz w:val="20"/>
                <w:szCs w:val="20"/>
                <w:color w:val="auto"/>
              </w:rPr>
            </w:pPr>
            <w:r>
              <w:rPr>
                <w:rFonts w:ascii="Arial" w:cs="Arial" w:eastAsia="Arial" w:hAnsi="Arial"/>
                <w:sz w:val="20"/>
                <w:szCs w:val="20"/>
                <w:b w:val="1"/>
                <w:bCs w:val="1"/>
                <w:color w:val="auto"/>
              </w:rPr>
              <w:t>317</w:t>
            </w:r>
          </w:p>
        </w:tc>
        <w:tc>
          <w:tcPr>
            <w:tcW w:w="1960" w:type="dxa"/>
            <w:vAlign w:val="bottom"/>
            <w:gridSpan w:val="2"/>
            <w:shd w:val="clear" w:color="auto" w:fill="CCEEFF"/>
          </w:tcPr>
          <w:p>
            <w:pPr>
              <w:jc w:val="right"/>
              <w:ind w:right="105"/>
              <w:spacing w:after="0" w:line="216" w:lineRule="exact"/>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line="216" w:lineRule="exact"/>
              <w:rPr>
                <w:sz w:val="20"/>
                <w:szCs w:val="20"/>
                <w:color w:val="auto"/>
              </w:rPr>
            </w:pPr>
            <w:r>
              <w:rPr>
                <w:rFonts w:ascii="Arial" w:cs="Arial" w:eastAsia="Arial" w:hAnsi="Arial"/>
                <w:sz w:val="20"/>
                <w:szCs w:val="20"/>
                <w:color w:val="auto"/>
              </w:rPr>
              <w:t>Liabilities assumed in acquisitions</w:t>
            </w:r>
          </w:p>
        </w:tc>
        <w:tc>
          <w:tcPr>
            <w:tcW w:w="2100" w:type="dxa"/>
            <w:vAlign w:val="bottom"/>
          </w:tcPr>
          <w:p>
            <w:pPr>
              <w:jc w:val="right"/>
              <w:ind w:right="122"/>
              <w:spacing w:after="0" w:line="216" w:lineRule="exact"/>
              <w:rPr>
                <w:sz w:val="20"/>
                <w:szCs w:val="20"/>
                <w:color w:val="auto"/>
              </w:rPr>
            </w:pPr>
            <w:r>
              <w:rPr>
                <w:rFonts w:ascii="Arial" w:cs="Arial" w:eastAsia="Arial" w:hAnsi="Arial"/>
                <w:sz w:val="20"/>
                <w:szCs w:val="20"/>
                <w:color w:val="auto"/>
              </w:rPr>
              <w:t>-</w:t>
            </w:r>
          </w:p>
        </w:tc>
        <w:tc>
          <w:tcPr>
            <w:tcW w:w="1960" w:type="dxa"/>
            <w:vAlign w:val="bottom"/>
            <w:gridSpan w:val="2"/>
          </w:tcPr>
          <w:p>
            <w:pPr>
              <w:jc w:val="right"/>
              <w:ind w:right="105"/>
              <w:spacing w:after="0" w:line="216" w:lineRule="exact"/>
              <w:rPr>
                <w:sz w:val="20"/>
                <w:szCs w:val="20"/>
                <w:color w:val="auto"/>
              </w:rPr>
            </w:pPr>
            <w:r>
              <w:rPr>
                <w:rFonts w:ascii="Arial" w:cs="Arial" w:eastAsia="Arial" w:hAnsi="Arial"/>
                <w:sz w:val="20"/>
                <w:szCs w:val="20"/>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Additional rebates given during the year</w:t>
            </w:r>
          </w:p>
        </w:tc>
        <w:tc>
          <w:tcPr>
            <w:tcW w:w="2100" w:type="dxa"/>
            <w:vAlign w:val="bottom"/>
            <w:shd w:val="clear" w:color="auto" w:fill="CCEEFF"/>
          </w:tcPr>
          <w:p>
            <w:pPr>
              <w:jc w:val="right"/>
              <w:ind w:right="122"/>
              <w:spacing w:after="0" w:line="216" w:lineRule="exact"/>
              <w:rPr>
                <w:sz w:val="20"/>
                <w:szCs w:val="20"/>
                <w:color w:val="auto"/>
              </w:rPr>
            </w:pPr>
            <w:r>
              <w:rPr>
                <w:rFonts w:ascii="Arial" w:cs="Arial" w:eastAsia="Arial" w:hAnsi="Arial"/>
                <w:sz w:val="20"/>
                <w:szCs w:val="20"/>
                <w:b w:val="1"/>
                <w:bCs w:val="1"/>
                <w:color w:val="auto"/>
              </w:rPr>
              <w:t>244</w:t>
            </w:r>
          </w:p>
        </w:tc>
        <w:tc>
          <w:tcPr>
            <w:tcW w:w="1960" w:type="dxa"/>
            <w:vAlign w:val="bottom"/>
            <w:gridSpan w:val="2"/>
            <w:shd w:val="clear" w:color="auto" w:fill="CCEEFF"/>
          </w:tcPr>
          <w:p>
            <w:pPr>
              <w:jc w:val="right"/>
              <w:ind w:right="105"/>
              <w:spacing w:after="0" w:line="216" w:lineRule="exact"/>
              <w:rPr>
                <w:sz w:val="20"/>
                <w:szCs w:val="20"/>
                <w:color w:val="auto"/>
              </w:rPr>
            </w:pPr>
            <w:r>
              <w:rPr>
                <w:rFonts w:ascii="Arial" w:cs="Arial" w:eastAsia="Arial" w:hAnsi="Arial"/>
                <w:sz w:val="20"/>
                <w:szCs w:val="20"/>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line="216" w:lineRule="exact"/>
              <w:rPr>
                <w:sz w:val="20"/>
                <w:szCs w:val="20"/>
                <w:color w:val="auto"/>
              </w:rPr>
            </w:pPr>
            <w:r>
              <w:rPr>
                <w:rFonts w:ascii="Arial" w:cs="Arial" w:eastAsia="Arial" w:hAnsi="Arial"/>
                <w:sz w:val="20"/>
                <w:szCs w:val="20"/>
                <w:color w:val="auto"/>
              </w:rPr>
              <w:t>Reversal of unclaimed rebates</w:t>
            </w:r>
          </w:p>
        </w:tc>
        <w:tc>
          <w:tcPr>
            <w:tcW w:w="2100" w:type="dxa"/>
            <w:vAlign w:val="bottom"/>
          </w:tcPr>
          <w:p>
            <w:pPr>
              <w:jc w:val="right"/>
              <w:ind w:right="122"/>
              <w:spacing w:after="0" w:line="216" w:lineRule="exact"/>
              <w:rPr>
                <w:sz w:val="20"/>
                <w:szCs w:val="20"/>
                <w:color w:val="auto"/>
              </w:rPr>
            </w:pPr>
            <w:r>
              <w:rPr>
                <w:rFonts w:ascii="Arial" w:cs="Arial" w:eastAsia="Arial" w:hAnsi="Arial"/>
                <w:sz w:val="20"/>
                <w:szCs w:val="20"/>
                <w:b w:val="1"/>
                <w:bCs w:val="1"/>
                <w:color w:val="auto"/>
              </w:rPr>
              <w:t>(79)</w:t>
            </w:r>
          </w:p>
        </w:tc>
        <w:tc>
          <w:tcPr>
            <w:tcW w:w="1960" w:type="dxa"/>
            <w:vAlign w:val="bottom"/>
            <w:gridSpan w:val="2"/>
          </w:tcPr>
          <w:p>
            <w:pPr>
              <w:jc w:val="right"/>
              <w:ind w:right="105"/>
              <w:spacing w:after="0" w:line="21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Payments</w:t>
            </w:r>
          </w:p>
        </w:tc>
        <w:tc>
          <w:tcPr>
            <w:tcW w:w="2100" w:type="dxa"/>
            <w:vAlign w:val="bottom"/>
            <w:shd w:val="clear" w:color="auto" w:fill="CCEEFF"/>
          </w:tcPr>
          <w:p>
            <w:pPr>
              <w:jc w:val="right"/>
              <w:ind w:right="122"/>
              <w:spacing w:after="0" w:line="216" w:lineRule="exact"/>
              <w:rPr>
                <w:sz w:val="20"/>
                <w:szCs w:val="20"/>
                <w:color w:val="auto"/>
              </w:rPr>
            </w:pPr>
            <w:r>
              <w:rPr>
                <w:rFonts w:ascii="Arial" w:cs="Arial" w:eastAsia="Arial" w:hAnsi="Arial"/>
                <w:sz w:val="20"/>
                <w:szCs w:val="20"/>
                <w:b w:val="1"/>
                <w:bCs w:val="1"/>
                <w:color w:val="auto"/>
              </w:rPr>
              <w:t>(358)</w:t>
            </w:r>
          </w:p>
        </w:tc>
        <w:tc>
          <w:tcPr>
            <w:tcW w:w="1960" w:type="dxa"/>
            <w:vAlign w:val="bottom"/>
            <w:gridSpan w:val="2"/>
            <w:shd w:val="clear" w:color="auto" w:fill="CCEEFF"/>
          </w:tcPr>
          <w:p>
            <w:pPr>
              <w:jc w:val="right"/>
              <w:ind w:right="105"/>
              <w:spacing w:after="0" w:line="216" w:lineRule="exact"/>
              <w:rPr>
                <w:sz w:val="20"/>
                <w:szCs w:val="20"/>
                <w:color w:val="auto"/>
              </w:rPr>
            </w:pPr>
            <w:r>
              <w:rPr>
                <w:rFonts w:ascii="Arial" w:cs="Arial" w:eastAsia="Arial" w:hAnsi="Arial"/>
                <w:sz w:val="20"/>
                <w:szCs w:val="20"/>
                <w:color w:val="auto"/>
              </w:rPr>
              <w:t>(523)</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20"/>
                <w:szCs w:val="20"/>
                <w:color w:val="auto"/>
              </w:rPr>
              <w:t>End of financial year</w:t>
            </w:r>
          </w:p>
        </w:tc>
        <w:tc>
          <w:tcPr>
            <w:tcW w:w="2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00" w:type="dxa"/>
            <w:vAlign w:val="bottom"/>
            <w:gridSpan w:val="2"/>
            <w:vMerge w:val="continue"/>
          </w:tcPr>
          <w:p>
            <w:pPr>
              <w:spacing w:after="0"/>
              <w:rPr>
                <w:sz w:val="19"/>
                <w:szCs w:val="19"/>
                <w:color w:val="auto"/>
              </w:rPr>
            </w:pPr>
          </w:p>
        </w:tc>
        <w:tc>
          <w:tcPr>
            <w:tcW w:w="2100" w:type="dxa"/>
            <w:vAlign w:val="bottom"/>
            <w:tcBorders>
              <w:bottom w:val="single" w:sz="8" w:color="auto"/>
            </w:tcBorders>
          </w:tcPr>
          <w:p>
            <w:pPr>
              <w:jc w:val="right"/>
              <w:ind w:right="122"/>
              <w:spacing w:after="0" w:line="217" w:lineRule="exact"/>
              <w:rPr>
                <w:sz w:val="20"/>
                <w:szCs w:val="20"/>
                <w:color w:val="auto"/>
              </w:rPr>
            </w:pPr>
            <w:r>
              <w:rPr>
                <w:rFonts w:ascii="Arial" w:cs="Arial" w:eastAsia="Arial" w:hAnsi="Arial"/>
                <w:sz w:val="20"/>
                <w:szCs w:val="20"/>
                <w:b w:val="1"/>
                <w:bCs w:val="1"/>
                <w:color w:val="auto"/>
              </w:rPr>
              <w:t>124</w:t>
            </w:r>
          </w:p>
        </w:tc>
        <w:tc>
          <w:tcPr>
            <w:tcW w:w="1960" w:type="dxa"/>
            <w:vAlign w:val="bottom"/>
            <w:tcBorders>
              <w:bottom w:val="single" w:sz="8" w:color="auto"/>
            </w:tcBorders>
            <w:gridSpan w:val="2"/>
          </w:tcPr>
          <w:p>
            <w:pPr>
              <w:jc w:val="right"/>
              <w:ind w:right="105"/>
              <w:spacing w:after="0" w:line="217" w:lineRule="exact"/>
              <w:rPr>
                <w:sz w:val="20"/>
                <w:szCs w:val="20"/>
                <w:color w:val="auto"/>
              </w:rPr>
            </w:pPr>
            <w:r>
              <w:rPr>
                <w:rFonts w:ascii="Arial" w:cs="Arial" w:eastAsia="Arial" w:hAnsi="Arial"/>
                <w:sz w:val="20"/>
                <w:szCs w:val="20"/>
                <w:color w:val="auto"/>
              </w:rPr>
              <w:t>317</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Restructuring liabilities</w:t>
      </w:r>
    </w:p>
    <w:p>
      <w:pPr>
        <w:spacing w:after="0" w:line="212" w:lineRule="exact"/>
        <w:rPr>
          <w:sz w:val="20"/>
          <w:szCs w:val="20"/>
          <w:color w:val="auto"/>
        </w:rPr>
      </w:pPr>
    </w:p>
    <w:p>
      <w:pPr>
        <w:jc w:val="both"/>
        <w:ind w:left="980" w:right="20"/>
        <w:spacing w:after="0"/>
        <w:rPr>
          <w:sz w:val="20"/>
          <w:szCs w:val="20"/>
          <w:color w:val="auto"/>
        </w:rPr>
      </w:pPr>
      <w:r>
        <w:rPr>
          <w:rFonts w:ascii="Arial" w:cs="Arial" w:eastAsia="Arial" w:hAnsi="Arial"/>
          <w:sz w:val="18"/>
          <w:szCs w:val="18"/>
          <w:color w:val="auto"/>
        </w:rPr>
        <w:t>During financial years 2017 and 2016, the Group initiated a series of restructuring activities intended to realign its operations to improve overall efficiency and effectiveness. Provisions are made for employee termination costs and leases and other exit costs.</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Movement in provision for employee termination costs is as follows:</w:t>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540" w:type="dxa"/>
            <w:vAlign w:val="bottom"/>
            <w:gridSpan w:val="2"/>
            <w:vMerge w:val="restart"/>
          </w:tcPr>
          <w:p>
            <w:pPr>
              <w:jc w:val="right"/>
              <w:ind w:right="385"/>
              <w:spacing w:after="0"/>
              <w:rPr>
                <w:sz w:val="20"/>
                <w:szCs w:val="20"/>
                <w:color w:val="auto"/>
              </w:rPr>
            </w:pPr>
            <w:r>
              <w:rPr>
                <w:rFonts w:ascii="Arial" w:cs="Arial" w:eastAsia="Arial" w:hAnsi="Arial"/>
                <w:sz w:val="20"/>
                <w:szCs w:val="20"/>
                <w:b w:val="1"/>
                <w:bCs w:val="1"/>
                <w:color w:val="auto"/>
              </w:rPr>
              <w:t>2017</w:t>
            </w:r>
          </w:p>
        </w:tc>
        <w:tc>
          <w:tcPr>
            <w:tcW w:w="1960" w:type="dxa"/>
            <w:vAlign w:val="bottom"/>
            <w:gridSpan w:val="2"/>
          </w:tcPr>
          <w:p>
            <w:pPr>
              <w:jc w:val="right"/>
              <w:ind w:right="1305"/>
              <w:spacing w:after="0"/>
              <w:rPr>
                <w:sz w:val="20"/>
                <w:szCs w:val="20"/>
                <w:color w:val="auto"/>
              </w:rPr>
            </w:pPr>
            <w:r>
              <w:rPr>
                <w:rFonts w:ascii="Arial" w:cs="Arial" w:eastAsia="Arial" w:hAnsi="Arial"/>
                <w:sz w:val="20"/>
                <w:szCs w:val="20"/>
                <w:color w:val="auto"/>
                <w:w w:val="97"/>
              </w:rPr>
              <w:t>Group</w:t>
            </w:r>
          </w:p>
        </w:tc>
        <w:tc>
          <w:tcPr>
            <w:tcW w:w="0" w:type="dxa"/>
            <w:vAlign w:val="bottom"/>
          </w:tcPr>
          <w:p>
            <w:pPr>
              <w:spacing w:after="0"/>
              <w:rPr>
                <w:sz w:val="1"/>
                <w:szCs w:val="1"/>
                <w:color w:val="auto"/>
              </w:rPr>
            </w:pPr>
          </w:p>
        </w:tc>
      </w:tr>
      <w:tr>
        <w:trPr>
          <w:trHeight w:val="177"/>
        </w:trPr>
        <w:tc>
          <w:tcPr>
            <w:tcW w:w="7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540" w:type="dxa"/>
            <w:vAlign w:val="bottom"/>
            <w:gridSpan w:val="2"/>
            <w:vMerge w:val="continue"/>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0" w:type="dxa"/>
            <w:vAlign w:val="bottom"/>
          </w:tcPr>
          <w:p>
            <w:pPr>
              <w:jc w:val="right"/>
              <w:ind w:right="325"/>
              <w:spacing w:after="0" w:line="177"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100" w:type="dxa"/>
            <w:vAlign w:val="bottom"/>
          </w:tcPr>
          <w:p>
            <w:pPr>
              <w:jc w:val="right"/>
              <w:ind w:right="5"/>
              <w:spacing w:after="0"/>
              <w:rPr>
                <w:sz w:val="20"/>
                <w:szCs w:val="20"/>
                <w:color w:val="auto"/>
              </w:rPr>
            </w:pPr>
            <w:r>
              <w:rPr>
                <w:rFonts w:ascii="Arial" w:cs="Arial" w:eastAsia="Arial" w:hAnsi="Arial"/>
                <w:sz w:val="18"/>
                <w:szCs w:val="18"/>
                <w:b w:val="1"/>
                <w:bCs w:val="1"/>
                <w:color w:val="auto"/>
              </w:rPr>
              <w:t>(US$ millions)</w:t>
            </w:r>
          </w:p>
        </w:tc>
        <w:tc>
          <w:tcPr>
            <w:tcW w:w="5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08"/>
        </w:trPr>
        <w:tc>
          <w:tcPr>
            <w:tcW w:w="78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37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Beginning of financial year</w:t>
            </w:r>
          </w:p>
        </w:tc>
        <w:tc>
          <w:tcPr>
            <w:tcW w:w="4540" w:type="dxa"/>
            <w:vAlign w:val="bottom"/>
            <w:gridSpan w:val="2"/>
            <w:shd w:val="clear" w:color="auto" w:fill="CCEEFF"/>
          </w:tcPr>
          <w:p>
            <w:pPr>
              <w:jc w:val="right"/>
              <w:ind w:right="125"/>
              <w:spacing w:after="0" w:line="216" w:lineRule="exact"/>
              <w:rPr>
                <w:sz w:val="20"/>
                <w:szCs w:val="20"/>
                <w:color w:val="auto"/>
              </w:rPr>
            </w:pPr>
            <w:r>
              <w:rPr>
                <w:rFonts w:ascii="Arial" w:cs="Arial" w:eastAsia="Arial" w:hAnsi="Arial"/>
                <w:sz w:val="20"/>
                <w:szCs w:val="20"/>
                <w:b w:val="1"/>
                <w:bCs w:val="1"/>
                <w:color w:val="auto"/>
              </w:rPr>
              <w:t>116</w:t>
            </w:r>
          </w:p>
        </w:tc>
        <w:tc>
          <w:tcPr>
            <w:tcW w:w="1960" w:type="dxa"/>
            <w:vAlign w:val="bottom"/>
            <w:gridSpan w:val="2"/>
            <w:shd w:val="clear" w:color="auto" w:fill="CCEEFF"/>
          </w:tcPr>
          <w:p>
            <w:pPr>
              <w:jc w:val="right"/>
              <w:ind w:right="105"/>
              <w:spacing w:after="0" w:line="216" w:lineRule="exact"/>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740" w:type="dxa"/>
            <w:vAlign w:val="bottom"/>
          </w:tcPr>
          <w:p>
            <w:pPr>
              <w:spacing w:after="0" w:line="216" w:lineRule="exact"/>
              <w:rPr>
                <w:sz w:val="20"/>
                <w:szCs w:val="20"/>
                <w:color w:val="auto"/>
              </w:rPr>
            </w:pPr>
            <w:r>
              <w:rPr>
                <w:rFonts w:ascii="Arial" w:cs="Arial" w:eastAsia="Arial" w:hAnsi="Arial"/>
                <w:sz w:val="20"/>
                <w:szCs w:val="20"/>
                <w:color w:val="auto"/>
              </w:rPr>
              <w:t>Liabilities assumed in acquisitions</w:t>
            </w:r>
          </w:p>
        </w:tc>
        <w:tc>
          <w:tcPr>
            <w:tcW w:w="4540" w:type="dxa"/>
            <w:vAlign w:val="bottom"/>
            <w:gridSpan w:val="2"/>
          </w:tcPr>
          <w:p>
            <w:pPr>
              <w:jc w:val="right"/>
              <w:ind w:right="125"/>
              <w:spacing w:after="0" w:line="216" w:lineRule="exact"/>
              <w:rPr>
                <w:sz w:val="20"/>
                <w:szCs w:val="20"/>
                <w:color w:val="auto"/>
              </w:rPr>
            </w:pPr>
            <w:r>
              <w:rPr>
                <w:rFonts w:ascii="Arial" w:cs="Arial" w:eastAsia="Arial" w:hAnsi="Arial"/>
                <w:sz w:val="20"/>
                <w:szCs w:val="20"/>
                <w:color w:val="auto"/>
              </w:rPr>
              <w:t>-</w:t>
            </w:r>
          </w:p>
        </w:tc>
        <w:tc>
          <w:tcPr>
            <w:tcW w:w="1960" w:type="dxa"/>
            <w:vAlign w:val="bottom"/>
            <w:gridSpan w:val="2"/>
          </w:tcPr>
          <w:p>
            <w:pPr>
              <w:jc w:val="right"/>
              <w:ind w:right="105"/>
              <w:spacing w:after="0" w:line="21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7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Restructuring charges</w:t>
            </w:r>
          </w:p>
        </w:tc>
        <w:tc>
          <w:tcPr>
            <w:tcW w:w="4540" w:type="dxa"/>
            <w:vAlign w:val="bottom"/>
            <w:gridSpan w:val="2"/>
            <w:shd w:val="clear" w:color="auto" w:fill="CCEEFF"/>
          </w:tcPr>
          <w:p>
            <w:pPr>
              <w:jc w:val="right"/>
              <w:ind w:right="125"/>
              <w:spacing w:after="0" w:line="216" w:lineRule="exact"/>
              <w:rPr>
                <w:sz w:val="20"/>
                <w:szCs w:val="20"/>
                <w:color w:val="auto"/>
              </w:rPr>
            </w:pPr>
            <w:r>
              <w:rPr>
                <w:rFonts w:ascii="Arial" w:cs="Arial" w:eastAsia="Arial" w:hAnsi="Arial"/>
                <w:sz w:val="20"/>
                <w:szCs w:val="20"/>
                <w:b w:val="1"/>
                <w:bCs w:val="1"/>
                <w:color w:val="auto"/>
              </w:rPr>
              <w:t>86</w:t>
            </w:r>
          </w:p>
        </w:tc>
        <w:tc>
          <w:tcPr>
            <w:tcW w:w="1960" w:type="dxa"/>
            <w:vAlign w:val="bottom"/>
            <w:gridSpan w:val="2"/>
            <w:shd w:val="clear" w:color="auto" w:fill="CCEEFF"/>
          </w:tcPr>
          <w:p>
            <w:pPr>
              <w:jc w:val="right"/>
              <w:ind w:right="105"/>
              <w:spacing w:after="0" w:line="216" w:lineRule="exact"/>
              <w:rPr>
                <w:sz w:val="20"/>
                <w:szCs w:val="20"/>
                <w:color w:val="auto"/>
              </w:rPr>
            </w:pPr>
            <w:r>
              <w:rPr>
                <w:rFonts w:ascii="Arial" w:cs="Arial" w:eastAsia="Arial" w:hAnsi="Arial"/>
                <w:sz w:val="20"/>
                <w:szCs w:val="20"/>
                <w:color w:val="auto"/>
              </w:rPr>
              <w:t>445</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20"/>
                <w:szCs w:val="20"/>
                <w:color w:val="auto"/>
              </w:rPr>
              <w:t>Utilisation</w:t>
            </w:r>
          </w:p>
        </w:tc>
        <w:tc>
          <w:tcPr>
            <w:tcW w:w="4540" w:type="dxa"/>
            <w:vAlign w:val="bottom"/>
            <w:gridSpan w:val="2"/>
          </w:tcPr>
          <w:p>
            <w:pPr>
              <w:jc w:val="right"/>
              <w:ind w:right="125"/>
              <w:spacing w:after="0"/>
              <w:rPr>
                <w:sz w:val="20"/>
                <w:szCs w:val="20"/>
                <w:color w:val="auto"/>
              </w:rPr>
            </w:pPr>
            <w:r>
              <w:rPr>
                <w:rFonts w:ascii="Arial" w:cs="Arial" w:eastAsia="Arial" w:hAnsi="Arial"/>
                <w:sz w:val="20"/>
                <w:szCs w:val="20"/>
                <w:b w:val="1"/>
                <w:bCs w:val="1"/>
                <w:color w:val="auto"/>
              </w:rPr>
              <w:t>(174)</w:t>
            </w:r>
          </w:p>
        </w:tc>
        <w:tc>
          <w:tcPr>
            <w:tcW w:w="1960" w:type="dxa"/>
            <w:vAlign w:val="bottom"/>
            <w:gridSpan w:val="2"/>
          </w:tcPr>
          <w:p>
            <w:pPr>
              <w:jc w:val="right"/>
              <w:ind w:right="105"/>
              <w:spacing w:after="0"/>
              <w:rPr>
                <w:sz w:val="20"/>
                <w:szCs w:val="20"/>
                <w:color w:val="auto"/>
              </w:rPr>
            </w:pPr>
            <w:r>
              <w:rPr>
                <w:rFonts w:ascii="Arial" w:cs="Arial" w:eastAsia="Arial" w:hAnsi="Arial"/>
                <w:sz w:val="20"/>
                <w:szCs w:val="20"/>
                <w:color w:val="auto"/>
              </w:rPr>
              <w:t>(344)</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End of financial year</w:t>
            </w:r>
          </w:p>
        </w:tc>
        <w:tc>
          <w:tcPr>
            <w:tcW w:w="24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125"/>
              <w:spacing w:after="0" w:line="209" w:lineRule="exact"/>
              <w:rPr>
                <w:sz w:val="20"/>
                <w:szCs w:val="20"/>
                <w:color w:val="auto"/>
              </w:rPr>
            </w:pPr>
            <w:r>
              <w:rPr>
                <w:rFonts w:ascii="Arial" w:cs="Arial" w:eastAsia="Arial" w:hAnsi="Arial"/>
                <w:sz w:val="20"/>
                <w:szCs w:val="20"/>
                <w:b w:val="1"/>
                <w:bCs w:val="1"/>
                <w:color w:val="auto"/>
              </w:rPr>
              <w:t>28</w:t>
            </w:r>
          </w:p>
        </w:tc>
        <w:tc>
          <w:tcPr>
            <w:tcW w:w="1960" w:type="dxa"/>
            <w:vAlign w:val="bottom"/>
            <w:tcBorders>
              <w:top w:val="single" w:sz="8" w:color="auto"/>
            </w:tcBorders>
            <w:gridSpan w:val="2"/>
            <w:shd w:val="clear" w:color="auto" w:fill="CCEEFF"/>
          </w:tcPr>
          <w:p>
            <w:pPr>
              <w:jc w:val="right"/>
              <w:ind w:right="105"/>
              <w:spacing w:after="0" w:line="209" w:lineRule="exact"/>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4540" w:type="dxa"/>
            <w:vAlign w:val="bottom"/>
            <w:tcBorders>
              <w:bottom w:val="single" w:sz="8" w:color="auto"/>
            </w:tcBorders>
            <w:gridSpan w:val="2"/>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40" w:type="dxa"/>
            <w:vAlign w:val="bottom"/>
            <w:gridSpan w:val="2"/>
          </w:tcPr>
          <w:p>
            <w:pPr>
              <w:jc w:val="right"/>
              <w:ind w:right="3285"/>
              <w:spacing w:after="0"/>
              <w:rPr>
                <w:sz w:val="20"/>
                <w:szCs w:val="20"/>
                <w:color w:val="auto"/>
              </w:rPr>
            </w:pPr>
            <w:r>
              <w:rPr>
                <w:rFonts w:ascii="Arial" w:cs="Arial" w:eastAsia="Arial" w:hAnsi="Arial"/>
                <w:sz w:val="18"/>
                <w:szCs w:val="18"/>
                <w:color w:val="auto"/>
              </w:rPr>
              <w:t>A-82</w:t>
            </w: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Provisions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Restructuring liabilities (continued)</w:t>
      </w:r>
    </w:p>
    <w:p>
      <w:pPr>
        <w:spacing w:after="0" w:line="14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Movement in provision for leases and other exit costs is as follows:</w:t>
      </w:r>
    </w:p>
    <w:p>
      <w:pPr>
        <w:spacing w:after="0" w:line="222"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180" w:type="dxa"/>
            <w:vAlign w:val="bottom"/>
            <w:vMerge w:val="restart"/>
          </w:tcPr>
          <w:p>
            <w:pPr>
              <w:jc w:val="right"/>
              <w:ind w:right="422"/>
              <w:spacing w:after="0"/>
              <w:rPr>
                <w:sz w:val="20"/>
                <w:szCs w:val="20"/>
                <w:color w:val="auto"/>
              </w:rPr>
            </w:pPr>
            <w:r>
              <w:rPr>
                <w:rFonts w:ascii="Arial" w:cs="Arial" w:eastAsia="Arial" w:hAnsi="Arial"/>
                <w:sz w:val="20"/>
                <w:szCs w:val="20"/>
                <w:b w:val="1"/>
                <w:bCs w:val="1"/>
                <w:color w:val="auto"/>
              </w:rPr>
              <w:t>2017</w:t>
            </w:r>
          </w:p>
        </w:tc>
        <w:tc>
          <w:tcPr>
            <w:tcW w:w="1980" w:type="dxa"/>
            <w:vAlign w:val="bottom"/>
            <w:gridSpan w:val="2"/>
          </w:tcPr>
          <w:p>
            <w:pPr>
              <w:jc w:val="right"/>
              <w:ind w:right="1325"/>
              <w:spacing w:after="0"/>
              <w:rPr>
                <w:sz w:val="20"/>
                <w:szCs w:val="20"/>
                <w:color w:val="auto"/>
              </w:rPr>
            </w:pPr>
            <w:r>
              <w:rPr>
                <w:rFonts w:ascii="Arial" w:cs="Arial" w:eastAsia="Arial" w:hAnsi="Arial"/>
                <w:sz w:val="20"/>
                <w:szCs w:val="20"/>
                <w:color w:val="auto"/>
                <w:w w:val="97"/>
              </w:rPr>
              <w:t>Group</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20" w:type="dxa"/>
            <w:vAlign w:val="bottom"/>
          </w:tcPr>
          <w:p>
            <w:pPr>
              <w:jc w:val="right"/>
              <w:ind w:right="325"/>
              <w:spacing w:after="0" w:line="177"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180" w:type="dxa"/>
            <w:vAlign w:val="bottom"/>
          </w:tcPr>
          <w:p>
            <w:pPr>
              <w:jc w:val="right"/>
              <w:ind w:right="42"/>
              <w:spacing w:after="0"/>
              <w:rPr>
                <w:sz w:val="20"/>
                <w:szCs w:val="20"/>
                <w:color w:val="auto"/>
              </w:rPr>
            </w:pPr>
            <w:r>
              <w:rPr>
                <w:rFonts w:ascii="Arial" w:cs="Arial" w:eastAsia="Arial" w:hAnsi="Arial"/>
                <w:sz w:val="18"/>
                <w:szCs w:val="18"/>
                <w:b w:val="1"/>
                <w:bCs w:val="1"/>
                <w:color w:val="auto"/>
              </w:rPr>
              <w:t>(US$ millions)</w:t>
            </w:r>
          </w:p>
        </w:tc>
        <w:tc>
          <w:tcPr>
            <w:tcW w:w="5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Beginning of financial year</w:t>
            </w:r>
          </w:p>
        </w:tc>
        <w:tc>
          <w:tcPr>
            <w:tcW w:w="2180" w:type="dxa"/>
            <w:vAlign w:val="bottom"/>
            <w:shd w:val="clear" w:color="auto" w:fill="CCEEFF"/>
          </w:tcPr>
          <w:p>
            <w:pPr>
              <w:jc w:val="right"/>
              <w:ind w:right="162"/>
              <w:spacing w:after="0" w:line="216" w:lineRule="exact"/>
              <w:rPr>
                <w:sz w:val="20"/>
                <w:szCs w:val="20"/>
                <w:color w:val="auto"/>
              </w:rPr>
            </w:pPr>
            <w:r>
              <w:rPr>
                <w:rFonts w:ascii="Arial" w:cs="Arial" w:eastAsia="Arial" w:hAnsi="Arial"/>
                <w:sz w:val="20"/>
                <w:szCs w:val="20"/>
                <w:b w:val="1"/>
                <w:bCs w:val="1"/>
                <w:color w:val="auto"/>
              </w:rPr>
              <w:t>35</w:t>
            </w:r>
          </w:p>
        </w:tc>
        <w:tc>
          <w:tcPr>
            <w:tcW w:w="1980" w:type="dxa"/>
            <w:vAlign w:val="bottom"/>
            <w:gridSpan w:val="2"/>
            <w:shd w:val="clear" w:color="auto" w:fill="CCEEFF"/>
          </w:tcPr>
          <w:p>
            <w:pPr>
              <w:jc w:val="right"/>
              <w:ind w:right="105"/>
              <w:spacing w:after="0" w:line="216" w:lineRule="exact"/>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line="216" w:lineRule="exact"/>
              <w:rPr>
                <w:sz w:val="20"/>
                <w:szCs w:val="20"/>
                <w:color w:val="auto"/>
              </w:rPr>
            </w:pPr>
            <w:r>
              <w:rPr>
                <w:rFonts w:ascii="Arial" w:cs="Arial" w:eastAsia="Arial" w:hAnsi="Arial"/>
                <w:sz w:val="20"/>
                <w:szCs w:val="20"/>
                <w:color w:val="auto"/>
              </w:rPr>
              <w:t>Liabilities assumed in acquisitions</w:t>
            </w:r>
          </w:p>
        </w:tc>
        <w:tc>
          <w:tcPr>
            <w:tcW w:w="2180" w:type="dxa"/>
            <w:vAlign w:val="bottom"/>
          </w:tcPr>
          <w:p>
            <w:pPr>
              <w:jc w:val="right"/>
              <w:ind w:right="162"/>
              <w:spacing w:after="0" w:line="216" w:lineRule="exact"/>
              <w:rPr>
                <w:sz w:val="20"/>
                <w:szCs w:val="20"/>
                <w:color w:val="auto"/>
              </w:rPr>
            </w:pPr>
            <w:r>
              <w:rPr>
                <w:rFonts w:ascii="Arial" w:cs="Arial" w:eastAsia="Arial" w:hAnsi="Arial"/>
                <w:sz w:val="20"/>
                <w:szCs w:val="20"/>
                <w:b w:val="1"/>
                <w:bCs w:val="1"/>
                <w:color w:val="auto"/>
              </w:rPr>
              <w:t>-</w:t>
            </w:r>
          </w:p>
        </w:tc>
        <w:tc>
          <w:tcPr>
            <w:tcW w:w="1980" w:type="dxa"/>
            <w:vAlign w:val="bottom"/>
            <w:gridSpan w:val="2"/>
          </w:tcPr>
          <w:p>
            <w:pPr>
              <w:jc w:val="right"/>
              <w:ind w:right="105"/>
              <w:spacing w:after="0" w:line="216" w:lineRule="exact"/>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Restructuring charges</w:t>
            </w:r>
          </w:p>
        </w:tc>
        <w:tc>
          <w:tcPr>
            <w:tcW w:w="2180" w:type="dxa"/>
            <w:vAlign w:val="bottom"/>
            <w:shd w:val="clear" w:color="auto" w:fill="CCEEFF"/>
          </w:tcPr>
          <w:p>
            <w:pPr>
              <w:jc w:val="right"/>
              <w:ind w:right="162"/>
              <w:spacing w:after="0" w:line="216" w:lineRule="exact"/>
              <w:rPr>
                <w:sz w:val="20"/>
                <w:szCs w:val="20"/>
                <w:color w:val="auto"/>
              </w:rPr>
            </w:pPr>
            <w:r>
              <w:rPr>
                <w:rFonts w:ascii="Arial" w:cs="Arial" w:eastAsia="Arial" w:hAnsi="Arial"/>
                <w:sz w:val="20"/>
                <w:szCs w:val="20"/>
                <w:b w:val="1"/>
                <w:bCs w:val="1"/>
                <w:color w:val="auto"/>
              </w:rPr>
              <w:t>43</w:t>
            </w:r>
          </w:p>
        </w:tc>
        <w:tc>
          <w:tcPr>
            <w:tcW w:w="1980" w:type="dxa"/>
            <w:vAlign w:val="bottom"/>
            <w:gridSpan w:val="2"/>
            <w:shd w:val="clear" w:color="auto" w:fill="CCEEFF"/>
          </w:tcPr>
          <w:p>
            <w:pPr>
              <w:jc w:val="right"/>
              <w:ind w:right="105"/>
              <w:spacing w:after="0" w:line="216" w:lineRule="exact"/>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Utilisation</w:t>
            </w:r>
          </w:p>
        </w:tc>
        <w:tc>
          <w:tcPr>
            <w:tcW w:w="218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b w:val="1"/>
                <w:bCs w:val="1"/>
                <w:color w:val="auto"/>
              </w:rPr>
              <w:t>(61)</w:t>
            </w:r>
          </w:p>
        </w:tc>
        <w:tc>
          <w:tcPr>
            <w:tcW w:w="198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line="209" w:lineRule="exact"/>
              <w:rPr>
                <w:sz w:val="20"/>
                <w:szCs w:val="20"/>
                <w:color w:val="auto"/>
              </w:rPr>
            </w:pPr>
            <w:r>
              <w:rPr>
                <w:rFonts w:ascii="Arial" w:cs="Arial" w:eastAsia="Arial" w:hAnsi="Arial"/>
                <w:sz w:val="20"/>
                <w:szCs w:val="20"/>
                <w:color w:val="auto"/>
              </w:rPr>
              <w:t>End of financial year</w:t>
            </w:r>
          </w:p>
        </w:tc>
        <w:tc>
          <w:tcPr>
            <w:tcW w:w="2180" w:type="dxa"/>
            <w:vAlign w:val="bottom"/>
            <w:shd w:val="clear" w:color="auto" w:fill="CCEEFF"/>
          </w:tcPr>
          <w:p>
            <w:pPr>
              <w:jc w:val="right"/>
              <w:ind w:right="162"/>
              <w:spacing w:after="0" w:line="209" w:lineRule="exact"/>
              <w:rPr>
                <w:sz w:val="20"/>
                <w:szCs w:val="20"/>
                <w:color w:val="auto"/>
              </w:rPr>
            </w:pPr>
            <w:r>
              <w:rPr>
                <w:rFonts w:ascii="Arial" w:cs="Arial" w:eastAsia="Arial" w:hAnsi="Arial"/>
                <w:sz w:val="20"/>
                <w:szCs w:val="20"/>
                <w:b w:val="1"/>
                <w:bCs w:val="1"/>
                <w:color w:val="auto"/>
              </w:rPr>
              <w:t>17</w:t>
            </w:r>
          </w:p>
        </w:tc>
        <w:tc>
          <w:tcPr>
            <w:tcW w:w="1980" w:type="dxa"/>
            <w:vAlign w:val="bottom"/>
            <w:gridSpan w:val="2"/>
            <w:shd w:val="clear" w:color="auto" w:fill="CCEEFF"/>
          </w:tcPr>
          <w:p>
            <w:pPr>
              <w:jc w:val="right"/>
              <w:ind w:right="105"/>
              <w:spacing w:after="0" w:line="209"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Accrued interest and penalties</w:t>
      </w:r>
    </w:p>
    <w:p>
      <w:pPr>
        <w:spacing w:after="0" w:line="212"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During financial years 2017 and 2016, the Group accrued interest and penalties for various tax positions. Movement in accrued interest and penalties is as follows:</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520" w:type="dxa"/>
            <w:vAlign w:val="bottom"/>
            <w:gridSpan w:val="2"/>
            <w:vMerge w:val="restart"/>
          </w:tcPr>
          <w:p>
            <w:pPr>
              <w:jc w:val="right"/>
              <w:ind w:right="425"/>
              <w:spacing w:after="0"/>
              <w:rPr>
                <w:sz w:val="20"/>
                <w:szCs w:val="20"/>
                <w:color w:val="auto"/>
              </w:rPr>
            </w:pPr>
            <w:r>
              <w:rPr>
                <w:rFonts w:ascii="Arial" w:cs="Arial" w:eastAsia="Arial" w:hAnsi="Arial"/>
                <w:sz w:val="20"/>
                <w:szCs w:val="20"/>
                <w:b w:val="1"/>
                <w:bCs w:val="1"/>
                <w:color w:val="auto"/>
              </w:rPr>
              <w:t>2017</w:t>
            </w:r>
          </w:p>
        </w:tc>
        <w:tc>
          <w:tcPr>
            <w:tcW w:w="1980" w:type="dxa"/>
            <w:vAlign w:val="bottom"/>
            <w:gridSpan w:val="2"/>
          </w:tcPr>
          <w:p>
            <w:pPr>
              <w:jc w:val="right"/>
              <w:ind w:right="1325"/>
              <w:spacing w:after="0"/>
              <w:rPr>
                <w:sz w:val="20"/>
                <w:szCs w:val="20"/>
                <w:color w:val="auto"/>
              </w:rPr>
            </w:pPr>
            <w:r>
              <w:rPr>
                <w:rFonts w:ascii="Arial" w:cs="Arial" w:eastAsia="Arial" w:hAnsi="Arial"/>
                <w:sz w:val="20"/>
                <w:szCs w:val="20"/>
                <w:color w:val="auto"/>
                <w:w w:val="97"/>
              </w:rPr>
              <w:t>Group</w:t>
            </w:r>
          </w:p>
        </w:tc>
        <w:tc>
          <w:tcPr>
            <w:tcW w:w="0" w:type="dxa"/>
            <w:vAlign w:val="bottom"/>
          </w:tcPr>
          <w:p>
            <w:pPr>
              <w:spacing w:after="0"/>
              <w:rPr>
                <w:sz w:val="1"/>
                <w:szCs w:val="1"/>
                <w:color w:val="auto"/>
              </w:rPr>
            </w:pPr>
          </w:p>
        </w:tc>
      </w:tr>
      <w:tr>
        <w:trPr>
          <w:trHeight w:val="177"/>
        </w:trPr>
        <w:tc>
          <w:tcPr>
            <w:tcW w:w="7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520" w:type="dxa"/>
            <w:vAlign w:val="bottom"/>
            <w:gridSpan w:val="2"/>
            <w:vMerge w:val="continue"/>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20" w:type="dxa"/>
            <w:vAlign w:val="bottom"/>
          </w:tcPr>
          <w:p>
            <w:pPr>
              <w:jc w:val="right"/>
              <w:ind w:right="325"/>
              <w:spacing w:after="0" w:line="177"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80" w:type="dxa"/>
            <w:vAlign w:val="bottom"/>
          </w:tcPr>
          <w:p>
            <w:pPr>
              <w:jc w:val="right"/>
              <w:ind w:right="45"/>
              <w:spacing w:after="0"/>
              <w:rPr>
                <w:sz w:val="20"/>
                <w:szCs w:val="20"/>
                <w:color w:val="auto"/>
              </w:rPr>
            </w:pPr>
            <w:r>
              <w:rPr>
                <w:rFonts w:ascii="Arial" w:cs="Arial" w:eastAsia="Arial" w:hAnsi="Arial"/>
                <w:sz w:val="18"/>
                <w:szCs w:val="18"/>
                <w:b w:val="1"/>
                <w:bCs w:val="1"/>
                <w:color w:val="auto"/>
              </w:rPr>
              <w:t>(US$ millions)</w:t>
            </w:r>
          </w:p>
        </w:tc>
        <w:tc>
          <w:tcPr>
            <w:tcW w:w="5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08"/>
        </w:trPr>
        <w:tc>
          <w:tcPr>
            <w:tcW w:w="78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37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Beginning of financial year</w:t>
            </w:r>
          </w:p>
        </w:tc>
        <w:tc>
          <w:tcPr>
            <w:tcW w:w="4520" w:type="dxa"/>
            <w:vAlign w:val="bottom"/>
            <w:gridSpan w:val="2"/>
            <w:shd w:val="clear" w:color="auto" w:fill="CCEEFF"/>
          </w:tcPr>
          <w:p>
            <w:pPr>
              <w:jc w:val="right"/>
              <w:ind w:right="165"/>
              <w:spacing w:after="0" w:line="216" w:lineRule="exact"/>
              <w:rPr>
                <w:sz w:val="20"/>
                <w:szCs w:val="20"/>
                <w:color w:val="auto"/>
              </w:rPr>
            </w:pPr>
            <w:r>
              <w:rPr>
                <w:rFonts w:ascii="Arial" w:cs="Arial" w:eastAsia="Arial" w:hAnsi="Arial"/>
                <w:sz w:val="20"/>
                <w:szCs w:val="20"/>
                <w:b w:val="1"/>
                <w:bCs w:val="1"/>
                <w:color w:val="auto"/>
              </w:rPr>
              <w:t>102</w:t>
            </w:r>
          </w:p>
        </w:tc>
        <w:tc>
          <w:tcPr>
            <w:tcW w:w="1980" w:type="dxa"/>
            <w:vAlign w:val="bottom"/>
            <w:gridSpan w:val="2"/>
            <w:shd w:val="clear" w:color="auto" w:fill="CCEEFF"/>
          </w:tcPr>
          <w:p>
            <w:pPr>
              <w:jc w:val="right"/>
              <w:ind w:right="105"/>
              <w:spacing w:after="0" w:line="216" w:lineRule="exact"/>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740" w:type="dxa"/>
            <w:vAlign w:val="bottom"/>
          </w:tcPr>
          <w:p>
            <w:pPr>
              <w:spacing w:after="0" w:line="216" w:lineRule="exact"/>
              <w:rPr>
                <w:sz w:val="20"/>
                <w:szCs w:val="20"/>
                <w:color w:val="auto"/>
              </w:rPr>
            </w:pPr>
            <w:r>
              <w:rPr>
                <w:rFonts w:ascii="Arial" w:cs="Arial" w:eastAsia="Arial" w:hAnsi="Arial"/>
                <w:sz w:val="20"/>
                <w:szCs w:val="20"/>
                <w:color w:val="auto"/>
              </w:rPr>
              <w:t>Liabilities assumed in acquisitions</w:t>
            </w:r>
          </w:p>
        </w:tc>
        <w:tc>
          <w:tcPr>
            <w:tcW w:w="4520" w:type="dxa"/>
            <w:vAlign w:val="bottom"/>
            <w:gridSpan w:val="2"/>
          </w:tcPr>
          <w:p>
            <w:pPr>
              <w:jc w:val="right"/>
              <w:ind w:right="165"/>
              <w:spacing w:after="0" w:line="216" w:lineRule="exact"/>
              <w:rPr>
                <w:sz w:val="20"/>
                <w:szCs w:val="20"/>
                <w:color w:val="auto"/>
              </w:rPr>
            </w:pPr>
            <w:r>
              <w:rPr>
                <w:rFonts w:ascii="Arial" w:cs="Arial" w:eastAsia="Arial" w:hAnsi="Arial"/>
                <w:sz w:val="20"/>
                <w:szCs w:val="20"/>
                <w:color w:val="auto"/>
              </w:rPr>
              <w:t>-</w:t>
            </w:r>
          </w:p>
        </w:tc>
        <w:tc>
          <w:tcPr>
            <w:tcW w:w="1980" w:type="dxa"/>
            <w:vAlign w:val="bottom"/>
            <w:gridSpan w:val="2"/>
          </w:tcPr>
          <w:p>
            <w:pPr>
              <w:jc w:val="right"/>
              <w:ind w:right="105"/>
              <w:spacing w:after="0" w:line="216" w:lineRule="exact"/>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7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Charges during the year, net</w:t>
            </w:r>
          </w:p>
        </w:tc>
        <w:tc>
          <w:tcPr>
            <w:tcW w:w="4520" w:type="dxa"/>
            <w:vAlign w:val="bottom"/>
            <w:gridSpan w:val="2"/>
            <w:shd w:val="clear" w:color="auto" w:fill="CCEEFF"/>
          </w:tcPr>
          <w:p>
            <w:pPr>
              <w:jc w:val="right"/>
              <w:ind w:right="165"/>
              <w:spacing w:after="0" w:line="216" w:lineRule="exact"/>
              <w:rPr>
                <w:sz w:val="20"/>
                <w:szCs w:val="20"/>
                <w:color w:val="auto"/>
              </w:rPr>
            </w:pPr>
            <w:r>
              <w:rPr>
                <w:rFonts w:ascii="Arial" w:cs="Arial" w:eastAsia="Arial" w:hAnsi="Arial"/>
                <w:sz w:val="20"/>
                <w:szCs w:val="20"/>
                <w:b w:val="1"/>
                <w:bCs w:val="1"/>
                <w:color w:val="auto"/>
              </w:rPr>
              <w:t>36</w:t>
            </w:r>
          </w:p>
        </w:tc>
        <w:tc>
          <w:tcPr>
            <w:tcW w:w="1980" w:type="dxa"/>
            <w:vAlign w:val="bottom"/>
            <w:gridSpan w:val="2"/>
            <w:shd w:val="clear" w:color="auto" w:fill="CCEEFF"/>
          </w:tcPr>
          <w:p>
            <w:pPr>
              <w:jc w:val="right"/>
              <w:ind w:right="105"/>
              <w:spacing w:after="0" w:line="216" w:lineRule="exact"/>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20"/>
                <w:szCs w:val="20"/>
                <w:color w:val="auto"/>
              </w:rPr>
              <w:t>Settlements</w:t>
            </w:r>
          </w:p>
        </w:tc>
        <w:tc>
          <w:tcPr>
            <w:tcW w:w="4520" w:type="dxa"/>
            <w:vAlign w:val="bottom"/>
            <w:gridSpan w:val="2"/>
          </w:tcPr>
          <w:p>
            <w:pPr>
              <w:jc w:val="right"/>
              <w:ind w:right="165"/>
              <w:spacing w:after="0"/>
              <w:rPr>
                <w:sz w:val="20"/>
                <w:szCs w:val="20"/>
                <w:color w:val="auto"/>
              </w:rPr>
            </w:pPr>
            <w:r>
              <w:rPr>
                <w:rFonts w:ascii="Arial" w:cs="Arial" w:eastAsia="Arial" w:hAnsi="Arial"/>
                <w:sz w:val="20"/>
                <w:szCs w:val="20"/>
                <w:b w:val="1"/>
                <w:bCs w:val="1"/>
                <w:color w:val="auto"/>
              </w:rPr>
              <w:t>(6)</w:t>
            </w:r>
          </w:p>
        </w:tc>
        <w:tc>
          <w:tcPr>
            <w:tcW w:w="1980" w:type="dxa"/>
            <w:vAlign w:val="bottom"/>
            <w:gridSpan w:val="2"/>
          </w:tcPr>
          <w:p>
            <w:pPr>
              <w:jc w:val="right"/>
              <w:ind w:right="105"/>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End of financial year</w:t>
            </w:r>
          </w:p>
        </w:tc>
        <w:tc>
          <w:tcPr>
            <w:tcW w:w="234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ind w:right="165"/>
              <w:spacing w:after="0" w:line="209" w:lineRule="exact"/>
              <w:rPr>
                <w:sz w:val="20"/>
                <w:szCs w:val="20"/>
                <w:color w:val="auto"/>
              </w:rPr>
            </w:pPr>
            <w:r>
              <w:rPr>
                <w:rFonts w:ascii="Arial" w:cs="Arial" w:eastAsia="Arial" w:hAnsi="Arial"/>
                <w:sz w:val="20"/>
                <w:szCs w:val="20"/>
                <w:b w:val="1"/>
                <w:bCs w:val="1"/>
                <w:color w:val="auto"/>
              </w:rPr>
              <w:t>132</w:t>
            </w:r>
          </w:p>
        </w:tc>
        <w:tc>
          <w:tcPr>
            <w:tcW w:w="1980" w:type="dxa"/>
            <w:vAlign w:val="bottom"/>
            <w:tcBorders>
              <w:top w:val="single" w:sz="8" w:color="auto"/>
            </w:tcBorders>
            <w:gridSpan w:val="2"/>
            <w:shd w:val="clear" w:color="auto" w:fill="CCEEFF"/>
          </w:tcPr>
          <w:p>
            <w:pPr>
              <w:jc w:val="right"/>
              <w:ind w:right="105"/>
              <w:spacing w:after="0" w:line="209" w:lineRule="exact"/>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gridSpan w:val="2"/>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20" w:type="dxa"/>
            <w:vAlign w:val="bottom"/>
            <w:gridSpan w:val="2"/>
          </w:tcPr>
          <w:p>
            <w:pPr>
              <w:jc w:val="right"/>
              <w:ind w:right="3265"/>
              <w:spacing w:after="0"/>
              <w:rPr>
                <w:sz w:val="20"/>
                <w:szCs w:val="20"/>
                <w:color w:val="auto"/>
              </w:rPr>
            </w:pPr>
            <w:r>
              <w:rPr>
                <w:rFonts w:ascii="Arial" w:cs="Arial" w:eastAsia="Arial" w:hAnsi="Arial"/>
                <w:sz w:val="18"/>
                <w:szCs w:val="18"/>
                <w:color w:val="auto"/>
              </w:rPr>
              <w:t>A-83</w:t>
            </w: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980" w:hanging="776"/>
        <w:spacing w:after="0"/>
        <w:tabs>
          <w:tab w:leader="none" w:pos="98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taxes</w:t>
      </w:r>
    </w:p>
    <w:p>
      <w:pPr>
        <w:spacing w:after="0" w:line="233" w:lineRule="exact"/>
        <w:rPr>
          <w:rFonts w:ascii="Arial" w:cs="Arial" w:eastAsia="Arial" w:hAnsi="Arial"/>
          <w:sz w:val="18"/>
          <w:szCs w:val="18"/>
          <w:b w:val="1"/>
          <w:bCs w:val="1"/>
          <w:color w:val="auto"/>
        </w:rPr>
      </w:pPr>
    </w:p>
    <w:p>
      <w:pPr>
        <w:jc w:val="both"/>
        <w:ind w:left="980" w:right="20"/>
        <w:spacing w:after="0"/>
        <w:rPr>
          <w:rFonts w:ascii="Arial" w:cs="Arial" w:eastAsia="Arial" w:hAnsi="Arial"/>
          <w:sz w:val="18"/>
          <w:szCs w:val="18"/>
          <w:b w:val="1"/>
          <w:bCs w:val="1"/>
          <w:color w:val="auto"/>
        </w:rPr>
      </w:pPr>
      <w:r>
        <w:rPr>
          <w:rFonts w:ascii="Arial" w:cs="Arial" w:eastAsia="Arial" w:hAnsi="Arial"/>
          <w:sz w:val="18"/>
          <w:szCs w:val="18"/>
          <w:color w:val="auto"/>
        </w:rPr>
        <w:t>Deferred income tax assets and liabilities are offset when there is a legally enforceable right to offset current income tax assets against current income tax liabilities and when the deferred income taxes relate to the same financial authority. The amounts, determined after appropriate offsetting, are shown on the balance sheet as follows:</w:t>
      </w:r>
    </w:p>
    <w:p>
      <w:pPr>
        <w:sectPr>
          <w:pgSz w:w="11900" w:h="16838" w:orient="portrait"/>
          <w:cols w:equalWidth="0" w:num="1">
            <w:col w:w="11240"/>
          </w:cols>
          <w:pgMar w:left="240" w:top="46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Deferred income tax assets</w:t>
      </w:r>
    </w:p>
    <w:p>
      <w:pPr>
        <w:spacing w:after="0" w:line="8" w:lineRule="exact"/>
        <w:rPr>
          <w:sz w:val="20"/>
          <w:szCs w:val="20"/>
          <w:color w:val="auto"/>
        </w:rPr>
      </w:pPr>
    </w:p>
    <w:p>
      <w:pPr>
        <w:ind w:left="1320" w:hanging="116"/>
        <w:spacing w:after="0"/>
        <w:tabs>
          <w:tab w:leader="none" w:pos="132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To be recovered within one year</w:t>
      </w:r>
    </w:p>
    <w:p>
      <w:pPr>
        <w:ind w:left="1320" w:hanging="116"/>
        <w:spacing w:after="0"/>
        <w:tabs>
          <w:tab w:leader="none" w:pos="132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To be recovered after one year</w:t>
      </w:r>
    </w:p>
    <w:p>
      <w:pPr>
        <w:spacing w:after="0" w:line="23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Deferred income tax liabilities</w:t>
      </w:r>
    </w:p>
    <w:p>
      <w:pPr>
        <w:spacing w:after="0" w:line="10" w:lineRule="exact"/>
        <w:rPr>
          <w:sz w:val="20"/>
          <w:szCs w:val="20"/>
          <w:color w:val="auto"/>
        </w:rPr>
      </w:pPr>
    </w:p>
    <w:p>
      <w:pPr>
        <w:ind w:left="1320" w:hanging="116"/>
        <w:spacing w:after="0"/>
        <w:tabs>
          <w:tab w:leader="none" w:pos="132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To be settled within one year</w:t>
      </w:r>
    </w:p>
    <w:p>
      <w:pPr>
        <w:ind w:left="1320" w:hanging="116"/>
        <w:spacing w:after="0"/>
        <w:tabs>
          <w:tab w:leader="none" w:pos="132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To be settled after one year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40" w:type="dxa"/>
            <w:vAlign w:val="bottom"/>
            <w:vMerge w:val="restart"/>
          </w:tcPr>
          <w:p>
            <w:pPr>
              <w:jc w:val="right"/>
              <w:ind w:right="682"/>
              <w:spacing w:after="0"/>
              <w:rPr>
                <w:sz w:val="20"/>
                <w:szCs w:val="20"/>
                <w:color w:val="auto"/>
              </w:rPr>
            </w:pPr>
            <w:r>
              <w:rPr>
                <w:rFonts w:ascii="Arial" w:cs="Arial" w:eastAsia="Arial" w:hAnsi="Arial"/>
                <w:sz w:val="18"/>
                <w:szCs w:val="18"/>
                <w:b w:val="1"/>
                <w:bCs w:val="1"/>
                <w:color w:val="auto"/>
              </w:rPr>
              <w:t>2017</w:t>
            </w:r>
          </w:p>
        </w:tc>
        <w:tc>
          <w:tcPr>
            <w:tcW w:w="2380" w:type="dxa"/>
            <w:vAlign w:val="bottom"/>
            <w:gridSpan w:val="2"/>
          </w:tcPr>
          <w:p>
            <w:pPr>
              <w:jc w:val="right"/>
              <w:ind w:right="1785"/>
              <w:spacing w:after="0"/>
              <w:rPr>
                <w:sz w:val="20"/>
                <w:szCs w:val="20"/>
                <w:color w:val="auto"/>
              </w:rPr>
            </w:pPr>
            <w:r>
              <w:rPr>
                <w:rFonts w:ascii="Arial" w:cs="Arial" w:eastAsia="Arial" w:hAnsi="Arial"/>
                <w:sz w:val="18"/>
                <w:szCs w:val="18"/>
                <w:color w:val="auto"/>
                <w:w w:val="95"/>
              </w:rPr>
              <w:t>Group</w:t>
            </w:r>
          </w:p>
        </w:tc>
        <w:tc>
          <w:tcPr>
            <w:tcW w:w="0" w:type="dxa"/>
            <w:vAlign w:val="bottom"/>
          </w:tcPr>
          <w:p>
            <w:pPr>
              <w:spacing w:after="0"/>
              <w:rPr>
                <w:sz w:val="1"/>
                <w:szCs w:val="1"/>
                <w:color w:val="auto"/>
              </w:rPr>
            </w:pPr>
          </w:p>
        </w:tc>
      </w:tr>
      <w:tr>
        <w:trPr>
          <w:trHeight w:val="156"/>
        </w:trPr>
        <w:tc>
          <w:tcPr>
            <w:tcW w:w="2540" w:type="dxa"/>
            <w:vAlign w:val="bottom"/>
            <w:vMerge w:val="continue"/>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80" w:type="dxa"/>
            <w:vAlign w:val="bottom"/>
          </w:tcPr>
          <w:p>
            <w:pPr>
              <w:jc w:val="right"/>
              <w:ind w:right="605"/>
              <w:spacing w:after="0" w:line="156"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61"/>
        </w:trPr>
        <w:tc>
          <w:tcPr>
            <w:tcW w:w="2540" w:type="dxa"/>
            <w:vAlign w:val="bottom"/>
          </w:tcPr>
          <w:p>
            <w:pPr>
              <w:jc w:val="right"/>
              <w:ind w:right="222"/>
              <w:spacing w:after="0"/>
              <w:rPr>
                <w:sz w:val="20"/>
                <w:szCs w:val="20"/>
                <w:color w:val="auto"/>
              </w:rPr>
            </w:pPr>
            <w:r>
              <w:rPr>
                <w:rFonts w:ascii="Arial" w:cs="Arial" w:eastAsia="Arial" w:hAnsi="Arial"/>
                <w:sz w:val="20"/>
                <w:szCs w:val="20"/>
                <w:b w:val="1"/>
                <w:bCs w:val="1"/>
                <w:color w:val="auto"/>
              </w:rPr>
              <w:t>(US$ millions)</w:t>
            </w:r>
          </w:p>
        </w:tc>
        <w:tc>
          <w:tcPr>
            <w:tcW w:w="500" w:type="dxa"/>
            <w:vAlign w:val="bottom"/>
          </w:tcPr>
          <w:p>
            <w:pPr>
              <w:spacing w:after="0"/>
              <w:rPr>
                <w:sz w:val="22"/>
                <w:szCs w:val="22"/>
                <w:color w:val="auto"/>
              </w:rPr>
            </w:pPr>
          </w:p>
        </w:tc>
        <w:tc>
          <w:tcPr>
            <w:tcW w:w="1880" w:type="dxa"/>
            <w:vAlign w:val="bottom"/>
          </w:tcPr>
          <w:p>
            <w:pPr>
              <w:jc w:val="right"/>
              <w:ind w:right="185"/>
              <w:spacing w:after="0"/>
              <w:rPr>
                <w:sz w:val="20"/>
                <w:szCs w:val="20"/>
                <w:color w:val="auto"/>
              </w:rPr>
            </w:pPr>
            <w:r>
              <w:rPr>
                <w:rFonts w:ascii="Arial" w:cs="Arial" w:eastAsia="Arial" w:hAnsi="Arial"/>
                <w:sz w:val="20"/>
                <w:szCs w:val="20"/>
                <w:color w:val="auto"/>
              </w:rPr>
              <w:t>(US$ millions)</w:t>
            </w:r>
          </w:p>
        </w:tc>
        <w:tc>
          <w:tcPr>
            <w:tcW w:w="0" w:type="dxa"/>
            <w:vAlign w:val="bottom"/>
          </w:tcPr>
          <w:p>
            <w:pPr>
              <w:spacing w:after="0"/>
              <w:rPr>
                <w:sz w:val="1"/>
                <w:szCs w:val="1"/>
                <w:color w:val="auto"/>
              </w:rPr>
            </w:pPr>
          </w:p>
        </w:tc>
      </w:tr>
      <w:tr>
        <w:trPr>
          <w:trHeight w:val="387"/>
        </w:trPr>
        <w:tc>
          <w:tcPr>
            <w:tcW w:w="2540" w:type="dxa"/>
            <w:vAlign w:val="bottom"/>
          </w:tcPr>
          <w:p>
            <w:pPr>
              <w:jc w:val="right"/>
              <w:ind w:right="542"/>
              <w:spacing w:after="0"/>
              <w:rPr>
                <w:sz w:val="20"/>
                <w:szCs w:val="20"/>
                <w:color w:val="auto"/>
              </w:rPr>
            </w:pPr>
            <w:r>
              <w:rPr>
                <w:rFonts w:ascii="Arial" w:cs="Arial" w:eastAsia="Arial" w:hAnsi="Arial"/>
                <w:sz w:val="20"/>
                <w:szCs w:val="20"/>
                <w:b w:val="1"/>
                <w:bCs w:val="1"/>
                <w:color w:val="auto"/>
              </w:rPr>
              <w:t>-</w:t>
            </w:r>
          </w:p>
        </w:tc>
        <w:tc>
          <w:tcPr>
            <w:tcW w:w="2380" w:type="dxa"/>
            <w:vAlign w:val="bottom"/>
            <w:gridSpan w:val="2"/>
          </w:tcPr>
          <w:p>
            <w:pPr>
              <w:jc w:val="right"/>
              <w:ind w:right="465"/>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254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b w:val="1"/>
                <w:bCs w:val="1"/>
                <w:color w:val="auto"/>
              </w:rPr>
              <w:t>21</w:t>
            </w:r>
          </w:p>
        </w:tc>
        <w:tc>
          <w:tcPr>
            <w:tcW w:w="2380" w:type="dxa"/>
            <w:vAlign w:val="bottom"/>
            <w:tcBorders>
              <w:bottom w:val="single" w:sz="8" w:color="auto"/>
            </w:tcBorders>
            <w:gridSpan w:val="2"/>
          </w:tcPr>
          <w:p>
            <w:pPr>
              <w:jc w:val="right"/>
              <w:ind w:right="465"/>
              <w:spacing w:after="0"/>
              <w:rPr>
                <w:sz w:val="20"/>
                <w:szCs w:val="20"/>
                <w:color w:val="auto"/>
              </w:rPr>
            </w:pPr>
            <w:r>
              <w:rPr>
                <w:rFonts w:ascii="Arial" w:cs="Arial" w:eastAsia="Arial" w:hAnsi="Arial"/>
                <w:sz w:val="20"/>
                <w:szCs w:val="20"/>
                <w:color w:val="auto"/>
              </w:rPr>
              <w:t>308</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auto"/>
            </w:tcBorders>
          </w:tcPr>
          <w:p>
            <w:pPr>
              <w:jc w:val="right"/>
              <w:ind w:right="542"/>
              <w:spacing w:after="0" w:line="223" w:lineRule="exact"/>
              <w:rPr>
                <w:sz w:val="20"/>
                <w:szCs w:val="20"/>
                <w:color w:val="auto"/>
              </w:rPr>
            </w:pPr>
            <w:r>
              <w:rPr>
                <w:rFonts w:ascii="Arial" w:cs="Arial" w:eastAsia="Arial" w:hAnsi="Arial"/>
                <w:sz w:val="20"/>
                <w:szCs w:val="20"/>
                <w:b w:val="1"/>
                <w:bCs w:val="1"/>
                <w:color w:val="auto"/>
              </w:rPr>
              <w:t>21</w:t>
            </w:r>
          </w:p>
        </w:tc>
        <w:tc>
          <w:tcPr>
            <w:tcW w:w="2380" w:type="dxa"/>
            <w:vAlign w:val="bottom"/>
            <w:tcBorders>
              <w:bottom w:val="single" w:sz="8" w:color="auto"/>
            </w:tcBorders>
            <w:gridSpan w:val="2"/>
          </w:tcPr>
          <w:p>
            <w:pPr>
              <w:jc w:val="right"/>
              <w:ind w:right="465"/>
              <w:spacing w:after="0" w:line="223" w:lineRule="exact"/>
              <w:rPr>
                <w:sz w:val="20"/>
                <w:szCs w:val="20"/>
                <w:color w:val="auto"/>
              </w:rPr>
            </w:pPr>
            <w:r>
              <w:rPr>
                <w:rFonts w:ascii="Arial" w:cs="Arial" w:eastAsia="Arial" w:hAnsi="Arial"/>
                <w:sz w:val="20"/>
                <w:szCs w:val="20"/>
                <w:color w:val="auto"/>
              </w:rPr>
              <w:t>308</w:t>
            </w:r>
          </w:p>
        </w:tc>
        <w:tc>
          <w:tcPr>
            <w:tcW w:w="0" w:type="dxa"/>
            <w:vAlign w:val="bottom"/>
          </w:tcPr>
          <w:p>
            <w:pPr>
              <w:spacing w:after="0"/>
              <w:rPr>
                <w:sz w:val="1"/>
                <w:szCs w:val="1"/>
                <w:color w:val="auto"/>
              </w:rPr>
            </w:pPr>
          </w:p>
        </w:tc>
      </w:tr>
      <w:tr>
        <w:trPr>
          <w:trHeight w:val="405"/>
        </w:trPr>
        <w:tc>
          <w:tcPr>
            <w:tcW w:w="2540" w:type="dxa"/>
            <w:vAlign w:val="bottom"/>
          </w:tcPr>
          <w:p>
            <w:pPr>
              <w:jc w:val="right"/>
              <w:ind w:right="542"/>
              <w:spacing w:after="0"/>
              <w:rPr>
                <w:sz w:val="20"/>
                <w:szCs w:val="20"/>
                <w:color w:val="auto"/>
              </w:rPr>
            </w:pPr>
            <w:r>
              <w:rPr>
                <w:rFonts w:ascii="Arial" w:cs="Arial" w:eastAsia="Arial" w:hAnsi="Arial"/>
                <w:sz w:val="20"/>
                <w:szCs w:val="20"/>
                <w:b w:val="1"/>
                <w:bCs w:val="1"/>
                <w:color w:val="auto"/>
              </w:rPr>
              <w:t>-</w:t>
            </w:r>
          </w:p>
        </w:tc>
        <w:tc>
          <w:tcPr>
            <w:tcW w:w="2380" w:type="dxa"/>
            <w:vAlign w:val="bottom"/>
            <w:gridSpan w:val="2"/>
          </w:tcPr>
          <w:p>
            <w:pPr>
              <w:jc w:val="right"/>
              <w:ind w:right="465"/>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254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b w:val="1"/>
                <w:bCs w:val="1"/>
                <w:color w:val="auto"/>
              </w:rPr>
              <w:t>10,019</w:t>
            </w:r>
          </w:p>
        </w:tc>
        <w:tc>
          <w:tcPr>
            <w:tcW w:w="2380" w:type="dxa"/>
            <w:vAlign w:val="bottom"/>
            <w:tcBorders>
              <w:bottom w:val="single" w:sz="8" w:color="auto"/>
            </w:tcBorders>
            <w:gridSpan w:val="2"/>
          </w:tcPr>
          <w:p>
            <w:pPr>
              <w:jc w:val="right"/>
              <w:ind w:right="465"/>
              <w:spacing w:after="0"/>
              <w:rPr>
                <w:sz w:val="20"/>
                <w:szCs w:val="20"/>
                <w:color w:val="auto"/>
              </w:rPr>
            </w:pPr>
            <w:r>
              <w:rPr>
                <w:rFonts w:ascii="Arial" w:cs="Arial" w:eastAsia="Arial" w:hAnsi="Arial"/>
                <w:sz w:val="20"/>
                <w:szCs w:val="20"/>
                <w:color w:val="auto"/>
              </w:rPr>
              <w:t>10,287</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auto"/>
            </w:tcBorders>
          </w:tcPr>
          <w:p>
            <w:pPr>
              <w:jc w:val="right"/>
              <w:ind w:right="542"/>
              <w:spacing w:after="0" w:line="223" w:lineRule="exact"/>
              <w:rPr>
                <w:sz w:val="20"/>
                <w:szCs w:val="20"/>
                <w:color w:val="auto"/>
              </w:rPr>
            </w:pPr>
            <w:r>
              <w:rPr>
                <w:rFonts w:ascii="Arial" w:cs="Arial" w:eastAsia="Arial" w:hAnsi="Arial"/>
                <w:sz w:val="20"/>
                <w:szCs w:val="20"/>
                <w:b w:val="1"/>
                <w:bCs w:val="1"/>
                <w:color w:val="auto"/>
              </w:rPr>
              <w:t>10,019</w:t>
            </w:r>
          </w:p>
        </w:tc>
        <w:tc>
          <w:tcPr>
            <w:tcW w:w="2380" w:type="dxa"/>
            <w:vAlign w:val="bottom"/>
            <w:tcBorders>
              <w:bottom w:val="single" w:sz="8" w:color="auto"/>
            </w:tcBorders>
            <w:gridSpan w:val="2"/>
          </w:tcPr>
          <w:p>
            <w:pPr>
              <w:jc w:val="right"/>
              <w:ind w:right="465"/>
              <w:spacing w:after="0" w:line="223" w:lineRule="exact"/>
              <w:rPr>
                <w:sz w:val="20"/>
                <w:szCs w:val="20"/>
                <w:color w:val="auto"/>
              </w:rPr>
            </w:pPr>
            <w:r>
              <w:rPr>
                <w:rFonts w:ascii="Arial" w:cs="Arial" w:eastAsia="Arial" w:hAnsi="Arial"/>
                <w:sz w:val="20"/>
                <w:szCs w:val="20"/>
                <w:color w:val="auto"/>
              </w:rPr>
              <w:t>10,287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-1183005</wp:posOffset>
            </wp:positionV>
            <wp:extent cx="6431915"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431915" cy="13716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-908685</wp:posOffset>
            </wp:positionV>
            <wp:extent cx="6431915"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431915" cy="13716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-599440</wp:posOffset>
            </wp:positionV>
            <wp:extent cx="6431915" cy="146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431915" cy="14605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-316865</wp:posOffset>
            </wp:positionV>
            <wp:extent cx="6431915"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240" w:top="460" w:right="419" w:bottom="1440" w:gutter="0" w:footer="0" w:header="0"/>
          <w:type w:val="continuous"/>
        </w:sectPr>
      </w:pPr>
    </w:p>
    <w:p>
      <w:pPr>
        <w:spacing w:after="0" w:line="15" w:lineRule="exact"/>
        <w:rPr>
          <w:sz w:val="20"/>
          <w:szCs w:val="20"/>
          <w:color w:val="auto"/>
        </w:rPr>
      </w:pPr>
    </w:p>
    <w:p>
      <w:pPr>
        <w:jc w:val="both"/>
        <w:ind w:left="980" w:right="20"/>
        <w:spacing w:after="0"/>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and their basis for income tax purposes and the tax effects of net operating losses and tax credit carry forwards.</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summary of deferred income tax assets (prior to offsetting of balances within the same tax jurisdiction) is as follows:</w:t>
      </w:r>
    </w:p>
    <w:p>
      <w:pPr>
        <w:spacing w:after="0" w:line="31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920" w:type="dxa"/>
            <w:vAlign w:val="bottom"/>
          </w:tcPr>
          <w:p>
            <w:pPr>
              <w:jc w:val="right"/>
              <w:ind w:right="962"/>
              <w:spacing w:after="0"/>
              <w:rPr>
                <w:sz w:val="20"/>
                <w:szCs w:val="20"/>
                <w:color w:val="auto"/>
              </w:rPr>
            </w:pPr>
            <w:r>
              <w:rPr>
                <w:rFonts w:ascii="Arial" w:cs="Arial" w:eastAsia="Arial" w:hAnsi="Arial"/>
                <w:sz w:val="18"/>
                <w:szCs w:val="18"/>
                <w:b w:val="1"/>
                <w:bCs w:val="1"/>
                <w:color w:val="auto"/>
              </w:rPr>
              <w:t>2017</w:t>
            </w:r>
          </w:p>
        </w:tc>
        <w:tc>
          <w:tcPr>
            <w:tcW w:w="2060" w:type="dxa"/>
            <w:vAlign w:val="bottom"/>
          </w:tcPr>
          <w:p>
            <w:pPr>
              <w:jc w:val="right"/>
              <w:ind w:right="542"/>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61"/>
        </w:trPr>
        <w:tc>
          <w:tcPr>
            <w:tcW w:w="88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2920" w:type="dxa"/>
            <w:vAlign w:val="bottom"/>
          </w:tcPr>
          <w:p>
            <w:pPr>
              <w:jc w:val="right"/>
              <w:ind w:right="502"/>
              <w:spacing w:after="0"/>
              <w:rPr>
                <w:sz w:val="20"/>
                <w:szCs w:val="20"/>
                <w:color w:val="auto"/>
              </w:rPr>
            </w:pPr>
            <w:r>
              <w:rPr>
                <w:rFonts w:ascii="Arial" w:cs="Arial" w:eastAsia="Arial" w:hAnsi="Arial"/>
                <w:sz w:val="20"/>
                <w:szCs w:val="20"/>
                <w:b w:val="1"/>
                <w:bCs w:val="1"/>
                <w:color w:val="auto"/>
              </w:rPr>
              <w:t>(US$ millions)</w:t>
            </w:r>
          </w:p>
        </w:tc>
        <w:tc>
          <w:tcPr>
            <w:tcW w:w="2060" w:type="dxa"/>
            <w:vAlign w:val="bottom"/>
          </w:tcPr>
          <w:p>
            <w:pPr>
              <w:jc w:val="right"/>
              <w:ind w:right="122"/>
              <w:spacing w:after="0"/>
              <w:rPr>
                <w:sz w:val="20"/>
                <w:szCs w:val="20"/>
                <w:color w:val="auto"/>
              </w:rPr>
            </w:pPr>
            <w:r>
              <w:rPr>
                <w:rFonts w:ascii="Arial" w:cs="Arial" w:eastAsia="Arial" w:hAnsi="Arial"/>
                <w:sz w:val="20"/>
                <w:szCs w:val="20"/>
                <w:color w:val="auto"/>
              </w:rPr>
              <w:t>(US$ millions)</w:t>
            </w:r>
          </w:p>
        </w:tc>
        <w:tc>
          <w:tcPr>
            <w:tcW w:w="0" w:type="dxa"/>
            <w:vAlign w:val="bottom"/>
          </w:tcPr>
          <w:p>
            <w:pPr>
              <w:spacing w:after="0"/>
              <w:rPr>
                <w:sz w:val="1"/>
                <w:szCs w:val="1"/>
                <w:color w:val="auto"/>
              </w:rPr>
            </w:pPr>
          </w:p>
        </w:tc>
      </w:tr>
      <w:tr>
        <w:trPr>
          <w:trHeight w:val="91"/>
        </w:trPr>
        <w:tc>
          <w:tcPr>
            <w:tcW w:w="880" w:type="dxa"/>
            <w:vAlign w:val="bottom"/>
            <w:vMerge w:val="restart"/>
          </w:tcPr>
          <w:p>
            <w:pPr>
              <w:spacing w:after="0"/>
              <w:rPr>
                <w:sz w:val="7"/>
                <w:szCs w:val="7"/>
                <w:color w:val="auto"/>
              </w:rPr>
            </w:pPr>
          </w:p>
        </w:tc>
        <w:tc>
          <w:tcPr>
            <w:tcW w:w="5160" w:type="dxa"/>
            <w:vAlign w:val="bottom"/>
          </w:tcPr>
          <w:p>
            <w:pPr>
              <w:spacing w:after="0"/>
              <w:rPr>
                <w:sz w:val="7"/>
                <w:szCs w:val="7"/>
                <w:color w:val="auto"/>
              </w:rPr>
            </w:pPr>
          </w:p>
        </w:tc>
        <w:tc>
          <w:tcPr>
            <w:tcW w:w="29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Depreciation and amortisation</w:t>
            </w:r>
          </w:p>
        </w:tc>
        <w:tc>
          <w:tcPr>
            <w:tcW w:w="2920" w:type="dxa"/>
            <w:vAlign w:val="bottom"/>
            <w:shd w:val="clear" w:color="auto" w:fill="CCEEFF"/>
          </w:tcPr>
          <w:p>
            <w:pPr>
              <w:jc w:val="right"/>
              <w:ind w:right="882"/>
              <w:spacing w:after="0" w:line="216" w:lineRule="exact"/>
              <w:rPr>
                <w:sz w:val="20"/>
                <w:szCs w:val="20"/>
                <w:color w:val="auto"/>
              </w:rPr>
            </w:pPr>
            <w:r>
              <w:rPr>
                <w:rFonts w:ascii="Arial" w:cs="Arial" w:eastAsia="Arial" w:hAnsi="Arial"/>
                <w:sz w:val="20"/>
                <w:szCs w:val="20"/>
                <w:b w:val="1"/>
                <w:bCs w:val="1"/>
                <w:color w:val="auto"/>
              </w:rPr>
              <w:t>8</w:t>
            </w:r>
          </w:p>
        </w:tc>
        <w:tc>
          <w:tcPr>
            <w:tcW w:w="2060" w:type="dxa"/>
            <w:vAlign w:val="bottom"/>
            <w:shd w:val="clear" w:color="auto" w:fill="CCEEFF"/>
          </w:tcPr>
          <w:p>
            <w:pPr>
              <w:jc w:val="right"/>
              <w:ind w:right="462"/>
              <w:spacing w:after="0" w:line="216" w:lineRule="exact"/>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60" w:type="dxa"/>
            <w:vAlign w:val="bottom"/>
          </w:tcPr>
          <w:p>
            <w:pPr>
              <w:spacing w:after="0" w:line="216" w:lineRule="exact"/>
              <w:rPr>
                <w:sz w:val="20"/>
                <w:szCs w:val="20"/>
                <w:color w:val="auto"/>
              </w:rPr>
            </w:pPr>
            <w:r>
              <w:rPr>
                <w:rFonts w:ascii="Arial" w:cs="Arial" w:eastAsia="Arial" w:hAnsi="Arial"/>
                <w:sz w:val="20"/>
                <w:szCs w:val="20"/>
                <w:color w:val="auto"/>
              </w:rPr>
              <w:t>Inventory</w:t>
            </w:r>
          </w:p>
        </w:tc>
        <w:tc>
          <w:tcPr>
            <w:tcW w:w="2920" w:type="dxa"/>
            <w:vAlign w:val="bottom"/>
          </w:tcPr>
          <w:p>
            <w:pPr>
              <w:jc w:val="right"/>
              <w:ind w:right="882"/>
              <w:spacing w:after="0" w:line="216" w:lineRule="exact"/>
              <w:rPr>
                <w:sz w:val="20"/>
                <w:szCs w:val="20"/>
                <w:color w:val="auto"/>
              </w:rPr>
            </w:pPr>
            <w:r>
              <w:rPr>
                <w:rFonts w:ascii="Arial" w:cs="Arial" w:eastAsia="Arial" w:hAnsi="Arial"/>
                <w:sz w:val="20"/>
                <w:szCs w:val="20"/>
                <w:b w:val="1"/>
                <w:bCs w:val="1"/>
                <w:color w:val="auto"/>
              </w:rPr>
              <w:t>6</w:t>
            </w:r>
          </w:p>
        </w:tc>
        <w:tc>
          <w:tcPr>
            <w:tcW w:w="2060" w:type="dxa"/>
            <w:vAlign w:val="bottom"/>
          </w:tcPr>
          <w:p>
            <w:pPr>
              <w:jc w:val="right"/>
              <w:ind w:right="462"/>
              <w:spacing w:after="0" w:line="21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Trade accounts</w:t>
            </w:r>
          </w:p>
        </w:tc>
        <w:tc>
          <w:tcPr>
            <w:tcW w:w="2920" w:type="dxa"/>
            <w:vAlign w:val="bottom"/>
            <w:shd w:val="clear" w:color="auto" w:fill="CCEEFF"/>
          </w:tcPr>
          <w:p>
            <w:pPr>
              <w:jc w:val="right"/>
              <w:ind w:right="882"/>
              <w:spacing w:after="0" w:line="216" w:lineRule="exact"/>
              <w:rPr>
                <w:sz w:val="20"/>
                <w:szCs w:val="20"/>
                <w:color w:val="auto"/>
              </w:rPr>
            </w:pPr>
            <w:r>
              <w:rPr>
                <w:rFonts w:ascii="Arial" w:cs="Arial" w:eastAsia="Arial" w:hAnsi="Arial"/>
                <w:sz w:val="20"/>
                <w:szCs w:val="20"/>
                <w:b w:val="1"/>
                <w:bCs w:val="1"/>
                <w:color w:val="auto"/>
              </w:rPr>
              <w:t>22</w:t>
            </w:r>
          </w:p>
        </w:tc>
        <w:tc>
          <w:tcPr>
            <w:tcW w:w="2060" w:type="dxa"/>
            <w:vAlign w:val="bottom"/>
            <w:shd w:val="clear" w:color="auto" w:fill="CCEEFF"/>
          </w:tcPr>
          <w:p>
            <w:pPr>
              <w:jc w:val="right"/>
              <w:ind w:right="462"/>
              <w:spacing w:after="0" w:line="21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60" w:type="dxa"/>
            <w:vAlign w:val="bottom"/>
          </w:tcPr>
          <w:p>
            <w:pPr>
              <w:spacing w:after="0" w:line="216" w:lineRule="exact"/>
              <w:rPr>
                <w:sz w:val="20"/>
                <w:szCs w:val="20"/>
                <w:color w:val="auto"/>
              </w:rPr>
            </w:pPr>
            <w:r>
              <w:rPr>
                <w:rFonts w:ascii="Arial" w:cs="Arial" w:eastAsia="Arial" w:hAnsi="Arial"/>
                <w:sz w:val="20"/>
                <w:szCs w:val="20"/>
                <w:color w:val="auto"/>
              </w:rPr>
              <w:t>Employee benefits</w:t>
            </w:r>
          </w:p>
        </w:tc>
        <w:tc>
          <w:tcPr>
            <w:tcW w:w="2920" w:type="dxa"/>
            <w:vAlign w:val="bottom"/>
          </w:tcPr>
          <w:p>
            <w:pPr>
              <w:jc w:val="right"/>
              <w:ind w:right="882"/>
              <w:spacing w:after="0" w:line="216" w:lineRule="exact"/>
              <w:rPr>
                <w:sz w:val="20"/>
                <w:szCs w:val="20"/>
                <w:color w:val="auto"/>
              </w:rPr>
            </w:pPr>
            <w:r>
              <w:rPr>
                <w:rFonts w:ascii="Arial" w:cs="Arial" w:eastAsia="Arial" w:hAnsi="Arial"/>
                <w:sz w:val="20"/>
                <w:szCs w:val="20"/>
                <w:b w:val="1"/>
                <w:bCs w:val="1"/>
                <w:color w:val="auto"/>
              </w:rPr>
              <w:t>145</w:t>
            </w:r>
          </w:p>
        </w:tc>
        <w:tc>
          <w:tcPr>
            <w:tcW w:w="2060" w:type="dxa"/>
            <w:vAlign w:val="bottom"/>
          </w:tcPr>
          <w:p>
            <w:pPr>
              <w:jc w:val="right"/>
              <w:ind w:right="462"/>
              <w:spacing w:after="0" w:line="216" w:lineRule="exact"/>
              <w:rPr>
                <w:sz w:val="20"/>
                <w:szCs w:val="20"/>
                <w:color w:val="auto"/>
              </w:rPr>
            </w:pPr>
            <w:r>
              <w:rPr>
                <w:rFonts w:ascii="Arial" w:cs="Arial" w:eastAsia="Arial" w:hAnsi="Arial"/>
                <w:sz w:val="20"/>
                <w:szCs w:val="20"/>
                <w:color w:val="auto"/>
              </w:rPr>
              <w:t>216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Employee share awards</w:t>
            </w:r>
          </w:p>
        </w:tc>
        <w:tc>
          <w:tcPr>
            <w:tcW w:w="2920" w:type="dxa"/>
            <w:vAlign w:val="bottom"/>
            <w:shd w:val="clear" w:color="auto" w:fill="CCEEFF"/>
          </w:tcPr>
          <w:p>
            <w:pPr>
              <w:jc w:val="right"/>
              <w:ind w:right="882"/>
              <w:spacing w:after="0" w:line="216" w:lineRule="exact"/>
              <w:rPr>
                <w:sz w:val="20"/>
                <w:szCs w:val="20"/>
                <w:color w:val="auto"/>
              </w:rPr>
            </w:pPr>
            <w:r>
              <w:rPr>
                <w:rFonts w:ascii="Arial" w:cs="Arial" w:eastAsia="Arial" w:hAnsi="Arial"/>
                <w:sz w:val="20"/>
                <w:szCs w:val="20"/>
                <w:b w:val="1"/>
                <w:bCs w:val="1"/>
                <w:color w:val="auto"/>
              </w:rPr>
              <w:t>180</w:t>
            </w:r>
          </w:p>
        </w:tc>
        <w:tc>
          <w:tcPr>
            <w:tcW w:w="2060" w:type="dxa"/>
            <w:vAlign w:val="bottom"/>
            <w:shd w:val="clear" w:color="auto" w:fill="CCEEFF"/>
          </w:tcPr>
          <w:p>
            <w:pPr>
              <w:jc w:val="right"/>
              <w:ind w:right="462"/>
              <w:spacing w:after="0" w:line="216" w:lineRule="exact"/>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60" w:type="dxa"/>
            <w:vAlign w:val="bottom"/>
          </w:tcPr>
          <w:p>
            <w:pPr>
              <w:spacing w:after="0" w:line="216" w:lineRule="exact"/>
              <w:rPr>
                <w:sz w:val="20"/>
                <w:szCs w:val="20"/>
                <w:color w:val="auto"/>
              </w:rPr>
            </w:pPr>
            <w:r>
              <w:rPr>
                <w:rFonts w:ascii="Arial" w:cs="Arial" w:eastAsia="Arial" w:hAnsi="Arial"/>
                <w:sz w:val="20"/>
                <w:szCs w:val="20"/>
                <w:color w:val="auto"/>
              </w:rPr>
              <w:t>Net operating loss carryovers and credit carryovers</w:t>
            </w:r>
          </w:p>
        </w:tc>
        <w:tc>
          <w:tcPr>
            <w:tcW w:w="2920" w:type="dxa"/>
            <w:vAlign w:val="bottom"/>
          </w:tcPr>
          <w:p>
            <w:pPr>
              <w:jc w:val="right"/>
              <w:ind w:right="882"/>
              <w:spacing w:after="0" w:line="216" w:lineRule="exact"/>
              <w:rPr>
                <w:sz w:val="20"/>
                <w:szCs w:val="20"/>
                <w:color w:val="auto"/>
              </w:rPr>
            </w:pPr>
            <w:r>
              <w:rPr>
                <w:rFonts w:ascii="Arial" w:cs="Arial" w:eastAsia="Arial" w:hAnsi="Arial"/>
                <w:sz w:val="20"/>
                <w:szCs w:val="20"/>
                <w:b w:val="1"/>
                <w:bCs w:val="1"/>
                <w:color w:val="auto"/>
              </w:rPr>
              <w:t>909</w:t>
            </w:r>
          </w:p>
        </w:tc>
        <w:tc>
          <w:tcPr>
            <w:tcW w:w="2060" w:type="dxa"/>
            <w:vAlign w:val="bottom"/>
          </w:tcPr>
          <w:p>
            <w:pPr>
              <w:jc w:val="right"/>
              <w:ind w:right="462"/>
              <w:spacing w:after="0" w:line="216" w:lineRule="exact"/>
              <w:rPr>
                <w:sz w:val="20"/>
                <w:szCs w:val="20"/>
                <w:color w:val="auto"/>
              </w:rPr>
            </w:pPr>
            <w:r>
              <w:rPr>
                <w:rFonts w:ascii="Arial" w:cs="Arial" w:eastAsia="Arial" w:hAnsi="Arial"/>
                <w:sz w:val="20"/>
                <w:szCs w:val="20"/>
                <w:color w:val="auto"/>
              </w:rPr>
              <w:t>770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Other deferred income tax assets</w:t>
            </w:r>
          </w:p>
        </w:tc>
        <w:tc>
          <w:tcPr>
            <w:tcW w:w="2920" w:type="dxa"/>
            <w:vAlign w:val="bottom"/>
            <w:shd w:val="clear" w:color="auto" w:fill="CCEEFF"/>
          </w:tcPr>
          <w:p>
            <w:pPr>
              <w:jc w:val="right"/>
              <w:ind w:right="882"/>
              <w:spacing w:after="0" w:line="216" w:lineRule="exact"/>
              <w:rPr>
                <w:sz w:val="20"/>
                <w:szCs w:val="20"/>
                <w:color w:val="auto"/>
              </w:rPr>
            </w:pPr>
            <w:r>
              <w:rPr>
                <w:rFonts w:ascii="Arial" w:cs="Arial" w:eastAsia="Arial" w:hAnsi="Arial"/>
                <w:sz w:val="20"/>
                <w:szCs w:val="20"/>
                <w:b w:val="1"/>
                <w:bCs w:val="1"/>
                <w:color w:val="auto"/>
              </w:rPr>
              <w:t>42</w:t>
            </w:r>
          </w:p>
        </w:tc>
        <w:tc>
          <w:tcPr>
            <w:tcW w:w="2060" w:type="dxa"/>
            <w:vAlign w:val="bottom"/>
            <w:shd w:val="clear" w:color="auto" w:fill="CCEEFF"/>
          </w:tcPr>
          <w:p>
            <w:pPr>
              <w:jc w:val="right"/>
              <w:ind w:right="462"/>
              <w:spacing w:after="0" w:line="216" w:lineRule="exact"/>
              <w:rPr>
                <w:sz w:val="20"/>
                <w:szCs w:val="20"/>
                <w:color w:val="auto"/>
              </w:rPr>
            </w:pPr>
            <w:r>
              <w:rPr>
                <w:rFonts w:ascii="Arial" w:cs="Arial" w:eastAsia="Arial" w:hAnsi="Arial"/>
                <w:sz w:val="20"/>
                <w:szCs w:val="20"/>
                <w:color w:val="auto"/>
              </w:rPr>
              <w:t>172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60" w:type="dxa"/>
            <w:vAlign w:val="bottom"/>
            <w:vMerge w:val="restart"/>
          </w:tcPr>
          <w:p>
            <w:pPr>
              <w:spacing w:after="0"/>
              <w:rPr>
                <w:sz w:val="20"/>
                <w:szCs w:val="20"/>
                <w:color w:val="auto"/>
              </w:rPr>
            </w:pPr>
            <w:r>
              <w:rPr>
                <w:rFonts w:ascii="Arial" w:cs="Arial" w:eastAsia="Arial" w:hAnsi="Arial"/>
                <w:sz w:val="20"/>
                <w:szCs w:val="20"/>
                <w:b w:val="1"/>
                <w:bCs w:val="1"/>
                <w:color w:val="auto"/>
              </w:rPr>
              <w:t>Deferred income tax assets</w:t>
            </w:r>
          </w:p>
        </w:tc>
        <w:tc>
          <w:tcPr>
            <w:tcW w:w="29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2920" w:type="dxa"/>
            <w:vAlign w:val="bottom"/>
            <w:tcBorders>
              <w:bottom w:val="single" w:sz="8" w:color="auto"/>
            </w:tcBorders>
          </w:tcPr>
          <w:p>
            <w:pPr>
              <w:jc w:val="right"/>
              <w:ind w:right="882"/>
              <w:spacing w:after="0" w:line="217" w:lineRule="exact"/>
              <w:rPr>
                <w:sz w:val="20"/>
                <w:szCs w:val="20"/>
                <w:color w:val="auto"/>
              </w:rPr>
            </w:pPr>
            <w:r>
              <w:rPr>
                <w:rFonts w:ascii="Arial" w:cs="Arial" w:eastAsia="Arial" w:hAnsi="Arial"/>
                <w:sz w:val="20"/>
                <w:szCs w:val="20"/>
                <w:b w:val="1"/>
                <w:bCs w:val="1"/>
                <w:color w:val="auto"/>
              </w:rPr>
              <w:t>1,312</w:t>
            </w:r>
          </w:p>
        </w:tc>
        <w:tc>
          <w:tcPr>
            <w:tcW w:w="2060" w:type="dxa"/>
            <w:vAlign w:val="bottom"/>
            <w:tcBorders>
              <w:bottom w:val="single" w:sz="8" w:color="auto"/>
            </w:tcBorders>
          </w:tcPr>
          <w:p>
            <w:pPr>
              <w:jc w:val="right"/>
              <w:ind w:right="462"/>
              <w:spacing w:after="0" w:line="217" w:lineRule="exact"/>
              <w:rPr>
                <w:sz w:val="20"/>
                <w:szCs w:val="20"/>
                <w:color w:val="auto"/>
              </w:rPr>
            </w:pPr>
            <w:r>
              <w:rPr>
                <w:rFonts w:ascii="Arial" w:cs="Arial" w:eastAsia="Arial" w:hAnsi="Arial"/>
                <w:sz w:val="20"/>
                <w:szCs w:val="20"/>
                <w:color w:val="auto"/>
              </w:rPr>
              <w:t>1,275</w:t>
            </w: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880" w:type="dxa"/>
            <w:vAlign w:val="bottom"/>
          </w:tcPr>
          <w:p>
            <w:pPr>
              <w:spacing w:after="0"/>
              <w:rPr>
                <w:sz w:val="24"/>
                <w:szCs w:val="24"/>
                <w:color w:val="auto"/>
              </w:rPr>
            </w:pPr>
          </w:p>
        </w:tc>
        <w:tc>
          <w:tcPr>
            <w:tcW w:w="5160" w:type="dxa"/>
            <w:vAlign w:val="bottom"/>
          </w:tcPr>
          <w:p>
            <w:pPr>
              <w:ind w:left="4420"/>
              <w:spacing w:after="0"/>
              <w:rPr>
                <w:sz w:val="20"/>
                <w:szCs w:val="20"/>
                <w:color w:val="auto"/>
              </w:rPr>
            </w:pPr>
            <w:r>
              <w:rPr>
                <w:rFonts w:ascii="Arial" w:cs="Arial" w:eastAsia="Arial" w:hAnsi="Arial"/>
                <w:sz w:val="18"/>
                <w:szCs w:val="18"/>
                <w:color w:val="auto"/>
              </w:rPr>
              <w:t>A-84</w:t>
            </w:r>
          </w:p>
        </w:tc>
        <w:tc>
          <w:tcPr>
            <w:tcW w:w="2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type w:val="continuous"/>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Deferred income taxes </w:t>
      </w:r>
      <w:r>
        <w:rPr>
          <w:rFonts w:ascii="Arial" w:cs="Arial" w:eastAsia="Arial" w:hAnsi="Arial"/>
          <w:sz w:val="18"/>
          <w:szCs w:val="18"/>
          <w:color w:val="auto"/>
        </w:rPr>
        <w:t>(continued)</w:t>
      </w:r>
    </w:p>
    <w:p>
      <w:pPr>
        <w:spacing w:after="0" w:line="166"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The summary of deferred income tax liabilities (prior to offsetting of balances within the same tax jurisdiction) is as follows:</w:t>
      </w:r>
    </w:p>
    <w:p>
      <w:pPr>
        <w:spacing w:after="0" w:line="31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2420" w:type="dxa"/>
            <w:vAlign w:val="bottom"/>
          </w:tcPr>
          <w:p>
            <w:pPr>
              <w:jc w:val="right"/>
              <w:ind w:right="765"/>
              <w:spacing w:after="0"/>
              <w:rPr>
                <w:sz w:val="20"/>
                <w:szCs w:val="20"/>
                <w:color w:val="auto"/>
              </w:rPr>
            </w:pPr>
            <w:r>
              <w:rPr>
                <w:rFonts w:ascii="Arial" w:cs="Arial" w:eastAsia="Arial" w:hAnsi="Arial"/>
                <w:sz w:val="18"/>
                <w:szCs w:val="18"/>
                <w:b w:val="1"/>
                <w:bCs w:val="1"/>
                <w:color w:val="auto"/>
              </w:rPr>
              <w:t>2017</w:t>
            </w:r>
          </w:p>
        </w:tc>
        <w:tc>
          <w:tcPr>
            <w:tcW w:w="1720" w:type="dxa"/>
            <w:vAlign w:val="bottom"/>
          </w:tcPr>
          <w:p>
            <w:pPr>
              <w:jc w:val="right"/>
              <w:ind w:right="405"/>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2420" w:type="dxa"/>
            <w:vAlign w:val="bottom"/>
          </w:tcPr>
          <w:p>
            <w:pPr>
              <w:jc w:val="right"/>
              <w:ind w:right="305"/>
              <w:spacing w:after="0"/>
              <w:rPr>
                <w:sz w:val="20"/>
                <w:szCs w:val="20"/>
                <w:color w:val="auto"/>
              </w:rPr>
            </w:pPr>
            <w:r>
              <w:rPr>
                <w:rFonts w:ascii="Arial" w:cs="Arial" w:eastAsia="Arial" w:hAnsi="Arial"/>
                <w:sz w:val="20"/>
                <w:szCs w:val="20"/>
                <w:b w:val="1"/>
                <w:bCs w:val="1"/>
                <w:color w:val="auto"/>
              </w:rPr>
              <w:t>(US$ millions)</w:t>
            </w:r>
          </w:p>
        </w:tc>
        <w:tc>
          <w:tcPr>
            <w:tcW w:w="1720" w:type="dxa"/>
            <w:vAlign w:val="bottom"/>
          </w:tcPr>
          <w:p>
            <w:pPr>
              <w:jc w:val="right"/>
              <w:spacing w:after="0"/>
              <w:rPr>
                <w:sz w:val="20"/>
                <w:szCs w:val="20"/>
                <w:color w:val="auto"/>
              </w:rPr>
            </w:pPr>
            <w:r>
              <w:rPr>
                <w:rFonts w:ascii="Arial" w:cs="Arial" w:eastAsia="Arial" w:hAnsi="Arial"/>
                <w:sz w:val="20"/>
                <w:szCs w:val="20"/>
                <w:color w:val="auto"/>
              </w:rPr>
              <w:t>(US$ millions)</w:t>
            </w:r>
          </w:p>
        </w:tc>
        <w:tc>
          <w:tcPr>
            <w:tcW w:w="0" w:type="dxa"/>
            <w:vAlign w:val="bottom"/>
          </w:tcPr>
          <w:p>
            <w:pPr>
              <w:spacing w:after="0"/>
              <w:rPr>
                <w:sz w:val="1"/>
                <w:szCs w:val="1"/>
                <w:color w:val="auto"/>
              </w:rPr>
            </w:pPr>
          </w:p>
        </w:tc>
      </w:tr>
      <w:tr>
        <w:trPr>
          <w:trHeight w:val="199"/>
        </w:trPr>
        <w:tc>
          <w:tcPr>
            <w:tcW w:w="6120" w:type="dxa"/>
            <w:vAlign w:val="bottom"/>
            <w:gridSpan w:val="2"/>
          </w:tcPr>
          <w:p>
            <w:pPr>
              <w:spacing w:after="0"/>
              <w:rPr>
                <w:sz w:val="17"/>
                <w:szCs w:val="17"/>
                <w:color w:val="auto"/>
              </w:rPr>
            </w:pPr>
          </w:p>
        </w:tc>
        <w:tc>
          <w:tcPr>
            <w:tcW w:w="2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Depreciation and amortisation</w:t>
            </w:r>
          </w:p>
        </w:tc>
        <w:tc>
          <w:tcPr>
            <w:tcW w:w="2420" w:type="dxa"/>
            <w:vAlign w:val="bottom"/>
            <w:shd w:val="clear" w:color="auto" w:fill="CCEEFF"/>
          </w:tcPr>
          <w:p>
            <w:pPr>
              <w:jc w:val="right"/>
              <w:ind w:right="405"/>
              <w:spacing w:after="0" w:line="216" w:lineRule="exact"/>
              <w:rPr>
                <w:sz w:val="20"/>
                <w:szCs w:val="20"/>
                <w:color w:val="auto"/>
              </w:rPr>
            </w:pPr>
            <w:r>
              <w:rPr>
                <w:rFonts w:ascii="Arial" w:cs="Arial" w:eastAsia="Arial" w:hAnsi="Arial"/>
                <w:sz w:val="19"/>
                <w:szCs w:val="19"/>
                <w:b w:val="1"/>
                <w:bCs w:val="1"/>
                <w:color w:val="auto"/>
              </w:rPr>
              <w:t>96</w:t>
            </w:r>
          </w:p>
        </w:tc>
        <w:tc>
          <w:tcPr>
            <w:tcW w:w="172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263</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line="216" w:lineRule="exact"/>
              <w:rPr>
                <w:sz w:val="20"/>
                <w:szCs w:val="20"/>
                <w:color w:val="auto"/>
              </w:rPr>
            </w:pPr>
            <w:r>
              <w:rPr>
                <w:rFonts w:ascii="Arial" w:cs="Arial" w:eastAsia="Arial" w:hAnsi="Arial"/>
                <w:sz w:val="19"/>
                <w:szCs w:val="19"/>
                <w:color w:val="auto"/>
              </w:rPr>
              <w:t>Other deferred income tax liabilities</w:t>
            </w:r>
          </w:p>
        </w:tc>
        <w:tc>
          <w:tcPr>
            <w:tcW w:w="2420" w:type="dxa"/>
            <w:vAlign w:val="bottom"/>
          </w:tcPr>
          <w:p>
            <w:pPr>
              <w:jc w:val="right"/>
              <w:ind w:right="405"/>
              <w:spacing w:after="0" w:line="216" w:lineRule="exact"/>
              <w:rPr>
                <w:sz w:val="20"/>
                <w:szCs w:val="20"/>
                <w:color w:val="auto"/>
              </w:rPr>
            </w:pPr>
            <w:r>
              <w:rPr>
                <w:rFonts w:ascii="Arial" w:cs="Arial" w:eastAsia="Arial" w:hAnsi="Arial"/>
                <w:sz w:val="19"/>
                <w:szCs w:val="19"/>
                <w:b w:val="1"/>
                <w:bCs w:val="1"/>
                <w:color w:val="auto"/>
              </w:rPr>
              <w:t>12</w:t>
            </w:r>
          </w:p>
        </w:tc>
        <w:tc>
          <w:tcPr>
            <w:tcW w:w="1720" w:type="dxa"/>
            <w:vAlign w:val="bottom"/>
          </w:tcPr>
          <w:p>
            <w:pPr>
              <w:jc w:val="right"/>
              <w:ind w:right="85"/>
              <w:spacing w:after="0" w:line="216" w:lineRule="exact"/>
              <w:rPr>
                <w:sz w:val="20"/>
                <w:szCs w:val="20"/>
                <w:color w:val="auto"/>
              </w:rPr>
            </w:pPr>
            <w:r>
              <w:rPr>
                <w:rFonts w:ascii="Arial" w:cs="Arial" w:eastAsia="Arial" w:hAnsi="Arial"/>
                <w:sz w:val="19"/>
                <w:szCs w:val="19"/>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Foreign earnings not indefinitely reinvested</w:t>
            </w:r>
          </w:p>
        </w:tc>
        <w:tc>
          <w:tcPr>
            <w:tcW w:w="2420" w:type="dxa"/>
            <w:vAlign w:val="bottom"/>
            <w:shd w:val="clear" w:color="auto" w:fill="CCEEFF"/>
          </w:tcPr>
          <w:p>
            <w:pPr>
              <w:jc w:val="right"/>
              <w:ind w:right="405"/>
              <w:spacing w:after="0" w:line="216" w:lineRule="exact"/>
              <w:rPr>
                <w:sz w:val="20"/>
                <w:szCs w:val="20"/>
                <w:color w:val="auto"/>
              </w:rPr>
            </w:pPr>
            <w:r>
              <w:rPr>
                <w:rFonts w:ascii="Arial" w:cs="Arial" w:eastAsia="Arial" w:hAnsi="Arial"/>
                <w:sz w:val="19"/>
                <w:szCs w:val="19"/>
                <w:b w:val="1"/>
                <w:bCs w:val="1"/>
                <w:color w:val="auto"/>
              </w:rPr>
              <w:t>11,202</w:t>
            </w:r>
          </w:p>
        </w:tc>
        <w:tc>
          <w:tcPr>
            <w:tcW w:w="172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10,954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spacing w:after="0"/>
              <w:rPr>
                <w:sz w:val="20"/>
                <w:szCs w:val="20"/>
                <w:color w:val="auto"/>
              </w:rPr>
            </w:pPr>
            <w:r>
              <w:rPr>
                <w:rFonts w:ascii="Arial" w:cs="Arial" w:eastAsia="Arial" w:hAnsi="Arial"/>
                <w:sz w:val="19"/>
                <w:szCs w:val="19"/>
                <w:b w:val="1"/>
                <w:bCs w:val="1"/>
                <w:color w:val="auto"/>
              </w:rPr>
              <w:t>Deferred income tax liabilities</w:t>
            </w:r>
          </w:p>
        </w:tc>
        <w:tc>
          <w:tcPr>
            <w:tcW w:w="2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vMerge w:val="continue"/>
          </w:tcPr>
          <w:p>
            <w:pPr>
              <w:spacing w:after="0"/>
              <w:rPr>
                <w:sz w:val="19"/>
                <w:szCs w:val="19"/>
                <w:color w:val="auto"/>
              </w:rPr>
            </w:pPr>
          </w:p>
        </w:tc>
        <w:tc>
          <w:tcPr>
            <w:tcW w:w="2420" w:type="dxa"/>
            <w:vAlign w:val="bottom"/>
            <w:tcBorders>
              <w:bottom w:val="single" w:sz="8" w:color="auto"/>
            </w:tcBorders>
          </w:tcPr>
          <w:p>
            <w:pPr>
              <w:jc w:val="right"/>
              <w:ind w:right="405"/>
              <w:spacing w:after="0" w:line="216" w:lineRule="exact"/>
              <w:rPr>
                <w:sz w:val="20"/>
                <w:szCs w:val="20"/>
                <w:color w:val="auto"/>
              </w:rPr>
            </w:pPr>
            <w:r>
              <w:rPr>
                <w:rFonts w:ascii="Arial" w:cs="Arial" w:eastAsia="Arial" w:hAnsi="Arial"/>
                <w:sz w:val="19"/>
                <w:szCs w:val="19"/>
                <w:b w:val="1"/>
                <w:bCs w:val="1"/>
                <w:color w:val="auto"/>
              </w:rPr>
              <w:t>11,310</w:t>
            </w:r>
          </w:p>
        </w:tc>
        <w:tc>
          <w:tcPr>
            <w:tcW w:w="1720" w:type="dxa"/>
            <w:vAlign w:val="bottom"/>
            <w:tcBorders>
              <w:bottom w:val="single" w:sz="8" w:color="auto"/>
            </w:tcBorders>
          </w:tcPr>
          <w:p>
            <w:pPr>
              <w:jc w:val="right"/>
              <w:ind w:right="85"/>
              <w:spacing w:after="0" w:line="216" w:lineRule="exact"/>
              <w:rPr>
                <w:sz w:val="20"/>
                <w:szCs w:val="20"/>
                <w:color w:val="auto"/>
              </w:rPr>
            </w:pPr>
            <w:r>
              <w:rPr>
                <w:rFonts w:ascii="Arial" w:cs="Arial" w:eastAsia="Arial" w:hAnsi="Arial"/>
                <w:sz w:val="19"/>
                <w:szCs w:val="19"/>
                <w:color w:val="auto"/>
              </w:rPr>
              <w:t>11,254</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980" w:right="20"/>
        <w:spacing w:after="0" w:line="238" w:lineRule="auto"/>
        <w:rPr>
          <w:sz w:val="20"/>
          <w:szCs w:val="20"/>
          <w:color w:val="auto"/>
        </w:rPr>
      </w:pPr>
      <w:r>
        <w:rPr>
          <w:rFonts w:ascii="Arial" w:cs="Arial" w:eastAsia="Arial" w:hAnsi="Arial"/>
          <w:sz w:val="18"/>
          <w:szCs w:val="18"/>
          <w:color w:val="auto"/>
        </w:rPr>
        <w:t>As of 29 October 2017, the Group had U.S. federal net operating loss carry forwards of US$575 million, U.S. state net operating loss carry forwards of US$3,067 million and other foreign net operating loss carry forwards of US$1,702 million. U.S. federal and state net operating loss carry forwards begin to expire in financial year 2018. The other foreign net operating losses expire in various financial years beginning 2018. As of 29 October 2017, the Group had US$1,494 million and US$1,212 million of U.S. federal and state research and development tax credits, respectively, which if not utilized, begin to expire in financial year 2018.</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23.</w:t>
            </w:r>
          </w:p>
        </w:tc>
        <w:tc>
          <w:tcPr>
            <w:tcW w:w="6860" w:type="dxa"/>
            <w:vAlign w:val="bottom"/>
            <w:gridSpan w:val="4"/>
          </w:tcPr>
          <w:p>
            <w:pPr>
              <w:ind w:left="260"/>
              <w:spacing w:after="0"/>
              <w:rPr>
                <w:sz w:val="20"/>
                <w:szCs w:val="20"/>
                <w:color w:val="auto"/>
              </w:rPr>
            </w:pPr>
            <w:r>
              <w:rPr>
                <w:rFonts w:ascii="Arial" w:cs="Arial" w:eastAsia="Arial" w:hAnsi="Arial"/>
                <w:sz w:val="18"/>
                <w:szCs w:val="18"/>
                <w:b w:val="1"/>
                <w:bCs w:val="1"/>
                <w:color w:val="auto"/>
              </w:rPr>
              <w:t>Share capital</w:t>
            </w: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Issued</w:t>
            </w:r>
          </w:p>
        </w:tc>
        <w:tc>
          <w:tcPr>
            <w:tcW w:w="720" w:type="dxa"/>
            <w:vAlign w:val="bottom"/>
          </w:tcPr>
          <w:p>
            <w:pPr>
              <w:spacing w:after="0"/>
              <w:rPr>
                <w:sz w:val="24"/>
                <w:szCs w:val="2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Share</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80" w:type="dxa"/>
            <w:vAlign w:val="bottom"/>
            <w:gridSpan w:val="2"/>
          </w:tcPr>
          <w:p>
            <w:pPr>
              <w:jc w:val="center"/>
              <w:ind w:right="360"/>
              <w:spacing w:after="0" w:line="157" w:lineRule="exact"/>
              <w:rPr>
                <w:sz w:val="20"/>
                <w:szCs w:val="20"/>
                <w:color w:val="auto"/>
              </w:rPr>
            </w:pPr>
            <w:r>
              <w:rPr>
                <w:rFonts w:ascii="Arial" w:cs="Arial" w:eastAsia="Arial" w:hAnsi="Arial"/>
                <w:sz w:val="18"/>
                <w:szCs w:val="18"/>
                <w:color w:val="auto"/>
                <w:w w:val="99"/>
              </w:rPr>
              <w:t>share capital</w:t>
            </w:r>
          </w:p>
        </w:tc>
        <w:tc>
          <w:tcPr>
            <w:tcW w:w="720" w:type="dxa"/>
            <w:vAlign w:val="bottom"/>
          </w:tcPr>
          <w:p>
            <w:pPr>
              <w:spacing w:after="0"/>
              <w:rPr>
                <w:sz w:val="17"/>
                <w:szCs w:val="17"/>
                <w:color w:val="auto"/>
              </w:rPr>
            </w:pPr>
          </w:p>
        </w:tc>
        <w:tc>
          <w:tcPr>
            <w:tcW w:w="5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8"/>
                <w:szCs w:val="18"/>
                <w:color w:val="auto"/>
                <w:w w:val="99"/>
              </w:rPr>
              <w:t>capital</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Borders>
              <w:top w:val="single" w:sz="8" w:color="auto"/>
            </w:tcBorders>
          </w:tcPr>
          <w:p>
            <w:pPr>
              <w:jc w:val="center"/>
              <w:spacing w:after="0" w:line="217" w:lineRule="exact"/>
              <w:rPr>
                <w:sz w:val="20"/>
                <w:szCs w:val="20"/>
                <w:color w:val="auto"/>
              </w:rPr>
            </w:pPr>
            <w:r>
              <w:rPr>
                <w:rFonts w:ascii="Arial" w:cs="Arial" w:eastAsia="Arial" w:hAnsi="Arial"/>
                <w:sz w:val="20"/>
                <w:szCs w:val="20"/>
                <w:color w:val="auto"/>
                <w:w w:val="99"/>
              </w:rPr>
              <w:t>(millions)</w:t>
            </w:r>
          </w:p>
        </w:tc>
        <w:tc>
          <w:tcPr>
            <w:tcW w:w="360" w:type="dxa"/>
            <w:vAlign w:val="bottom"/>
          </w:tcPr>
          <w:p>
            <w:pPr>
              <w:spacing w:after="0"/>
              <w:rPr>
                <w:sz w:val="18"/>
                <w:szCs w:val="18"/>
                <w:color w:val="auto"/>
              </w:rPr>
            </w:pPr>
          </w:p>
        </w:tc>
        <w:tc>
          <w:tcPr>
            <w:tcW w:w="1680" w:type="dxa"/>
            <w:vAlign w:val="bottom"/>
            <w:gridSpan w:val="3"/>
          </w:tcPr>
          <w:p>
            <w:pPr>
              <w:jc w:val="center"/>
              <w:ind w:left="185"/>
              <w:spacing w:after="0" w:line="217" w:lineRule="exact"/>
              <w:rPr>
                <w:sz w:val="20"/>
                <w:szCs w:val="20"/>
                <w:color w:val="auto"/>
              </w:rPr>
            </w:pPr>
            <w:r>
              <w:rPr>
                <w:rFonts w:ascii="Arial" w:cs="Arial" w:eastAsia="Arial" w:hAnsi="Arial"/>
                <w:sz w:val="20"/>
                <w:szCs w:val="20"/>
                <w:color w:val="auto"/>
                <w:w w:val="99"/>
              </w:rPr>
              <w:t>(US$ millions)</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80" w:type="dxa"/>
            <w:vAlign w:val="bottom"/>
            <w:gridSpan w:val="2"/>
            <w:shd w:val="clear" w:color="auto" w:fill="CCEEFF"/>
          </w:tcPr>
          <w:p>
            <w:pPr>
              <w:spacing w:after="0" w:line="189" w:lineRule="exact"/>
              <w:rPr>
                <w:sz w:val="20"/>
                <w:szCs w:val="20"/>
                <w:color w:val="auto"/>
              </w:rPr>
            </w:pPr>
            <w:r>
              <w:rPr>
                <w:rFonts w:ascii="Arial" w:cs="Arial" w:eastAsia="Arial" w:hAnsi="Arial"/>
                <w:sz w:val="19"/>
                <w:szCs w:val="19"/>
                <w:color w:val="auto"/>
              </w:rPr>
              <w:t>Group and Company</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line="204" w:lineRule="exact"/>
              <w:rPr>
                <w:sz w:val="20"/>
                <w:szCs w:val="20"/>
                <w:color w:val="auto"/>
              </w:rPr>
            </w:pPr>
            <w:r>
              <w:rPr>
                <w:rFonts w:ascii="Arial" w:cs="Arial" w:eastAsia="Arial" w:hAnsi="Arial"/>
                <w:sz w:val="19"/>
                <w:szCs w:val="19"/>
                <w:b w:val="1"/>
                <w:bCs w:val="1"/>
                <w:color w:val="auto"/>
              </w:rPr>
              <w:t>2017</w:t>
            </w:r>
          </w:p>
        </w:tc>
        <w:tc>
          <w:tcPr>
            <w:tcW w:w="48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8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Beginning of financial year</w:t>
            </w:r>
          </w:p>
        </w:tc>
        <w:tc>
          <w:tcPr>
            <w:tcW w:w="1620" w:type="dxa"/>
            <w:vAlign w:val="bottom"/>
            <w:gridSpan w:val="2"/>
            <w:shd w:val="clear" w:color="auto" w:fill="CCEEFF"/>
          </w:tcPr>
          <w:p>
            <w:pPr>
              <w:jc w:val="right"/>
              <w:ind w:right="7"/>
              <w:spacing w:after="0" w:line="216" w:lineRule="exact"/>
              <w:rPr>
                <w:sz w:val="20"/>
                <w:szCs w:val="20"/>
                <w:color w:val="auto"/>
              </w:rPr>
            </w:pPr>
            <w:r>
              <w:rPr>
                <w:rFonts w:ascii="Arial" w:cs="Arial" w:eastAsia="Arial" w:hAnsi="Arial"/>
                <w:sz w:val="19"/>
                <w:szCs w:val="19"/>
                <w:color w:val="auto"/>
              </w:rPr>
              <w:t>398</w:t>
            </w:r>
          </w:p>
        </w:tc>
        <w:tc>
          <w:tcPr>
            <w:tcW w:w="3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80"/>
              <w:spacing w:after="0" w:line="216" w:lineRule="exact"/>
              <w:rPr>
                <w:sz w:val="20"/>
                <w:szCs w:val="20"/>
                <w:color w:val="auto"/>
              </w:rPr>
            </w:pPr>
            <w:r>
              <w:rPr>
                <w:rFonts w:ascii="Arial" w:cs="Arial" w:eastAsia="Arial" w:hAnsi="Arial"/>
                <w:sz w:val="19"/>
                <w:szCs w:val="19"/>
                <w:color w:val="auto"/>
              </w:rPr>
              <w:t>18,462</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3"/>
          </w:tcPr>
          <w:p>
            <w:pPr>
              <w:spacing w:after="0" w:line="216" w:lineRule="exact"/>
              <w:rPr>
                <w:sz w:val="20"/>
                <w:szCs w:val="20"/>
                <w:color w:val="auto"/>
              </w:rPr>
            </w:pPr>
            <w:r>
              <w:rPr>
                <w:rFonts w:ascii="Arial" w:cs="Arial" w:eastAsia="Arial" w:hAnsi="Arial"/>
                <w:sz w:val="19"/>
                <w:szCs w:val="19"/>
                <w:color w:val="auto"/>
              </w:rPr>
              <w:t>Issuance of ordinary shares in connection with equity incentive plans</w:t>
            </w:r>
          </w:p>
        </w:tc>
        <w:tc>
          <w:tcPr>
            <w:tcW w:w="1620" w:type="dxa"/>
            <w:vAlign w:val="bottom"/>
            <w:gridSpan w:val="2"/>
          </w:tcPr>
          <w:p>
            <w:pPr>
              <w:jc w:val="right"/>
              <w:ind w:right="7"/>
              <w:spacing w:after="0" w:line="216" w:lineRule="exact"/>
              <w:rPr>
                <w:sz w:val="20"/>
                <w:szCs w:val="20"/>
                <w:color w:val="auto"/>
              </w:rPr>
            </w:pPr>
            <w:r>
              <w:rPr>
                <w:rFonts w:ascii="Arial" w:cs="Arial" w:eastAsia="Arial" w:hAnsi="Arial"/>
                <w:sz w:val="19"/>
                <w:szCs w:val="19"/>
                <w:color w:val="auto"/>
              </w:rPr>
              <w:t>10</w:t>
            </w:r>
          </w:p>
        </w:tc>
        <w:tc>
          <w:tcPr>
            <w:tcW w:w="360" w:type="dxa"/>
            <w:vAlign w:val="bottom"/>
          </w:tcPr>
          <w:p>
            <w:pPr>
              <w:spacing w:after="0"/>
              <w:rPr>
                <w:sz w:val="18"/>
                <w:szCs w:val="18"/>
                <w:color w:val="auto"/>
              </w:rPr>
            </w:pPr>
          </w:p>
        </w:tc>
        <w:tc>
          <w:tcPr>
            <w:tcW w:w="1680" w:type="dxa"/>
            <w:vAlign w:val="bottom"/>
            <w:gridSpan w:val="3"/>
          </w:tcPr>
          <w:p>
            <w:pPr>
              <w:jc w:val="right"/>
              <w:ind w:right="180"/>
              <w:spacing w:after="0" w:line="216" w:lineRule="exact"/>
              <w:rPr>
                <w:sz w:val="20"/>
                <w:szCs w:val="20"/>
                <w:color w:val="auto"/>
              </w:rPr>
            </w:pPr>
            <w:r>
              <w:rPr>
                <w:rFonts w:ascii="Arial" w:cs="Arial" w:eastAsia="Arial" w:hAnsi="Arial"/>
                <w:sz w:val="19"/>
                <w:szCs w:val="19"/>
                <w:color w:val="auto"/>
              </w:rPr>
              <w:t>257</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8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Exchange of the Partnership REUs for ordinary shares</w:t>
            </w:r>
          </w:p>
        </w:tc>
        <w:tc>
          <w:tcPr>
            <w:tcW w:w="1620" w:type="dxa"/>
            <w:vAlign w:val="bottom"/>
            <w:gridSpan w:val="2"/>
            <w:shd w:val="clear" w:color="auto" w:fill="CCEEFF"/>
          </w:tcPr>
          <w:p>
            <w:pPr>
              <w:jc w:val="right"/>
              <w:ind w:right="7"/>
              <w:spacing w:after="0" w:line="216" w:lineRule="exact"/>
              <w:rPr>
                <w:sz w:val="20"/>
                <w:szCs w:val="20"/>
                <w:color w:val="auto"/>
              </w:rPr>
            </w:pPr>
            <w:r>
              <w:rPr>
                <w:rFonts w:ascii="Arial" w:cs="Arial" w:eastAsia="Arial" w:hAnsi="Arial"/>
                <w:sz w:val="19"/>
                <w:szCs w:val="19"/>
                <w:color w:val="auto"/>
              </w:rPr>
              <w:t>1</w:t>
            </w:r>
          </w:p>
        </w:tc>
        <w:tc>
          <w:tcPr>
            <w:tcW w:w="3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80"/>
              <w:spacing w:after="0" w:line="216" w:lineRule="exact"/>
              <w:rPr>
                <w:sz w:val="20"/>
                <w:szCs w:val="20"/>
                <w:color w:val="auto"/>
              </w:rPr>
            </w:pPr>
            <w:r>
              <w:rPr>
                <w:rFonts w:ascii="Arial" w:cs="Arial" w:eastAsia="Arial" w:hAnsi="Arial"/>
                <w:sz w:val="19"/>
                <w:szCs w:val="19"/>
                <w:color w:val="auto"/>
              </w:rPr>
              <w:t>86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0" w:type="dxa"/>
            <w:vAlign w:val="bottom"/>
            <w:gridSpan w:val="3"/>
            <w:vMerge w:val="restart"/>
          </w:tcPr>
          <w:p>
            <w:pPr>
              <w:spacing w:after="0"/>
              <w:rPr>
                <w:sz w:val="20"/>
                <w:szCs w:val="20"/>
                <w:color w:val="auto"/>
              </w:rPr>
            </w:pPr>
            <w:r>
              <w:rPr>
                <w:rFonts w:ascii="Arial" w:cs="Arial" w:eastAsia="Arial" w:hAnsi="Arial"/>
                <w:sz w:val="19"/>
                <w:szCs w:val="19"/>
                <w:color w:val="auto"/>
              </w:rPr>
              <w:t>End of financial year</w:t>
            </w: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0" w:type="dxa"/>
            <w:vAlign w:val="bottom"/>
            <w:gridSpan w:val="3"/>
            <w:vMerge w:val="continue"/>
          </w:tcPr>
          <w:p>
            <w:pPr>
              <w:spacing w:after="0"/>
              <w:rPr>
                <w:sz w:val="19"/>
                <w:szCs w:val="19"/>
                <w:color w:val="auto"/>
              </w:rPr>
            </w:pPr>
          </w:p>
        </w:tc>
        <w:tc>
          <w:tcPr>
            <w:tcW w:w="1620" w:type="dxa"/>
            <w:vAlign w:val="bottom"/>
            <w:tcBorders>
              <w:bottom w:val="single" w:sz="8" w:color="auto"/>
            </w:tcBorders>
            <w:gridSpan w:val="2"/>
          </w:tcPr>
          <w:p>
            <w:pPr>
              <w:jc w:val="right"/>
              <w:ind w:right="7"/>
              <w:spacing w:after="0" w:line="216" w:lineRule="exact"/>
              <w:rPr>
                <w:sz w:val="20"/>
                <w:szCs w:val="20"/>
                <w:color w:val="auto"/>
              </w:rPr>
            </w:pPr>
            <w:r>
              <w:rPr>
                <w:rFonts w:ascii="Arial" w:cs="Arial" w:eastAsia="Arial" w:hAnsi="Arial"/>
                <w:sz w:val="19"/>
                <w:szCs w:val="19"/>
                <w:color w:val="auto"/>
              </w:rPr>
              <w:t>409</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80"/>
              <w:spacing w:after="0" w:line="216" w:lineRule="exact"/>
              <w:rPr>
                <w:sz w:val="20"/>
                <w:szCs w:val="20"/>
                <w:color w:val="auto"/>
              </w:rPr>
            </w:pPr>
            <w:r>
              <w:rPr>
                <w:rFonts w:ascii="Arial" w:cs="Arial" w:eastAsia="Arial" w:hAnsi="Arial"/>
                <w:sz w:val="19"/>
                <w:szCs w:val="19"/>
                <w:color w:val="auto"/>
              </w:rPr>
              <w:t>18,805</w:t>
            </w:r>
          </w:p>
        </w:tc>
        <w:tc>
          <w:tcPr>
            <w:tcW w:w="0" w:type="dxa"/>
            <w:vAlign w:val="bottom"/>
          </w:tcPr>
          <w:p>
            <w:pPr>
              <w:spacing w:after="0"/>
              <w:rPr>
                <w:sz w:val="1"/>
                <w:szCs w:val="1"/>
                <w:color w:val="auto"/>
              </w:rPr>
            </w:pPr>
          </w:p>
        </w:tc>
      </w:tr>
      <w:tr>
        <w:trPr>
          <w:trHeight w:val="296"/>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Issued</w:t>
            </w:r>
          </w:p>
        </w:tc>
        <w:tc>
          <w:tcPr>
            <w:tcW w:w="720" w:type="dxa"/>
            <w:vAlign w:val="bottom"/>
          </w:tcPr>
          <w:p>
            <w:pPr>
              <w:spacing w:after="0"/>
              <w:rPr>
                <w:sz w:val="24"/>
                <w:szCs w:val="2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Share</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80" w:type="dxa"/>
            <w:vAlign w:val="bottom"/>
            <w:gridSpan w:val="2"/>
          </w:tcPr>
          <w:p>
            <w:pPr>
              <w:jc w:val="center"/>
              <w:ind w:right="360"/>
              <w:spacing w:after="0" w:line="157" w:lineRule="exact"/>
              <w:rPr>
                <w:sz w:val="20"/>
                <w:szCs w:val="20"/>
                <w:color w:val="auto"/>
              </w:rPr>
            </w:pPr>
            <w:r>
              <w:rPr>
                <w:rFonts w:ascii="Arial" w:cs="Arial" w:eastAsia="Arial" w:hAnsi="Arial"/>
                <w:sz w:val="18"/>
                <w:szCs w:val="18"/>
                <w:color w:val="auto"/>
                <w:w w:val="99"/>
              </w:rPr>
              <w:t>share capital</w:t>
            </w:r>
          </w:p>
        </w:tc>
        <w:tc>
          <w:tcPr>
            <w:tcW w:w="720" w:type="dxa"/>
            <w:vAlign w:val="bottom"/>
          </w:tcPr>
          <w:p>
            <w:pPr>
              <w:spacing w:after="0"/>
              <w:rPr>
                <w:sz w:val="17"/>
                <w:szCs w:val="17"/>
                <w:color w:val="auto"/>
              </w:rPr>
            </w:pPr>
          </w:p>
        </w:tc>
        <w:tc>
          <w:tcPr>
            <w:tcW w:w="5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8"/>
                <w:szCs w:val="18"/>
                <w:color w:val="auto"/>
                <w:w w:val="99"/>
              </w:rPr>
              <w:t>capital</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Borders>
              <w:top w:val="single" w:sz="8" w:color="auto"/>
            </w:tcBorders>
          </w:tcPr>
          <w:p>
            <w:pPr>
              <w:jc w:val="center"/>
              <w:spacing w:after="0" w:line="217" w:lineRule="exact"/>
              <w:rPr>
                <w:sz w:val="20"/>
                <w:szCs w:val="20"/>
                <w:color w:val="auto"/>
              </w:rPr>
            </w:pPr>
            <w:r>
              <w:rPr>
                <w:rFonts w:ascii="Arial" w:cs="Arial" w:eastAsia="Arial" w:hAnsi="Arial"/>
                <w:sz w:val="20"/>
                <w:szCs w:val="20"/>
                <w:color w:val="auto"/>
                <w:w w:val="99"/>
              </w:rPr>
              <w:t>(millions)</w:t>
            </w:r>
          </w:p>
        </w:tc>
        <w:tc>
          <w:tcPr>
            <w:tcW w:w="360" w:type="dxa"/>
            <w:vAlign w:val="bottom"/>
          </w:tcPr>
          <w:p>
            <w:pPr>
              <w:spacing w:after="0"/>
              <w:rPr>
                <w:sz w:val="18"/>
                <w:szCs w:val="18"/>
                <w:color w:val="auto"/>
              </w:rPr>
            </w:pPr>
          </w:p>
        </w:tc>
        <w:tc>
          <w:tcPr>
            <w:tcW w:w="1680" w:type="dxa"/>
            <w:vAlign w:val="bottom"/>
            <w:gridSpan w:val="3"/>
          </w:tcPr>
          <w:p>
            <w:pPr>
              <w:jc w:val="center"/>
              <w:ind w:left="185"/>
              <w:spacing w:after="0" w:line="217" w:lineRule="exact"/>
              <w:rPr>
                <w:sz w:val="20"/>
                <w:szCs w:val="20"/>
                <w:color w:val="auto"/>
              </w:rPr>
            </w:pPr>
            <w:r>
              <w:rPr>
                <w:rFonts w:ascii="Arial" w:cs="Arial" w:eastAsia="Arial" w:hAnsi="Arial"/>
                <w:sz w:val="20"/>
                <w:szCs w:val="20"/>
                <w:color w:val="auto"/>
                <w:w w:val="99"/>
              </w:rPr>
              <w:t>(US$ millions)</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80" w:type="dxa"/>
            <w:vAlign w:val="bottom"/>
            <w:gridSpan w:val="2"/>
            <w:shd w:val="clear" w:color="auto" w:fill="CCEEFF"/>
          </w:tcPr>
          <w:p>
            <w:pPr>
              <w:spacing w:after="0" w:line="189" w:lineRule="exact"/>
              <w:rPr>
                <w:sz w:val="20"/>
                <w:szCs w:val="20"/>
                <w:color w:val="auto"/>
              </w:rPr>
            </w:pPr>
            <w:r>
              <w:rPr>
                <w:rFonts w:ascii="Arial" w:cs="Arial" w:eastAsia="Arial" w:hAnsi="Arial"/>
                <w:sz w:val="19"/>
                <w:szCs w:val="19"/>
                <w:color w:val="auto"/>
              </w:rPr>
              <w:t>Group and Company</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line="204" w:lineRule="exact"/>
              <w:rPr>
                <w:sz w:val="20"/>
                <w:szCs w:val="20"/>
                <w:color w:val="auto"/>
              </w:rPr>
            </w:pPr>
            <w:r>
              <w:rPr>
                <w:rFonts w:ascii="Arial" w:cs="Arial" w:eastAsia="Arial" w:hAnsi="Arial"/>
                <w:sz w:val="19"/>
                <w:szCs w:val="19"/>
                <w:b w:val="1"/>
                <w:bCs w:val="1"/>
                <w:color w:val="auto"/>
              </w:rPr>
              <w:t>2016</w:t>
            </w:r>
          </w:p>
        </w:tc>
        <w:tc>
          <w:tcPr>
            <w:tcW w:w="48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8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Beginning of financial year</w:t>
            </w:r>
          </w:p>
        </w:tc>
        <w:tc>
          <w:tcPr>
            <w:tcW w:w="1620" w:type="dxa"/>
            <w:vAlign w:val="bottom"/>
            <w:gridSpan w:val="2"/>
            <w:shd w:val="clear" w:color="auto" w:fill="CCEEFF"/>
          </w:tcPr>
          <w:p>
            <w:pPr>
              <w:jc w:val="right"/>
              <w:ind w:right="7"/>
              <w:spacing w:after="0" w:line="216" w:lineRule="exact"/>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8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3"/>
          </w:tcPr>
          <w:p>
            <w:pPr>
              <w:spacing w:after="0" w:line="216" w:lineRule="exact"/>
              <w:rPr>
                <w:sz w:val="20"/>
                <w:szCs w:val="20"/>
                <w:color w:val="auto"/>
              </w:rPr>
            </w:pPr>
            <w:r>
              <w:rPr>
                <w:rFonts w:ascii="Arial" w:cs="Arial" w:eastAsia="Arial" w:hAnsi="Arial"/>
                <w:sz w:val="19"/>
                <w:szCs w:val="19"/>
                <w:color w:val="auto"/>
              </w:rPr>
              <w:t>Issuance of ordinary shares upon the acquisition of Broadcom Corporation</w:t>
            </w:r>
          </w:p>
        </w:tc>
        <w:tc>
          <w:tcPr>
            <w:tcW w:w="1620" w:type="dxa"/>
            <w:vAlign w:val="bottom"/>
            <w:gridSpan w:val="2"/>
          </w:tcPr>
          <w:p>
            <w:pPr>
              <w:jc w:val="right"/>
              <w:ind w:right="7"/>
              <w:spacing w:after="0" w:line="216" w:lineRule="exact"/>
              <w:rPr>
                <w:sz w:val="20"/>
                <w:szCs w:val="20"/>
                <w:color w:val="auto"/>
              </w:rPr>
            </w:pPr>
            <w:r>
              <w:rPr>
                <w:rFonts w:ascii="Arial" w:cs="Arial" w:eastAsia="Arial" w:hAnsi="Arial"/>
                <w:sz w:val="19"/>
                <w:szCs w:val="19"/>
                <w:color w:val="auto"/>
              </w:rPr>
              <w:t>112</w:t>
            </w:r>
          </w:p>
        </w:tc>
        <w:tc>
          <w:tcPr>
            <w:tcW w:w="360" w:type="dxa"/>
            <w:vAlign w:val="bottom"/>
          </w:tcPr>
          <w:p>
            <w:pPr>
              <w:spacing w:after="0"/>
              <w:rPr>
                <w:sz w:val="18"/>
                <w:szCs w:val="18"/>
                <w:color w:val="auto"/>
              </w:rPr>
            </w:pPr>
          </w:p>
        </w:tc>
        <w:tc>
          <w:tcPr>
            <w:tcW w:w="1680" w:type="dxa"/>
            <w:vAlign w:val="bottom"/>
            <w:gridSpan w:val="3"/>
          </w:tcPr>
          <w:p>
            <w:pPr>
              <w:jc w:val="right"/>
              <w:ind w:right="180"/>
              <w:spacing w:after="0" w:line="216" w:lineRule="exact"/>
              <w:rPr>
                <w:sz w:val="20"/>
                <w:szCs w:val="20"/>
                <w:color w:val="auto"/>
              </w:rPr>
            </w:pPr>
            <w:r>
              <w:rPr>
                <w:rFonts w:ascii="Arial" w:cs="Arial" w:eastAsia="Arial" w:hAnsi="Arial"/>
                <w:sz w:val="19"/>
                <w:szCs w:val="19"/>
                <w:color w:val="auto"/>
              </w:rPr>
              <w:t>15,438</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8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Issuance of ordinary shares in connection with equity incentive plans</w:t>
            </w:r>
          </w:p>
        </w:tc>
        <w:tc>
          <w:tcPr>
            <w:tcW w:w="1620" w:type="dxa"/>
            <w:vAlign w:val="bottom"/>
            <w:gridSpan w:val="2"/>
            <w:shd w:val="clear" w:color="auto" w:fill="CCEEFF"/>
          </w:tcPr>
          <w:p>
            <w:pPr>
              <w:jc w:val="right"/>
              <w:ind w:right="7"/>
              <w:spacing w:after="0" w:line="216" w:lineRule="exact"/>
              <w:rPr>
                <w:sz w:val="20"/>
                <w:szCs w:val="20"/>
                <w:color w:val="auto"/>
              </w:rPr>
            </w:pPr>
            <w:r>
              <w:rPr>
                <w:rFonts w:ascii="Arial" w:cs="Arial" w:eastAsia="Arial" w:hAnsi="Arial"/>
                <w:sz w:val="19"/>
                <w:szCs w:val="19"/>
                <w:color w:val="auto"/>
              </w:rPr>
              <w:t>10</w:t>
            </w:r>
          </w:p>
        </w:tc>
        <w:tc>
          <w:tcPr>
            <w:tcW w:w="3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80"/>
              <w:spacing w:after="0" w:line="216" w:lineRule="exact"/>
              <w:rPr>
                <w:sz w:val="20"/>
                <w:szCs w:val="20"/>
                <w:color w:val="auto"/>
              </w:rPr>
            </w:pPr>
            <w:r>
              <w:rPr>
                <w:rFonts w:ascii="Arial" w:cs="Arial" w:eastAsia="Arial" w:hAnsi="Arial"/>
                <w:sz w:val="19"/>
                <w:szCs w:val="19"/>
                <w:color w:val="auto"/>
              </w:rPr>
              <w:t>295</w:t>
            </w: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Arial" w:cs="Arial" w:eastAsia="Arial" w:hAnsi="Arial"/>
                <w:sz w:val="19"/>
                <w:szCs w:val="19"/>
                <w:color w:val="auto"/>
              </w:rPr>
              <w:t>Fair value of partially vested equity awards assumed in connection with the</w:t>
            </w: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80" w:type="dxa"/>
            <w:vAlign w:val="bottom"/>
            <w:gridSpan w:val="2"/>
          </w:tcPr>
          <w:p>
            <w:pPr>
              <w:ind w:left="180"/>
              <w:spacing w:after="0" w:line="212" w:lineRule="exact"/>
              <w:rPr>
                <w:sz w:val="20"/>
                <w:szCs w:val="20"/>
                <w:color w:val="auto"/>
              </w:rPr>
            </w:pPr>
            <w:r>
              <w:rPr>
                <w:rFonts w:ascii="Arial" w:cs="Arial" w:eastAsia="Arial" w:hAnsi="Arial"/>
                <w:sz w:val="19"/>
                <w:szCs w:val="19"/>
                <w:color w:val="auto"/>
              </w:rPr>
              <w:t>acquisition of Broadcom Corporation</w:t>
            </w:r>
          </w:p>
        </w:tc>
        <w:tc>
          <w:tcPr>
            <w:tcW w:w="1620" w:type="dxa"/>
            <w:vAlign w:val="bottom"/>
            <w:gridSpan w:val="2"/>
          </w:tcPr>
          <w:p>
            <w:pPr>
              <w:jc w:val="right"/>
              <w:ind w:right="7"/>
              <w:spacing w:after="0" w:line="212" w:lineRule="exact"/>
              <w:rPr>
                <w:sz w:val="20"/>
                <w:szCs w:val="20"/>
                <w:color w:val="auto"/>
              </w:rPr>
            </w:pPr>
            <w:r>
              <w:rPr>
                <w:rFonts w:ascii="Arial" w:cs="Arial" w:eastAsia="Arial" w:hAnsi="Arial"/>
                <w:sz w:val="19"/>
                <w:szCs w:val="19"/>
                <w:color w:val="auto"/>
              </w:rPr>
              <w:t>-</w:t>
            </w:r>
          </w:p>
        </w:tc>
        <w:tc>
          <w:tcPr>
            <w:tcW w:w="360" w:type="dxa"/>
            <w:vAlign w:val="bottom"/>
          </w:tcPr>
          <w:p>
            <w:pPr>
              <w:spacing w:after="0"/>
              <w:rPr>
                <w:sz w:val="18"/>
                <w:szCs w:val="18"/>
                <w:color w:val="auto"/>
              </w:rPr>
            </w:pPr>
          </w:p>
        </w:tc>
        <w:tc>
          <w:tcPr>
            <w:tcW w:w="1680" w:type="dxa"/>
            <w:vAlign w:val="bottom"/>
            <w:gridSpan w:val="3"/>
          </w:tcPr>
          <w:p>
            <w:pPr>
              <w:jc w:val="right"/>
              <w:ind w:right="180"/>
              <w:spacing w:after="0" w:line="212" w:lineRule="exact"/>
              <w:rPr>
                <w:sz w:val="20"/>
                <w:szCs w:val="20"/>
                <w:color w:val="auto"/>
              </w:rPr>
            </w:pPr>
            <w:r>
              <w:rPr>
                <w:rFonts w:ascii="Arial" w:cs="Arial" w:eastAsia="Arial" w:hAnsi="Arial"/>
                <w:sz w:val="19"/>
                <w:szCs w:val="19"/>
                <w:color w:val="auto"/>
              </w:rPr>
              <w:t>182</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8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Effect of capital reorganisation</w:t>
            </w:r>
          </w:p>
        </w:tc>
        <w:tc>
          <w:tcPr>
            <w:tcW w:w="1620" w:type="dxa"/>
            <w:vAlign w:val="bottom"/>
            <w:gridSpan w:val="2"/>
            <w:shd w:val="clear" w:color="auto" w:fill="CCEEFF"/>
          </w:tcPr>
          <w:p>
            <w:pPr>
              <w:jc w:val="right"/>
              <w:ind w:right="7"/>
              <w:spacing w:after="0" w:line="216" w:lineRule="exact"/>
              <w:rPr>
                <w:sz w:val="20"/>
                <w:szCs w:val="20"/>
                <w:color w:val="auto"/>
              </w:rPr>
            </w:pPr>
            <w:r>
              <w:rPr>
                <w:rFonts w:ascii="Arial" w:cs="Arial" w:eastAsia="Arial" w:hAnsi="Arial"/>
                <w:sz w:val="19"/>
                <w:szCs w:val="19"/>
                <w:color w:val="auto"/>
              </w:rPr>
              <w:t>276</w:t>
            </w:r>
          </w:p>
        </w:tc>
        <w:tc>
          <w:tcPr>
            <w:tcW w:w="3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80"/>
              <w:spacing w:after="0" w:line="216" w:lineRule="exact"/>
              <w:rPr>
                <w:sz w:val="20"/>
                <w:szCs w:val="20"/>
                <w:color w:val="auto"/>
              </w:rPr>
            </w:pPr>
            <w:r>
              <w:rPr>
                <w:rFonts w:ascii="Arial" w:cs="Arial" w:eastAsia="Arial" w:hAnsi="Arial"/>
                <w:sz w:val="19"/>
                <w:szCs w:val="19"/>
                <w:color w:val="auto"/>
              </w:rPr>
              <w:t>2,547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0" w:type="dxa"/>
            <w:vAlign w:val="bottom"/>
            <w:gridSpan w:val="3"/>
            <w:vMerge w:val="restart"/>
          </w:tcPr>
          <w:p>
            <w:pPr>
              <w:spacing w:after="0"/>
              <w:rPr>
                <w:sz w:val="20"/>
                <w:szCs w:val="20"/>
                <w:color w:val="auto"/>
              </w:rPr>
            </w:pPr>
            <w:r>
              <w:rPr>
                <w:rFonts w:ascii="Arial" w:cs="Arial" w:eastAsia="Arial" w:hAnsi="Arial"/>
                <w:sz w:val="19"/>
                <w:szCs w:val="19"/>
                <w:color w:val="auto"/>
              </w:rPr>
              <w:t>End of financial year</w:t>
            </w: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0" w:type="dxa"/>
            <w:vAlign w:val="bottom"/>
            <w:gridSpan w:val="3"/>
            <w:vMerge w:val="continue"/>
          </w:tcPr>
          <w:p>
            <w:pPr>
              <w:spacing w:after="0"/>
              <w:rPr>
                <w:sz w:val="19"/>
                <w:szCs w:val="19"/>
                <w:color w:val="auto"/>
              </w:rPr>
            </w:pPr>
          </w:p>
        </w:tc>
        <w:tc>
          <w:tcPr>
            <w:tcW w:w="1620" w:type="dxa"/>
            <w:vAlign w:val="bottom"/>
            <w:tcBorders>
              <w:bottom w:val="single" w:sz="8" w:color="auto"/>
            </w:tcBorders>
            <w:gridSpan w:val="2"/>
          </w:tcPr>
          <w:p>
            <w:pPr>
              <w:jc w:val="right"/>
              <w:ind w:right="7"/>
              <w:spacing w:after="0" w:line="216" w:lineRule="exact"/>
              <w:rPr>
                <w:sz w:val="20"/>
                <w:szCs w:val="20"/>
                <w:color w:val="auto"/>
              </w:rPr>
            </w:pPr>
            <w:r>
              <w:rPr>
                <w:rFonts w:ascii="Arial" w:cs="Arial" w:eastAsia="Arial" w:hAnsi="Arial"/>
                <w:sz w:val="19"/>
                <w:szCs w:val="19"/>
                <w:color w:val="auto"/>
              </w:rPr>
              <w:t>398</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80"/>
              <w:spacing w:after="0" w:line="216" w:lineRule="exact"/>
              <w:rPr>
                <w:sz w:val="20"/>
                <w:szCs w:val="20"/>
                <w:color w:val="auto"/>
              </w:rPr>
            </w:pPr>
            <w:r>
              <w:rPr>
                <w:rFonts w:ascii="Arial" w:cs="Arial" w:eastAsia="Arial" w:hAnsi="Arial"/>
                <w:sz w:val="19"/>
                <w:szCs w:val="19"/>
                <w:color w:val="auto"/>
              </w:rPr>
              <w:t>18,462</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300" w:right="20" w:hanging="326"/>
        <w:spacing w:after="0" w:line="260" w:lineRule="auto"/>
        <w:tabs>
          <w:tab w:leader="none" w:pos="1300" w:val="left"/>
        </w:tabs>
        <w:numPr>
          <w:ilvl w:val="0"/>
          <w:numId w:val="227"/>
        </w:numPr>
        <w:rPr>
          <w:rFonts w:ascii="Arial" w:cs="Arial" w:eastAsia="Arial" w:hAnsi="Arial"/>
          <w:sz w:val="16"/>
          <w:szCs w:val="16"/>
          <w:b w:val="1"/>
          <w:bCs w:val="1"/>
          <w:color w:val="auto"/>
        </w:rPr>
      </w:pPr>
      <w:r>
        <w:rPr>
          <w:rFonts w:ascii="Arial" w:cs="Arial" w:eastAsia="Arial" w:hAnsi="Arial"/>
          <w:sz w:val="16"/>
          <w:szCs w:val="16"/>
          <w:color w:val="auto"/>
        </w:rPr>
        <w:t>Share capital at the beginning of financial year 2016 is less than US$1 million and comprises 2 fully paid up ordinary shares with no par value, amounting to a total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A-85</w:t>
      </w:r>
    </w:p>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166"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All issued ordinary shares are fully paid. There is no par value for these ordinary shares.</w:t>
      </w:r>
    </w:p>
    <w:p>
      <w:pPr>
        <w:spacing w:after="0" w:line="211" w:lineRule="exact"/>
        <w:rPr>
          <w:rFonts w:ascii="Arial" w:cs="Arial" w:eastAsia="Arial" w:hAnsi="Arial"/>
          <w:sz w:val="18"/>
          <w:szCs w:val="18"/>
          <w:b w:val="1"/>
          <w:bCs w:val="1"/>
          <w:color w:val="auto"/>
        </w:rPr>
      </w:pPr>
    </w:p>
    <w:p>
      <w:pPr>
        <w:jc w:val="both"/>
        <w:ind w:left="9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Prior to 1 February 2016, the acquisition date of BRCM (the “Acquisition Date”), the Group’s shareholders’ equity reflected Avago’s outstanding ordinary shares, all of which were publicly traded on the NASDAQ Global Select Market. As a result of the Broadcom Transaction (as described in Note 31), the Group’s ownership interest changed. Pursuant to the Avago Scheme, Broadcom issued 278 million ordinary shares to holders of Avago ordinary shares and issued 112 million ordinary shares to former BRCM shareholders pursuant to the Broadcom Merger. Consequently, the number of Broadcom ordinary shares outstanding increased from 278 million Avago ordinary shares on January 31, 2016 to 390 million Broadcom ordinary shares on February 1, 2016. Both Avago and BRCM became indirect subsidiaries of Broadcom and the Partnership, and Broadcom is the sole General Partner of the Partnership. As a result, the carrying amount of equity attributable to Broadcom was adjusted to reflect the change in the Group’s ownership interest of its subsidiaries. Additionally, Broadcom reflects a non-controlling interest in its shareholders’ equity, which represents the interest of the holders of the limited partners in the Partnership.</w:t>
      </w:r>
    </w:p>
    <w:p>
      <w:pPr>
        <w:spacing w:after="0" w:line="206" w:lineRule="exact"/>
        <w:rPr>
          <w:rFonts w:ascii="Arial" w:cs="Arial" w:eastAsia="Arial" w:hAnsi="Arial"/>
          <w:sz w:val="18"/>
          <w:szCs w:val="18"/>
          <w:b w:val="1"/>
          <w:bCs w:val="1"/>
          <w:color w:val="auto"/>
        </w:rPr>
      </w:pPr>
    </w:p>
    <w:p>
      <w:pPr>
        <w:jc w:val="both"/>
        <w:ind w:left="980"/>
        <w:spacing w:after="0"/>
        <w:rPr>
          <w:rFonts w:ascii="Arial" w:cs="Arial" w:eastAsia="Arial" w:hAnsi="Arial"/>
          <w:sz w:val="18"/>
          <w:szCs w:val="18"/>
          <w:b w:val="1"/>
          <w:bCs w:val="1"/>
          <w:color w:val="auto"/>
        </w:rPr>
      </w:pPr>
      <w:r>
        <w:rPr>
          <w:rFonts w:ascii="Arial" w:cs="Arial" w:eastAsia="Arial" w:hAnsi="Arial"/>
          <w:sz w:val="18"/>
          <w:szCs w:val="18"/>
          <w:color w:val="auto"/>
        </w:rPr>
        <w:t>In connection with the Broadcom Merger, Broadcom also issued 23 million non-economic voting preference shares (the “Special Voting Shares”), which is equal to the number of issued Partnership REUs. The Special Voting Shares were issued to a voting trustee pursuant to a voting trust agreement dated February 1, 2016, among Broadcom, the Partnership and the voting trustee.</w:t>
      </w:r>
    </w:p>
    <w:p>
      <w:pPr>
        <w:spacing w:after="0" w:line="202" w:lineRule="exact"/>
        <w:rPr>
          <w:rFonts w:ascii="Arial" w:cs="Arial" w:eastAsia="Arial" w:hAnsi="Arial"/>
          <w:sz w:val="18"/>
          <w:szCs w:val="18"/>
          <w:b w:val="1"/>
          <w:bCs w:val="1"/>
          <w:color w:val="auto"/>
        </w:rPr>
      </w:pPr>
    </w:p>
    <w:p>
      <w:pPr>
        <w:ind w:left="9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Share-based incentive awards are provided to employees and directors under the terms of various Broadcom equity incentive plans.</w:t>
      </w:r>
    </w:p>
    <w:p>
      <w:pPr>
        <w:spacing w:after="0" w:line="196" w:lineRule="exact"/>
        <w:rPr>
          <w:rFonts w:ascii="Arial" w:cs="Arial" w:eastAsia="Arial" w:hAnsi="Arial"/>
          <w:sz w:val="18"/>
          <w:szCs w:val="18"/>
          <w:b w:val="1"/>
          <w:bCs w:val="1"/>
          <w:color w:val="auto"/>
        </w:rPr>
      </w:pPr>
    </w:p>
    <w:p>
      <w:pPr>
        <w:jc w:val="both"/>
        <w:ind w:left="9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In July 2009, Broadcom’s Board of Directors adopted, and the shareholders approved, the Avago Technologies Limited 2009 Equity Incentive Award Plan, or the 2009 Plan, to authorise the grant of options, share appreciation rights, RSU awards, dividend equivalents, performance awards, and other share-based awards. A total of 20 million ordinary shares were initially reserved for issuance under the 2009 Plan, subject to annual increases starting in financial year 2012. The amount of the annual increase is equal to the least of (a) 6 million shares, (b) 3% of the ordinary shares outstanding on the last day of the immediately preceding financial year and (c) such smaller number of ordinary shares as determined by the Board. However, no more than 90 million ordinary shares may be issued upon the exercise of equity awards issued under the 2009 Plan. The 2009 Plan became effective on July 27, 2009.</w:t>
      </w:r>
    </w:p>
    <w:p>
      <w:pPr>
        <w:spacing w:after="0" w:line="208"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As of 29 October 2017, 19 million ordinary shares remained available for issuance under the 2009 Plan.</w:t>
      </w:r>
    </w:p>
    <w:p>
      <w:pPr>
        <w:spacing w:after="0" w:line="211" w:lineRule="exact"/>
        <w:rPr>
          <w:rFonts w:ascii="Arial" w:cs="Arial" w:eastAsia="Arial" w:hAnsi="Arial"/>
          <w:sz w:val="18"/>
          <w:szCs w:val="18"/>
          <w:b w:val="1"/>
          <w:bCs w:val="1"/>
          <w:color w:val="auto"/>
        </w:rPr>
      </w:pPr>
    </w:p>
    <w:p>
      <w:pPr>
        <w:jc w:val="both"/>
        <w:ind w:left="9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LSI acquisition, Broadcom assumed the LSI 2003 Equity Incentive Plan, (the “2003 Plan”), and outstanding unvested stock options and RSUs originally granted by LSI under the 2003 Plan that were held by continuing employees. At the time of the acquisition, these awards were converted to Avago share options and RSUs, with adjustments made to the exercise price of stock options and the number of shares subject to stock options and RSU awards so that the intrinsic value of each award was approximately the same immediately before and immediately after the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A-86</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166" w:lineRule="exact"/>
        <w:rPr>
          <w:rFonts w:ascii="Arial" w:cs="Arial" w:eastAsia="Arial" w:hAnsi="Arial"/>
          <w:sz w:val="18"/>
          <w:szCs w:val="18"/>
          <w:b w:val="1"/>
          <w:bCs w:val="1"/>
          <w:color w:val="auto"/>
        </w:rPr>
      </w:pPr>
    </w:p>
    <w:p>
      <w:pPr>
        <w:jc w:val="both"/>
        <w:ind w:left="9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These unvested options and RSUs will vest in accordance with their original terms, generally vesting in equal annual instalments over a four-year period from the original grant date and expire seven years after the grant date. Under the 2003 Plan, Broadcom may grant to former employees of LSI and other employees who were not employees of Avago at the time of the acquisition restricted stock awards, RSUs, share options and share appreciation rights with an exercise price that is no less than the fair market value on the date of grant. No participant may be granted share options covering more than four million shares or more than an aggregate of one million shares of restricted stock and RSUs in any financial year. Equity awards granted under the 2003 Plan following the LSI acquisition are expected to be on similar terms and consistent with similar grants made pursuant to the 2009 Plan.</w:t>
      </w:r>
    </w:p>
    <w:p>
      <w:pPr>
        <w:spacing w:after="0" w:line="208"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As of 29 October 2017, 4 million ordinary shares remained available for issuance under the 2003 Plan.</w:t>
      </w:r>
    </w:p>
    <w:p>
      <w:pPr>
        <w:spacing w:after="0" w:line="211" w:lineRule="exact"/>
        <w:rPr>
          <w:rFonts w:ascii="Arial" w:cs="Arial" w:eastAsia="Arial" w:hAnsi="Arial"/>
          <w:sz w:val="18"/>
          <w:szCs w:val="18"/>
          <w:b w:val="1"/>
          <w:bCs w:val="1"/>
          <w:color w:val="auto"/>
        </w:rPr>
      </w:pPr>
    </w:p>
    <w:p>
      <w:pPr>
        <w:jc w:val="both"/>
        <w:ind w:left="9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Broadcom Merger, Broadcom assumed the 2012 Plan and outstanding unvested RSUs originally granted by BRCM under the 2012 Plan that were held by continuing employees. At the time of the acquisition, these awards were converted to Broadcom RSUs, with adjustments made to the number of shares subject to RSU awards so that the intrinsic value of each award was approximately the same immediately before and immediately after the adjustment. These unvested RSUs will vest in accordance with their original terms, generally vesting in equal quarterly instalments over a four-year period from the original grant date. Under the 2012 Plan, Broadcom may grant to former employees of BRCM and other employees who were not employees of Avago at the time of the acquisition restricted stock awards, RSUs, share options and share appreciation rights with an exercise price that is no less than the fair market value on the date of grant. No participant may be granted share options, restricted stock or RSUs, covering more than an aggregate of four million shares in any financial year. Equity awards granted under the 2012 Plan following the Broadcom Merger are expected to be on similar terms and consistent with similar grants made pursuant to the 2009 Plan.</w:t>
      </w:r>
    </w:p>
    <w:p>
      <w:pPr>
        <w:spacing w:after="0" w:line="205" w:lineRule="exact"/>
        <w:rPr>
          <w:rFonts w:ascii="Arial" w:cs="Arial" w:eastAsia="Arial" w:hAnsi="Arial"/>
          <w:sz w:val="18"/>
          <w:szCs w:val="18"/>
          <w:b w:val="1"/>
          <w:bCs w:val="1"/>
          <w:color w:val="auto"/>
        </w:rPr>
      </w:pPr>
    </w:p>
    <w:p>
      <w:pPr>
        <w:ind w:left="9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As of 29 October 2017, 82 million ordinary shares remained available for issuance under the 2012 Plan. The number of shares available for issuance under the 2012 Plan is subject to an annual increase of 12 million shares.</w:t>
      </w:r>
    </w:p>
    <w:p>
      <w:pPr>
        <w:spacing w:after="0" w:line="196" w:lineRule="exact"/>
        <w:rPr>
          <w:rFonts w:ascii="Arial" w:cs="Arial" w:eastAsia="Arial" w:hAnsi="Arial"/>
          <w:sz w:val="18"/>
          <w:szCs w:val="18"/>
          <w:b w:val="1"/>
          <w:bCs w:val="1"/>
          <w:color w:val="auto"/>
        </w:rPr>
      </w:pPr>
    </w:p>
    <w:p>
      <w:pPr>
        <w:ind w:left="9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income tax benefits for share-based compensation expense were $273 million, $89 million and $130 million for financial years 2017,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A-87</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166" w:lineRule="exact"/>
        <w:rPr>
          <w:rFonts w:ascii="Arial" w:cs="Arial" w:eastAsia="Arial" w:hAnsi="Arial"/>
          <w:sz w:val="18"/>
          <w:szCs w:val="18"/>
          <w:b w:val="1"/>
          <w:bCs w:val="1"/>
          <w:color w:val="auto"/>
        </w:rPr>
      </w:pPr>
    </w:p>
    <w:p>
      <w:pPr>
        <w:ind w:left="98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summarises the weighted-average assumptions utilised to calculate the fair value of market-based awards granted in the periods presented:</w:t>
      </w:r>
    </w:p>
    <w:p>
      <w:pPr>
        <w:spacing w:after="0" w:line="202" w:lineRule="exact"/>
        <w:rPr>
          <w:sz w:val="20"/>
          <w:szCs w:val="20"/>
          <w:color w:val="auto"/>
        </w:rPr>
      </w:pPr>
    </w:p>
    <w:p>
      <w:pPr>
        <w:jc w:val="center"/>
        <w:ind w:left="6880"/>
        <w:spacing w:after="0"/>
        <w:rPr>
          <w:sz w:val="20"/>
          <w:szCs w:val="20"/>
          <w:color w:val="auto"/>
        </w:rPr>
      </w:pPr>
      <w:r>
        <w:rPr>
          <w:rFonts w:ascii="Arial" w:cs="Arial" w:eastAsia="Arial" w:hAnsi="Arial"/>
          <w:sz w:val="18"/>
          <w:szCs w:val="18"/>
          <w:b w:val="1"/>
          <w:bCs w:val="1"/>
          <w:color w:val="auto"/>
        </w:rPr>
        <w:t>Market-Based Awards</w:t>
      </w:r>
    </w:p>
    <w:p>
      <w:pPr>
        <w:spacing w:after="0" w:line="18" w:lineRule="exact"/>
        <w:rPr>
          <w:sz w:val="20"/>
          <w:szCs w:val="20"/>
          <w:color w:val="auto"/>
        </w:rPr>
      </w:pPr>
    </w:p>
    <w:p>
      <w:pPr>
        <w:jc w:val="center"/>
        <w:ind w:left="6880"/>
        <w:spacing w:after="0"/>
        <w:rPr>
          <w:sz w:val="20"/>
          <w:szCs w:val="20"/>
          <w:color w:val="auto"/>
        </w:rPr>
      </w:pPr>
      <w:r>
        <w:rPr>
          <w:rFonts w:ascii="Arial" w:cs="Arial" w:eastAsia="Arial" w:hAnsi="Arial"/>
          <w:sz w:val="18"/>
          <w:szCs w:val="18"/>
          <w:b w:val="1"/>
          <w:bCs w:val="1"/>
          <w:color w:val="auto"/>
        </w:rPr>
        <w:t>Financial Year</w:t>
      </w:r>
    </w:p>
    <w:p>
      <w:pPr>
        <w:spacing w:after="0" w:line="95" w:lineRule="exact"/>
        <w:rPr>
          <w:sz w:val="20"/>
          <w:szCs w:val="20"/>
          <w:color w:val="auto"/>
        </w:rPr>
      </w:pPr>
    </w:p>
    <w:tbl>
      <w:tblPr>
        <w:tblLayout w:type="fixed"/>
        <w:tblInd w:w="98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160" w:type="dxa"/>
            <w:vAlign w:val="bottom"/>
          </w:tcPr>
          <w:p>
            <w:pPr>
              <w:jc w:val="right"/>
              <w:ind w:right="583"/>
              <w:spacing w:after="0"/>
              <w:rPr>
                <w:sz w:val="20"/>
                <w:szCs w:val="20"/>
                <w:color w:val="auto"/>
              </w:rPr>
            </w:pPr>
            <w:r>
              <w:rPr>
                <w:rFonts w:ascii="Arial" w:cs="Arial" w:eastAsia="Arial" w:hAnsi="Arial"/>
                <w:sz w:val="18"/>
                <w:szCs w:val="18"/>
                <w:b w:val="1"/>
                <w:bCs w:val="1"/>
                <w:color w:val="auto"/>
              </w:rPr>
              <w:t>2017</w:t>
            </w:r>
          </w:p>
        </w:tc>
        <w:tc>
          <w:tcPr>
            <w:tcW w:w="1700" w:type="dxa"/>
            <w:vAlign w:val="bottom"/>
          </w:tcPr>
          <w:p>
            <w:pPr>
              <w:jc w:val="right"/>
              <w:ind w:right="583"/>
              <w:spacing w:after="0"/>
              <w:rPr>
                <w:sz w:val="20"/>
                <w:szCs w:val="20"/>
                <w:color w:val="auto"/>
              </w:rPr>
            </w:pPr>
            <w:r>
              <w:rPr>
                <w:rFonts w:ascii="Arial" w:cs="Arial" w:eastAsia="Arial" w:hAnsi="Arial"/>
                <w:sz w:val="18"/>
                <w:szCs w:val="18"/>
                <w:b w:val="1"/>
                <w:bCs w:val="1"/>
                <w:color w:val="auto"/>
              </w:rPr>
              <w:t>2016</w:t>
            </w:r>
          </w:p>
        </w:tc>
        <w:tc>
          <w:tcPr>
            <w:tcW w:w="1200" w:type="dxa"/>
            <w:vAlign w:val="bottom"/>
          </w:tcPr>
          <w:p>
            <w:pPr>
              <w:jc w:val="right"/>
              <w:ind w:right="103"/>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Risk-free interest rate</w:t>
            </w:r>
          </w:p>
        </w:tc>
        <w:tc>
          <w:tcPr>
            <w:tcW w:w="3160" w:type="dxa"/>
            <w:vAlign w:val="bottom"/>
            <w:shd w:val="clear" w:color="auto" w:fill="CCEEFF"/>
          </w:tcPr>
          <w:p>
            <w:pPr>
              <w:jc w:val="right"/>
              <w:ind w:right="463"/>
              <w:spacing w:after="0" w:line="216" w:lineRule="exact"/>
              <w:rPr>
                <w:sz w:val="20"/>
                <w:szCs w:val="20"/>
                <w:color w:val="auto"/>
              </w:rPr>
            </w:pPr>
            <w:r>
              <w:rPr>
                <w:rFonts w:ascii="Arial" w:cs="Arial" w:eastAsia="Arial" w:hAnsi="Arial"/>
                <w:sz w:val="20"/>
                <w:szCs w:val="20"/>
                <w:color w:val="auto"/>
              </w:rPr>
              <w:t>1.7%</w:t>
            </w:r>
          </w:p>
        </w:tc>
        <w:tc>
          <w:tcPr>
            <w:tcW w:w="1700" w:type="dxa"/>
            <w:vAlign w:val="bottom"/>
            <w:shd w:val="clear" w:color="auto" w:fill="CCEEFF"/>
          </w:tcPr>
          <w:p>
            <w:pPr>
              <w:jc w:val="right"/>
              <w:ind w:right="483"/>
              <w:spacing w:after="0" w:line="216" w:lineRule="exact"/>
              <w:rPr>
                <w:sz w:val="20"/>
                <w:szCs w:val="20"/>
                <w:color w:val="auto"/>
              </w:rPr>
            </w:pPr>
            <w:r>
              <w:rPr>
                <w:rFonts w:ascii="Arial" w:cs="Arial" w:eastAsia="Arial" w:hAnsi="Arial"/>
                <w:sz w:val="20"/>
                <w:szCs w:val="20"/>
                <w:color w:val="auto"/>
              </w:rPr>
              <w:t>1.2%</w:t>
            </w:r>
          </w:p>
        </w:tc>
        <w:tc>
          <w:tcPr>
            <w:tcW w:w="12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line="216" w:lineRule="exact"/>
              <w:rPr>
                <w:sz w:val="20"/>
                <w:szCs w:val="20"/>
                <w:color w:val="auto"/>
              </w:rPr>
            </w:pPr>
            <w:r>
              <w:rPr>
                <w:rFonts w:ascii="Arial" w:cs="Arial" w:eastAsia="Arial" w:hAnsi="Arial"/>
                <w:sz w:val="20"/>
                <w:szCs w:val="20"/>
                <w:color w:val="auto"/>
              </w:rPr>
              <w:t>Dividend yield</w:t>
            </w:r>
          </w:p>
        </w:tc>
        <w:tc>
          <w:tcPr>
            <w:tcW w:w="3160" w:type="dxa"/>
            <w:vAlign w:val="bottom"/>
          </w:tcPr>
          <w:p>
            <w:pPr>
              <w:jc w:val="right"/>
              <w:ind w:right="463"/>
              <w:spacing w:after="0" w:line="216" w:lineRule="exact"/>
              <w:rPr>
                <w:sz w:val="20"/>
                <w:szCs w:val="20"/>
                <w:color w:val="auto"/>
              </w:rPr>
            </w:pPr>
            <w:r>
              <w:rPr>
                <w:rFonts w:ascii="Arial" w:cs="Arial" w:eastAsia="Arial" w:hAnsi="Arial"/>
                <w:sz w:val="20"/>
                <w:szCs w:val="20"/>
                <w:color w:val="auto"/>
              </w:rPr>
              <w:t>1.8%</w:t>
            </w:r>
          </w:p>
        </w:tc>
        <w:tc>
          <w:tcPr>
            <w:tcW w:w="1700" w:type="dxa"/>
            <w:vAlign w:val="bottom"/>
          </w:tcPr>
          <w:p>
            <w:pPr>
              <w:jc w:val="right"/>
              <w:ind w:right="483"/>
              <w:spacing w:after="0" w:line="216" w:lineRule="exact"/>
              <w:rPr>
                <w:sz w:val="20"/>
                <w:szCs w:val="20"/>
                <w:color w:val="auto"/>
              </w:rPr>
            </w:pPr>
            <w:r>
              <w:rPr>
                <w:rFonts w:ascii="Arial" w:cs="Arial" w:eastAsia="Arial" w:hAnsi="Arial"/>
                <w:sz w:val="20"/>
                <w:szCs w:val="20"/>
                <w:color w:val="auto"/>
              </w:rPr>
              <w:t>1.3%</w:t>
            </w: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Volatility</w:t>
            </w:r>
          </w:p>
        </w:tc>
        <w:tc>
          <w:tcPr>
            <w:tcW w:w="3160" w:type="dxa"/>
            <w:vAlign w:val="bottom"/>
            <w:shd w:val="clear" w:color="auto" w:fill="CCEEFF"/>
          </w:tcPr>
          <w:p>
            <w:pPr>
              <w:jc w:val="right"/>
              <w:ind w:right="463"/>
              <w:spacing w:after="0" w:line="216" w:lineRule="exact"/>
              <w:rPr>
                <w:sz w:val="20"/>
                <w:szCs w:val="20"/>
                <w:color w:val="auto"/>
              </w:rPr>
            </w:pPr>
            <w:r>
              <w:rPr>
                <w:rFonts w:ascii="Arial" w:cs="Arial" w:eastAsia="Arial" w:hAnsi="Arial"/>
                <w:sz w:val="20"/>
                <w:szCs w:val="20"/>
                <w:color w:val="auto"/>
              </w:rPr>
              <w:t>32.3%</w:t>
            </w:r>
          </w:p>
        </w:tc>
        <w:tc>
          <w:tcPr>
            <w:tcW w:w="1700" w:type="dxa"/>
            <w:vAlign w:val="bottom"/>
            <w:shd w:val="clear" w:color="auto" w:fill="CCEEFF"/>
          </w:tcPr>
          <w:p>
            <w:pPr>
              <w:jc w:val="right"/>
              <w:ind w:right="483"/>
              <w:spacing w:after="0" w:line="216" w:lineRule="exact"/>
              <w:rPr>
                <w:sz w:val="20"/>
                <w:szCs w:val="20"/>
                <w:color w:val="auto"/>
              </w:rPr>
            </w:pPr>
            <w:r>
              <w:rPr>
                <w:rFonts w:ascii="Arial" w:cs="Arial" w:eastAsia="Arial" w:hAnsi="Arial"/>
                <w:sz w:val="20"/>
                <w:szCs w:val="20"/>
                <w:color w:val="auto"/>
              </w:rPr>
              <w:t>35.0%</w:t>
            </w:r>
          </w:p>
        </w:tc>
        <w:tc>
          <w:tcPr>
            <w:tcW w:w="12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20"/>
                <w:szCs w:val="20"/>
                <w:color w:val="auto"/>
              </w:rPr>
              <w:t>Expected term (in years)</w:t>
            </w:r>
          </w:p>
        </w:tc>
        <w:tc>
          <w:tcPr>
            <w:tcW w:w="3160" w:type="dxa"/>
            <w:vAlign w:val="bottom"/>
          </w:tcPr>
          <w:p>
            <w:pPr>
              <w:jc w:val="right"/>
              <w:ind w:right="463"/>
              <w:spacing w:after="0"/>
              <w:rPr>
                <w:sz w:val="20"/>
                <w:szCs w:val="20"/>
                <w:color w:val="auto"/>
              </w:rPr>
            </w:pPr>
            <w:r>
              <w:rPr>
                <w:rFonts w:ascii="Arial" w:cs="Arial" w:eastAsia="Arial" w:hAnsi="Arial"/>
                <w:sz w:val="20"/>
                <w:szCs w:val="20"/>
                <w:color w:val="auto"/>
              </w:rPr>
              <w:t>4.00</w:t>
            </w:r>
          </w:p>
        </w:tc>
        <w:tc>
          <w:tcPr>
            <w:tcW w:w="1700" w:type="dxa"/>
            <w:vAlign w:val="bottom"/>
          </w:tcPr>
          <w:p>
            <w:pPr>
              <w:jc w:val="right"/>
              <w:ind w:right="483"/>
              <w:spacing w:after="0"/>
              <w:rPr>
                <w:sz w:val="20"/>
                <w:szCs w:val="20"/>
                <w:color w:val="auto"/>
              </w:rPr>
            </w:pPr>
            <w:r>
              <w:rPr>
                <w:rFonts w:ascii="Arial" w:cs="Arial" w:eastAsia="Arial" w:hAnsi="Arial"/>
                <w:sz w:val="20"/>
                <w:szCs w:val="20"/>
                <w:color w:val="auto"/>
              </w:rPr>
              <w:t>3.80</w:t>
            </w:r>
          </w:p>
        </w:tc>
        <w:tc>
          <w:tcPr>
            <w:tcW w:w="1200" w:type="dxa"/>
            <w:vAlign w:val="bottom"/>
          </w:tcPr>
          <w:p>
            <w:pPr>
              <w:jc w:val="right"/>
              <w:spacing w:after="0"/>
              <w:rPr>
                <w:sz w:val="20"/>
                <w:szCs w:val="20"/>
                <w:color w:val="auto"/>
              </w:rPr>
            </w:pPr>
            <w:r>
              <w:rPr>
                <w:rFonts w:ascii="Arial" w:cs="Arial" w:eastAsia="Arial" w:hAnsi="Arial"/>
                <w:sz w:val="20"/>
                <w:szCs w:val="20"/>
                <w:color w:val="auto"/>
              </w:rPr>
              <w:t>4.40</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The risk-free interest rate was derived from the average U.S. Treasury Strips rate during the period, which approximated the rate in effect at the time of grant.</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dividend yield was based on the historical and expected dividend pay-outs as of the respective award grant dates.</w:t>
      </w:r>
    </w:p>
    <w:p>
      <w:pPr>
        <w:spacing w:after="0" w:line="212" w:lineRule="exact"/>
        <w:rPr>
          <w:sz w:val="20"/>
          <w:szCs w:val="20"/>
          <w:color w:val="auto"/>
        </w:rPr>
      </w:pPr>
    </w:p>
    <w:p>
      <w:pPr>
        <w:jc w:val="both"/>
        <w:ind w:left="980" w:right="20"/>
        <w:spacing w:after="0"/>
        <w:rPr>
          <w:sz w:val="20"/>
          <w:szCs w:val="20"/>
          <w:color w:val="auto"/>
        </w:rPr>
      </w:pPr>
      <w:r>
        <w:rPr>
          <w:rFonts w:ascii="Arial" w:cs="Arial" w:eastAsia="Arial" w:hAnsi="Arial"/>
          <w:sz w:val="18"/>
          <w:szCs w:val="18"/>
          <w:color w:val="auto"/>
        </w:rPr>
        <w:t>The expected volatility was based on Broadcom’s own historical share price volatility over the period commensurate with the expected life of the awards and the implied volatility from its own traded ordinary shares with a term of 180 days measured at a specific date.</w:t>
      </w:r>
    </w:p>
    <w:p>
      <w:pPr>
        <w:spacing w:after="0" w:line="230" w:lineRule="exact"/>
        <w:rPr>
          <w:sz w:val="20"/>
          <w:szCs w:val="20"/>
          <w:color w:val="auto"/>
        </w:rPr>
      </w:pPr>
    </w:p>
    <w:p>
      <w:pPr>
        <w:ind w:left="980" w:hanging="776"/>
        <w:spacing w:after="0"/>
        <w:tabs>
          <w:tab w:leader="none" w:pos="9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Restricted stock options unit awards</w:t>
      </w:r>
    </w:p>
    <w:p>
      <w:pPr>
        <w:spacing w:after="0" w:line="211" w:lineRule="exact"/>
        <w:rPr>
          <w:rFonts w:ascii="Arial" w:cs="Arial" w:eastAsia="Arial" w:hAnsi="Arial"/>
          <w:sz w:val="18"/>
          <w:szCs w:val="18"/>
          <w:color w:val="auto"/>
        </w:rPr>
      </w:pPr>
    </w:p>
    <w:p>
      <w:pPr>
        <w:jc w:val="both"/>
        <w:ind w:left="980" w:right="20"/>
        <w:spacing w:after="0" w:line="236" w:lineRule="auto"/>
        <w:rPr>
          <w:rFonts w:ascii="Arial" w:cs="Arial" w:eastAsia="Arial" w:hAnsi="Arial"/>
          <w:sz w:val="18"/>
          <w:szCs w:val="18"/>
          <w:color w:val="auto"/>
        </w:rPr>
      </w:pPr>
      <w:r>
        <w:rPr>
          <w:rFonts w:ascii="Arial" w:cs="Arial" w:eastAsia="Arial" w:hAnsi="Arial"/>
          <w:sz w:val="18"/>
          <w:szCs w:val="18"/>
          <w:color w:val="auto"/>
        </w:rPr>
        <w:t>RSU awards granted to employees under the 2009 Plan are generally time-based and vest over four years. An RSU is an equity award that is granted with an exercise price equal to zero and which represents the right to receive one of the Company’s ordinary shares immediately upon vesting. The Company also grants market-based RSUs with both a service condition and a market condition as part of its equity compensation programs under the 2009 Plan. During financial years 2017, 2016 and 2015, the Company granted market-based RSUs that vest over four years, subject to satisfaction of share price contingency conditions. During financial year 2017, the Company also granted market-based RSUs under which grantees may receive the number of shares ranging from 0% to 450% of the original grant at vesting based upon the total shareholder return (“TSR”), on the Company’s ordinary share as compared to the TSR of an index group of companies. The market-based RSUs generally vest over four years, subject to satisfaction of market conditions.</w:t>
      </w:r>
    </w:p>
    <w:p>
      <w:pPr>
        <w:spacing w:after="0" w:line="207" w:lineRule="exact"/>
        <w:rPr>
          <w:rFonts w:ascii="Arial" w:cs="Arial" w:eastAsia="Arial" w:hAnsi="Arial"/>
          <w:sz w:val="18"/>
          <w:szCs w:val="18"/>
          <w:color w:val="auto"/>
        </w:rPr>
      </w:pPr>
    </w:p>
    <w:p>
      <w:pPr>
        <w:jc w:val="both"/>
        <w:ind w:left="980" w:right="20"/>
        <w:spacing w:after="0" w:line="238" w:lineRule="auto"/>
        <w:rPr>
          <w:rFonts w:ascii="Arial" w:cs="Arial" w:eastAsia="Arial" w:hAnsi="Arial"/>
          <w:sz w:val="18"/>
          <w:szCs w:val="18"/>
          <w:color w:val="auto"/>
        </w:rPr>
      </w:pPr>
      <w:r>
        <w:rPr>
          <w:rFonts w:ascii="Arial" w:cs="Arial" w:eastAsia="Arial" w:hAnsi="Arial"/>
          <w:sz w:val="18"/>
          <w:szCs w:val="18"/>
          <w:color w:val="auto"/>
        </w:rPr>
        <w:t>In connection with the Broadcom Merger, Broadcom assumed RSUs originally granted by BRCM. Share-based compensation expense reported in continuing operations in financial years 2017 and 2016 was $179 million and $222 million, respectively, related to the assumed BRCM RSUs. Broadcom have assumed an annualized forfeiture rate for RSUs of 5% in each of financial years 2017 and 2016 and 3% in financial year 2015. Broadcom will recognise additional expense if actual forfeitures are lower than estimated, and will recognise a benefit if actual forfeitures are higher than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A-88</w:t>
      </w:r>
    </w:p>
    <w:p>
      <w:pPr>
        <w:sectPr>
          <w:pgSz w:w="11900" w:h="16838" w:orient="portrait"/>
          <w:cols w:equalWidth="0" w:num="1">
            <w:col w:w="11240"/>
          </w:cols>
          <w:pgMar w:left="240" w:top="460" w:right="4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Restricted stock options unit awards (continued)</w:t>
      </w:r>
    </w:p>
    <w:p>
      <w:pPr>
        <w:spacing w:after="0" w:line="144" w:lineRule="exact"/>
        <w:rPr>
          <w:rFonts w:ascii="Arial" w:cs="Arial" w:eastAsia="Arial" w:hAnsi="Arial"/>
          <w:sz w:val="18"/>
          <w:szCs w:val="18"/>
          <w:color w:val="auto"/>
        </w:rPr>
      </w:pPr>
    </w:p>
    <w:p>
      <w:pPr>
        <w:ind w:left="980" w:right="20"/>
        <w:spacing w:after="0" w:line="246" w:lineRule="auto"/>
        <w:rPr>
          <w:rFonts w:ascii="Arial" w:cs="Arial" w:eastAsia="Arial" w:hAnsi="Arial"/>
          <w:sz w:val="18"/>
          <w:szCs w:val="18"/>
          <w:color w:val="auto"/>
        </w:rPr>
      </w:pPr>
      <w:r>
        <w:rPr>
          <w:rFonts w:ascii="Arial" w:cs="Arial" w:eastAsia="Arial" w:hAnsi="Arial"/>
          <w:sz w:val="18"/>
          <w:szCs w:val="18"/>
          <w:color w:val="auto"/>
        </w:rPr>
        <w:t>The expected term of market-based RSUs valued using Monte Carlo simulation techniques was commensurate with the awards’ contractual terms.</w:t>
      </w:r>
    </w:p>
    <w:p>
      <w:pPr>
        <w:spacing w:after="0" w:line="19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summary of time- and market-based RSU activity is as follows:</w:t>
      </w:r>
    </w:p>
    <w:p>
      <w:pPr>
        <w:spacing w:after="0" w:line="200" w:lineRule="exact"/>
        <w:rPr>
          <w:sz w:val="20"/>
          <w:szCs w:val="20"/>
          <w:color w:val="auto"/>
        </w:rPr>
      </w:pPr>
    </w:p>
    <w:p>
      <w:pPr>
        <w:spacing w:after="0" w:line="277"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Weighted-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3"/>
          </w:tcPr>
          <w:p>
            <w:pPr>
              <w:jc w:val="center"/>
              <w:ind w:right="20"/>
              <w:spacing w:after="0" w:line="202" w:lineRule="exact"/>
              <w:rPr>
                <w:sz w:val="20"/>
                <w:szCs w:val="20"/>
                <w:color w:val="auto"/>
              </w:rPr>
            </w:pPr>
            <w:r>
              <w:rPr>
                <w:rFonts w:ascii="Arial" w:cs="Arial" w:eastAsia="Arial" w:hAnsi="Arial"/>
                <w:sz w:val="18"/>
                <w:szCs w:val="18"/>
                <w:color w:val="auto"/>
                <w:w w:val="98"/>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w w:val="99"/>
              </w:rPr>
              <w:t>Number of</w:t>
            </w:r>
          </w:p>
        </w:tc>
        <w:tc>
          <w:tcPr>
            <w:tcW w:w="440" w:type="dxa"/>
            <w:vAlign w:val="bottom"/>
          </w:tcPr>
          <w:p>
            <w:pPr>
              <w:spacing w:after="0"/>
              <w:rPr>
                <w:sz w:val="17"/>
                <w:szCs w:val="17"/>
                <w:color w:val="auto"/>
              </w:rPr>
            </w:pPr>
          </w:p>
        </w:tc>
        <w:tc>
          <w:tcPr>
            <w:tcW w:w="116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9"/>
              </w:rPr>
              <w:t>Grant Date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gridSpan w:val="2"/>
          </w:tcPr>
          <w:p>
            <w:pPr>
              <w:jc w:val="center"/>
              <w:ind w:right="440"/>
              <w:spacing w:after="0" w:line="202" w:lineRule="exact"/>
              <w:rPr>
                <w:sz w:val="20"/>
                <w:szCs w:val="20"/>
                <w:color w:val="auto"/>
              </w:rPr>
            </w:pPr>
            <w:r>
              <w:rPr>
                <w:rFonts w:ascii="Arial" w:cs="Arial" w:eastAsia="Arial" w:hAnsi="Arial"/>
                <w:sz w:val="18"/>
                <w:szCs w:val="18"/>
                <w:color w:val="auto"/>
              </w:rPr>
              <w:t>Shares</w:t>
            </w:r>
          </w:p>
        </w:tc>
        <w:tc>
          <w:tcPr>
            <w:tcW w:w="1600" w:type="dxa"/>
            <w:vAlign w:val="bottom"/>
            <w:gridSpan w:val="4"/>
          </w:tcPr>
          <w:p>
            <w:pPr>
              <w:jc w:val="center"/>
              <w:ind w:left="322"/>
              <w:spacing w:after="0" w:line="202" w:lineRule="exact"/>
              <w:rPr>
                <w:sz w:val="20"/>
                <w:szCs w:val="20"/>
                <w:color w:val="auto"/>
              </w:rPr>
            </w:pPr>
            <w:r>
              <w:rPr>
                <w:rFonts w:ascii="Arial" w:cs="Arial" w:eastAsia="Arial" w:hAnsi="Arial"/>
                <w:sz w:val="18"/>
                <w:szCs w:val="18"/>
                <w:color w:val="auto"/>
                <w:w w:val="99"/>
              </w:rPr>
              <w:t>Fair Value Per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rPr>
              <w:t>Outstanding</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9"/>
              </w:rPr>
              <w:t>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(millions)</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9"/>
              </w:rPr>
              <w:t>(US$ millions)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Balance as of 1 November 2015</w:t>
            </w:r>
          </w:p>
        </w:tc>
        <w:tc>
          <w:tcPr>
            <w:tcW w:w="1840" w:type="dxa"/>
            <w:vAlign w:val="bottom"/>
            <w:gridSpan w:val="2"/>
            <w:shd w:val="clear" w:color="auto" w:fill="CCEEFF"/>
          </w:tcPr>
          <w:p>
            <w:pPr>
              <w:jc w:val="center"/>
              <w:ind w:left="761"/>
              <w:spacing w:after="0" w:line="216" w:lineRule="exact"/>
              <w:rPr>
                <w:sz w:val="20"/>
                <w:szCs w:val="20"/>
                <w:color w:val="auto"/>
              </w:rPr>
            </w:pPr>
            <w:r>
              <w:rPr>
                <w:rFonts w:ascii="Arial" w:cs="Arial" w:eastAsia="Arial" w:hAnsi="Arial"/>
                <w:sz w:val="20"/>
                <w:szCs w:val="20"/>
                <w:color w:val="auto"/>
                <w:w w:val="89"/>
              </w:rPr>
              <w:t>5</w:t>
            </w:r>
          </w:p>
        </w:tc>
        <w:tc>
          <w:tcPr>
            <w:tcW w:w="4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rPr>
              <w:t>95.17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line="216" w:lineRule="exact"/>
              <w:rPr>
                <w:sz w:val="20"/>
                <w:szCs w:val="20"/>
                <w:color w:val="auto"/>
              </w:rPr>
            </w:pPr>
            <w:r>
              <w:rPr>
                <w:rFonts w:ascii="Arial" w:cs="Arial" w:eastAsia="Arial" w:hAnsi="Arial"/>
                <w:sz w:val="20"/>
                <w:szCs w:val="20"/>
                <w:color w:val="auto"/>
              </w:rPr>
              <w:t>Assumed in Broadcom Merger</w:t>
            </w:r>
          </w:p>
        </w:tc>
        <w:tc>
          <w:tcPr>
            <w:tcW w:w="1840" w:type="dxa"/>
            <w:vAlign w:val="bottom"/>
            <w:gridSpan w:val="2"/>
          </w:tcPr>
          <w:p>
            <w:pPr>
              <w:jc w:val="center"/>
              <w:ind w:left="761"/>
              <w:spacing w:after="0" w:line="216" w:lineRule="exact"/>
              <w:rPr>
                <w:sz w:val="20"/>
                <w:szCs w:val="20"/>
                <w:color w:val="auto"/>
              </w:rPr>
            </w:pPr>
            <w:r>
              <w:rPr>
                <w:rFonts w:ascii="Arial" w:cs="Arial" w:eastAsia="Arial" w:hAnsi="Arial"/>
                <w:sz w:val="20"/>
                <w:szCs w:val="20"/>
                <w:color w:val="auto"/>
                <w:w w:val="89"/>
              </w:rPr>
              <w:t>6</w:t>
            </w:r>
          </w:p>
        </w:tc>
        <w:tc>
          <w:tcPr>
            <w:tcW w:w="440" w:type="dxa"/>
            <w:vAlign w:val="bottom"/>
          </w:tcPr>
          <w:p>
            <w:pPr>
              <w:spacing w:after="0"/>
              <w:rPr>
                <w:sz w:val="18"/>
                <w:szCs w:val="18"/>
                <w:color w:val="auto"/>
              </w:rPr>
            </w:pPr>
          </w:p>
        </w:tc>
        <w:tc>
          <w:tcPr>
            <w:tcW w:w="1600" w:type="dxa"/>
            <w:vAlign w:val="bottom"/>
            <w:gridSpan w:val="4"/>
          </w:tcPr>
          <w:p>
            <w:pPr>
              <w:jc w:val="right"/>
              <w:ind w:right="40"/>
              <w:spacing w:after="0" w:line="216" w:lineRule="exact"/>
              <w:rPr>
                <w:sz w:val="20"/>
                <w:szCs w:val="20"/>
                <w:color w:val="auto"/>
              </w:rPr>
            </w:pPr>
            <w:r>
              <w:rPr>
                <w:rFonts w:ascii="Arial" w:cs="Arial" w:eastAsia="Arial" w:hAnsi="Arial"/>
                <w:sz w:val="20"/>
                <w:szCs w:val="20"/>
                <w:color w:val="auto"/>
              </w:rPr>
              <w:t>135.58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Granted</w:t>
            </w:r>
          </w:p>
        </w:tc>
        <w:tc>
          <w:tcPr>
            <w:tcW w:w="1840" w:type="dxa"/>
            <w:vAlign w:val="bottom"/>
            <w:gridSpan w:val="2"/>
            <w:shd w:val="clear" w:color="auto" w:fill="CCEEFF"/>
          </w:tcPr>
          <w:p>
            <w:pPr>
              <w:jc w:val="center"/>
              <w:ind w:left="761"/>
              <w:spacing w:after="0" w:line="216" w:lineRule="exact"/>
              <w:rPr>
                <w:sz w:val="20"/>
                <w:szCs w:val="20"/>
                <w:color w:val="auto"/>
              </w:rPr>
            </w:pPr>
            <w:r>
              <w:rPr>
                <w:rFonts w:ascii="Arial" w:cs="Arial" w:eastAsia="Arial" w:hAnsi="Arial"/>
                <w:sz w:val="20"/>
                <w:szCs w:val="20"/>
                <w:color w:val="auto"/>
                <w:w w:val="98"/>
              </w:rPr>
              <w:t>12</w:t>
            </w:r>
          </w:p>
        </w:tc>
        <w:tc>
          <w:tcPr>
            <w:tcW w:w="4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rPr>
              <w:t>138.45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line="216" w:lineRule="exact"/>
              <w:rPr>
                <w:sz w:val="20"/>
                <w:szCs w:val="20"/>
                <w:color w:val="auto"/>
              </w:rPr>
            </w:pPr>
            <w:r>
              <w:rPr>
                <w:rFonts w:ascii="Arial" w:cs="Arial" w:eastAsia="Arial" w:hAnsi="Arial"/>
                <w:sz w:val="20"/>
                <w:szCs w:val="20"/>
                <w:color w:val="auto"/>
              </w:rPr>
              <w:t>Vested</w:t>
            </w:r>
          </w:p>
        </w:tc>
        <w:tc>
          <w:tcPr>
            <w:tcW w:w="1840" w:type="dxa"/>
            <w:vAlign w:val="bottom"/>
            <w:gridSpan w:val="2"/>
          </w:tcPr>
          <w:p>
            <w:pPr>
              <w:jc w:val="center"/>
              <w:ind w:left="781"/>
              <w:spacing w:after="0" w:line="216" w:lineRule="exact"/>
              <w:rPr>
                <w:sz w:val="20"/>
                <w:szCs w:val="20"/>
                <w:color w:val="auto"/>
              </w:rPr>
            </w:pPr>
            <w:r>
              <w:rPr>
                <w:rFonts w:ascii="Arial" w:cs="Arial" w:eastAsia="Arial" w:hAnsi="Arial"/>
                <w:sz w:val="20"/>
                <w:szCs w:val="20"/>
                <w:color w:val="auto"/>
                <w:w w:val="97"/>
              </w:rPr>
              <w:t>(4)</w:t>
            </w:r>
          </w:p>
        </w:tc>
        <w:tc>
          <w:tcPr>
            <w:tcW w:w="440" w:type="dxa"/>
            <w:vAlign w:val="bottom"/>
          </w:tcPr>
          <w:p>
            <w:pPr>
              <w:spacing w:after="0"/>
              <w:rPr>
                <w:sz w:val="18"/>
                <w:szCs w:val="18"/>
                <w:color w:val="auto"/>
              </w:rPr>
            </w:pPr>
          </w:p>
        </w:tc>
        <w:tc>
          <w:tcPr>
            <w:tcW w:w="1600" w:type="dxa"/>
            <w:vAlign w:val="bottom"/>
            <w:gridSpan w:val="4"/>
          </w:tcPr>
          <w:p>
            <w:pPr>
              <w:jc w:val="right"/>
              <w:ind w:right="40"/>
              <w:spacing w:after="0" w:line="216" w:lineRule="exact"/>
              <w:rPr>
                <w:sz w:val="20"/>
                <w:szCs w:val="20"/>
                <w:color w:val="auto"/>
              </w:rPr>
            </w:pPr>
            <w:r>
              <w:rPr>
                <w:rFonts w:ascii="Arial" w:cs="Arial" w:eastAsia="Arial" w:hAnsi="Arial"/>
                <w:sz w:val="20"/>
                <w:szCs w:val="20"/>
                <w:color w:val="auto"/>
              </w:rPr>
              <w:t>114.49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Forfeited</w:t>
            </w:r>
          </w:p>
        </w:tc>
        <w:tc>
          <w:tcPr>
            <w:tcW w:w="1840" w:type="dxa"/>
            <w:vAlign w:val="bottom"/>
            <w:gridSpan w:val="2"/>
            <w:shd w:val="clear" w:color="auto" w:fill="CCEEFF"/>
          </w:tcPr>
          <w:p>
            <w:pPr>
              <w:jc w:val="center"/>
              <w:ind w:left="781"/>
              <w:spacing w:after="0" w:line="216" w:lineRule="exact"/>
              <w:rPr>
                <w:sz w:val="20"/>
                <w:szCs w:val="20"/>
                <w:color w:val="auto"/>
              </w:rPr>
            </w:pPr>
            <w:r>
              <w:rPr>
                <w:rFonts w:ascii="Arial" w:cs="Arial" w:eastAsia="Arial" w:hAnsi="Arial"/>
                <w:sz w:val="20"/>
                <w:szCs w:val="20"/>
                <w:color w:val="auto"/>
                <w:w w:val="97"/>
              </w:rPr>
              <w:t>(2)</w:t>
            </w:r>
          </w:p>
        </w:tc>
        <w:tc>
          <w:tcPr>
            <w:tcW w:w="4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rPr>
              <w:t>130.30</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20"/>
                <w:szCs w:val="20"/>
                <w:color w:val="auto"/>
              </w:rPr>
              <w:t>Balance as of 30 October 2016</w:t>
            </w: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gridSpan w:val="2"/>
            <w:vMerge w:val="continue"/>
          </w:tcPr>
          <w:p>
            <w:pPr>
              <w:spacing w:after="0"/>
              <w:rPr>
                <w:sz w:val="17"/>
                <w:szCs w:val="17"/>
                <w:color w:val="auto"/>
              </w:rPr>
            </w:pPr>
          </w:p>
        </w:tc>
        <w:tc>
          <w:tcPr>
            <w:tcW w:w="1840" w:type="dxa"/>
            <w:vAlign w:val="bottom"/>
            <w:tcBorders>
              <w:top w:val="single" w:sz="8" w:color="auto"/>
            </w:tcBorders>
            <w:gridSpan w:val="2"/>
          </w:tcPr>
          <w:p>
            <w:pPr>
              <w:jc w:val="center"/>
              <w:ind w:left="761"/>
              <w:spacing w:after="0" w:line="203" w:lineRule="exact"/>
              <w:rPr>
                <w:sz w:val="20"/>
                <w:szCs w:val="20"/>
                <w:color w:val="auto"/>
              </w:rPr>
            </w:pPr>
            <w:r>
              <w:rPr>
                <w:rFonts w:ascii="Arial" w:cs="Arial" w:eastAsia="Arial" w:hAnsi="Arial"/>
                <w:sz w:val="20"/>
                <w:szCs w:val="20"/>
                <w:color w:val="auto"/>
                <w:w w:val="98"/>
              </w:rPr>
              <w:t>17</w:t>
            </w:r>
          </w:p>
        </w:tc>
        <w:tc>
          <w:tcPr>
            <w:tcW w:w="4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60" w:type="dxa"/>
            <w:vAlign w:val="bottom"/>
            <w:gridSpan w:val="3"/>
          </w:tcPr>
          <w:p>
            <w:pPr>
              <w:jc w:val="right"/>
              <w:ind w:right="40"/>
              <w:spacing w:after="0" w:line="203" w:lineRule="exact"/>
              <w:rPr>
                <w:sz w:val="20"/>
                <w:szCs w:val="20"/>
                <w:color w:val="auto"/>
              </w:rPr>
            </w:pPr>
            <w:r>
              <w:rPr>
                <w:rFonts w:ascii="Arial" w:cs="Arial" w:eastAsia="Arial" w:hAnsi="Arial"/>
                <w:sz w:val="20"/>
                <w:szCs w:val="20"/>
                <w:color w:val="auto"/>
              </w:rPr>
              <w:t>130.71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Granted</w:t>
            </w:r>
          </w:p>
        </w:tc>
        <w:tc>
          <w:tcPr>
            <w:tcW w:w="1840" w:type="dxa"/>
            <w:vAlign w:val="bottom"/>
            <w:gridSpan w:val="2"/>
            <w:shd w:val="clear" w:color="auto" w:fill="CCEEFF"/>
          </w:tcPr>
          <w:p>
            <w:pPr>
              <w:jc w:val="center"/>
              <w:ind w:left="761"/>
              <w:spacing w:after="0" w:line="216" w:lineRule="exact"/>
              <w:rPr>
                <w:sz w:val="20"/>
                <w:szCs w:val="20"/>
                <w:color w:val="auto"/>
              </w:rPr>
            </w:pPr>
            <w:r>
              <w:rPr>
                <w:rFonts w:ascii="Arial" w:cs="Arial" w:eastAsia="Arial" w:hAnsi="Arial"/>
                <w:sz w:val="20"/>
                <w:szCs w:val="20"/>
                <w:color w:val="auto"/>
                <w:w w:val="89"/>
              </w:rPr>
              <w:t>8</w:t>
            </w:r>
          </w:p>
        </w:tc>
        <w:tc>
          <w:tcPr>
            <w:tcW w:w="4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rPr>
              <w:t>199.33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line="216" w:lineRule="exact"/>
              <w:rPr>
                <w:sz w:val="20"/>
                <w:szCs w:val="20"/>
                <w:color w:val="auto"/>
              </w:rPr>
            </w:pPr>
            <w:r>
              <w:rPr>
                <w:rFonts w:ascii="Arial" w:cs="Arial" w:eastAsia="Arial" w:hAnsi="Arial"/>
                <w:sz w:val="20"/>
                <w:szCs w:val="20"/>
                <w:color w:val="auto"/>
              </w:rPr>
              <w:t>Vested</w:t>
            </w:r>
          </w:p>
        </w:tc>
        <w:tc>
          <w:tcPr>
            <w:tcW w:w="1840" w:type="dxa"/>
            <w:vAlign w:val="bottom"/>
            <w:gridSpan w:val="2"/>
          </w:tcPr>
          <w:p>
            <w:pPr>
              <w:jc w:val="center"/>
              <w:ind w:left="781"/>
              <w:spacing w:after="0" w:line="216" w:lineRule="exact"/>
              <w:rPr>
                <w:sz w:val="20"/>
                <w:szCs w:val="20"/>
                <w:color w:val="auto"/>
              </w:rPr>
            </w:pPr>
            <w:r>
              <w:rPr>
                <w:rFonts w:ascii="Arial" w:cs="Arial" w:eastAsia="Arial" w:hAnsi="Arial"/>
                <w:sz w:val="20"/>
                <w:szCs w:val="20"/>
                <w:color w:val="auto"/>
                <w:w w:val="97"/>
              </w:rPr>
              <w:t>(5)</w:t>
            </w:r>
          </w:p>
        </w:tc>
        <w:tc>
          <w:tcPr>
            <w:tcW w:w="440" w:type="dxa"/>
            <w:vAlign w:val="bottom"/>
          </w:tcPr>
          <w:p>
            <w:pPr>
              <w:spacing w:after="0"/>
              <w:rPr>
                <w:sz w:val="18"/>
                <w:szCs w:val="18"/>
                <w:color w:val="auto"/>
              </w:rPr>
            </w:pPr>
          </w:p>
        </w:tc>
        <w:tc>
          <w:tcPr>
            <w:tcW w:w="1600" w:type="dxa"/>
            <w:vAlign w:val="bottom"/>
            <w:gridSpan w:val="4"/>
          </w:tcPr>
          <w:p>
            <w:pPr>
              <w:jc w:val="right"/>
              <w:ind w:right="40"/>
              <w:spacing w:after="0" w:line="216" w:lineRule="exact"/>
              <w:rPr>
                <w:sz w:val="20"/>
                <w:szCs w:val="20"/>
                <w:color w:val="auto"/>
              </w:rPr>
            </w:pPr>
            <w:r>
              <w:rPr>
                <w:rFonts w:ascii="Arial" w:cs="Arial" w:eastAsia="Arial" w:hAnsi="Arial"/>
                <w:sz w:val="20"/>
                <w:szCs w:val="20"/>
                <w:color w:val="auto"/>
              </w:rPr>
              <w:t>126.81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Forfeited</w:t>
            </w:r>
          </w:p>
        </w:tc>
        <w:tc>
          <w:tcPr>
            <w:tcW w:w="1840" w:type="dxa"/>
            <w:vAlign w:val="bottom"/>
            <w:gridSpan w:val="2"/>
            <w:shd w:val="clear" w:color="auto" w:fill="CCEEFF"/>
          </w:tcPr>
          <w:p>
            <w:pPr>
              <w:jc w:val="center"/>
              <w:ind w:left="781"/>
              <w:spacing w:after="0" w:line="216" w:lineRule="exact"/>
              <w:rPr>
                <w:sz w:val="20"/>
                <w:szCs w:val="20"/>
                <w:color w:val="auto"/>
              </w:rPr>
            </w:pPr>
            <w:r>
              <w:rPr>
                <w:rFonts w:ascii="Arial" w:cs="Arial" w:eastAsia="Arial" w:hAnsi="Arial"/>
                <w:sz w:val="20"/>
                <w:szCs w:val="20"/>
                <w:color w:val="auto"/>
                <w:w w:val="97"/>
              </w:rPr>
              <w:t>(2)</w:t>
            </w:r>
          </w:p>
        </w:tc>
        <w:tc>
          <w:tcPr>
            <w:tcW w:w="4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rPr>
              <w:t>142.78</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20"/>
                <w:szCs w:val="20"/>
                <w:color w:val="auto"/>
              </w:rPr>
              <w:t>Balance as of 29 October 2017</w:t>
            </w: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80" w:type="dxa"/>
            <w:vAlign w:val="bottom"/>
            <w:gridSpan w:val="2"/>
            <w:vMerge w:val="continue"/>
          </w:tcPr>
          <w:p>
            <w:pPr>
              <w:spacing w:after="0"/>
              <w:rPr>
                <w:sz w:val="19"/>
                <w:szCs w:val="19"/>
                <w:color w:val="auto"/>
              </w:rPr>
            </w:pPr>
          </w:p>
        </w:tc>
        <w:tc>
          <w:tcPr>
            <w:tcW w:w="1840" w:type="dxa"/>
            <w:vAlign w:val="bottom"/>
            <w:tcBorders>
              <w:top w:val="single" w:sz="8" w:color="auto"/>
              <w:bottom w:val="single" w:sz="8" w:color="auto"/>
            </w:tcBorders>
            <w:gridSpan w:val="2"/>
          </w:tcPr>
          <w:p>
            <w:pPr>
              <w:jc w:val="center"/>
              <w:ind w:left="761"/>
              <w:spacing w:after="0" w:line="217" w:lineRule="exact"/>
              <w:rPr>
                <w:sz w:val="20"/>
                <w:szCs w:val="20"/>
                <w:color w:val="auto"/>
              </w:rPr>
            </w:pPr>
            <w:r>
              <w:rPr>
                <w:rFonts w:ascii="Arial" w:cs="Arial" w:eastAsia="Arial" w:hAnsi="Arial"/>
                <w:sz w:val="20"/>
                <w:szCs w:val="20"/>
                <w:color w:val="auto"/>
                <w:w w:val="98"/>
              </w:rPr>
              <w:t>18</w:t>
            </w:r>
          </w:p>
        </w:tc>
        <w:tc>
          <w:tcPr>
            <w:tcW w:w="4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60" w:type="dxa"/>
            <w:vAlign w:val="bottom"/>
            <w:gridSpan w:val="3"/>
          </w:tcPr>
          <w:p>
            <w:pPr>
              <w:jc w:val="right"/>
              <w:ind w:right="40"/>
              <w:spacing w:after="0" w:line="217" w:lineRule="exact"/>
              <w:rPr>
                <w:sz w:val="20"/>
                <w:szCs w:val="20"/>
                <w:color w:val="auto"/>
              </w:rPr>
            </w:pPr>
            <w:r>
              <w:rPr>
                <w:rFonts w:ascii="Arial" w:cs="Arial" w:eastAsia="Arial" w:hAnsi="Arial"/>
                <w:sz w:val="20"/>
                <w:szCs w:val="20"/>
                <w:color w:val="auto"/>
              </w:rPr>
              <w:t>163.42</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980" w:right="20"/>
        <w:spacing w:after="0" w:line="239" w:lineRule="auto"/>
        <w:rPr>
          <w:sz w:val="20"/>
          <w:szCs w:val="20"/>
          <w:color w:val="auto"/>
        </w:rPr>
      </w:pPr>
      <w:r>
        <w:rPr>
          <w:rFonts w:ascii="Arial" w:cs="Arial" w:eastAsia="Arial" w:hAnsi="Arial"/>
          <w:sz w:val="18"/>
          <w:szCs w:val="18"/>
          <w:color w:val="auto"/>
        </w:rPr>
        <w:t>The aggregate fair value of time- and market-based RSUs that vested in financial years 2017, 2016 and 2015 was $1,172 million, $590 million and $179 million, respectively. As of 29 October 2017, the total unrecognised compensation cost related to unvested RSUs was $2,134 million, which is expected to be recognised over the remaining weighted-average service period of 3.0 years.</w:t>
      </w:r>
    </w:p>
    <w:p>
      <w:pPr>
        <w:spacing w:after="0" w:line="229" w:lineRule="exact"/>
        <w:rPr>
          <w:sz w:val="20"/>
          <w:szCs w:val="20"/>
          <w:color w:val="auto"/>
        </w:rPr>
      </w:pPr>
    </w:p>
    <w:p>
      <w:pPr>
        <w:ind w:left="980" w:hanging="776"/>
        <w:spacing w:after="0"/>
        <w:tabs>
          <w:tab w:leader="none" w:pos="9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Share Options</w:t>
      </w:r>
    </w:p>
    <w:p>
      <w:pPr>
        <w:spacing w:after="0" w:line="211" w:lineRule="exact"/>
        <w:rPr>
          <w:rFonts w:ascii="Arial" w:cs="Arial" w:eastAsia="Arial" w:hAnsi="Arial"/>
          <w:sz w:val="18"/>
          <w:szCs w:val="18"/>
          <w:color w:val="auto"/>
        </w:rPr>
      </w:pPr>
    </w:p>
    <w:p>
      <w:pPr>
        <w:jc w:val="both"/>
        <w:ind w:left="980" w:right="20"/>
        <w:spacing w:after="0" w:line="237" w:lineRule="auto"/>
        <w:rPr>
          <w:rFonts w:ascii="Arial" w:cs="Arial" w:eastAsia="Arial" w:hAnsi="Arial"/>
          <w:sz w:val="18"/>
          <w:szCs w:val="18"/>
          <w:color w:val="auto"/>
        </w:rPr>
      </w:pPr>
      <w:r>
        <w:rPr>
          <w:rFonts w:ascii="Arial" w:cs="Arial" w:eastAsia="Arial" w:hAnsi="Arial"/>
          <w:sz w:val="18"/>
          <w:szCs w:val="18"/>
          <w:color w:val="auto"/>
        </w:rPr>
        <w:t>Options issued to employees under the 2009 Plan prior to March 2011 generally expire ten years following the date of grant. Since March 2011, options issued to employees under the 2009 Plan generally expire seven years after the date of grant. Options awarded to non-employees under this plan generally expire after five years. Options issued to both employees and non-employees under the 2009 Plan generally vest over a four-year period from the date of grant and are granted with an exercise price equal to the fair market value on the date of grant. Any share options cancelled or forfeited after 27 July 2009 under the equity incentive plans adopted prior to the 2009 Plan become available for issuance under the 2009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96520</wp:posOffset>
            </wp:positionV>
            <wp:extent cx="6997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A-89</w:t>
      </w:r>
    </w:p>
    <w:p>
      <w:pPr>
        <w:sectPr>
          <w:pgSz w:w="11900" w:h="16838" w:orient="portrait"/>
          <w:cols w:equalWidth="0" w:num="1">
            <w:col w:w="11240"/>
          </w:cols>
          <w:pgMar w:left="240" w:top="460" w:right="4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Share Options (continued)</w:t>
      </w:r>
    </w:p>
    <w:p>
      <w:pPr>
        <w:spacing w:after="0" w:line="14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summary of time- and market-based share option activity is as follows:</w:t>
      </w:r>
    </w:p>
    <w:p>
      <w:pPr>
        <w:spacing w:after="0" w:line="200" w:lineRule="exact"/>
        <w:rPr>
          <w:sz w:val="20"/>
          <w:szCs w:val="20"/>
          <w:color w:val="auto"/>
        </w:rPr>
      </w:pPr>
    </w:p>
    <w:p>
      <w:pPr>
        <w:spacing w:after="0" w:line="285" w:lineRule="exact"/>
        <w:rPr>
          <w:sz w:val="20"/>
          <w:szCs w:val="20"/>
          <w:color w:val="auto"/>
        </w:rPr>
      </w:pPr>
    </w:p>
    <w:tbl>
      <w:tblPr>
        <w:tblLayout w:type="fixed"/>
        <w:tblInd w:w="11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6"/>
                <w:szCs w:val="16"/>
                <w:color w:val="auto"/>
                <w:w w:val="98"/>
              </w:rPr>
              <w:t>Weighted-</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color w:val="auto"/>
              </w:rPr>
              <w:t>Weighted-</w:t>
            </w: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6"/>
                <w:szCs w:val="16"/>
                <w:color w:val="auto"/>
              </w:rPr>
              <w:t>average</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color w:val="auto"/>
              </w:rPr>
              <w:t>average</w:t>
            </w: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Number of</w:t>
            </w:r>
          </w:p>
        </w:tc>
        <w:tc>
          <w:tcPr>
            <w:tcW w:w="520" w:type="dxa"/>
            <w:vAlign w:val="bottom"/>
          </w:tcPr>
          <w:p>
            <w:pPr>
              <w:spacing w:after="0"/>
              <w:rPr>
                <w:sz w:val="16"/>
                <w:szCs w:val="16"/>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6"/>
                <w:szCs w:val="16"/>
                <w:color w:val="auto"/>
              </w:rPr>
              <w:t>exercise</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color w:val="auto"/>
              </w:rPr>
              <w:t>remaining</w:t>
            </w:r>
          </w:p>
        </w:tc>
        <w:tc>
          <w:tcPr>
            <w:tcW w:w="1380" w:type="dxa"/>
            <w:vAlign w:val="bottom"/>
            <w:gridSpan w:val="3"/>
          </w:tcPr>
          <w:p>
            <w:pPr>
              <w:jc w:val="center"/>
              <w:ind w:left="48"/>
              <w:spacing w:after="0"/>
              <w:rPr>
                <w:sz w:val="20"/>
                <w:szCs w:val="20"/>
                <w:color w:val="auto"/>
              </w:rPr>
            </w:pPr>
            <w:r>
              <w:rPr>
                <w:rFonts w:ascii="Arial" w:cs="Arial" w:eastAsia="Arial" w:hAnsi="Arial"/>
                <w:sz w:val="16"/>
                <w:szCs w:val="16"/>
                <w:color w:val="auto"/>
              </w:rPr>
              <w:t>Aggregate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shares</w:t>
            </w:r>
          </w:p>
        </w:tc>
        <w:tc>
          <w:tcPr>
            <w:tcW w:w="520" w:type="dxa"/>
            <w:vAlign w:val="bottom"/>
          </w:tcPr>
          <w:p>
            <w:pPr>
              <w:spacing w:after="0"/>
              <w:rPr>
                <w:sz w:val="16"/>
                <w:szCs w:val="16"/>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6"/>
                <w:szCs w:val="16"/>
                <w:color w:val="auto"/>
              </w:rPr>
              <w:t>price per</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color w:val="auto"/>
              </w:rPr>
              <w:t>contractual</w:t>
            </w:r>
          </w:p>
        </w:tc>
        <w:tc>
          <w:tcPr>
            <w:tcW w:w="1380" w:type="dxa"/>
            <w:vAlign w:val="bottom"/>
            <w:gridSpan w:val="3"/>
          </w:tcPr>
          <w:p>
            <w:pPr>
              <w:jc w:val="center"/>
              <w:ind w:left="48"/>
              <w:spacing w:after="0"/>
              <w:rPr>
                <w:sz w:val="20"/>
                <w:szCs w:val="20"/>
                <w:color w:val="auto"/>
              </w:rPr>
            </w:pPr>
            <w:r>
              <w:rPr>
                <w:rFonts w:ascii="Arial" w:cs="Arial" w:eastAsia="Arial" w:hAnsi="Arial"/>
                <w:sz w:val="16"/>
                <w:szCs w:val="16"/>
                <w:color w:val="auto"/>
              </w:rPr>
              <w:t>intrinsic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Arial" w:cs="Arial" w:eastAsia="Arial" w:hAnsi="Arial"/>
                <w:sz w:val="16"/>
                <w:szCs w:val="16"/>
                <w:color w:val="auto"/>
              </w:rPr>
              <w:t>outstanding</w:t>
            </w:r>
          </w:p>
        </w:tc>
        <w:tc>
          <w:tcPr>
            <w:tcW w:w="520" w:type="dxa"/>
            <w:vAlign w:val="bottom"/>
          </w:tcPr>
          <w:p>
            <w:pPr>
              <w:spacing w:after="0"/>
              <w:rPr>
                <w:sz w:val="13"/>
                <w:szCs w:val="13"/>
                <w:color w:val="auto"/>
              </w:rPr>
            </w:pPr>
          </w:p>
        </w:tc>
        <w:tc>
          <w:tcPr>
            <w:tcW w:w="1260" w:type="dxa"/>
            <w:vAlign w:val="bottom"/>
            <w:gridSpan w:val="3"/>
          </w:tcPr>
          <w:p>
            <w:pPr>
              <w:jc w:val="center"/>
              <w:ind w:right="260"/>
              <w:spacing w:after="0" w:line="160" w:lineRule="exact"/>
              <w:rPr>
                <w:sz w:val="20"/>
                <w:szCs w:val="20"/>
                <w:color w:val="auto"/>
              </w:rPr>
            </w:pPr>
            <w:r>
              <w:rPr>
                <w:rFonts w:ascii="Arial" w:cs="Arial" w:eastAsia="Arial" w:hAnsi="Arial"/>
                <w:sz w:val="16"/>
                <w:szCs w:val="16"/>
                <w:color w:val="auto"/>
                <w:w w:val="99"/>
              </w:rPr>
              <w:t>share</w:t>
            </w:r>
          </w:p>
        </w:tc>
        <w:tc>
          <w:tcPr>
            <w:tcW w:w="1420" w:type="dxa"/>
            <w:vAlign w:val="bottom"/>
            <w:gridSpan w:val="3"/>
          </w:tcPr>
          <w:p>
            <w:pPr>
              <w:jc w:val="center"/>
              <w:ind w:right="100"/>
              <w:spacing w:after="0" w:line="160" w:lineRule="exact"/>
              <w:rPr>
                <w:sz w:val="20"/>
                <w:szCs w:val="20"/>
                <w:color w:val="auto"/>
              </w:rPr>
            </w:pPr>
            <w:r>
              <w:rPr>
                <w:rFonts w:ascii="Arial" w:cs="Arial" w:eastAsia="Arial" w:hAnsi="Arial"/>
                <w:sz w:val="16"/>
                <w:szCs w:val="16"/>
                <w:color w:val="auto"/>
                <w:w w:val="97"/>
              </w:rPr>
              <w:t>life</w:t>
            </w:r>
          </w:p>
        </w:tc>
        <w:tc>
          <w:tcPr>
            <w:tcW w:w="1380" w:type="dxa"/>
            <w:vAlign w:val="bottom"/>
            <w:gridSpan w:val="3"/>
          </w:tcPr>
          <w:p>
            <w:pPr>
              <w:jc w:val="center"/>
              <w:ind w:left="48"/>
              <w:spacing w:after="0" w:line="160" w:lineRule="exact"/>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(in millions)</w:t>
            </w:r>
          </w:p>
        </w:tc>
        <w:tc>
          <w:tcPr>
            <w:tcW w:w="1780" w:type="dxa"/>
            <w:vAlign w:val="bottom"/>
            <w:gridSpan w:val="4"/>
          </w:tcPr>
          <w:p>
            <w:pPr>
              <w:jc w:val="center"/>
              <w:ind w:left="164"/>
              <w:spacing w:after="0"/>
              <w:rPr>
                <w:sz w:val="20"/>
                <w:szCs w:val="20"/>
                <w:color w:val="auto"/>
              </w:rPr>
            </w:pPr>
            <w:r>
              <w:rPr>
                <w:rFonts w:ascii="Arial" w:cs="Arial" w:eastAsia="Arial" w:hAnsi="Arial"/>
                <w:sz w:val="16"/>
                <w:szCs w:val="16"/>
                <w:color w:val="auto"/>
              </w:rPr>
              <w:t>(US$ millions)</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color w:val="auto"/>
              </w:rPr>
              <w:t>(in years)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Balance as of 1 November 2015</w:t>
            </w:r>
          </w:p>
        </w:tc>
        <w:tc>
          <w:tcPr>
            <w:tcW w:w="1340" w:type="dxa"/>
            <w:vAlign w:val="bottom"/>
            <w:gridSpan w:val="2"/>
            <w:shd w:val="clear" w:color="auto" w:fill="CCEEFF"/>
          </w:tcPr>
          <w:p>
            <w:pPr>
              <w:jc w:val="center"/>
              <w:ind w:left="421"/>
              <w:spacing w:after="0" w:line="216" w:lineRule="exact"/>
              <w:rPr>
                <w:sz w:val="20"/>
                <w:szCs w:val="20"/>
                <w:color w:val="auto"/>
              </w:rPr>
            </w:pPr>
            <w:r>
              <w:rPr>
                <w:rFonts w:ascii="Arial" w:cs="Arial" w:eastAsia="Arial" w:hAnsi="Arial"/>
                <w:sz w:val="20"/>
                <w:szCs w:val="20"/>
                <w:color w:val="auto"/>
                <w:w w:val="98"/>
              </w:rPr>
              <w:t>21</w:t>
            </w:r>
          </w:p>
        </w:tc>
        <w:tc>
          <w:tcPr>
            <w:tcW w:w="1780" w:type="dxa"/>
            <w:vAlign w:val="bottom"/>
            <w:gridSpan w:val="4"/>
            <w:shd w:val="clear" w:color="auto" w:fill="CCEEFF"/>
          </w:tcPr>
          <w:p>
            <w:pPr>
              <w:jc w:val="center"/>
              <w:ind w:left="164"/>
              <w:spacing w:after="0" w:line="216" w:lineRule="exact"/>
              <w:rPr>
                <w:sz w:val="20"/>
                <w:szCs w:val="20"/>
                <w:color w:val="auto"/>
              </w:rPr>
            </w:pPr>
            <w:r>
              <w:rPr>
                <w:rFonts w:ascii="Arial" w:cs="Arial" w:eastAsia="Arial" w:hAnsi="Arial"/>
                <w:sz w:val="20"/>
                <w:szCs w:val="20"/>
                <w:color w:val="auto"/>
                <w:w w:val="95"/>
              </w:rPr>
              <w:t>47.92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line="216" w:lineRule="exact"/>
              <w:rPr>
                <w:sz w:val="20"/>
                <w:szCs w:val="20"/>
                <w:color w:val="auto"/>
              </w:rPr>
            </w:pPr>
            <w:r>
              <w:rPr>
                <w:rFonts w:ascii="Arial" w:cs="Arial" w:eastAsia="Arial" w:hAnsi="Arial"/>
                <w:sz w:val="20"/>
                <w:szCs w:val="20"/>
                <w:color w:val="auto"/>
              </w:rPr>
              <w:t>Exercised</w:t>
            </w:r>
          </w:p>
        </w:tc>
        <w:tc>
          <w:tcPr>
            <w:tcW w:w="1340" w:type="dxa"/>
            <w:vAlign w:val="bottom"/>
            <w:gridSpan w:val="2"/>
          </w:tcPr>
          <w:p>
            <w:pPr>
              <w:jc w:val="center"/>
              <w:ind w:left="401"/>
              <w:spacing w:after="0" w:line="216" w:lineRule="exact"/>
              <w:rPr>
                <w:sz w:val="20"/>
                <w:szCs w:val="20"/>
                <w:color w:val="auto"/>
              </w:rPr>
            </w:pPr>
            <w:r>
              <w:rPr>
                <w:rFonts w:ascii="Arial" w:cs="Arial" w:eastAsia="Arial" w:hAnsi="Arial"/>
                <w:sz w:val="20"/>
                <w:szCs w:val="20"/>
                <w:color w:val="auto"/>
                <w:w w:val="97"/>
              </w:rPr>
              <w:t>(5)</w:t>
            </w:r>
          </w:p>
        </w:tc>
        <w:tc>
          <w:tcPr>
            <w:tcW w:w="1780" w:type="dxa"/>
            <w:vAlign w:val="bottom"/>
            <w:gridSpan w:val="4"/>
          </w:tcPr>
          <w:p>
            <w:pPr>
              <w:jc w:val="center"/>
              <w:ind w:left="164"/>
              <w:spacing w:after="0" w:line="216" w:lineRule="exact"/>
              <w:rPr>
                <w:sz w:val="20"/>
                <w:szCs w:val="20"/>
                <w:color w:val="auto"/>
              </w:rPr>
            </w:pPr>
            <w:r>
              <w:rPr>
                <w:rFonts w:ascii="Arial" w:cs="Arial" w:eastAsia="Arial" w:hAnsi="Arial"/>
                <w:sz w:val="20"/>
                <w:szCs w:val="20"/>
                <w:color w:val="auto"/>
                <w:w w:val="95"/>
              </w:rPr>
              <w:t>44.35</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right"/>
              <w:ind w:right="340"/>
              <w:spacing w:after="0" w:line="216" w:lineRule="exact"/>
              <w:rPr>
                <w:sz w:val="20"/>
                <w:szCs w:val="20"/>
                <w:color w:val="auto"/>
              </w:rPr>
            </w:pPr>
            <w:r>
              <w:rPr>
                <w:rFonts w:ascii="Arial" w:cs="Arial" w:eastAsia="Arial" w:hAnsi="Arial"/>
                <w:sz w:val="20"/>
                <w:szCs w:val="20"/>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Cancelled</w:t>
            </w:r>
          </w:p>
        </w:tc>
        <w:tc>
          <w:tcPr>
            <w:tcW w:w="1340" w:type="dxa"/>
            <w:vAlign w:val="bottom"/>
            <w:gridSpan w:val="2"/>
            <w:shd w:val="clear" w:color="auto" w:fill="CCEEFF"/>
          </w:tcPr>
          <w:p>
            <w:pPr>
              <w:jc w:val="center"/>
              <w:ind w:left="401"/>
              <w:spacing w:after="0" w:line="216" w:lineRule="exact"/>
              <w:rPr>
                <w:sz w:val="20"/>
                <w:szCs w:val="20"/>
                <w:color w:val="auto"/>
              </w:rPr>
            </w:pPr>
            <w:r>
              <w:rPr>
                <w:rFonts w:ascii="Arial" w:cs="Arial" w:eastAsia="Arial" w:hAnsi="Arial"/>
                <w:sz w:val="20"/>
                <w:szCs w:val="20"/>
                <w:color w:val="auto"/>
                <w:w w:val="97"/>
              </w:rPr>
              <w:t>(1)</w:t>
            </w:r>
          </w:p>
        </w:tc>
        <w:tc>
          <w:tcPr>
            <w:tcW w:w="1780" w:type="dxa"/>
            <w:vAlign w:val="bottom"/>
            <w:gridSpan w:val="4"/>
            <w:shd w:val="clear" w:color="auto" w:fill="CCEEFF"/>
          </w:tcPr>
          <w:p>
            <w:pPr>
              <w:jc w:val="center"/>
              <w:ind w:left="164"/>
              <w:spacing w:after="0" w:line="216" w:lineRule="exact"/>
              <w:rPr>
                <w:sz w:val="20"/>
                <w:szCs w:val="20"/>
                <w:color w:val="auto"/>
              </w:rPr>
            </w:pPr>
            <w:r>
              <w:rPr>
                <w:rFonts w:ascii="Arial" w:cs="Arial" w:eastAsia="Arial" w:hAnsi="Arial"/>
                <w:sz w:val="20"/>
                <w:szCs w:val="20"/>
                <w:color w:val="auto"/>
                <w:w w:val="95"/>
              </w:rPr>
              <w:t>53.56</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20"/>
                <w:szCs w:val="20"/>
                <w:color w:val="auto"/>
              </w:rPr>
              <w:t>Balance as of 30 October 2016</w:t>
            </w: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2"/>
            <w:vMerge w:val="continue"/>
          </w:tcPr>
          <w:p>
            <w:pPr>
              <w:spacing w:after="0"/>
              <w:rPr>
                <w:sz w:val="17"/>
                <w:szCs w:val="17"/>
                <w:color w:val="auto"/>
              </w:rPr>
            </w:pPr>
          </w:p>
        </w:tc>
        <w:tc>
          <w:tcPr>
            <w:tcW w:w="1340" w:type="dxa"/>
            <w:vAlign w:val="bottom"/>
            <w:tcBorders>
              <w:top w:val="single" w:sz="8" w:color="auto"/>
            </w:tcBorders>
            <w:gridSpan w:val="2"/>
          </w:tcPr>
          <w:p>
            <w:pPr>
              <w:jc w:val="center"/>
              <w:ind w:left="421"/>
              <w:spacing w:after="0" w:line="203" w:lineRule="exact"/>
              <w:rPr>
                <w:sz w:val="20"/>
                <w:szCs w:val="20"/>
                <w:color w:val="auto"/>
              </w:rPr>
            </w:pPr>
            <w:r>
              <w:rPr>
                <w:rFonts w:ascii="Arial" w:cs="Arial" w:eastAsia="Arial" w:hAnsi="Arial"/>
                <w:sz w:val="20"/>
                <w:szCs w:val="20"/>
                <w:color w:val="auto"/>
                <w:w w:val="98"/>
              </w:rPr>
              <w:t>15</w:t>
            </w:r>
          </w:p>
        </w:tc>
        <w:tc>
          <w:tcPr>
            <w:tcW w:w="520" w:type="dxa"/>
            <w:vAlign w:val="bottom"/>
            <w:tcBorders>
              <w:top w:val="single" w:sz="8" w:color="auto"/>
            </w:tcBorders>
          </w:tcPr>
          <w:p>
            <w:pPr>
              <w:spacing w:after="0"/>
              <w:rPr>
                <w:sz w:val="17"/>
                <w:szCs w:val="17"/>
                <w:color w:val="auto"/>
              </w:rPr>
            </w:pPr>
          </w:p>
        </w:tc>
        <w:tc>
          <w:tcPr>
            <w:tcW w:w="1260" w:type="dxa"/>
            <w:vAlign w:val="bottom"/>
            <w:gridSpan w:val="3"/>
          </w:tcPr>
          <w:p>
            <w:pPr>
              <w:jc w:val="center"/>
              <w:ind w:right="260"/>
              <w:spacing w:after="0" w:line="203" w:lineRule="exact"/>
              <w:rPr>
                <w:sz w:val="20"/>
                <w:szCs w:val="20"/>
                <w:color w:val="auto"/>
              </w:rPr>
            </w:pPr>
            <w:r>
              <w:rPr>
                <w:rFonts w:ascii="Arial" w:cs="Arial" w:eastAsia="Arial" w:hAnsi="Arial"/>
                <w:sz w:val="20"/>
                <w:szCs w:val="20"/>
                <w:color w:val="auto"/>
                <w:w w:val="95"/>
              </w:rPr>
              <w:t>48.77</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Exercised</w:t>
            </w:r>
          </w:p>
        </w:tc>
        <w:tc>
          <w:tcPr>
            <w:tcW w:w="1340" w:type="dxa"/>
            <w:vAlign w:val="bottom"/>
            <w:gridSpan w:val="2"/>
            <w:shd w:val="clear" w:color="auto" w:fill="CCEEFF"/>
          </w:tcPr>
          <w:p>
            <w:pPr>
              <w:jc w:val="center"/>
              <w:ind w:left="401"/>
              <w:spacing w:after="0" w:line="216" w:lineRule="exact"/>
              <w:rPr>
                <w:sz w:val="20"/>
                <w:szCs w:val="20"/>
                <w:color w:val="auto"/>
              </w:rPr>
            </w:pPr>
            <w:r>
              <w:rPr>
                <w:rFonts w:ascii="Arial" w:cs="Arial" w:eastAsia="Arial" w:hAnsi="Arial"/>
                <w:sz w:val="20"/>
                <w:szCs w:val="20"/>
                <w:color w:val="auto"/>
                <w:w w:val="97"/>
              </w:rPr>
              <w:t>(4)</w:t>
            </w:r>
          </w:p>
        </w:tc>
        <w:tc>
          <w:tcPr>
            <w:tcW w:w="1780" w:type="dxa"/>
            <w:vAlign w:val="bottom"/>
            <w:gridSpan w:val="4"/>
            <w:shd w:val="clear" w:color="auto" w:fill="CCEEFF"/>
          </w:tcPr>
          <w:p>
            <w:pPr>
              <w:jc w:val="center"/>
              <w:ind w:left="164"/>
              <w:spacing w:after="0" w:line="216" w:lineRule="exact"/>
              <w:rPr>
                <w:sz w:val="20"/>
                <w:szCs w:val="20"/>
                <w:color w:val="auto"/>
              </w:rPr>
            </w:pPr>
            <w:r>
              <w:rPr>
                <w:rFonts w:ascii="Arial" w:cs="Arial" w:eastAsia="Arial" w:hAnsi="Arial"/>
                <w:sz w:val="20"/>
                <w:szCs w:val="20"/>
                <w:color w:val="auto"/>
                <w:w w:val="95"/>
              </w:rPr>
              <w:t>45.48</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40"/>
              <w:spacing w:after="0" w:line="216" w:lineRule="exact"/>
              <w:rPr>
                <w:sz w:val="20"/>
                <w:szCs w:val="20"/>
                <w:color w:val="auto"/>
              </w:rPr>
            </w:pPr>
            <w:r>
              <w:rPr>
                <w:rFonts w:ascii="Arial" w:cs="Arial" w:eastAsia="Arial" w:hAnsi="Arial"/>
                <w:sz w:val="20"/>
                <w:szCs w:val="20"/>
                <w:color w:val="auto"/>
              </w:rPr>
              <w:t>682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Cancelled</w:t>
            </w:r>
          </w:p>
        </w:tc>
        <w:tc>
          <w:tcPr>
            <w:tcW w:w="1340" w:type="dxa"/>
            <w:vAlign w:val="bottom"/>
            <w:gridSpan w:val="2"/>
          </w:tcPr>
          <w:p>
            <w:pPr>
              <w:jc w:val="center"/>
              <w:ind w:left="401"/>
              <w:spacing w:after="0"/>
              <w:rPr>
                <w:sz w:val="20"/>
                <w:szCs w:val="20"/>
                <w:color w:val="auto"/>
              </w:rPr>
            </w:pPr>
            <w:r>
              <w:rPr>
                <w:rFonts w:ascii="Arial" w:cs="Arial" w:eastAsia="Arial" w:hAnsi="Arial"/>
                <w:sz w:val="20"/>
                <w:szCs w:val="20"/>
                <w:color w:val="auto"/>
                <w:w w:val="97"/>
              </w:rPr>
              <w:t>(1)</w:t>
            </w:r>
          </w:p>
        </w:tc>
        <w:tc>
          <w:tcPr>
            <w:tcW w:w="1780" w:type="dxa"/>
            <w:vAlign w:val="bottom"/>
            <w:gridSpan w:val="4"/>
          </w:tcPr>
          <w:p>
            <w:pPr>
              <w:jc w:val="center"/>
              <w:ind w:left="164"/>
              <w:spacing w:after="0"/>
              <w:rPr>
                <w:sz w:val="20"/>
                <w:szCs w:val="20"/>
                <w:color w:val="auto"/>
              </w:rPr>
            </w:pPr>
            <w:r>
              <w:rPr>
                <w:rFonts w:ascii="Arial" w:cs="Arial" w:eastAsia="Arial" w:hAnsi="Arial"/>
                <w:sz w:val="20"/>
                <w:szCs w:val="20"/>
                <w:color w:val="auto"/>
                <w:w w:val="95"/>
              </w:rPr>
              <w:t>66.08</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Balance as of 29 October 2017</w:t>
            </w:r>
          </w:p>
        </w:tc>
        <w:tc>
          <w:tcPr>
            <w:tcW w:w="1340" w:type="dxa"/>
            <w:vAlign w:val="bottom"/>
            <w:tcBorders>
              <w:top w:val="single" w:sz="8" w:color="auto"/>
            </w:tcBorders>
            <w:gridSpan w:val="2"/>
            <w:shd w:val="clear" w:color="auto" w:fill="CCEEFF"/>
          </w:tcPr>
          <w:p>
            <w:pPr>
              <w:jc w:val="center"/>
              <w:ind w:left="421"/>
              <w:spacing w:after="0" w:line="209" w:lineRule="exact"/>
              <w:rPr>
                <w:sz w:val="20"/>
                <w:szCs w:val="20"/>
                <w:color w:val="auto"/>
              </w:rPr>
            </w:pPr>
            <w:r>
              <w:rPr>
                <w:rFonts w:ascii="Arial" w:cs="Arial" w:eastAsia="Arial" w:hAnsi="Arial"/>
                <w:sz w:val="20"/>
                <w:szCs w:val="20"/>
                <w:color w:val="auto"/>
                <w:w w:val="98"/>
              </w:rPr>
              <w:t>10</w:t>
            </w:r>
          </w:p>
        </w:tc>
        <w:tc>
          <w:tcPr>
            <w:tcW w:w="5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CCEEFF"/>
            </w:tcBorders>
            <w:gridSpan w:val="3"/>
            <w:shd w:val="clear" w:color="auto" w:fill="CCEEFF"/>
          </w:tcPr>
          <w:p>
            <w:pPr>
              <w:jc w:val="center"/>
              <w:ind w:right="260"/>
              <w:spacing w:after="0" w:line="209" w:lineRule="exact"/>
              <w:rPr>
                <w:sz w:val="20"/>
                <w:szCs w:val="20"/>
                <w:color w:val="auto"/>
              </w:rPr>
            </w:pPr>
            <w:r>
              <w:rPr>
                <w:rFonts w:ascii="Arial" w:cs="Arial" w:eastAsia="Arial" w:hAnsi="Arial"/>
                <w:sz w:val="20"/>
                <w:szCs w:val="20"/>
                <w:color w:val="auto"/>
                <w:w w:val="95"/>
              </w:rPr>
              <w:t>49.54</w:t>
            </w:r>
          </w:p>
        </w:tc>
        <w:tc>
          <w:tcPr>
            <w:tcW w:w="1420" w:type="dxa"/>
            <w:vAlign w:val="bottom"/>
            <w:tcBorders>
              <w:top w:val="single" w:sz="8" w:color="CCEEFF"/>
            </w:tcBorders>
            <w:gridSpan w:val="3"/>
            <w:shd w:val="clear" w:color="auto" w:fill="CCEEFF"/>
          </w:tcPr>
          <w:p>
            <w:pPr>
              <w:jc w:val="center"/>
              <w:ind w:right="120"/>
              <w:spacing w:after="0" w:line="209" w:lineRule="exact"/>
              <w:rPr>
                <w:sz w:val="20"/>
                <w:szCs w:val="20"/>
                <w:color w:val="auto"/>
              </w:rPr>
            </w:pPr>
            <w:r>
              <w:rPr>
                <w:rFonts w:ascii="Arial" w:cs="Arial" w:eastAsia="Arial" w:hAnsi="Arial"/>
                <w:sz w:val="20"/>
                <w:szCs w:val="20"/>
                <w:color w:val="auto"/>
                <w:w w:val="97"/>
              </w:rPr>
              <w:t>2.85</w:t>
            </w:r>
          </w:p>
        </w:tc>
        <w:tc>
          <w:tcPr>
            <w:tcW w:w="1380" w:type="dxa"/>
            <w:vAlign w:val="bottom"/>
            <w:tcBorders>
              <w:top w:val="single" w:sz="8" w:color="CCEEFF"/>
            </w:tcBorders>
            <w:gridSpan w:val="3"/>
            <w:shd w:val="clear" w:color="auto" w:fill="CCEEFF"/>
          </w:tcPr>
          <w:p>
            <w:pPr>
              <w:jc w:val="right"/>
              <w:ind w:right="340"/>
              <w:spacing w:after="0" w:line="209" w:lineRule="exact"/>
              <w:rPr>
                <w:sz w:val="20"/>
                <w:szCs w:val="20"/>
                <w:color w:val="auto"/>
              </w:rPr>
            </w:pPr>
            <w:r>
              <w:rPr>
                <w:rFonts w:ascii="Arial" w:cs="Arial" w:eastAsia="Arial" w:hAnsi="Arial"/>
                <w:sz w:val="20"/>
                <w:szCs w:val="20"/>
                <w:color w:val="auto"/>
              </w:rPr>
              <w:t>2,112</w:t>
            </w:r>
          </w:p>
        </w:tc>
        <w:tc>
          <w:tcPr>
            <w:tcW w:w="0" w:type="dxa"/>
            <w:vAlign w:val="bottom"/>
          </w:tcPr>
          <w:p>
            <w:pPr>
              <w:spacing w:after="0"/>
              <w:rPr>
                <w:sz w:val="1"/>
                <w:szCs w:val="1"/>
                <w:color w:val="auto"/>
              </w:rPr>
            </w:pPr>
          </w:p>
        </w:tc>
      </w:tr>
      <w:tr>
        <w:trPr>
          <w:trHeight w:val="21"/>
        </w:trPr>
        <w:tc>
          <w:tcPr>
            <w:tcW w:w="4220" w:type="dxa"/>
            <w:vAlign w:val="bottom"/>
            <w:gridSpan w:val="2"/>
            <w:vMerge w:val="restart"/>
          </w:tcPr>
          <w:p>
            <w:pPr>
              <w:spacing w:after="0"/>
              <w:rPr>
                <w:sz w:val="20"/>
                <w:szCs w:val="20"/>
                <w:color w:val="auto"/>
              </w:rPr>
            </w:pPr>
            <w:r>
              <w:rPr>
                <w:rFonts w:ascii="Arial" w:cs="Arial" w:eastAsia="Arial" w:hAnsi="Arial"/>
                <w:sz w:val="20"/>
                <w:szCs w:val="20"/>
                <w:color w:val="auto"/>
              </w:rPr>
              <w:t>Fully vested as of 29 October 2017</w:t>
            </w: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20"/>
                <w:szCs w:val="20"/>
                <w:color w:val="auto"/>
                <w:w w:val="97"/>
              </w:rPr>
              <w:t>2.75</w:t>
            </w:r>
          </w:p>
        </w:tc>
        <w:tc>
          <w:tcPr>
            <w:tcW w:w="1380" w:type="dxa"/>
            <w:vAlign w:val="bottom"/>
            <w:gridSpan w:val="3"/>
            <w:vMerge w:val="restart"/>
          </w:tcPr>
          <w:p>
            <w:pPr>
              <w:jc w:val="right"/>
              <w:ind w:right="340"/>
              <w:spacing w:after="0"/>
              <w:rPr>
                <w:sz w:val="20"/>
                <w:szCs w:val="20"/>
                <w:color w:val="auto"/>
              </w:rPr>
            </w:pPr>
            <w:r>
              <w:rPr>
                <w:rFonts w:ascii="Arial" w:cs="Arial" w:eastAsia="Arial" w:hAnsi="Arial"/>
                <w:sz w:val="20"/>
                <w:szCs w:val="20"/>
                <w:color w:val="auto"/>
              </w:rPr>
              <w:t>1,847</w:t>
            </w:r>
          </w:p>
        </w:tc>
        <w:tc>
          <w:tcPr>
            <w:tcW w:w="0" w:type="dxa"/>
            <w:vAlign w:val="bottom"/>
          </w:tcPr>
          <w:p>
            <w:pPr>
              <w:spacing w:after="0"/>
              <w:rPr>
                <w:sz w:val="1"/>
                <w:szCs w:val="1"/>
                <w:color w:val="auto"/>
              </w:rPr>
            </w:pPr>
          </w:p>
        </w:tc>
      </w:tr>
      <w:tr>
        <w:trPr>
          <w:trHeight w:val="216"/>
        </w:trPr>
        <w:tc>
          <w:tcPr>
            <w:tcW w:w="4220" w:type="dxa"/>
            <w:vAlign w:val="bottom"/>
            <w:gridSpan w:val="2"/>
            <w:vMerge w:val="continue"/>
          </w:tcPr>
          <w:p>
            <w:pPr>
              <w:spacing w:after="0"/>
              <w:rPr>
                <w:sz w:val="18"/>
                <w:szCs w:val="18"/>
                <w:color w:val="auto"/>
              </w:rPr>
            </w:pPr>
          </w:p>
        </w:tc>
        <w:tc>
          <w:tcPr>
            <w:tcW w:w="1340" w:type="dxa"/>
            <w:vAlign w:val="bottom"/>
            <w:tcBorders>
              <w:top w:val="single" w:sz="8" w:color="auto"/>
            </w:tcBorders>
            <w:gridSpan w:val="2"/>
          </w:tcPr>
          <w:p>
            <w:pPr>
              <w:jc w:val="center"/>
              <w:ind w:left="421"/>
              <w:spacing w:after="0" w:line="216" w:lineRule="exact"/>
              <w:rPr>
                <w:sz w:val="20"/>
                <w:szCs w:val="20"/>
                <w:color w:val="auto"/>
              </w:rPr>
            </w:pPr>
            <w:r>
              <w:rPr>
                <w:rFonts w:ascii="Arial" w:cs="Arial" w:eastAsia="Arial" w:hAnsi="Arial"/>
                <w:sz w:val="20"/>
                <w:szCs w:val="20"/>
                <w:color w:val="auto"/>
                <w:w w:val="89"/>
              </w:rPr>
              <w:t>9</w:t>
            </w:r>
          </w:p>
        </w:tc>
        <w:tc>
          <w:tcPr>
            <w:tcW w:w="520" w:type="dxa"/>
            <w:vAlign w:val="bottom"/>
            <w:tcBorders>
              <w:top w:val="single" w:sz="8" w:color="auto"/>
            </w:tcBorders>
          </w:tcPr>
          <w:p>
            <w:pPr>
              <w:spacing w:after="0"/>
              <w:rPr>
                <w:sz w:val="18"/>
                <w:szCs w:val="18"/>
                <w:color w:val="auto"/>
              </w:rPr>
            </w:pPr>
          </w:p>
        </w:tc>
        <w:tc>
          <w:tcPr>
            <w:tcW w:w="1260" w:type="dxa"/>
            <w:vAlign w:val="bottom"/>
            <w:gridSpan w:val="3"/>
          </w:tcPr>
          <w:p>
            <w:pPr>
              <w:jc w:val="center"/>
              <w:ind w:right="260"/>
              <w:spacing w:after="0" w:line="216" w:lineRule="exact"/>
              <w:rPr>
                <w:sz w:val="20"/>
                <w:szCs w:val="20"/>
                <w:color w:val="auto"/>
              </w:rPr>
            </w:pPr>
            <w:r>
              <w:rPr>
                <w:rFonts w:ascii="Arial" w:cs="Arial" w:eastAsia="Arial" w:hAnsi="Arial"/>
                <w:sz w:val="20"/>
                <w:szCs w:val="20"/>
                <w:color w:val="auto"/>
                <w:w w:val="95"/>
              </w:rPr>
              <w:t>46.49</w:t>
            </w:r>
          </w:p>
        </w:tc>
        <w:tc>
          <w:tcPr>
            <w:tcW w:w="1420" w:type="dxa"/>
            <w:vAlign w:val="bottom"/>
            <w:gridSpan w:val="3"/>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0" w:type="dxa"/>
            <w:vAlign w:val="bottom"/>
            <w:shd w:val="clear" w:color="auto" w:fill="CCEEFF"/>
          </w:tcPr>
          <w:p>
            <w:pPr>
              <w:spacing w:after="0" w:line="212" w:lineRule="exact"/>
              <w:rPr>
                <w:sz w:val="20"/>
                <w:szCs w:val="20"/>
                <w:color w:val="auto"/>
              </w:rPr>
            </w:pPr>
            <w:r>
              <w:rPr>
                <w:rFonts w:ascii="Arial" w:cs="Arial" w:eastAsia="Arial" w:hAnsi="Arial"/>
                <w:sz w:val="20"/>
                <w:szCs w:val="20"/>
                <w:color w:val="auto"/>
              </w:rPr>
              <w:t>Fully vested and expected to vest as of</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00" w:type="dxa"/>
            <w:vAlign w:val="bottom"/>
            <w:shd w:val="clear" w:color="auto" w:fill="CCEEFF"/>
          </w:tcPr>
          <w:p>
            <w:pPr>
              <w:ind w:left="180"/>
              <w:spacing w:after="0" w:line="220" w:lineRule="exact"/>
              <w:rPr>
                <w:sz w:val="20"/>
                <w:szCs w:val="20"/>
                <w:color w:val="auto"/>
              </w:rPr>
            </w:pPr>
            <w:r>
              <w:rPr>
                <w:rFonts w:ascii="Arial" w:cs="Arial" w:eastAsia="Arial" w:hAnsi="Arial"/>
                <w:sz w:val="20"/>
                <w:szCs w:val="20"/>
                <w:color w:val="auto"/>
              </w:rPr>
              <w:t>29 October 2017</w:t>
            </w:r>
          </w:p>
        </w:tc>
        <w:tc>
          <w:tcPr>
            <w:tcW w:w="1340" w:type="dxa"/>
            <w:vAlign w:val="bottom"/>
            <w:gridSpan w:val="2"/>
            <w:shd w:val="clear" w:color="auto" w:fill="CCEEFF"/>
          </w:tcPr>
          <w:p>
            <w:pPr>
              <w:jc w:val="center"/>
              <w:ind w:left="421"/>
              <w:spacing w:after="0" w:line="220" w:lineRule="exact"/>
              <w:rPr>
                <w:sz w:val="20"/>
                <w:szCs w:val="20"/>
                <w:color w:val="auto"/>
              </w:rPr>
            </w:pPr>
            <w:r>
              <w:rPr>
                <w:rFonts w:ascii="Arial" w:cs="Arial" w:eastAsia="Arial" w:hAnsi="Arial"/>
                <w:sz w:val="20"/>
                <w:szCs w:val="20"/>
                <w:color w:val="auto"/>
                <w:w w:val="98"/>
              </w:rPr>
              <w:t>10</w:t>
            </w:r>
          </w:p>
        </w:tc>
        <w:tc>
          <w:tcPr>
            <w:tcW w:w="1780" w:type="dxa"/>
            <w:vAlign w:val="bottom"/>
            <w:gridSpan w:val="4"/>
            <w:shd w:val="clear" w:color="auto" w:fill="CCEEFF"/>
          </w:tcPr>
          <w:p>
            <w:pPr>
              <w:jc w:val="center"/>
              <w:ind w:left="164"/>
              <w:spacing w:after="0" w:line="220" w:lineRule="exact"/>
              <w:rPr>
                <w:sz w:val="20"/>
                <w:szCs w:val="20"/>
                <w:color w:val="auto"/>
              </w:rPr>
            </w:pPr>
            <w:r>
              <w:rPr>
                <w:rFonts w:ascii="Arial" w:cs="Arial" w:eastAsia="Arial" w:hAnsi="Arial"/>
                <w:sz w:val="20"/>
                <w:szCs w:val="20"/>
                <w:color w:val="auto"/>
                <w:w w:val="95"/>
              </w:rPr>
              <w:t>49.54</w:t>
            </w:r>
          </w:p>
        </w:tc>
        <w:tc>
          <w:tcPr>
            <w:tcW w:w="1420" w:type="dxa"/>
            <w:vAlign w:val="bottom"/>
            <w:gridSpan w:val="3"/>
            <w:shd w:val="clear" w:color="auto" w:fill="CCEEFF"/>
          </w:tcPr>
          <w:p>
            <w:pPr>
              <w:jc w:val="center"/>
              <w:ind w:right="120"/>
              <w:spacing w:after="0" w:line="220" w:lineRule="exact"/>
              <w:rPr>
                <w:sz w:val="20"/>
                <w:szCs w:val="20"/>
                <w:color w:val="auto"/>
              </w:rPr>
            </w:pPr>
            <w:r>
              <w:rPr>
                <w:rFonts w:ascii="Arial" w:cs="Arial" w:eastAsia="Arial" w:hAnsi="Arial"/>
                <w:sz w:val="20"/>
                <w:szCs w:val="20"/>
                <w:color w:val="auto"/>
                <w:w w:val="97"/>
              </w:rPr>
              <w:t>2.85</w:t>
            </w:r>
          </w:p>
        </w:tc>
        <w:tc>
          <w:tcPr>
            <w:tcW w:w="1380" w:type="dxa"/>
            <w:vAlign w:val="bottom"/>
            <w:gridSpan w:val="3"/>
            <w:shd w:val="clear" w:color="auto" w:fill="CCEEFF"/>
          </w:tcPr>
          <w:p>
            <w:pPr>
              <w:jc w:val="right"/>
              <w:ind w:right="340"/>
              <w:spacing w:after="0" w:line="220" w:lineRule="exact"/>
              <w:rPr>
                <w:sz w:val="20"/>
                <w:szCs w:val="20"/>
                <w:color w:val="auto"/>
              </w:rPr>
            </w:pPr>
            <w:r>
              <w:rPr>
                <w:rFonts w:ascii="Arial" w:cs="Arial" w:eastAsia="Arial" w:hAnsi="Arial"/>
                <w:sz w:val="20"/>
                <w:szCs w:val="20"/>
                <w:color w:val="auto"/>
              </w:rPr>
              <w:t>2,112</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As of 29 October 2017, the total unrecognised compensation cost related to unvested time- and market-based share options was $17 million, which is expected to be recognised over the remaining weighted-average service period of 0.7 years.</w:t>
      </w:r>
    </w:p>
    <w:p>
      <w:pPr>
        <w:spacing w:after="0" w:line="224" w:lineRule="exact"/>
        <w:rPr>
          <w:sz w:val="20"/>
          <w:szCs w:val="20"/>
          <w:color w:val="auto"/>
        </w:rPr>
      </w:pPr>
    </w:p>
    <w:p>
      <w:pPr>
        <w:ind w:left="980" w:hanging="776"/>
        <w:spacing w:after="0"/>
        <w:tabs>
          <w:tab w:leader="none" w:pos="9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Employee Share Purchase Plan</w:t>
      </w:r>
    </w:p>
    <w:p>
      <w:pPr>
        <w:spacing w:after="0" w:line="211" w:lineRule="exact"/>
        <w:rPr>
          <w:rFonts w:ascii="Arial" w:cs="Arial" w:eastAsia="Arial" w:hAnsi="Arial"/>
          <w:sz w:val="18"/>
          <w:szCs w:val="18"/>
          <w:color w:val="auto"/>
        </w:rPr>
      </w:pPr>
    </w:p>
    <w:p>
      <w:pPr>
        <w:jc w:val="both"/>
        <w:ind w:left="980" w:right="20"/>
        <w:spacing w:after="0" w:line="239" w:lineRule="auto"/>
        <w:rPr>
          <w:rFonts w:ascii="Arial" w:cs="Arial" w:eastAsia="Arial" w:hAnsi="Arial"/>
          <w:sz w:val="18"/>
          <w:szCs w:val="18"/>
          <w:color w:val="auto"/>
        </w:rPr>
      </w:pPr>
      <w:r>
        <w:rPr>
          <w:rFonts w:ascii="Arial" w:cs="Arial" w:eastAsia="Arial" w:hAnsi="Arial"/>
          <w:sz w:val="18"/>
          <w:szCs w:val="18"/>
          <w:color w:val="auto"/>
        </w:rPr>
        <w:t>The Company maintains an ESPP, which provides eligible employees with the opportunity to acquire an ownership interest in the Company through periodic payroll deductions, based on a six-month look-back period, at a price equal to the lesser of 85% of the fair market value of the ordinary shares at either the beginning or ending of the relevant offering period. The ESPP will terminate on 27 July 2019 unless sooner terminated.</w:t>
      </w:r>
    </w:p>
    <w:p>
      <w:pPr>
        <w:spacing w:after="0" w:line="201" w:lineRule="exact"/>
        <w:rPr>
          <w:rFonts w:ascii="Arial" w:cs="Arial" w:eastAsia="Arial" w:hAnsi="Arial"/>
          <w:sz w:val="18"/>
          <w:szCs w:val="18"/>
          <w:color w:val="auto"/>
        </w:rPr>
      </w:pPr>
    </w:p>
    <w:p>
      <w:pPr>
        <w:jc w:val="both"/>
        <w:ind w:left="980" w:right="20"/>
        <w:spacing w:after="0" w:line="239" w:lineRule="auto"/>
        <w:rPr>
          <w:rFonts w:ascii="Arial" w:cs="Arial" w:eastAsia="Arial" w:hAnsi="Arial"/>
          <w:sz w:val="18"/>
          <w:szCs w:val="18"/>
          <w:color w:val="auto"/>
        </w:rPr>
      </w:pPr>
      <w:r>
        <w:rPr>
          <w:rFonts w:ascii="Arial" w:cs="Arial" w:eastAsia="Arial" w:hAnsi="Arial"/>
          <w:sz w:val="18"/>
          <w:szCs w:val="18"/>
          <w:color w:val="auto"/>
        </w:rPr>
        <w:t>In financial years 2017, 2016 and 2015, under the ESPP, employees purchased 0.5 million, 0.4 million and 0.2 million ordinary shares for $78 million, $51 million and $15 million, respectively. As of 29 October 2017, the total unrecognized compensation cost related to the ESPP purchase rights was $12 million, which is expected to be recognised over the remaining four months of the current offering period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A-90</w:t>
      </w:r>
    </w:p>
    <w:p>
      <w:pPr>
        <w:sectPr>
          <w:pgSz w:w="11900" w:h="16838" w:orient="portrait"/>
          <w:cols w:equalWidth="0" w:num="1">
            <w:col w:w="11240"/>
          </w:cols>
          <w:pgMar w:left="24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980" w:hanging="776"/>
        <w:spacing w:after="0"/>
        <w:tabs>
          <w:tab w:leader="none" w:pos="98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Retained profits</w:t>
      </w:r>
    </w:p>
    <w:p>
      <w:pPr>
        <w:spacing w:after="0" w:line="125"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Movement in retained profits for the Company is as follows: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vMerge w:val="restart"/>
          </w:tcPr>
          <w:p>
            <w:pPr>
              <w:jc w:val="right"/>
              <w:ind w:right="284"/>
              <w:spacing w:after="0"/>
              <w:rPr>
                <w:sz w:val="20"/>
                <w:szCs w:val="20"/>
                <w:color w:val="auto"/>
              </w:rPr>
            </w:pPr>
            <w:r>
              <w:rPr>
                <w:rFonts w:ascii="Arial" w:cs="Arial" w:eastAsia="Arial" w:hAnsi="Arial"/>
                <w:sz w:val="18"/>
                <w:szCs w:val="18"/>
                <w:b w:val="1"/>
                <w:bCs w:val="1"/>
                <w:color w:val="auto"/>
              </w:rPr>
              <w:t>2017</w:t>
            </w: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Company</w:t>
            </w:r>
          </w:p>
        </w:tc>
        <w:tc>
          <w:tcPr>
            <w:tcW w:w="1320" w:type="dxa"/>
            <w:vAlign w:val="bottom"/>
            <w:vMerge w:val="restart"/>
          </w:tcPr>
          <w:p>
            <w:pPr>
              <w:jc w:val="right"/>
              <w:ind w:right="404"/>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4"/>
          </w:tcPr>
          <w:p>
            <w:pPr>
              <w:ind w:left="700"/>
              <w:spacing w:after="0"/>
              <w:rPr>
                <w:sz w:val="20"/>
                <w:szCs w:val="20"/>
                <w:color w:val="auto"/>
              </w:rPr>
            </w:pPr>
            <w:r>
              <w:rPr>
                <w:rFonts w:ascii="Arial" w:cs="Arial" w:eastAsia="Arial" w:hAnsi="Arial"/>
                <w:sz w:val="18"/>
                <w:szCs w:val="18"/>
                <w:b w:val="1"/>
                <w:bCs w:val="1"/>
                <w:color w:val="auto"/>
              </w:rPr>
              <w:t>(US$ millions)</w:t>
            </w:r>
          </w:p>
        </w:tc>
        <w:tc>
          <w:tcPr>
            <w:tcW w:w="1320" w:type="dxa"/>
            <w:vAlign w:val="bottom"/>
          </w:tcPr>
          <w:p>
            <w:pPr>
              <w:jc w:val="right"/>
              <w:ind w:right="44"/>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80" w:type="dxa"/>
            <w:vAlign w:val="bottom"/>
            <w:vMerge w:val="restart"/>
          </w:tcPr>
          <w:p>
            <w:pPr>
              <w:spacing w:after="0"/>
              <w:rPr>
                <w:sz w:val="14"/>
                <w:szCs w:val="14"/>
                <w:color w:val="auto"/>
              </w:rPr>
            </w:pPr>
          </w:p>
        </w:tc>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Beginning of financial year</w:t>
            </w:r>
          </w:p>
        </w:tc>
        <w:tc>
          <w:tcPr>
            <w:tcW w:w="2020" w:type="dxa"/>
            <w:vAlign w:val="bottom"/>
            <w:gridSpan w:val="2"/>
            <w:shd w:val="clear" w:color="auto" w:fill="CCEEFF"/>
          </w:tcPr>
          <w:p>
            <w:pPr>
              <w:jc w:val="right"/>
              <w:ind w:right="30"/>
              <w:spacing w:after="0" w:line="216" w:lineRule="exact"/>
              <w:rPr>
                <w:sz w:val="20"/>
                <w:szCs w:val="20"/>
                <w:color w:val="auto"/>
              </w:rPr>
            </w:pPr>
            <w:r>
              <w:rPr>
                <w:rFonts w:ascii="Arial" w:cs="Arial" w:eastAsia="Arial" w:hAnsi="Arial"/>
                <w:sz w:val="20"/>
                <w:szCs w:val="20"/>
                <w:b w:val="1"/>
                <w:bCs w:val="1"/>
                <w:color w:val="auto"/>
              </w:rPr>
              <w:t>2,077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4"/>
              <w:spacing w:after="0" w:line="216" w:lineRule="exact"/>
              <w:rPr>
                <w:sz w:val="20"/>
                <w:szCs w:val="20"/>
                <w:color w:val="auto"/>
              </w:rPr>
            </w:pPr>
            <w:r>
              <w:rPr>
                <w:rFonts w:ascii="Arial" w:cs="Arial" w:eastAsia="Arial" w:hAnsi="Arial"/>
                <w:sz w:val="20"/>
                <w:szCs w:val="20"/>
                <w:color w:val="auto"/>
              </w:rPr>
              <w:t>2,240</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60" w:type="dxa"/>
            <w:vAlign w:val="bottom"/>
            <w:gridSpan w:val="2"/>
          </w:tcPr>
          <w:p>
            <w:pPr>
              <w:spacing w:after="0" w:line="216" w:lineRule="exact"/>
              <w:rPr>
                <w:sz w:val="20"/>
                <w:szCs w:val="20"/>
                <w:color w:val="auto"/>
              </w:rPr>
            </w:pPr>
            <w:r>
              <w:rPr>
                <w:rFonts w:ascii="Arial" w:cs="Arial" w:eastAsia="Arial" w:hAnsi="Arial"/>
                <w:sz w:val="20"/>
                <w:szCs w:val="20"/>
                <w:color w:val="auto"/>
              </w:rPr>
              <w:t>Net profit</w:t>
            </w:r>
          </w:p>
        </w:tc>
        <w:tc>
          <w:tcPr>
            <w:tcW w:w="2020" w:type="dxa"/>
            <w:vAlign w:val="bottom"/>
            <w:gridSpan w:val="2"/>
          </w:tcPr>
          <w:p>
            <w:pPr>
              <w:jc w:val="right"/>
              <w:ind w:right="30"/>
              <w:spacing w:after="0" w:line="216" w:lineRule="exact"/>
              <w:rPr>
                <w:sz w:val="20"/>
                <w:szCs w:val="20"/>
                <w:color w:val="auto"/>
              </w:rPr>
            </w:pPr>
            <w:r>
              <w:rPr>
                <w:rFonts w:ascii="Arial" w:cs="Arial" w:eastAsia="Arial" w:hAnsi="Arial"/>
                <w:sz w:val="20"/>
                <w:szCs w:val="20"/>
                <w:b w:val="1"/>
                <w:bCs w:val="1"/>
                <w:color w:val="auto"/>
              </w:rPr>
              <w:t>1,736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44"/>
              <w:spacing w:after="0" w:line="216" w:lineRule="exact"/>
              <w:rPr>
                <w:sz w:val="20"/>
                <w:szCs w:val="20"/>
                <w:color w:val="auto"/>
              </w:rPr>
            </w:pPr>
            <w:r>
              <w:rPr>
                <w:rFonts w:ascii="Arial" w:cs="Arial" w:eastAsia="Arial" w:hAnsi="Arial"/>
                <w:sz w:val="20"/>
                <w:szCs w:val="20"/>
                <w:color w:val="auto"/>
              </w:rPr>
              <w:t>553</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6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Dividends paid (Note 25)</w:t>
            </w:r>
          </w:p>
        </w:tc>
        <w:tc>
          <w:tcPr>
            <w:tcW w:w="20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(1,653)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(716)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540" w:type="dxa"/>
            <w:vAlign w:val="bottom"/>
            <w:gridSpan w:val="3"/>
            <w:vMerge w:val="restart"/>
          </w:tcPr>
          <w:p>
            <w:pPr>
              <w:ind w:left="260"/>
              <w:spacing w:after="0"/>
              <w:rPr>
                <w:sz w:val="20"/>
                <w:szCs w:val="20"/>
                <w:color w:val="auto"/>
              </w:rPr>
            </w:pPr>
            <w:r>
              <w:rPr>
                <w:rFonts w:ascii="Arial" w:cs="Arial" w:eastAsia="Arial" w:hAnsi="Arial"/>
                <w:sz w:val="20"/>
                <w:szCs w:val="20"/>
                <w:color w:val="auto"/>
              </w:rPr>
              <w:t>End of financial year</w:t>
            </w: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 w:type="dxa"/>
            <w:vAlign w:val="bottom"/>
          </w:tcPr>
          <w:p>
            <w:pPr>
              <w:spacing w:after="0"/>
              <w:rPr>
                <w:sz w:val="19"/>
                <w:szCs w:val="19"/>
                <w:color w:val="auto"/>
              </w:rPr>
            </w:pPr>
          </w:p>
        </w:tc>
        <w:tc>
          <w:tcPr>
            <w:tcW w:w="6540" w:type="dxa"/>
            <w:vAlign w:val="bottom"/>
            <w:gridSpan w:val="3"/>
            <w:vMerge w:val="continue"/>
          </w:tcPr>
          <w:p>
            <w:pPr>
              <w:spacing w:after="0"/>
              <w:rPr>
                <w:sz w:val="19"/>
                <w:szCs w:val="19"/>
                <w:color w:val="auto"/>
              </w:rPr>
            </w:pPr>
          </w:p>
        </w:tc>
        <w:tc>
          <w:tcPr>
            <w:tcW w:w="2020" w:type="dxa"/>
            <w:vAlign w:val="bottom"/>
            <w:tcBorders>
              <w:bottom w:val="single" w:sz="8" w:color="auto"/>
            </w:tcBorders>
            <w:gridSpan w:val="2"/>
          </w:tcPr>
          <w:p>
            <w:pPr>
              <w:jc w:val="right"/>
              <w:ind w:right="30"/>
              <w:spacing w:after="0" w:line="217" w:lineRule="exact"/>
              <w:rPr>
                <w:sz w:val="20"/>
                <w:szCs w:val="20"/>
                <w:color w:val="auto"/>
              </w:rPr>
            </w:pPr>
            <w:r>
              <w:rPr>
                <w:rFonts w:ascii="Arial" w:cs="Arial" w:eastAsia="Arial" w:hAnsi="Arial"/>
                <w:sz w:val="20"/>
                <w:szCs w:val="20"/>
                <w:b w:val="1"/>
                <w:bCs w:val="1"/>
                <w:color w:val="auto"/>
              </w:rPr>
              <w:t>2,160</w:t>
            </w: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4"/>
              <w:spacing w:after="0" w:line="217" w:lineRule="exact"/>
              <w:rPr>
                <w:sz w:val="20"/>
                <w:szCs w:val="20"/>
                <w:color w:val="auto"/>
              </w:rPr>
            </w:pPr>
            <w:r>
              <w:rPr>
                <w:rFonts w:ascii="Arial" w:cs="Arial" w:eastAsia="Arial" w:hAnsi="Arial"/>
                <w:sz w:val="20"/>
                <w:szCs w:val="20"/>
                <w:color w:val="auto"/>
              </w:rPr>
              <w:t>2,077</w:t>
            </w:r>
          </w:p>
        </w:tc>
        <w:tc>
          <w:tcPr>
            <w:tcW w:w="0" w:type="dxa"/>
            <w:vAlign w:val="bottom"/>
          </w:tcPr>
          <w:p>
            <w:pPr>
              <w:spacing w:after="0"/>
              <w:rPr>
                <w:sz w:val="1"/>
                <w:szCs w:val="1"/>
                <w:color w:val="auto"/>
              </w:rPr>
            </w:pPr>
          </w:p>
        </w:tc>
      </w:tr>
      <w:tr>
        <w:trPr>
          <w:trHeight w:val="459"/>
        </w:trPr>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25.</w:t>
            </w:r>
          </w:p>
        </w:tc>
        <w:tc>
          <w:tcPr>
            <w:tcW w:w="6540" w:type="dxa"/>
            <w:vAlign w:val="bottom"/>
            <w:gridSpan w:val="3"/>
          </w:tcPr>
          <w:p>
            <w:pPr>
              <w:ind w:left="260"/>
              <w:spacing w:after="0"/>
              <w:rPr>
                <w:sz w:val="20"/>
                <w:szCs w:val="20"/>
                <w:color w:val="auto"/>
              </w:rPr>
            </w:pPr>
            <w:r>
              <w:rPr>
                <w:rFonts w:ascii="Arial" w:cs="Arial" w:eastAsia="Arial" w:hAnsi="Arial"/>
                <w:sz w:val="18"/>
                <w:szCs w:val="18"/>
                <w:b w:val="1"/>
                <w:bCs w:val="1"/>
                <w:color w:val="auto"/>
              </w:rPr>
              <w:t>Dividends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vMerge w:val="restart"/>
          </w:tcPr>
          <w:p>
            <w:pPr>
              <w:jc w:val="right"/>
              <w:ind w:right="344"/>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4"/>
                <w:szCs w:val="2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Group</w:t>
            </w:r>
          </w:p>
        </w:tc>
        <w:tc>
          <w:tcPr>
            <w:tcW w:w="1320" w:type="dxa"/>
            <w:vAlign w:val="bottom"/>
            <w:vMerge w:val="restart"/>
          </w:tcPr>
          <w:p>
            <w:pPr>
              <w:jc w:val="right"/>
              <w:ind w:right="344"/>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4"/>
          </w:tcPr>
          <w:p>
            <w:pPr>
              <w:ind w:left="640"/>
              <w:spacing w:after="0"/>
              <w:rPr>
                <w:sz w:val="20"/>
                <w:szCs w:val="20"/>
                <w:color w:val="auto"/>
              </w:rPr>
            </w:pPr>
            <w:r>
              <w:rPr>
                <w:rFonts w:ascii="Arial" w:cs="Arial" w:eastAsia="Arial" w:hAnsi="Arial"/>
                <w:sz w:val="18"/>
                <w:szCs w:val="18"/>
                <w:b w:val="1"/>
                <w:bCs w:val="1"/>
                <w:color w:val="auto"/>
              </w:rPr>
              <w:t>(US$ millions)</w:t>
            </w:r>
          </w:p>
        </w:tc>
        <w:tc>
          <w:tcPr>
            <w:tcW w:w="1320" w:type="dxa"/>
            <w:vAlign w:val="bottom"/>
          </w:tcPr>
          <w:p>
            <w:pPr>
              <w:jc w:val="right"/>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80" w:type="dxa"/>
            <w:vAlign w:val="bottom"/>
            <w:vMerge w:val="restart"/>
          </w:tcPr>
          <w:p>
            <w:pPr>
              <w:spacing w:after="0"/>
              <w:rPr>
                <w:sz w:val="14"/>
                <w:szCs w:val="14"/>
                <w:color w:val="auto"/>
              </w:rPr>
            </w:pPr>
          </w:p>
        </w:tc>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i w:val="1"/>
                <w:iCs w:val="1"/>
                <w:color w:val="auto"/>
              </w:rPr>
              <w:t>Ordinary dividends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60" w:type="dxa"/>
            <w:vAlign w:val="bottom"/>
            <w:gridSpan w:val="2"/>
          </w:tcPr>
          <w:p>
            <w:pPr>
              <w:spacing w:after="0" w:line="212" w:lineRule="exact"/>
              <w:rPr>
                <w:sz w:val="20"/>
                <w:szCs w:val="20"/>
                <w:color w:val="auto"/>
              </w:rPr>
            </w:pPr>
            <w:r>
              <w:rPr>
                <w:rFonts w:ascii="Arial" w:cs="Arial" w:eastAsia="Arial" w:hAnsi="Arial"/>
                <w:sz w:val="20"/>
                <w:szCs w:val="20"/>
                <w:color w:val="auto"/>
              </w:rPr>
              <w:t>Final dividend of US$1.02 (2015: US$0.44) per share (1-tier tax</w:t>
            </w:r>
          </w:p>
        </w:tc>
        <w:tc>
          <w:tcPr>
            <w:tcW w:w="1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407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60" w:type="dxa"/>
            <w:vAlign w:val="bottom"/>
            <w:gridSpan w:val="2"/>
          </w:tcPr>
          <w:p>
            <w:pPr>
              <w:ind w:left="180"/>
              <w:spacing w:after="0" w:line="220" w:lineRule="exact"/>
              <w:rPr>
                <w:sz w:val="20"/>
                <w:szCs w:val="20"/>
                <w:color w:val="auto"/>
              </w:rPr>
            </w:pPr>
            <w:r>
              <w:rPr>
                <w:rFonts w:ascii="Arial" w:cs="Arial" w:eastAsia="Arial" w:hAnsi="Arial"/>
                <w:sz w:val="20"/>
                <w:szCs w:val="20"/>
                <w:color w:val="auto"/>
              </w:rPr>
              <w:t>exempt) paid in respect of the previous financial year</w:t>
            </w:r>
          </w:p>
        </w:tc>
        <w:tc>
          <w:tcPr>
            <w:tcW w:w="1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line="220" w:lineRule="exact"/>
              <w:rPr>
                <w:sz w:val="20"/>
                <w:szCs w:val="20"/>
                <w:color w:val="auto"/>
              </w:rPr>
            </w:pPr>
            <w:r>
              <w:rPr>
                <w:rFonts w:ascii="Arial" w:cs="Arial" w:eastAsia="Arial" w:hAnsi="Arial"/>
                <w:sz w:val="20"/>
                <w:szCs w:val="20"/>
                <w:color w:val="auto"/>
              </w:rPr>
              <w:t>122</w:t>
            </w: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60" w:type="dxa"/>
            <w:vAlign w:val="bottom"/>
            <w:gridSpan w:val="2"/>
            <w:shd w:val="clear" w:color="auto" w:fill="CCEEFF"/>
          </w:tcPr>
          <w:p>
            <w:pPr>
              <w:spacing w:after="0" w:line="212" w:lineRule="exact"/>
              <w:rPr>
                <w:sz w:val="20"/>
                <w:szCs w:val="20"/>
                <w:color w:val="auto"/>
              </w:rPr>
            </w:pPr>
            <w:r>
              <w:rPr>
                <w:rFonts w:ascii="Arial" w:cs="Arial" w:eastAsia="Arial" w:hAnsi="Arial"/>
                <w:sz w:val="20"/>
                <w:szCs w:val="20"/>
                <w:color w:val="auto"/>
              </w:rPr>
              <w:t>Interim dividends of US$3.06 (2016: US$1.50) per share (1-tier tax</w:t>
            </w: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1,246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6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20"/>
                <w:szCs w:val="20"/>
                <w:color w:val="auto"/>
              </w:rPr>
              <w:t>exempt) paid in respect of the current financial year</w:t>
            </w:r>
          </w:p>
        </w:tc>
        <w:tc>
          <w:tcPr>
            <w:tcW w:w="18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0" w:lineRule="exact"/>
              <w:rPr>
                <w:sz w:val="20"/>
                <w:szCs w:val="20"/>
                <w:color w:val="auto"/>
              </w:rPr>
            </w:pPr>
            <w:r>
              <w:rPr>
                <w:rFonts w:ascii="Arial" w:cs="Arial" w:eastAsia="Arial" w:hAnsi="Arial"/>
                <w:sz w:val="20"/>
                <w:szCs w:val="20"/>
                <w:color w:val="auto"/>
              </w:rPr>
              <w:t>594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b w:val="1"/>
                <w:bCs w:val="1"/>
                <w:color w:val="auto"/>
              </w:rPr>
              <w:t>1,653</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716</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980" w:right="20"/>
        <w:spacing w:after="0"/>
        <w:rPr>
          <w:sz w:val="20"/>
          <w:szCs w:val="20"/>
          <w:color w:val="auto"/>
        </w:rPr>
      </w:pPr>
      <w:r>
        <w:rPr>
          <w:rFonts w:ascii="Arial" w:cs="Arial" w:eastAsia="Arial" w:hAnsi="Arial"/>
          <w:sz w:val="18"/>
          <w:szCs w:val="18"/>
          <w:color w:val="auto"/>
        </w:rPr>
        <w:t>At the meeting of the Board held on 4 December 2017, an interim dividend of US$1.75 per Broadcom ordinary share was declared. These financial statements do not reflect this dividend, which will be accounted for in shareholders’ equity as an appropriation of retained profits in the financial year ending 4 November 2018.</w:t>
      </w:r>
    </w:p>
    <w:p>
      <w:pPr>
        <w:spacing w:after="0" w:line="208" w:lineRule="exact"/>
        <w:rPr>
          <w:sz w:val="20"/>
          <w:szCs w:val="20"/>
          <w:color w:val="auto"/>
        </w:rPr>
      </w:pPr>
    </w:p>
    <w:p>
      <w:pPr>
        <w:ind w:left="980" w:hanging="776"/>
        <w:spacing w:after="0"/>
        <w:tabs>
          <w:tab w:leader="none" w:pos="98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33" w:lineRule="exact"/>
        <w:rPr>
          <w:rFonts w:ascii="Arial" w:cs="Arial" w:eastAsia="Arial" w:hAnsi="Arial"/>
          <w:sz w:val="18"/>
          <w:szCs w:val="18"/>
          <w:b w:val="1"/>
          <w:bCs w:val="1"/>
          <w:color w:val="auto"/>
        </w:rPr>
      </w:pPr>
    </w:p>
    <w:p>
      <w:pPr>
        <w:ind w:left="98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Contingent liabilities, excluding those relating to business combinations (Note 31), of which the probability of settlement is not remote at the balance sheet date, are as follows:</w:t>
      </w:r>
    </w:p>
    <w:p>
      <w:pPr>
        <w:spacing w:after="0" w:line="196"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Group</w:t>
      </w:r>
    </w:p>
    <w:p>
      <w:pPr>
        <w:spacing w:after="0" w:line="211" w:lineRule="exact"/>
        <w:rPr>
          <w:rFonts w:ascii="Arial" w:cs="Arial" w:eastAsia="Arial" w:hAnsi="Arial"/>
          <w:sz w:val="18"/>
          <w:szCs w:val="18"/>
          <w:b w:val="1"/>
          <w:bCs w:val="1"/>
          <w:color w:val="auto"/>
        </w:rPr>
      </w:pPr>
    </w:p>
    <w:p>
      <w:pPr>
        <w:jc w:val="both"/>
        <w:ind w:left="980" w:right="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As of 29 October 2017 and 30 October 2016, Broadcom had outstanding obligations relating to standby letters of credit of US$12 million. Standby letters of credit are financial guarantees provided to third parties for leases, customs, taxes and certain self-insured risks. If the guarantees are called, Broadcom must reimburse the provider of the guarantees. The fair values of the letters of credit approximate the contract amounts. The standby letters of credit are generally renewed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A-91</w:t>
      </w:r>
    </w:p>
    <w:p>
      <w:pPr>
        <w:sectPr>
          <w:pgSz w:w="11900" w:h="16838" w:orient="portrait"/>
          <w:cols w:equalWidth="0" w:num="1">
            <w:col w:w="11240"/>
          </w:cols>
          <w:pgMar w:left="240" w:top="460"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61" w:lineRule="exact"/>
        <w:rPr>
          <w:sz w:val="20"/>
          <w:szCs w:val="20"/>
          <w:color w:val="auto"/>
        </w:rPr>
      </w:pPr>
    </w:p>
    <w:p>
      <w:pPr>
        <w:ind w:left="980" w:hanging="776"/>
        <w:spacing w:after="0"/>
        <w:tabs>
          <w:tab w:leader="none" w:pos="9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21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Capital expenditures contracted for at the balance sheet date but not recognised in the financial statements are as follows:</w:t>
      </w:r>
    </w:p>
    <w:p>
      <w:pPr>
        <w:spacing w:after="0" w:line="23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2220" w:type="dxa"/>
            <w:vAlign w:val="bottom"/>
            <w:vMerge w:val="restart"/>
          </w:tcPr>
          <w:p>
            <w:pPr>
              <w:jc w:val="right"/>
              <w:ind w:right="407"/>
              <w:spacing w:after="0"/>
              <w:rPr>
                <w:sz w:val="20"/>
                <w:szCs w:val="20"/>
                <w:color w:val="auto"/>
              </w:rPr>
            </w:pPr>
            <w:r>
              <w:rPr>
                <w:rFonts w:ascii="Arial" w:cs="Arial" w:eastAsia="Arial" w:hAnsi="Arial"/>
                <w:sz w:val="18"/>
                <w:szCs w:val="18"/>
                <w:b w:val="1"/>
                <w:bCs w:val="1"/>
                <w:color w:val="auto"/>
              </w:rPr>
              <w:t>2017</w:t>
            </w:r>
          </w:p>
        </w:tc>
        <w:tc>
          <w:tcPr>
            <w:tcW w:w="2100" w:type="dxa"/>
            <w:vAlign w:val="bottom"/>
            <w:gridSpan w:val="3"/>
          </w:tcPr>
          <w:p>
            <w:pPr>
              <w:jc w:val="right"/>
              <w:ind w:right="1410"/>
              <w:spacing w:after="0"/>
              <w:rPr>
                <w:sz w:val="20"/>
                <w:szCs w:val="20"/>
                <w:color w:val="auto"/>
              </w:rPr>
            </w:pPr>
            <w:r>
              <w:rPr>
                <w:rFonts w:ascii="Arial" w:cs="Arial" w:eastAsia="Arial" w:hAnsi="Arial"/>
                <w:sz w:val="18"/>
                <w:szCs w:val="18"/>
                <w:color w:val="auto"/>
              </w:rPr>
              <w:t>Group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2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500" w:type="dxa"/>
            <w:vAlign w:val="bottom"/>
          </w:tcPr>
          <w:p>
            <w:pPr>
              <w:jc w:val="right"/>
              <w:ind w:right="350"/>
              <w:spacing w:after="0" w:line="161"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220" w:type="dxa"/>
            <w:vAlign w:val="bottom"/>
          </w:tcPr>
          <w:p>
            <w:pPr>
              <w:jc w:val="right"/>
              <w:ind w:right="7"/>
              <w:spacing w:after="0"/>
              <w:rPr>
                <w:sz w:val="20"/>
                <w:szCs w:val="20"/>
                <w:color w:val="auto"/>
              </w:rPr>
            </w:pPr>
            <w:r>
              <w:rPr>
                <w:rFonts w:ascii="Arial" w:cs="Arial" w:eastAsia="Arial" w:hAnsi="Arial"/>
                <w:sz w:val="18"/>
                <w:szCs w:val="18"/>
                <w:b w:val="1"/>
                <w:bCs w:val="1"/>
                <w:color w:val="auto"/>
              </w:rPr>
              <w:t>(US$ millions)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9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Property, plant and equipment</w:t>
            </w:r>
          </w:p>
        </w:tc>
        <w:tc>
          <w:tcPr>
            <w:tcW w:w="2220" w:type="dxa"/>
            <w:vAlign w:val="bottom"/>
            <w:shd w:val="clear" w:color="auto" w:fill="CCEEFF"/>
          </w:tcPr>
          <w:p>
            <w:pPr>
              <w:jc w:val="right"/>
              <w:ind w:right="7"/>
              <w:spacing w:after="0" w:line="216" w:lineRule="exact"/>
              <w:rPr>
                <w:sz w:val="20"/>
                <w:szCs w:val="20"/>
                <w:color w:val="auto"/>
              </w:rPr>
            </w:pPr>
            <w:r>
              <w:rPr>
                <w:rFonts w:ascii="Arial" w:cs="Arial" w:eastAsia="Arial" w:hAnsi="Arial"/>
                <w:sz w:val="20"/>
                <w:szCs w:val="20"/>
                <w:b w:val="1"/>
                <w:bCs w:val="1"/>
                <w:color w:val="auto"/>
              </w:rPr>
              <w:t>123</w:t>
            </w:r>
          </w:p>
        </w:tc>
        <w:tc>
          <w:tcPr>
            <w:tcW w:w="210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0"/>
                <w:szCs w:val="20"/>
                <w:color w:val="auto"/>
              </w:rPr>
              <w:t>312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980" w:hanging="776"/>
        <w:spacing w:after="0"/>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Operating lease commitments - where the Group is a lessee</w:t>
      </w:r>
    </w:p>
    <w:p>
      <w:pPr>
        <w:spacing w:after="0" w:line="211" w:lineRule="exact"/>
        <w:rPr>
          <w:rFonts w:ascii="Arial" w:cs="Arial" w:eastAsia="Arial" w:hAnsi="Arial"/>
          <w:sz w:val="18"/>
          <w:szCs w:val="18"/>
          <w:color w:val="auto"/>
        </w:rPr>
      </w:pPr>
    </w:p>
    <w:p>
      <w:pPr>
        <w:ind w:left="980" w:right="20"/>
        <w:spacing w:after="0" w:line="246" w:lineRule="auto"/>
        <w:rPr>
          <w:rFonts w:ascii="Arial" w:cs="Arial" w:eastAsia="Arial" w:hAnsi="Arial"/>
          <w:sz w:val="18"/>
          <w:szCs w:val="18"/>
          <w:color w:val="auto"/>
        </w:rPr>
      </w:pPr>
      <w:r>
        <w:rPr>
          <w:rFonts w:ascii="Arial" w:cs="Arial" w:eastAsia="Arial" w:hAnsi="Arial"/>
          <w:sz w:val="18"/>
          <w:szCs w:val="18"/>
          <w:color w:val="auto"/>
        </w:rPr>
        <w:t>The Group leases land, factories and warehouses from non-related parties under non-cancellable operating lease agreements. The leases have varying terms, escalation clauses and renewal rights.</w:t>
      </w:r>
    </w:p>
    <w:p>
      <w:pPr>
        <w:spacing w:after="0" w:line="196" w:lineRule="exact"/>
        <w:rPr>
          <w:rFonts w:ascii="Arial" w:cs="Arial" w:eastAsia="Arial" w:hAnsi="Arial"/>
          <w:sz w:val="18"/>
          <w:szCs w:val="18"/>
          <w:color w:val="auto"/>
        </w:rPr>
      </w:pPr>
    </w:p>
    <w:p>
      <w:pPr>
        <w:ind w:left="980" w:right="20"/>
        <w:spacing w:after="0" w:line="246" w:lineRule="auto"/>
        <w:rPr>
          <w:rFonts w:ascii="Arial" w:cs="Arial" w:eastAsia="Arial" w:hAnsi="Arial"/>
          <w:sz w:val="18"/>
          <w:szCs w:val="18"/>
          <w:color w:val="auto"/>
        </w:rPr>
      </w:pPr>
      <w:r>
        <w:rPr>
          <w:rFonts w:ascii="Arial" w:cs="Arial" w:eastAsia="Arial" w:hAnsi="Arial"/>
          <w:sz w:val="18"/>
          <w:szCs w:val="18"/>
          <w:color w:val="auto"/>
        </w:rPr>
        <w:t>The future minimum lease payables under non-cancellable operating leases contracted for at the balance sheet date but not recognised as liabilities, are as follows:</w:t>
      </w:r>
    </w:p>
    <w:p>
      <w:pPr>
        <w:spacing w:after="0" w:line="220"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240" w:type="dxa"/>
            <w:vAlign w:val="bottom"/>
            <w:vMerge w:val="restart"/>
          </w:tcPr>
          <w:p>
            <w:pPr>
              <w:jc w:val="right"/>
              <w:ind w:right="404"/>
              <w:spacing w:after="0"/>
              <w:rPr>
                <w:sz w:val="20"/>
                <w:szCs w:val="20"/>
                <w:color w:val="auto"/>
              </w:rPr>
            </w:pPr>
            <w:r>
              <w:rPr>
                <w:rFonts w:ascii="Arial" w:cs="Arial" w:eastAsia="Arial" w:hAnsi="Arial"/>
                <w:sz w:val="18"/>
                <w:szCs w:val="18"/>
                <w:b w:val="1"/>
                <w:bCs w:val="1"/>
                <w:color w:val="auto"/>
              </w:rPr>
              <w:t>2017</w:t>
            </w:r>
          </w:p>
        </w:tc>
        <w:tc>
          <w:tcPr>
            <w:tcW w:w="2100" w:type="dxa"/>
            <w:vAlign w:val="bottom"/>
            <w:gridSpan w:val="3"/>
          </w:tcPr>
          <w:p>
            <w:pPr>
              <w:jc w:val="right"/>
              <w:ind w:right="1410"/>
              <w:spacing w:after="0"/>
              <w:rPr>
                <w:sz w:val="20"/>
                <w:szCs w:val="20"/>
                <w:color w:val="auto"/>
              </w:rPr>
            </w:pPr>
            <w:r>
              <w:rPr>
                <w:rFonts w:ascii="Arial" w:cs="Arial" w:eastAsia="Arial" w:hAnsi="Arial"/>
                <w:sz w:val="18"/>
                <w:szCs w:val="18"/>
                <w:color w:val="auto"/>
              </w:rPr>
              <w:t>Group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500" w:type="dxa"/>
            <w:vAlign w:val="bottom"/>
          </w:tcPr>
          <w:p>
            <w:pPr>
              <w:jc w:val="right"/>
              <w:ind w:right="350"/>
              <w:spacing w:after="0" w:line="161"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240" w:type="dxa"/>
            <w:vAlign w:val="bottom"/>
          </w:tcPr>
          <w:p>
            <w:pPr>
              <w:jc w:val="right"/>
              <w:ind w:right="4"/>
              <w:spacing w:after="0"/>
              <w:rPr>
                <w:sz w:val="20"/>
                <w:szCs w:val="20"/>
                <w:color w:val="auto"/>
              </w:rPr>
            </w:pPr>
            <w:r>
              <w:rPr>
                <w:rFonts w:ascii="Arial" w:cs="Arial" w:eastAsia="Arial" w:hAnsi="Arial"/>
                <w:sz w:val="18"/>
                <w:szCs w:val="18"/>
                <w:b w:val="1"/>
                <w:bCs w:val="1"/>
                <w:color w:val="auto"/>
              </w:rPr>
              <w:t>(US$ millions)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Not later than one year</w:t>
            </w:r>
          </w:p>
        </w:tc>
        <w:tc>
          <w:tcPr>
            <w:tcW w:w="2240" w:type="dxa"/>
            <w:vAlign w:val="bottom"/>
            <w:shd w:val="clear" w:color="auto" w:fill="CCEEFF"/>
          </w:tcPr>
          <w:p>
            <w:pPr>
              <w:jc w:val="right"/>
              <w:ind w:right="4"/>
              <w:spacing w:after="0" w:line="216" w:lineRule="exact"/>
              <w:rPr>
                <w:sz w:val="20"/>
                <w:szCs w:val="20"/>
                <w:color w:val="auto"/>
              </w:rPr>
            </w:pPr>
            <w:r>
              <w:rPr>
                <w:rFonts w:ascii="Arial" w:cs="Arial" w:eastAsia="Arial" w:hAnsi="Arial"/>
                <w:sz w:val="20"/>
                <w:szCs w:val="20"/>
                <w:b w:val="1"/>
                <w:bCs w:val="1"/>
                <w:color w:val="auto"/>
              </w:rPr>
              <w:t>119</w:t>
            </w:r>
          </w:p>
        </w:tc>
        <w:tc>
          <w:tcPr>
            <w:tcW w:w="210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line="216" w:lineRule="exact"/>
              <w:rPr>
                <w:sz w:val="20"/>
                <w:szCs w:val="20"/>
                <w:color w:val="auto"/>
              </w:rPr>
            </w:pPr>
            <w:r>
              <w:rPr>
                <w:rFonts w:ascii="Arial" w:cs="Arial" w:eastAsia="Arial" w:hAnsi="Arial"/>
                <w:sz w:val="20"/>
                <w:szCs w:val="20"/>
                <w:color w:val="auto"/>
              </w:rPr>
              <w:t>Between one and five years</w:t>
            </w:r>
          </w:p>
        </w:tc>
        <w:tc>
          <w:tcPr>
            <w:tcW w:w="2240" w:type="dxa"/>
            <w:vAlign w:val="bottom"/>
          </w:tcPr>
          <w:p>
            <w:pPr>
              <w:jc w:val="right"/>
              <w:ind w:right="4"/>
              <w:spacing w:after="0" w:line="216" w:lineRule="exact"/>
              <w:rPr>
                <w:sz w:val="20"/>
                <w:szCs w:val="20"/>
                <w:color w:val="auto"/>
              </w:rPr>
            </w:pPr>
            <w:r>
              <w:rPr>
                <w:rFonts w:ascii="Arial" w:cs="Arial" w:eastAsia="Arial" w:hAnsi="Arial"/>
                <w:sz w:val="20"/>
                <w:szCs w:val="20"/>
                <w:b w:val="1"/>
                <w:bCs w:val="1"/>
                <w:color w:val="auto"/>
              </w:rPr>
              <w:t>205</w:t>
            </w:r>
          </w:p>
        </w:tc>
        <w:tc>
          <w:tcPr>
            <w:tcW w:w="210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Later than five years</w:t>
            </w:r>
          </w:p>
        </w:tc>
        <w:tc>
          <w:tcPr>
            <w:tcW w:w="2240" w:type="dxa"/>
            <w:vAlign w:val="bottom"/>
            <w:shd w:val="clear" w:color="auto" w:fill="CCEEFF"/>
          </w:tcPr>
          <w:p>
            <w:pPr>
              <w:jc w:val="right"/>
              <w:ind w:right="4"/>
              <w:spacing w:after="0" w:line="216" w:lineRule="exact"/>
              <w:rPr>
                <w:sz w:val="20"/>
                <w:szCs w:val="20"/>
                <w:color w:val="auto"/>
              </w:rPr>
            </w:pPr>
            <w:r>
              <w:rPr>
                <w:rFonts w:ascii="Arial" w:cs="Arial" w:eastAsia="Arial" w:hAnsi="Arial"/>
                <w:sz w:val="20"/>
                <w:szCs w:val="20"/>
                <w:b w:val="1"/>
                <w:bCs w:val="1"/>
                <w:color w:val="auto"/>
              </w:rPr>
              <w:t>421</w:t>
            </w:r>
          </w:p>
        </w:tc>
        <w:tc>
          <w:tcPr>
            <w:tcW w:w="210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240" w:type="dxa"/>
            <w:vAlign w:val="bottom"/>
            <w:tcBorders>
              <w:bottom w:val="single" w:sz="8" w:color="auto"/>
            </w:tcBorders>
          </w:tcPr>
          <w:p>
            <w:pPr>
              <w:jc w:val="right"/>
              <w:ind w:right="4"/>
              <w:spacing w:after="0" w:line="217" w:lineRule="exact"/>
              <w:rPr>
                <w:sz w:val="20"/>
                <w:szCs w:val="20"/>
                <w:color w:val="auto"/>
              </w:rPr>
            </w:pPr>
            <w:r>
              <w:rPr>
                <w:rFonts w:ascii="Arial" w:cs="Arial" w:eastAsia="Arial" w:hAnsi="Arial"/>
                <w:sz w:val="20"/>
                <w:szCs w:val="20"/>
                <w:b w:val="1"/>
                <w:bCs w:val="1"/>
                <w:color w:val="auto"/>
              </w:rPr>
              <w:t>745</w:t>
            </w:r>
          </w:p>
        </w:tc>
        <w:tc>
          <w:tcPr>
            <w:tcW w:w="2100" w:type="dxa"/>
            <w:vAlign w:val="bottom"/>
            <w:tcBorders>
              <w:bottom w:val="single" w:sz="8" w:color="auto"/>
            </w:tcBorders>
            <w:gridSpan w:val="3"/>
          </w:tcPr>
          <w:p>
            <w:pPr>
              <w:jc w:val="right"/>
              <w:spacing w:after="0" w:line="217" w:lineRule="exact"/>
              <w:rPr>
                <w:sz w:val="20"/>
                <w:szCs w:val="20"/>
                <w:color w:val="auto"/>
              </w:rPr>
            </w:pPr>
            <w:r>
              <w:rPr>
                <w:rFonts w:ascii="Arial" w:cs="Arial" w:eastAsia="Arial" w:hAnsi="Arial"/>
                <w:sz w:val="20"/>
                <w:szCs w:val="20"/>
                <w:color w:val="auto"/>
              </w:rPr>
              <w:t>446</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980" w:hanging="776"/>
        <w:spacing w:after="0"/>
        <w:tabs>
          <w:tab w:leader="none" w:pos="98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33" w:lineRule="exact"/>
        <w:rPr>
          <w:rFonts w:ascii="Arial" w:cs="Arial" w:eastAsia="Arial" w:hAnsi="Arial"/>
          <w:sz w:val="18"/>
          <w:szCs w:val="18"/>
          <w:b w:val="1"/>
          <w:bCs w:val="1"/>
          <w:color w:val="auto"/>
        </w:rPr>
      </w:pPr>
    </w:p>
    <w:p>
      <w:pPr>
        <w:jc w:val="both"/>
        <w:ind w:left="980" w:right="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Group’s activities expose it to a variety of financial risks, including market risk (including foreign currency risk, cash flow and fair value interest rate risk), credit risk, liquidity risk and capital risk. The Group’s overall risk management program focuses on the unpredictability of financial markets and seeks to minimise the potential adverse effects on the Group’s financial performance.</w:t>
      </w:r>
    </w:p>
    <w:p>
      <w:pPr>
        <w:spacing w:after="0" w:line="201" w:lineRule="exact"/>
        <w:rPr>
          <w:rFonts w:ascii="Arial" w:cs="Arial" w:eastAsia="Arial" w:hAnsi="Arial"/>
          <w:sz w:val="18"/>
          <w:szCs w:val="18"/>
          <w:b w:val="1"/>
          <w:bCs w:val="1"/>
          <w:color w:val="auto"/>
        </w:rPr>
      </w:pPr>
    </w:p>
    <w:p>
      <w:pPr>
        <w:jc w:val="both"/>
        <w:ind w:left="980" w:right="20"/>
        <w:spacing w:after="0"/>
        <w:rPr>
          <w:rFonts w:ascii="Arial" w:cs="Arial" w:eastAsia="Arial" w:hAnsi="Arial"/>
          <w:sz w:val="18"/>
          <w:szCs w:val="18"/>
          <w:b w:val="1"/>
          <w:bCs w:val="1"/>
          <w:color w:val="auto"/>
        </w:rPr>
      </w:pPr>
      <w:r>
        <w:rPr>
          <w:rFonts w:ascii="Arial" w:cs="Arial" w:eastAsia="Arial" w:hAnsi="Arial"/>
          <w:sz w:val="18"/>
          <w:szCs w:val="18"/>
          <w:color w:val="auto"/>
        </w:rPr>
        <w:t>Financial risk management is carried out by the treasury management department (the “Group Treasury”) under policies approved by the Board. The Group Treasury identifies, evaluates and hedges financial risks through close co-operation with the Group’s operating units.</w:t>
      </w:r>
    </w:p>
    <w:p>
      <w:pPr>
        <w:spacing w:after="0" w:line="230" w:lineRule="exact"/>
        <w:rPr>
          <w:sz w:val="20"/>
          <w:szCs w:val="20"/>
          <w:color w:val="auto"/>
        </w:rPr>
      </w:pPr>
    </w:p>
    <w:p>
      <w:pPr>
        <w:ind w:left="980" w:hanging="776"/>
        <w:spacing w:after="0"/>
        <w:tabs>
          <w:tab w:leader="none" w:pos="9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Market risk</w:t>
      </w:r>
    </w:p>
    <w:p>
      <w:pPr>
        <w:spacing w:after="0" w:line="220" w:lineRule="exact"/>
        <w:rPr>
          <w:rFonts w:ascii="Arial" w:cs="Arial" w:eastAsia="Arial" w:hAnsi="Arial"/>
          <w:sz w:val="18"/>
          <w:szCs w:val="18"/>
          <w:color w:val="auto"/>
        </w:rPr>
      </w:pPr>
    </w:p>
    <w:p>
      <w:pPr>
        <w:ind w:left="1860" w:hanging="886"/>
        <w:spacing w:after="0"/>
        <w:tabs>
          <w:tab w:leader="none" w:pos="1860" w:val="left"/>
        </w:tabs>
        <w:numPr>
          <w:ilvl w:val="1"/>
          <w:numId w:val="244"/>
        </w:numPr>
        <w:rPr>
          <w:rFonts w:ascii="Arial" w:cs="Arial" w:eastAsia="Arial" w:hAnsi="Arial"/>
          <w:sz w:val="18"/>
          <w:szCs w:val="18"/>
          <w:i w:val="1"/>
          <w:iCs w:val="1"/>
          <w:color w:val="auto"/>
        </w:rPr>
      </w:pPr>
      <w:r>
        <w:rPr>
          <w:rFonts w:ascii="Arial" w:cs="Arial" w:eastAsia="Arial" w:hAnsi="Arial"/>
          <w:sz w:val="18"/>
          <w:szCs w:val="18"/>
          <w:i w:val="1"/>
          <w:iCs w:val="1"/>
          <w:color w:val="auto"/>
        </w:rPr>
        <w:t>Currency risk</w:t>
      </w:r>
    </w:p>
    <w:p>
      <w:pPr>
        <w:spacing w:after="0" w:line="229" w:lineRule="exact"/>
        <w:rPr>
          <w:rFonts w:ascii="Arial" w:cs="Arial" w:eastAsia="Arial" w:hAnsi="Arial"/>
          <w:sz w:val="18"/>
          <w:szCs w:val="18"/>
          <w:i w:val="1"/>
          <w:iCs w:val="1"/>
          <w:color w:val="auto"/>
        </w:rPr>
      </w:pPr>
    </w:p>
    <w:p>
      <w:pPr>
        <w:ind w:left="1860"/>
        <w:spacing w:after="0"/>
        <w:rPr>
          <w:rFonts w:ascii="Arial" w:cs="Arial" w:eastAsia="Arial" w:hAnsi="Arial"/>
          <w:sz w:val="18"/>
          <w:szCs w:val="18"/>
          <w:i w:val="1"/>
          <w:iCs w:val="1"/>
          <w:color w:val="auto"/>
        </w:rPr>
      </w:pPr>
      <w:r>
        <w:rPr>
          <w:rFonts w:ascii="Arial" w:cs="Arial" w:eastAsia="Arial" w:hAnsi="Arial"/>
          <w:sz w:val="18"/>
          <w:szCs w:val="18"/>
          <w:color w:val="auto"/>
        </w:rPr>
        <w:t>The Group operates worldwide with entities in the Group regularly transacting in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100965</wp:posOffset>
            </wp:positionV>
            <wp:extent cx="6997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A-92</w:t>
      </w:r>
    </w:p>
    <w:p>
      <w:pPr>
        <w:sectPr>
          <w:pgSz w:w="11900" w:h="16838" w:orient="portrait"/>
          <w:cols w:equalWidth="0" w:num="1">
            <w:col w:w="11240"/>
          </w:cols>
          <w:pgMar w:left="240" w:top="459" w:right="4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risk management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Market risk (continued)</w:t>
      </w:r>
    </w:p>
    <w:p>
      <w:pPr>
        <w:spacing w:after="0" w:line="126" w:lineRule="exact"/>
        <w:rPr>
          <w:rFonts w:ascii="Arial" w:cs="Arial" w:eastAsia="Arial" w:hAnsi="Arial"/>
          <w:sz w:val="18"/>
          <w:szCs w:val="18"/>
          <w:color w:val="auto"/>
        </w:rPr>
      </w:pPr>
    </w:p>
    <w:p>
      <w:pPr>
        <w:ind w:left="1860" w:hanging="886"/>
        <w:spacing w:after="0"/>
        <w:tabs>
          <w:tab w:leader="none" w:pos="1860" w:val="left"/>
        </w:tabs>
        <w:numPr>
          <w:ilvl w:val="1"/>
          <w:numId w:val="2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(continued)</w:t>
      </w:r>
    </w:p>
    <w:p>
      <w:pPr>
        <w:spacing w:after="0" w:line="162" w:lineRule="exact"/>
        <w:rPr>
          <w:rFonts w:ascii="Arial" w:cs="Arial" w:eastAsia="Arial" w:hAnsi="Arial"/>
          <w:sz w:val="18"/>
          <w:szCs w:val="18"/>
          <w:i w:val="1"/>
          <w:iCs w:val="1"/>
          <w:color w:val="auto"/>
        </w:rPr>
      </w:pPr>
    </w:p>
    <w:p>
      <w:pPr>
        <w:ind w:left="1860" w:right="2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Currency risk arises within entities in the Group when transactions are denominated in foreign currencies such as the Singapore Dollar (“SGD”), Israeli Shekel (“ILS”), Euros (“EUR”), Japanese Yen (“JPY”) and Indian Rupee (“INR”).</w:t>
      </w:r>
    </w:p>
    <w:p>
      <w:pPr>
        <w:spacing w:after="0" w:line="196" w:lineRule="exact"/>
        <w:rPr>
          <w:rFonts w:ascii="Arial" w:cs="Arial" w:eastAsia="Arial" w:hAnsi="Arial"/>
          <w:sz w:val="18"/>
          <w:szCs w:val="18"/>
          <w:i w:val="1"/>
          <w:iCs w:val="1"/>
          <w:color w:val="auto"/>
        </w:rPr>
      </w:pPr>
    </w:p>
    <w:p>
      <w:pPr>
        <w:ind w:left="1860" w:right="2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To manage the currency risk, the Group enters into foreign exchange forward contracts to manage financial exposures resulting from the changes in the exchange rates of these foreign currencies.</w:t>
      </w:r>
    </w:p>
    <w:p>
      <w:pPr>
        <w:spacing w:after="0" w:line="196" w:lineRule="exact"/>
        <w:rPr>
          <w:rFonts w:ascii="Arial" w:cs="Arial" w:eastAsia="Arial" w:hAnsi="Arial"/>
          <w:sz w:val="18"/>
          <w:szCs w:val="18"/>
          <w:i w:val="1"/>
          <w:iCs w:val="1"/>
          <w:color w:val="auto"/>
        </w:rPr>
      </w:pPr>
    </w:p>
    <w:p>
      <w:pPr>
        <w:ind w:left="1860"/>
        <w:spacing w:after="0"/>
        <w:rPr>
          <w:rFonts w:ascii="Arial" w:cs="Arial" w:eastAsia="Arial" w:hAnsi="Arial"/>
          <w:sz w:val="18"/>
          <w:szCs w:val="18"/>
          <w:i w:val="1"/>
          <w:iCs w:val="1"/>
          <w:color w:val="auto"/>
        </w:rPr>
      </w:pPr>
      <w:r>
        <w:rPr>
          <w:rFonts w:ascii="Arial" w:cs="Arial" w:eastAsia="Arial" w:hAnsi="Arial"/>
          <w:sz w:val="18"/>
          <w:szCs w:val="18"/>
          <w:color w:val="auto"/>
        </w:rPr>
        <w:t>The Group’s currency exposure based on the information provided to key management is as follows:</w:t>
      </w:r>
    </w:p>
    <w:p>
      <w:pPr>
        <w:spacing w:after="0" w:line="218" w:lineRule="exact"/>
        <w:rPr>
          <w:sz w:val="20"/>
          <w:szCs w:val="20"/>
          <w:color w:val="auto"/>
        </w:rPr>
      </w:pPr>
    </w:p>
    <w:tbl>
      <w:tblPr>
        <w:tblLayout w:type="fixed"/>
        <w:tblInd w:w="18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6"/>
                <w:szCs w:val="16"/>
                <w:color w:val="auto"/>
                <w:w w:val="92"/>
              </w:rPr>
              <w:t>SGD</w:t>
            </w:r>
          </w:p>
        </w:tc>
        <w:tc>
          <w:tcPr>
            <w:tcW w:w="1420" w:type="dxa"/>
            <w:vAlign w:val="bottom"/>
            <w:gridSpan w:val="3"/>
          </w:tcPr>
          <w:p>
            <w:pPr>
              <w:jc w:val="right"/>
              <w:ind w:right="620"/>
              <w:spacing w:after="0"/>
              <w:rPr>
                <w:sz w:val="20"/>
                <w:szCs w:val="20"/>
                <w:color w:val="auto"/>
              </w:rPr>
            </w:pPr>
            <w:r>
              <w:rPr>
                <w:rFonts w:ascii="Arial" w:cs="Arial" w:eastAsia="Arial" w:hAnsi="Arial"/>
                <w:sz w:val="16"/>
                <w:szCs w:val="16"/>
                <w:color w:val="auto"/>
              </w:rPr>
              <w:t>ILS</w:t>
            </w:r>
          </w:p>
        </w:tc>
        <w:tc>
          <w:tcPr>
            <w:tcW w:w="500" w:type="dxa"/>
            <w:vAlign w:val="bottom"/>
          </w:tcPr>
          <w:p>
            <w:pPr>
              <w:spacing w:after="0"/>
              <w:rPr>
                <w:sz w:val="16"/>
                <w:szCs w:val="16"/>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6"/>
                <w:szCs w:val="16"/>
                <w:color w:val="auto"/>
                <w:w w:val="94"/>
              </w:rPr>
              <w:t>EUR</w:t>
            </w:r>
          </w:p>
        </w:tc>
        <w:tc>
          <w:tcPr>
            <w:tcW w:w="520" w:type="dxa"/>
            <w:vAlign w:val="bottom"/>
          </w:tcPr>
          <w:p>
            <w:pPr>
              <w:spacing w:after="0"/>
              <w:rPr>
                <w:sz w:val="16"/>
                <w:szCs w:val="16"/>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6"/>
                <w:szCs w:val="16"/>
                <w:color w:val="auto"/>
                <w:w w:val="95"/>
              </w:rPr>
              <w:t>JPY</w:t>
            </w:r>
          </w:p>
        </w:tc>
        <w:tc>
          <w:tcPr>
            <w:tcW w:w="1260" w:type="dxa"/>
            <w:vAlign w:val="bottom"/>
            <w:gridSpan w:val="3"/>
          </w:tcPr>
          <w:p>
            <w:pPr>
              <w:jc w:val="right"/>
              <w:ind w:right="460"/>
              <w:spacing w:after="0"/>
              <w:rPr>
                <w:sz w:val="20"/>
                <w:szCs w:val="20"/>
                <w:color w:val="auto"/>
              </w:rPr>
            </w:pPr>
            <w:r>
              <w:rPr>
                <w:rFonts w:ascii="Arial" w:cs="Arial" w:eastAsia="Arial" w:hAnsi="Arial"/>
                <w:sz w:val="16"/>
                <w:szCs w:val="16"/>
                <w:color w:val="auto"/>
              </w:rPr>
              <w:t>INR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4"/>
                <w:szCs w:val="14"/>
                <w:color w:val="auto"/>
              </w:rPr>
              <w:t>(US$ millions)</w:t>
            </w:r>
          </w:p>
        </w:tc>
        <w:tc>
          <w:tcPr>
            <w:tcW w:w="1420" w:type="dxa"/>
            <w:vAlign w:val="bottom"/>
            <w:gridSpan w:val="3"/>
          </w:tcPr>
          <w:p>
            <w:pPr>
              <w:jc w:val="right"/>
              <w:ind w:right="300"/>
              <w:spacing w:after="0"/>
              <w:rPr>
                <w:sz w:val="20"/>
                <w:szCs w:val="20"/>
                <w:color w:val="auto"/>
              </w:rPr>
            </w:pPr>
            <w:r>
              <w:rPr>
                <w:rFonts w:ascii="Arial" w:cs="Arial" w:eastAsia="Arial" w:hAnsi="Arial"/>
                <w:sz w:val="14"/>
                <w:szCs w:val="14"/>
                <w:color w:val="auto"/>
              </w:rPr>
              <w:t>(US$ millions)</w:t>
            </w:r>
          </w:p>
        </w:tc>
        <w:tc>
          <w:tcPr>
            <w:tcW w:w="1420" w:type="dxa"/>
            <w:vAlign w:val="bottom"/>
            <w:gridSpan w:val="3"/>
          </w:tcPr>
          <w:p>
            <w:pPr>
              <w:jc w:val="right"/>
              <w:ind w:right="300"/>
              <w:spacing w:after="0"/>
              <w:rPr>
                <w:sz w:val="20"/>
                <w:szCs w:val="20"/>
                <w:color w:val="auto"/>
              </w:rPr>
            </w:pPr>
            <w:r>
              <w:rPr>
                <w:rFonts w:ascii="Arial" w:cs="Arial" w:eastAsia="Arial" w:hAnsi="Arial"/>
                <w:sz w:val="14"/>
                <w:szCs w:val="14"/>
                <w:color w:val="auto"/>
              </w:rPr>
              <w:t>(US$ millions)</w:t>
            </w:r>
          </w:p>
        </w:tc>
        <w:tc>
          <w:tcPr>
            <w:tcW w:w="1420" w:type="dxa"/>
            <w:vAlign w:val="bottom"/>
            <w:gridSpan w:val="3"/>
          </w:tcPr>
          <w:p>
            <w:pPr>
              <w:jc w:val="right"/>
              <w:ind w:right="300"/>
              <w:spacing w:after="0"/>
              <w:rPr>
                <w:sz w:val="20"/>
                <w:szCs w:val="20"/>
                <w:color w:val="auto"/>
              </w:rPr>
            </w:pPr>
            <w:r>
              <w:rPr>
                <w:rFonts w:ascii="Arial" w:cs="Arial" w:eastAsia="Arial" w:hAnsi="Arial"/>
                <w:sz w:val="14"/>
                <w:szCs w:val="14"/>
                <w:color w:val="auto"/>
              </w:rPr>
              <w:t>(US$ millions)</w:t>
            </w:r>
          </w:p>
        </w:tc>
        <w:tc>
          <w:tcPr>
            <w:tcW w:w="1260" w:type="dxa"/>
            <w:vAlign w:val="bottom"/>
            <w:gridSpan w:val="3"/>
          </w:tcPr>
          <w:p>
            <w:pPr>
              <w:jc w:val="right"/>
              <w:ind w:right="140"/>
              <w:spacing w:after="0"/>
              <w:rPr>
                <w:sz w:val="20"/>
                <w:szCs w:val="20"/>
                <w:color w:val="auto"/>
              </w:rPr>
            </w:pPr>
            <w:r>
              <w:rPr>
                <w:rFonts w:ascii="Arial" w:cs="Arial" w:eastAsia="Arial" w:hAnsi="Arial"/>
                <w:sz w:val="14"/>
                <w:szCs w:val="14"/>
                <w:color w:val="auto"/>
              </w:rPr>
              <w:t>(US$ millions)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2017</w:t>
            </w: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2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Financial assets</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w:t>
            </w:r>
          </w:p>
        </w:tc>
        <w:tc>
          <w:tcPr>
            <w:tcW w:w="14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14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29</w:t>
            </w:r>
          </w:p>
        </w:tc>
        <w:tc>
          <w:tcPr>
            <w:tcW w:w="14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w:t>
            </w:r>
          </w:p>
        </w:tc>
        <w:tc>
          <w:tcPr>
            <w:tcW w:w="12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9"/>
              </w:rPr>
              <w:t>Trade and other receivables</w:t>
            </w:r>
          </w:p>
        </w:tc>
        <w:tc>
          <w:tcPr>
            <w:tcW w:w="1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10</w:t>
            </w:r>
          </w:p>
        </w:tc>
        <w:tc>
          <w:tcPr>
            <w:tcW w:w="14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6</w:t>
            </w:r>
          </w:p>
        </w:tc>
        <w:tc>
          <w:tcPr>
            <w:tcW w:w="142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5</w:t>
            </w:r>
          </w:p>
        </w:tc>
        <w:tc>
          <w:tcPr>
            <w:tcW w:w="142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39</w:t>
            </w:r>
          </w:p>
        </w:tc>
        <w:tc>
          <w:tcPr>
            <w:tcW w:w="142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23</w:t>
            </w:r>
          </w:p>
        </w:tc>
        <w:tc>
          <w:tcPr>
            <w:tcW w:w="126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financial liabilities</w:t>
            </w:r>
          </w:p>
        </w:tc>
        <w:tc>
          <w:tcPr>
            <w:tcW w:w="16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(66)</w:t>
            </w:r>
          </w:p>
        </w:tc>
        <w:tc>
          <w:tcPr>
            <w:tcW w:w="14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14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w:t>
            </w:r>
          </w:p>
        </w:tc>
        <w:tc>
          <w:tcPr>
            <w:tcW w:w="14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12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assets</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bottom w:val="single" w:sz="8" w:color="CCEEFF"/>
            </w:tcBorders>
            <w:gridSpan w:val="2"/>
            <w:vMerge w:val="continue"/>
          </w:tcPr>
          <w:p>
            <w:pPr>
              <w:spacing w:after="0"/>
              <w:rPr>
                <w:sz w:val="18"/>
                <w:szCs w:val="18"/>
                <w:color w:val="auto"/>
              </w:rPr>
            </w:pPr>
          </w:p>
        </w:tc>
        <w:tc>
          <w:tcPr>
            <w:tcW w:w="1600" w:type="dxa"/>
            <w:vAlign w:val="bottom"/>
            <w:tcBorders>
              <w:bottom w:val="single" w:sz="8" w:color="auto"/>
            </w:tcBorders>
            <w:gridSpan w:val="3"/>
          </w:tcPr>
          <w:p>
            <w:pPr>
              <w:jc w:val="right"/>
              <w:ind w:right="220"/>
              <w:spacing w:after="0" w:line="203" w:lineRule="exact"/>
              <w:rPr>
                <w:sz w:val="20"/>
                <w:szCs w:val="20"/>
                <w:color w:val="auto"/>
              </w:rPr>
            </w:pPr>
            <w:r>
              <w:rPr>
                <w:rFonts w:ascii="Arial" w:cs="Arial" w:eastAsia="Arial" w:hAnsi="Arial"/>
                <w:sz w:val="18"/>
                <w:szCs w:val="18"/>
                <w:color w:val="auto"/>
              </w:rPr>
              <w:t>(60)</w:t>
            </w:r>
          </w:p>
        </w:tc>
        <w:tc>
          <w:tcPr>
            <w:tcW w:w="1420" w:type="dxa"/>
            <w:vAlign w:val="bottom"/>
            <w:tcBorders>
              <w:bottom w:val="single" w:sz="8" w:color="auto"/>
            </w:tcBorders>
            <w:gridSpan w:val="3"/>
          </w:tcPr>
          <w:p>
            <w:pPr>
              <w:jc w:val="right"/>
              <w:ind w:right="240"/>
              <w:spacing w:after="0" w:line="203" w:lineRule="exact"/>
              <w:rPr>
                <w:sz w:val="20"/>
                <w:szCs w:val="20"/>
                <w:color w:val="auto"/>
              </w:rPr>
            </w:pPr>
            <w:r>
              <w:rPr>
                <w:rFonts w:ascii="Arial" w:cs="Arial" w:eastAsia="Arial" w:hAnsi="Arial"/>
                <w:sz w:val="18"/>
                <w:szCs w:val="18"/>
                <w:color w:val="auto"/>
              </w:rPr>
              <w:t>(5)</w:t>
            </w:r>
          </w:p>
        </w:tc>
        <w:tc>
          <w:tcPr>
            <w:tcW w:w="1420" w:type="dxa"/>
            <w:vAlign w:val="bottom"/>
            <w:tcBorders>
              <w:bottom w:val="single" w:sz="8" w:color="auto"/>
            </w:tcBorders>
            <w:gridSpan w:val="3"/>
          </w:tcPr>
          <w:p>
            <w:pPr>
              <w:jc w:val="right"/>
              <w:ind w:right="300"/>
              <w:spacing w:after="0" w:line="203" w:lineRule="exact"/>
              <w:rPr>
                <w:sz w:val="20"/>
                <w:szCs w:val="20"/>
                <w:color w:val="auto"/>
              </w:rPr>
            </w:pPr>
            <w:r>
              <w:rPr>
                <w:rFonts w:ascii="Arial" w:cs="Arial" w:eastAsia="Arial" w:hAnsi="Arial"/>
                <w:sz w:val="18"/>
                <w:szCs w:val="18"/>
                <w:color w:val="auto"/>
              </w:rPr>
              <w:t>26</w:t>
            </w:r>
          </w:p>
        </w:tc>
        <w:tc>
          <w:tcPr>
            <w:tcW w:w="1420" w:type="dxa"/>
            <w:vAlign w:val="bottom"/>
            <w:tcBorders>
              <w:bottom w:val="single" w:sz="8" w:color="auto"/>
            </w:tcBorders>
            <w:gridSpan w:val="3"/>
          </w:tcPr>
          <w:p>
            <w:pPr>
              <w:jc w:val="right"/>
              <w:ind w:right="300"/>
              <w:spacing w:after="0" w:line="203" w:lineRule="exact"/>
              <w:rPr>
                <w:sz w:val="20"/>
                <w:szCs w:val="20"/>
                <w:color w:val="auto"/>
              </w:rPr>
            </w:pPr>
            <w:r>
              <w:rPr>
                <w:rFonts w:ascii="Arial" w:cs="Arial" w:eastAsia="Arial" w:hAnsi="Arial"/>
                <w:sz w:val="18"/>
                <w:szCs w:val="18"/>
                <w:color w:val="auto"/>
              </w:rPr>
              <w:t>20</w:t>
            </w:r>
          </w:p>
        </w:tc>
        <w:tc>
          <w:tcPr>
            <w:tcW w:w="1260" w:type="dxa"/>
            <w:vAlign w:val="bottom"/>
            <w:tcBorders>
              <w:bottom w:val="single" w:sz="8" w:color="auto"/>
            </w:tcBorders>
            <w:gridSpan w:val="3"/>
          </w:tcPr>
          <w:p>
            <w:pPr>
              <w:jc w:val="right"/>
              <w:ind w:right="14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2016</w:t>
            </w: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w:t>
            </w:r>
          </w:p>
        </w:tc>
        <w:tc>
          <w:tcPr>
            <w:tcW w:w="14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4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46</w:t>
            </w:r>
          </w:p>
        </w:tc>
        <w:tc>
          <w:tcPr>
            <w:tcW w:w="14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18</w:t>
            </w:r>
          </w:p>
        </w:tc>
        <w:tc>
          <w:tcPr>
            <w:tcW w:w="12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9"/>
              </w:rPr>
              <w:t>Trade and other receivables</w:t>
            </w:r>
          </w:p>
        </w:tc>
        <w:tc>
          <w:tcPr>
            <w:tcW w:w="1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9</w:t>
            </w:r>
          </w:p>
        </w:tc>
        <w:tc>
          <w:tcPr>
            <w:tcW w:w="14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11</w:t>
            </w:r>
          </w:p>
        </w:tc>
        <w:tc>
          <w:tcPr>
            <w:tcW w:w="142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1</w:t>
            </w:r>
          </w:p>
        </w:tc>
        <w:tc>
          <w:tcPr>
            <w:tcW w:w="142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55</w:t>
            </w:r>
          </w:p>
        </w:tc>
        <w:tc>
          <w:tcPr>
            <w:tcW w:w="142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21</w:t>
            </w:r>
          </w:p>
        </w:tc>
        <w:tc>
          <w:tcPr>
            <w:tcW w:w="126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financial liabilities</w:t>
            </w:r>
          </w:p>
        </w:tc>
        <w:tc>
          <w:tcPr>
            <w:tcW w:w="16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14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4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14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12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assets</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1600" w:type="dxa"/>
            <w:vAlign w:val="bottom"/>
            <w:tcBorders>
              <w:bottom w:val="single" w:sz="8" w:color="auto"/>
            </w:tcBorders>
            <w:gridSpan w:val="3"/>
          </w:tcPr>
          <w:p>
            <w:pPr>
              <w:jc w:val="right"/>
              <w:ind w:right="280"/>
              <w:spacing w:after="0" w:line="203" w:lineRule="exact"/>
              <w:rPr>
                <w:sz w:val="20"/>
                <w:szCs w:val="20"/>
                <w:color w:val="auto"/>
              </w:rPr>
            </w:pPr>
            <w:r>
              <w:rPr>
                <w:rFonts w:ascii="Arial" w:cs="Arial" w:eastAsia="Arial" w:hAnsi="Arial"/>
                <w:sz w:val="18"/>
                <w:szCs w:val="18"/>
                <w:color w:val="auto"/>
              </w:rPr>
              <w:t>4</w:t>
            </w:r>
          </w:p>
        </w:tc>
        <w:tc>
          <w:tcPr>
            <w:tcW w:w="1420" w:type="dxa"/>
            <w:vAlign w:val="bottom"/>
            <w:tcBorders>
              <w:bottom w:val="single" w:sz="8" w:color="auto"/>
            </w:tcBorders>
            <w:gridSpan w:val="3"/>
          </w:tcPr>
          <w:p>
            <w:pPr>
              <w:jc w:val="right"/>
              <w:ind w:right="240"/>
              <w:spacing w:after="0" w:line="203" w:lineRule="exact"/>
              <w:rPr>
                <w:sz w:val="20"/>
                <w:szCs w:val="20"/>
                <w:color w:val="auto"/>
              </w:rPr>
            </w:pPr>
            <w:r>
              <w:rPr>
                <w:rFonts w:ascii="Arial" w:cs="Arial" w:eastAsia="Arial" w:hAnsi="Arial"/>
                <w:sz w:val="18"/>
                <w:szCs w:val="18"/>
                <w:color w:val="auto"/>
              </w:rPr>
              <w:t>(1)</w:t>
            </w:r>
          </w:p>
        </w:tc>
        <w:tc>
          <w:tcPr>
            <w:tcW w:w="1420" w:type="dxa"/>
            <w:vAlign w:val="bottom"/>
            <w:tcBorders>
              <w:bottom w:val="single" w:sz="8" w:color="auto"/>
            </w:tcBorders>
            <w:gridSpan w:val="3"/>
          </w:tcPr>
          <w:p>
            <w:pPr>
              <w:jc w:val="right"/>
              <w:ind w:right="300"/>
              <w:spacing w:after="0" w:line="203" w:lineRule="exact"/>
              <w:rPr>
                <w:sz w:val="20"/>
                <w:szCs w:val="20"/>
                <w:color w:val="auto"/>
              </w:rPr>
            </w:pPr>
            <w:r>
              <w:rPr>
                <w:rFonts w:ascii="Arial" w:cs="Arial" w:eastAsia="Arial" w:hAnsi="Arial"/>
                <w:sz w:val="18"/>
                <w:szCs w:val="18"/>
                <w:color w:val="auto"/>
              </w:rPr>
              <w:t>50</w:t>
            </w:r>
          </w:p>
        </w:tc>
        <w:tc>
          <w:tcPr>
            <w:tcW w:w="1420" w:type="dxa"/>
            <w:vAlign w:val="bottom"/>
            <w:tcBorders>
              <w:bottom w:val="single" w:sz="8" w:color="auto"/>
            </w:tcBorders>
            <w:gridSpan w:val="3"/>
          </w:tcPr>
          <w:p>
            <w:pPr>
              <w:jc w:val="right"/>
              <w:ind w:right="300"/>
              <w:spacing w:after="0" w:line="203" w:lineRule="exact"/>
              <w:rPr>
                <w:sz w:val="20"/>
                <w:szCs w:val="20"/>
                <w:color w:val="auto"/>
              </w:rPr>
            </w:pPr>
            <w:r>
              <w:rPr>
                <w:rFonts w:ascii="Arial" w:cs="Arial" w:eastAsia="Arial" w:hAnsi="Arial"/>
                <w:sz w:val="18"/>
                <w:szCs w:val="18"/>
                <w:color w:val="auto"/>
              </w:rPr>
              <w:t>20</w:t>
            </w:r>
          </w:p>
        </w:tc>
        <w:tc>
          <w:tcPr>
            <w:tcW w:w="1260" w:type="dxa"/>
            <w:vAlign w:val="bottom"/>
            <w:tcBorders>
              <w:bottom w:val="single" w:sz="8" w:color="auto"/>
            </w:tcBorders>
            <w:gridSpan w:val="3"/>
          </w:tcPr>
          <w:p>
            <w:pPr>
              <w:jc w:val="right"/>
              <w:ind w:right="140"/>
              <w:spacing w:after="0" w:line="203"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860" w:right="20"/>
        <w:spacing w:after="0" w:line="246" w:lineRule="auto"/>
        <w:rPr>
          <w:sz w:val="20"/>
          <w:szCs w:val="20"/>
          <w:color w:val="auto"/>
        </w:rPr>
      </w:pPr>
      <w:r>
        <w:rPr>
          <w:rFonts w:ascii="Arial" w:cs="Arial" w:eastAsia="Arial" w:hAnsi="Arial"/>
          <w:sz w:val="18"/>
          <w:szCs w:val="18"/>
          <w:color w:val="auto"/>
        </w:rPr>
        <w:t>The Company’s business operations are not exposed to significant foreign currency risks as it has no significant transactions denominated in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A-93</w:t>
      </w:r>
    </w:p>
    <w:p>
      <w:pPr>
        <w:sectPr>
          <w:pgSz w:w="11900" w:h="16838" w:orient="portrait"/>
          <w:cols w:equalWidth="0" w:num="1">
            <w:col w:w="11240"/>
          </w:cols>
          <w:pgMar w:left="240" w:top="460" w:right="4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risk management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Market risk (continued)</w:t>
      </w:r>
    </w:p>
    <w:p>
      <w:pPr>
        <w:spacing w:after="0" w:line="126" w:lineRule="exact"/>
        <w:rPr>
          <w:rFonts w:ascii="Arial" w:cs="Arial" w:eastAsia="Arial" w:hAnsi="Arial"/>
          <w:sz w:val="18"/>
          <w:szCs w:val="18"/>
          <w:color w:val="auto"/>
        </w:rPr>
      </w:pPr>
    </w:p>
    <w:p>
      <w:pPr>
        <w:ind w:left="1860" w:hanging="886"/>
        <w:spacing w:after="0"/>
        <w:tabs>
          <w:tab w:leader="none" w:pos="1860" w:val="left"/>
        </w:tabs>
        <w:numPr>
          <w:ilvl w:val="1"/>
          <w:numId w:val="2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(continued)</w:t>
      </w:r>
    </w:p>
    <w:p>
      <w:pPr>
        <w:spacing w:after="0" w:line="162" w:lineRule="exact"/>
        <w:rPr>
          <w:rFonts w:ascii="Arial" w:cs="Arial" w:eastAsia="Arial" w:hAnsi="Arial"/>
          <w:sz w:val="18"/>
          <w:szCs w:val="18"/>
          <w:i w:val="1"/>
          <w:iCs w:val="1"/>
          <w:color w:val="auto"/>
        </w:rPr>
      </w:pPr>
    </w:p>
    <w:p>
      <w:pPr>
        <w:jc w:val="both"/>
        <w:ind w:left="1860" w:right="20"/>
        <w:spacing w:after="0"/>
        <w:rPr>
          <w:rFonts w:ascii="Arial" w:cs="Arial" w:eastAsia="Arial" w:hAnsi="Arial"/>
          <w:sz w:val="18"/>
          <w:szCs w:val="18"/>
          <w:i w:val="1"/>
          <w:iCs w:val="1"/>
          <w:color w:val="auto"/>
        </w:rPr>
      </w:pPr>
      <w:r>
        <w:rPr>
          <w:rFonts w:ascii="Arial" w:cs="Arial" w:eastAsia="Arial" w:hAnsi="Arial"/>
          <w:sz w:val="18"/>
          <w:szCs w:val="18"/>
          <w:color w:val="auto"/>
        </w:rPr>
        <w:t>If the SGD, ILS, EUR, JPY, INR change against the U.S. dollar by 5% in either of financial years 2017 or 2016, with all other variables, including tax rate being held constant, the effects arising from the net financial liability/asset that are exposed to currency risk will be as follows:</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300" w:type="dxa"/>
            <w:vAlign w:val="bottom"/>
            <w:gridSpan w:val="4"/>
          </w:tcPr>
          <w:p>
            <w:pPr>
              <w:ind w:left="1680"/>
              <w:spacing w:after="0"/>
              <w:rPr>
                <w:sz w:val="20"/>
                <w:szCs w:val="20"/>
                <w:color w:val="auto"/>
              </w:rPr>
            </w:pPr>
            <w:r>
              <w:rPr>
                <w:rFonts w:ascii="Arial" w:cs="Arial" w:eastAsia="Arial" w:hAnsi="Arial"/>
                <w:sz w:val="18"/>
                <w:szCs w:val="18"/>
                <w:b w:val="1"/>
                <w:bCs w:val="1"/>
                <w:color w:val="auto"/>
              </w:rPr>
              <w:t>Increase/(Decrease)</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7"/>
              </w:rPr>
              <w:t>Profit</w:t>
            </w:r>
          </w:p>
        </w:tc>
        <w:tc>
          <w:tcPr>
            <w:tcW w:w="2300" w:type="dxa"/>
            <w:vAlign w:val="bottom"/>
          </w:tcPr>
          <w:p>
            <w:pPr>
              <w:jc w:val="right"/>
              <w:ind w:right="155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jc w:val="right"/>
              <w:ind w:right="14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260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9"/>
              </w:rPr>
              <w:t>Other</w:t>
            </w:r>
          </w:p>
        </w:tc>
        <w:tc>
          <w:tcPr>
            <w:tcW w:w="170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9"/>
              </w:rPr>
              <w:t>Profit</w:t>
            </w:r>
          </w:p>
        </w:tc>
        <w:tc>
          <w:tcPr>
            <w:tcW w:w="2460" w:type="dxa"/>
            <w:vAlign w:val="bottom"/>
            <w:gridSpan w:val="2"/>
          </w:tcPr>
          <w:p>
            <w:pPr>
              <w:jc w:val="center"/>
              <w:ind w:right="280"/>
              <w:spacing w:after="0" w:line="189" w:lineRule="exact"/>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after tax</w:t>
            </w:r>
          </w:p>
        </w:tc>
        <w:tc>
          <w:tcPr>
            <w:tcW w:w="2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comprehensive income</w:t>
            </w: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after tax</w:t>
            </w:r>
          </w:p>
        </w:tc>
        <w:tc>
          <w:tcPr>
            <w:tcW w:w="2460" w:type="dxa"/>
            <w:vAlign w:val="bottom"/>
            <w:gridSpan w:val="2"/>
          </w:tcPr>
          <w:p>
            <w:pPr>
              <w:jc w:val="center"/>
              <w:ind w:right="280"/>
              <w:spacing w:after="0"/>
              <w:rPr>
                <w:sz w:val="20"/>
                <w:szCs w:val="20"/>
                <w:color w:val="auto"/>
              </w:rPr>
            </w:pPr>
            <w:r>
              <w:rPr>
                <w:rFonts w:ascii="Arial" w:cs="Arial" w:eastAsia="Arial" w:hAnsi="Arial"/>
                <w:sz w:val="18"/>
                <w:szCs w:val="18"/>
                <w:color w:val="auto"/>
              </w:rPr>
              <w:t>comprehensive income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(US$ millions)</w:t>
            </w:r>
          </w:p>
        </w:tc>
        <w:tc>
          <w:tcPr>
            <w:tcW w:w="280" w:type="dxa"/>
            <w:vAlign w:val="bottom"/>
          </w:tcPr>
          <w:p>
            <w:pPr>
              <w:spacing w:after="0"/>
              <w:rPr>
                <w:sz w:val="17"/>
                <w:szCs w:val="17"/>
                <w:color w:val="auto"/>
              </w:rPr>
            </w:pPr>
          </w:p>
        </w:tc>
        <w:tc>
          <w:tcPr>
            <w:tcW w:w="23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(US$ millions)</w:t>
            </w:r>
          </w:p>
        </w:tc>
        <w:tc>
          <w:tcPr>
            <w:tcW w:w="300" w:type="dxa"/>
            <w:vAlign w:val="bottom"/>
          </w:tcPr>
          <w:p>
            <w:pPr>
              <w:spacing w:after="0"/>
              <w:rPr>
                <w:sz w:val="17"/>
                <w:szCs w:val="17"/>
                <w:color w:val="auto"/>
              </w:rPr>
            </w:pPr>
          </w:p>
        </w:tc>
        <w:tc>
          <w:tcPr>
            <w:tcW w:w="14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(US$ millions)</w:t>
            </w:r>
          </w:p>
        </w:tc>
        <w:tc>
          <w:tcPr>
            <w:tcW w:w="300" w:type="dxa"/>
            <w:vAlign w:val="bottom"/>
          </w:tcPr>
          <w:p>
            <w:pPr>
              <w:spacing w:after="0"/>
              <w:rPr>
                <w:sz w:val="17"/>
                <w:szCs w:val="17"/>
                <w:color w:val="auto"/>
              </w:rPr>
            </w:pPr>
          </w:p>
        </w:tc>
        <w:tc>
          <w:tcPr>
            <w:tcW w:w="21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(US$ millions)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Group</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700" w:type="dxa"/>
            <w:vAlign w:val="bottom"/>
            <w:gridSpan w:val="2"/>
          </w:tcPr>
          <w:p>
            <w:pPr>
              <w:spacing w:after="0" w:line="189" w:lineRule="exact"/>
              <w:rPr>
                <w:sz w:val="20"/>
                <w:szCs w:val="20"/>
                <w:color w:val="auto"/>
              </w:rPr>
            </w:pPr>
            <w:r>
              <w:rPr>
                <w:rFonts w:ascii="Arial" w:cs="Arial" w:eastAsia="Arial" w:hAnsi="Arial"/>
                <w:sz w:val="18"/>
                <w:szCs w:val="18"/>
                <w:color w:val="auto"/>
              </w:rPr>
              <w:t>SGD against USD</w:t>
            </w: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 Strengthened</w:t>
            </w:r>
          </w:p>
        </w:tc>
        <w:tc>
          <w:tcPr>
            <w:tcW w:w="15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3</w:t>
            </w: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Weakened</w:t>
            </w: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17"/>
                <w:szCs w:val="17"/>
                <w:color w:val="auto"/>
              </w:rPr>
            </w:pPr>
          </w:p>
        </w:tc>
        <w:tc>
          <w:tcPr>
            <w:tcW w:w="2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ILS against USD</w:t>
            </w: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Strengthened</w:t>
            </w: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 Weakened</w:t>
            </w:r>
          </w:p>
        </w:tc>
        <w:tc>
          <w:tcPr>
            <w:tcW w:w="15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gridSpan w:val="2"/>
          </w:tcPr>
          <w:p>
            <w:pPr>
              <w:spacing w:after="0" w:line="202" w:lineRule="exact"/>
              <w:rPr>
                <w:sz w:val="20"/>
                <w:szCs w:val="20"/>
                <w:color w:val="auto"/>
              </w:rPr>
            </w:pPr>
            <w:r>
              <w:rPr>
                <w:rFonts w:ascii="Arial" w:cs="Arial" w:eastAsia="Arial" w:hAnsi="Arial"/>
                <w:sz w:val="18"/>
                <w:szCs w:val="18"/>
                <w:color w:val="auto"/>
              </w:rPr>
              <w:t>EUR against USD</w:t>
            </w: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 Strengthened</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Weakened</w:t>
            </w: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7"/>
                <w:szCs w:val="17"/>
                <w:color w:val="auto"/>
              </w:rPr>
            </w:pPr>
          </w:p>
        </w:tc>
        <w:tc>
          <w:tcPr>
            <w:tcW w:w="23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2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JPY against USD</w:t>
            </w: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Strengthened</w:t>
            </w: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7"/>
                <w:szCs w:val="17"/>
                <w:color w:val="auto"/>
              </w:rPr>
            </w:pPr>
          </w:p>
        </w:tc>
        <w:tc>
          <w:tcPr>
            <w:tcW w:w="2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 Weakened</w:t>
            </w:r>
          </w:p>
        </w:tc>
        <w:tc>
          <w:tcPr>
            <w:tcW w:w="15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gridSpan w:val="2"/>
          </w:tcPr>
          <w:p>
            <w:pPr>
              <w:spacing w:after="0" w:line="202" w:lineRule="exact"/>
              <w:rPr>
                <w:sz w:val="20"/>
                <w:szCs w:val="20"/>
                <w:color w:val="auto"/>
              </w:rPr>
            </w:pPr>
            <w:r>
              <w:rPr>
                <w:rFonts w:ascii="Arial" w:cs="Arial" w:eastAsia="Arial" w:hAnsi="Arial"/>
                <w:sz w:val="18"/>
                <w:szCs w:val="18"/>
                <w:color w:val="auto"/>
              </w:rPr>
              <w:t>INR against USD</w:t>
            </w: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 Strengthened</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 Weakened</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1860" w:hanging="886"/>
        <w:spacing w:after="0"/>
        <w:tabs>
          <w:tab w:leader="none" w:pos="1860" w:val="left"/>
        </w:tabs>
        <w:numPr>
          <w:ilvl w:val="0"/>
          <w:numId w:val="249"/>
        </w:numPr>
        <w:rPr>
          <w:rFonts w:ascii="Arial" w:cs="Arial" w:eastAsia="Arial" w:hAnsi="Arial"/>
          <w:sz w:val="18"/>
          <w:szCs w:val="18"/>
          <w:i w:val="1"/>
          <w:iCs w:val="1"/>
          <w:color w:val="auto"/>
        </w:rPr>
      </w:pPr>
      <w:r>
        <w:rPr>
          <w:rFonts w:ascii="Arial" w:cs="Arial" w:eastAsia="Arial" w:hAnsi="Arial"/>
          <w:sz w:val="18"/>
          <w:szCs w:val="18"/>
          <w:i w:val="1"/>
          <w:iCs w:val="1"/>
          <w:color w:val="auto"/>
        </w:rPr>
        <w:t>Price risk</w:t>
      </w:r>
    </w:p>
    <w:p>
      <w:pPr>
        <w:spacing w:after="0" w:line="229" w:lineRule="exact"/>
        <w:rPr>
          <w:rFonts w:ascii="Arial" w:cs="Arial" w:eastAsia="Arial" w:hAnsi="Arial"/>
          <w:sz w:val="18"/>
          <w:szCs w:val="18"/>
          <w:i w:val="1"/>
          <w:iCs w:val="1"/>
          <w:color w:val="auto"/>
        </w:rPr>
      </w:pPr>
    </w:p>
    <w:p>
      <w:pPr>
        <w:ind w:left="1860"/>
        <w:spacing w:after="0"/>
        <w:rPr>
          <w:rFonts w:ascii="Arial" w:cs="Arial" w:eastAsia="Arial" w:hAnsi="Arial"/>
          <w:sz w:val="18"/>
          <w:szCs w:val="18"/>
          <w:i w:val="1"/>
          <w:iCs w:val="1"/>
          <w:color w:val="auto"/>
        </w:rPr>
      </w:pPr>
      <w:r>
        <w:rPr>
          <w:rFonts w:ascii="Arial" w:cs="Arial" w:eastAsia="Arial" w:hAnsi="Arial"/>
          <w:sz w:val="18"/>
          <w:szCs w:val="18"/>
          <w:color w:val="auto"/>
        </w:rPr>
        <w:t>The Group has insignificant exposure to equity price risk.</w:t>
      </w:r>
    </w:p>
    <w:p>
      <w:pPr>
        <w:spacing w:after="0" w:line="220" w:lineRule="exact"/>
        <w:rPr>
          <w:rFonts w:ascii="Arial" w:cs="Arial" w:eastAsia="Arial" w:hAnsi="Arial"/>
          <w:sz w:val="18"/>
          <w:szCs w:val="18"/>
          <w:i w:val="1"/>
          <w:iCs w:val="1"/>
          <w:color w:val="auto"/>
        </w:rPr>
      </w:pPr>
    </w:p>
    <w:p>
      <w:pPr>
        <w:ind w:left="1860" w:hanging="886"/>
        <w:spacing w:after="0"/>
        <w:tabs>
          <w:tab w:leader="none" w:pos="1860" w:val="left"/>
        </w:tabs>
        <w:numPr>
          <w:ilvl w:val="0"/>
          <w:numId w:val="249"/>
        </w:numPr>
        <w:rPr>
          <w:rFonts w:ascii="Arial" w:cs="Arial" w:eastAsia="Arial" w:hAnsi="Arial"/>
          <w:sz w:val="18"/>
          <w:szCs w:val="18"/>
          <w:i w:val="1"/>
          <w:iCs w:val="1"/>
          <w:color w:val="auto"/>
        </w:rPr>
      </w:pPr>
      <w:r>
        <w:rPr>
          <w:rFonts w:ascii="Arial" w:cs="Arial" w:eastAsia="Arial" w:hAnsi="Arial"/>
          <w:sz w:val="18"/>
          <w:szCs w:val="18"/>
          <w:i w:val="1"/>
          <w:iCs w:val="1"/>
          <w:color w:val="auto"/>
        </w:rPr>
        <w:t>Cash flow and fair value interest rate risks</w:t>
      </w:r>
    </w:p>
    <w:p>
      <w:pPr>
        <w:spacing w:after="0" w:line="229" w:lineRule="exact"/>
        <w:rPr>
          <w:rFonts w:ascii="Arial" w:cs="Arial" w:eastAsia="Arial" w:hAnsi="Arial"/>
          <w:sz w:val="18"/>
          <w:szCs w:val="18"/>
          <w:i w:val="1"/>
          <w:iCs w:val="1"/>
          <w:color w:val="auto"/>
        </w:rPr>
      </w:pPr>
    </w:p>
    <w:p>
      <w:pPr>
        <w:jc w:val="both"/>
        <w:ind w:left="1860" w:right="20"/>
        <w:spacing w:after="0"/>
        <w:rPr>
          <w:rFonts w:ascii="Arial" w:cs="Arial" w:eastAsia="Arial" w:hAnsi="Arial"/>
          <w:sz w:val="18"/>
          <w:szCs w:val="18"/>
          <w:i w:val="1"/>
          <w:iCs w:val="1"/>
          <w:color w:val="auto"/>
        </w:rPr>
      </w:pPr>
      <w:r>
        <w:rPr>
          <w:rFonts w:ascii="Arial" w:cs="Arial" w:eastAsia="Arial" w:hAnsi="Arial"/>
          <w:sz w:val="18"/>
          <w:szCs w:val="18"/>
          <w:color w:val="auto"/>
        </w:rPr>
        <w:t>Cash flow interest rate risk is the risk that the future cash flows of a financial instrument will fluctuate because of changes in market interest rates. Fair value interest rate risk is the risk that the fair value of a financial instrument will fluctuate due to changes in market interest rates.</w:t>
      </w:r>
    </w:p>
    <w:p>
      <w:pPr>
        <w:spacing w:after="0" w:line="202" w:lineRule="exact"/>
        <w:rPr>
          <w:rFonts w:ascii="Arial" w:cs="Arial" w:eastAsia="Arial" w:hAnsi="Arial"/>
          <w:sz w:val="18"/>
          <w:szCs w:val="18"/>
          <w:i w:val="1"/>
          <w:iCs w:val="1"/>
          <w:color w:val="auto"/>
        </w:rPr>
      </w:pPr>
    </w:p>
    <w:p>
      <w:pPr>
        <w:jc w:val="both"/>
        <w:ind w:left="1860" w:right="20"/>
        <w:spacing w:after="0"/>
        <w:rPr>
          <w:rFonts w:ascii="Arial" w:cs="Arial" w:eastAsia="Arial" w:hAnsi="Arial"/>
          <w:sz w:val="18"/>
          <w:szCs w:val="18"/>
          <w:i w:val="1"/>
          <w:iCs w:val="1"/>
          <w:color w:val="auto"/>
        </w:rPr>
      </w:pPr>
      <w:r>
        <w:rPr>
          <w:rFonts w:ascii="Arial" w:cs="Arial" w:eastAsia="Arial" w:hAnsi="Arial"/>
          <w:sz w:val="18"/>
          <w:szCs w:val="18"/>
          <w:color w:val="auto"/>
        </w:rPr>
        <w:t>The Group’s exposure to cash flow interest rate risk arises primarily from interest-bearing term loans and interest-bearing assets held. In connection with the completion of Broadcom Merger, the Group entered into the 2016 Credit Agreement, which provided for the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A-94</w:t>
      </w:r>
    </w:p>
    <w:p>
      <w:pPr>
        <w:sectPr>
          <w:pgSz w:w="11900" w:h="16838" w:orient="portrait"/>
          <w:cols w:equalWidth="0" w:num="1">
            <w:col w:w="11240"/>
          </w:cols>
          <w:pgMar w:left="240" w:top="460" w:right="4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risk management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Market risk (continued)</w:t>
      </w:r>
    </w:p>
    <w:p>
      <w:pPr>
        <w:spacing w:after="0" w:line="126" w:lineRule="exact"/>
        <w:rPr>
          <w:rFonts w:ascii="Arial" w:cs="Arial" w:eastAsia="Arial" w:hAnsi="Arial"/>
          <w:sz w:val="18"/>
          <w:szCs w:val="18"/>
          <w:color w:val="auto"/>
        </w:rPr>
      </w:pPr>
    </w:p>
    <w:p>
      <w:pPr>
        <w:ind w:left="1860" w:hanging="886"/>
        <w:spacing w:after="0"/>
        <w:tabs>
          <w:tab w:leader="none" w:pos="1860" w:val="left"/>
        </w:tabs>
        <w:numPr>
          <w:ilvl w:val="1"/>
          <w:numId w:val="2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flow and fair value interest rate risks </w:t>
      </w:r>
      <w:r>
        <w:rPr>
          <w:rFonts w:ascii="Arial" w:cs="Arial" w:eastAsia="Arial" w:hAnsi="Arial"/>
          <w:sz w:val="18"/>
          <w:szCs w:val="18"/>
          <w:color w:val="auto"/>
        </w:rPr>
        <w:t>(continued)</w:t>
      </w:r>
    </w:p>
    <w:p>
      <w:pPr>
        <w:spacing w:after="0" w:line="162" w:lineRule="exact"/>
        <w:rPr>
          <w:rFonts w:ascii="Arial" w:cs="Arial" w:eastAsia="Arial" w:hAnsi="Arial"/>
          <w:sz w:val="18"/>
          <w:szCs w:val="18"/>
          <w:i w:val="1"/>
          <w:iCs w:val="1"/>
          <w:color w:val="auto"/>
        </w:rPr>
      </w:pPr>
    </w:p>
    <w:p>
      <w:pPr>
        <w:jc w:val="both"/>
        <w:ind w:left="186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Term Loans at floating interest rates. The 2016 Term Loans were paid in full with proceeds from the issuance and sale of the fixed rate 2017 Senior Notes. The Group Treasury closely monitors market interest rates in order to reduce the exposures to the interest rate risk described above. Interest-bearing assets held consist of fixed income investments, money market funds and bank acceptances with an original maturity of three months or less.</w:t>
      </w:r>
    </w:p>
    <w:p>
      <w:pPr>
        <w:spacing w:after="0" w:line="201" w:lineRule="exact"/>
        <w:rPr>
          <w:rFonts w:ascii="Arial" w:cs="Arial" w:eastAsia="Arial" w:hAnsi="Arial"/>
          <w:sz w:val="18"/>
          <w:szCs w:val="18"/>
          <w:i w:val="1"/>
          <w:iCs w:val="1"/>
          <w:color w:val="auto"/>
        </w:rPr>
      </w:pPr>
    </w:p>
    <w:p>
      <w:pPr>
        <w:jc w:val="both"/>
        <w:ind w:left="1860"/>
        <w:spacing w:after="0" w:line="237" w:lineRule="auto"/>
        <w:rPr>
          <w:rFonts w:ascii="Arial" w:cs="Arial" w:eastAsia="Arial" w:hAnsi="Arial"/>
          <w:sz w:val="18"/>
          <w:szCs w:val="18"/>
          <w:i w:val="1"/>
          <w:iCs w:val="1"/>
          <w:color w:val="auto"/>
        </w:rPr>
      </w:pPr>
      <w:r>
        <w:rPr>
          <w:rFonts w:ascii="Arial" w:cs="Arial" w:eastAsia="Arial" w:hAnsi="Arial"/>
          <w:sz w:val="18"/>
          <w:szCs w:val="18"/>
          <w:color w:val="auto"/>
        </w:rPr>
        <w:t>The Group’s borrowings at variable rates on which effective hedges have not been entered into and interest-bearing assets held are denominated mainly in U.S. dollars. For financial year 2017, if the U.S. dollar interest rates had been higher/lower by 0.5% with all other variables including tax rate being held constant, the profit after tax would have been higher/lower by US$34.5 million as a result of higher/lower interest income on interest-bearing assets. For financial year 2016, if the U.S. dollar interest rates had been higher/lower by 0.5% with all other variables including tax rate being held constant, the profit after tax would have been lower/higher by US$63.7 million as a result of higher/lower interest expense on these borrowings.</w:t>
      </w:r>
    </w:p>
    <w:p>
      <w:pPr>
        <w:spacing w:after="0" w:line="230" w:lineRule="exact"/>
        <w:rPr>
          <w:rFonts w:ascii="Arial" w:cs="Arial" w:eastAsia="Arial" w:hAnsi="Arial"/>
          <w:sz w:val="18"/>
          <w:szCs w:val="18"/>
          <w:i w:val="1"/>
          <w:iCs w:val="1"/>
          <w:color w:val="auto"/>
        </w:rPr>
      </w:pPr>
    </w:p>
    <w:p>
      <w:pPr>
        <w:ind w:left="980" w:hanging="776"/>
        <w:spacing w:after="0"/>
        <w:tabs>
          <w:tab w:leader="none" w:pos="9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11" w:lineRule="exact"/>
        <w:rPr>
          <w:rFonts w:ascii="Arial" w:cs="Arial" w:eastAsia="Arial" w:hAnsi="Arial"/>
          <w:sz w:val="18"/>
          <w:szCs w:val="18"/>
          <w:color w:val="auto"/>
        </w:rPr>
      </w:pPr>
    </w:p>
    <w:p>
      <w:pPr>
        <w:jc w:val="both"/>
        <w:ind w:left="980"/>
        <w:spacing w:after="0" w:line="238" w:lineRule="auto"/>
        <w:rPr>
          <w:rFonts w:ascii="Arial" w:cs="Arial" w:eastAsia="Arial" w:hAnsi="Arial"/>
          <w:sz w:val="18"/>
          <w:szCs w:val="18"/>
          <w:color w:val="auto"/>
        </w:rPr>
      </w:pPr>
      <w:r>
        <w:rPr>
          <w:rFonts w:ascii="Arial" w:cs="Arial" w:eastAsia="Arial" w:hAnsi="Arial"/>
          <w:sz w:val="18"/>
          <w:szCs w:val="18"/>
          <w:color w:val="auto"/>
        </w:rPr>
        <w:t>Credit risk refers to the risk that a counterparty will default on its contractual obligations resulting in financial loss to the Group. The major classes of financial assets of the Group and of the Company are bank deposits and trade receivables. For trade receivables, the Group adopts the policy of dealing only with customers of appropriate credit standing and history, and obtaining sufficient collateral or buying credit insurance where appropriate to mitigate credit risk. For other financial assets, the Group adopts the policy of dealing only with high credit quality counterparties.</w:t>
      </w:r>
    </w:p>
    <w:p>
      <w:pPr>
        <w:spacing w:after="0" w:line="202" w:lineRule="exact"/>
        <w:rPr>
          <w:rFonts w:ascii="Arial" w:cs="Arial" w:eastAsia="Arial" w:hAnsi="Arial"/>
          <w:sz w:val="18"/>
          <w:szCs w:val="18"/>
          <w:color w:val="auto"/>
        </w:rPr>
      </w:pPr>
    </w:p>
    <w:p>
      <w:pPr>
        <w:jc w:val="both"/>
        <w:ind w:left="980"/>
        <w:spacing w:after="0"/>
        <w:rPr>
          <w:rFonts w:ascii="Arial" w:cs="Arial" w:eastAsia="Arial" w:hAnsi="Arial"/>
          <w:sz w:val="18"/>
          <w:szCs w:val="18"/>
          <w:color w:val="auto"/>
        </w:rPr>
      </w:pPr>
      <w:r>
        <w:rPr>
          <w:rFonts w:ascii="Arial" w:cs="Arial" w:eastAsia="Arial" w:hAnsi="Arial"/>
          <w:sz w:val="18"/>
          <w:szCs w:val="18"/>
          <w:color w:val="auto"/>
        </w:rPr>
        <w:t>Credit exposure to an individual counterparty is restricted by credit limits that are approved by the Chief Financial Officer based on ongoing credit evaluation. The counterparty’s payment pattern and credit exposure are continuously monitored at the entity level by the respective management and at the Group level by the Chief Financial Officer.</w:t>
      </w:r>
    </w:p>
    <w:p>
      <w:pPr>
        <w:spacing w:after="0" w:line="202" w:lineRule="exact"/>
        <w:rPr>
          <w:rFonts w:ascii="Arial" w:cs="Arial" w:eastAsia="Arial" w:hAnsi="Arial"/>
          <w:sz w:val="18"/>
          <w:szCs w:val="18"/>
          <w:color w:val="auto"/>
        </w:rPr>
      </w:pPr>
    </w:p>
    <w:p>
      <w:pPr>
        <w:jc w:val="both"/>
        <w:ind w:left="980"/>
        <w:spacing w:after="0"/>
        <w:rPr>
          <w:rFonts w:ascii="Arial" w:cs="Arial" w:eastAsia="Arial" w:hAnsi="Arial"/>
          <w:sz w:val="18"/>
          <w:szCs w:val="18"/>
          <w:color w:val="auto"/>
        </w:rPr>
      </w:pPr>
      <w:r>
        <w:rPr>
          <w:rFonts w:ascii="Arial" w:cs="Arial" w:eastAsia="Arial" w:hAnsi="Arial"/>
          <w:sz w:val="18"/>
          <w:szCs w:val="18"/>
          <w:color w:val="auto"/>
        </w:rPr>
        <w:t>The Group sells its products primarily through its direct sales force, distributors and manufacturers’ representatives. One direct customer individually accounted for 17% and 18% of the Group’s net accounts receivable balance as at 29 October 2017 and 30 October 2016, respectively.</w:t>
      </w:r>
    </w:p>
    <w:p>
      <w:pPr>
        <w:spacing w:after="0" w:line="211" w:lineRule="exact"/>
        <w:rPr>
          <w:rFonts w:ascii="Arial" w:cs="Arial" w:eastAsia="Arial" w:hAnsi="Arial"/>
          <w:sz w:val="18"/>
          <w:szCs w:val="18"/>
          <w:color w:val="auto"/>
        </w:rPr>
      </w:pPr>
    </w:p>
    <w:p>
      <w:pPr>
        <w:ind w:left="1860" w:hanging="886"/>
        <w:spacing w:after="0"/>
        <w:tabs>
          <w:tab w:leader="none" w:pos="1860" w:val="left"/>
        </w:tabs>
        <w:numPr>
          <w:ilvl w:val="1"/>
          <w:numId w:val="252"/>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assets that are neither past due nor impaired</w:t>
      </w:r>
    </w:p>
    <w:p>
      <w:pPr>
        <w:spacing w:after="0" w:line="229" w:lineRule="exact"/>
        <w:rPr>
          <w:rFonts w:ascii="Arial" w:cs="Arial" w:eastAsia="Arial" w:hAnsi="Arial"/>
          <w:sz w:val="18"/>
          <w:szCs w:val="18"/>
          <w:i w:val="1"/>
          <w:iCs w:val="1"/>
          <w:color w:val="auto"/>
        </w:rPr>
      </w:pPr>
    </w:p>
    <w:p>
      <w:pPr>
        <w:jc w:val="both"/>
        <w:ind w:left="1860"/>
        <w:spacing w:after="0"/>
        <w:rPr>
          <w:rFonts w:ascii="Arial" w:cs="Arial" w:eastAsia="Arial" w:hAnsi="Arial"/>
          <w:sz w:val="18"/>
          <w:szCs w:val="18"/>
          <w:i w:val="1"/>
          <w:iCs w:val="1"/>
          <w:color w:val="auto"/>
        </w:rPr>
      </w:pPr>
      <w:r>
        <w:rPr>
          <w:rFonts w:ascii="Arial" w:cs="Arial" w:eastAsia="Arial" w:hAnsi="Arial"/>
          <w:sz w:val="18"/>
          <w:szCs w:val="18"/>
          <w:color w:val="auto"/>
        </w:rPr>
        <w:t>Bank deposits that are neither past due nor impaired are mainly deposits with banks with high credit-ratings assigned by international credit-rating agencies. Trade receivables that are neither past due nor impaired are substantially companies with a good collection track record with the Group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A-95</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risk management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Credit risk (continued)</w:t>
      </w:r>
    </w:p>
    <w:p>
      <w:pPr>
        <w:spacing w:after="0" w:line="126" w:lineRule="exact"/>
        <w:rPr>
          <w:rFonts w:ascii="Arial" w:cs="Arial" w:eastAsia="Arial" w:hAnsi="Arial"/>
          <w:sz w:val="18"/>
          <w:szCs w:val="18"/>
          <w:color w:val="auto"/>
        </w:rPr>
      </w:pPr>
    </w:p>
    <w:p>
      <w:pPr>
        <w:ind w:left="1860" w:hanging="886"/>
        <w:spacing w:after="0"/>
        <w:tabs>
          <w:tab w:leader="none" w:pos="1860" w:val="left"/>
        </w:tabs>
        <w:numPr>
          <w:ilvl w:val="1"/>
          <w:numId w:val="254"/>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assets that are past due and/or impaired</w:t>
      </w:r>
    </w:p>
    <w:p>
      <w:pPr>
        <w:spacing w:after="0" w:line="229" w:lineRule="exact"/>
        <w:rPr>
          <w:rFonts w:ascii="Arial" w:cs="Arial" w:eastAsia="Arial" w:hAnsi="Arial"/>
          <w:sz w:val="18"/>
          <w:szCs w:val="18"/>
          <w:i w:val="1"/>
          <w:iCs w:val="1"/>
          <w:color w:val="auto"/>
        </w:rPr>
      </w:pPr>
    </w:p>
    <w:p>
      <w:pPr>
        <w:ind w:left="1860" w:right="1200"/>
        <w:spacing w:after="0" w:line="496" w:lineRule="auto"/>
        <w:rPr>
          <w:rFonts w:ascii="Arial" w:cs="Arial" w:eastAsia="Arial" w:hAnsi="Arial"/>
          <w:sz w:val="18"/>
          <w:szCs w:val="18"/>
          <w:i w:val="1"/>
          <w:iCs w:val="1"/>
          <w:color w:val="auto"/>
        </w:rPr>
      </w:pPr>
      <w:r>
        <w:rPr>
          <w:rFonts w:ascii="Arial" w:cs="Arial" w:eastAsia="Arial" w:hAnsi="Arial"/>
          <w:sz w:val="18"/>
          <w:szCs w:val="18"/>
          <w:color w:val="auto"/>
        </w:rPr>
        <w:t>There is no other class of financial assets that is past due and/or impaired except for trade receivables. The aging analysis of trade receivables past due but not impaired is as follows:</w:t>
      </w:r>
    </w:p>
    <w:tbl>
      <w:tblPr>
        <w:tblLayout w:type="fixed"/>
        <w:tblInd w:w="186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20" w:type="dxa"/>
            <w:vAlign w:val="bottom"/>
            <w:gridSpan w:val="3"/>
          </w:tcPr>
          <w:p>
            <w:pPr>
              <w:jc w:val="right"/>
              <w:ind w:right="1621"/>
              <w:spacing w:after="0" w:line="226" w:lineRule="exact"/>
              <w:rPr>
                <w:sz w:val="20"/>
                <w:szCs w:val="20"/>
                <w:color w:val="auto"/>
              </w:rPr>
            </w:pPr>
            <w:r>
              <w:rPr>
                <w:rFonts w:ascii="Arial" w:cs="Arial" w:eastAsia="Arial" w:hAnsi="Arial"/>
                <w:sz w:val="20"/>
                <w:szCs w:val="20"/>
                <w:color w:val="auto"/>
              </w:rPr>
              <w:t>Group</w:t>
            </w:r>
          </w:p>
        </w:tc>
      </w:tr>
      <w:tr>
        <w:trPr>
          <w:trHeight w:val="30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500" w:type="dxa"/>
            <w:vAlign w:val="bottom"/>
          </w:tcPr>
          <w:p>
            <w:pPr>
              <w:jc w:val="right"/>
              <w:ind w:right="481"/>
              <w:spacing w:after="0"/>
              <w:rPr>
                <w:sz w:val="20"/>
                <w:szCs w:val="20"/>
                <w:color w:val="auto"/>
              </w:rPr>
            </w:pPr>
            <w:r>
              <w:rPr>
                <w:rFonts w:ascii="Arial" w:cs="Arial" w:eastAsia="Arial" w:hAnsi="Arial"/>
                <w:sz w:val="20"/>
                <w:szCs w:val="20"/>
                <w:b w:val="1"/>
                <w:bCs w:val="1"/>
                <w:color w:val="auto"/>
              </w:rPr>
              <w:t>2017</w:t>
            </w:r>
          </w:p>
        </w:tc>
        <w:tc>
          <w:tcPr>
            <w:tcW w:w="1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720" w:type="dxa"/>
            <w:vAlign w:val="bottom"/>
          </w:tcPr>
          <w:p>
            <w:pPr>
              <w:jc w:val="right"/>
              <w:ind w:right="441"/>
              <w:spacing w:after="0"/>
              <w:rPr>
                <w:sz w:val="20"/>
                <w:szCs w:val="20"/>
                <w:color w:val="auto"/>
              </w:rPr>
            </w:pPr>
            <w:r>
              <w:rPr>
                <w:rFonts w:ascii="Arial" w:cs="Arial" w:eastAsia="Arial" w:hAnsi="Arial"/>
                <w:sz w:val="20"/>
                <w:szCs w:val="20"/>
                <w:color w:val="auto"/>
              </w:rPr>
              <w:t>2016</w:t>
            </w:r>
          </w:p>
        </w:tc>
      </w:tr>
      <w:tr>
        <w:trPr>
          <w:trHeight w:val="244"/>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500" w:type="dxa"/>
            <w:vAlign w:val="bottom"/>
          </w:tcPr>
          <w:p>
            <w:pPr>
              <w:jc w:val="right"/>
              <w:ind w:right="41"/>
              <w:spacing w:after="0"/>
              <w:rPr>
                <w:sz w:val="20"/>
                <w:szCs w:val="20"/>
                <w:color w:val="auto"/>
              </w:rPr>
            </w:pPr>
            <w:r>
              <w:rPr>
                <w:rFonts w:ascii="Arial" w:cs="Arial" w:eastAsia="Arial" w:hAnsi="Arial"/>
                <w:sz w:val="20"/>
                <w:szCs w:val="20"/>
                <w:b w:val="1"/>
                <w:bCs w:val="1"/>
                <w:color w:val="auto"/>
              </w:rPr>
              <w:t>(US$ millions)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jc w:val="right"/>
              <w:ind w:right="41"/>
              <w:spacing w:after="0"/>
              <w:rPr>
                <w:sz w:val="20"/>
                <w:szCs w:val="20"/>
                <w:color w:val="auto"/>
              </w:rPr>
            </w:pPr>
            <w:r>
              <w:rPr>
                <w:rFonts w:ascii="Arial" w:cs="Arial" w:eastAsia="Arial" w:hAnsi="Arial"/>
                <w:sz w:val="20"/>
                <w:szCs w:val="20"/>
                <w:color w:val="auto"/>
              </w:rPr>
              <w:t>(US$ millions)</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Past due &lt; 3 months</w:t>
            </w:r>
          </w:p>
        </w:tc>
        <w:tc>
          <w:tcPr>
            <w:tcW w:w="2500" w:type="dxa"/>
            <w:vAlign w:val="bottom"/>
            <w:shd w:val="clear" w:color="auto" w:fill="CCEEFF"/>
          </w:tcPr>
          <w:p>
            <w:pPr>
              <w:jc w:val="right"/>
              <w:ind w:right="501"/>
              <w:spacing w:after="0" w:line="216" w:lineRule="exact"/>
              <w:rPr>
                <w:sz w:val="20"/>
                <w:szCs w:val="20"/>
                <w:color w:val="auto"/>
              </w:rPr>
            </w:pPr>
            <w:r>
              <w:rPr>
                <w:rFonts w:ascii="Arial" w:cs="Arial" w:eastAsia="Arial" w:hAnsi="Arial"/>
                <w:sz w:val="20"/>
                <w:szCs w:val="20"/>
                <w:b w:val="1"/>
                <w:bCs w:val="1"/>
                <w:color w:val="auto"/>
              </w:rPr>
              <w:t>237</w:t>
            </w:r>
          </w:p>
        </w:tc>
        <w:tc>
          <w:tcPr>
            <w:tcW w:w="2420" w:type="dxa"/>
            <w:vAlign w:val="bottom"/>
            <w:gridSpan w:val="3"/>
            <w:shd w:val="clear" w:color="auto" w:fill="CCEEFF"/>
          </w:tcPr>
          <w:p>
            <w:pPr>
              <w:jc w:val="right"/>
              <w:ind w:right="461"/>
              <w:spacing w:after="0" w:line="216" w:lineRule="exact"/>
              <w:rPr>
                <w:sz w:val="20"/>
                <w:szCs w:val="20"/>
                <w:color w:val="auto"/>
              </w:rPr>
            </w:pPr>
            <w:r>
              <w:rPr>
                <w:rFonts w:ascii="Arial" w:cs="Arial" w:eastAsia="Arial" w:hAnsi="Arial"/>
                <w:sz w:val="20"/>
                <w:szCs w:val="20"/>
                <w:color w:val="auto"/>
              </w:rPr>
              <w:t>147</w:t>
            </w:r>
          </w:p>
        </w:tc>
      </w:tr>
      <w:tr>
        <w:trPr>
          <w:trHeight w:val="230"/>
        </w:trPr>
        <w:tc>
          <w:tcPr>
            <w:tcW w:w="20" w:type="dxa"/>
            <w:vAlign w:val="bottom"/>
          </w:tcPr>
          <w:p>
            <w:pPr>
              <w:spacing w:after="0"/>
              <w:rPr>
                <w:sz w:val="19"/>
                <w:szCs w:val="19"/>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Past due 3 to 6 months</w:t>
            </w:r>
          </w:p>
        </w:tc>
        <w:tc>
          <w:tcPr>
            <w:tcW w:w="25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w:t>
            </w:r>
          </w:p>
        </w:tc>
        <w:tc>
          <w:tcPr>
            <w:tcW w:w="24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20"/>
                <w:szCs w:val="20"/>
                <w:color w:val="auto"/>
              </w:rPr>
              <w:t>-</w:t>
            </w: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500" w:type="dxa"/>
            <w:vAlign w:val="bottom"/>
            <w:shd w:val="clear" w:color="auto" w:fill="CCEEFF"/>
          </w:tcPr>
          <w:p>
            <w:pPr>
              <w:jc w:val="right"/>
              <w:ind w:right="501"/>
              <w:spacing w:after="0" w:line="209" w:lineRule="exact"/>
              <w:rPr>
                <w:sz w:val="20"/>
                <w:szCs w:val="20"/>
                <w:color w:val="auto"/>
              </w:rPr>
            </w:pPr>
            <w:r>
              <w:rPr>
                <w:rFonts w:ascii="Arial" w:cs="Arial" w:eastAsia="Arial" w:hAnsi="Arial"/>
                <w:sz w:val="20"/>
                <w:szCs w:val="20"/>
                <w:b w:val="1"/>
                <w:bCs w:val="1"/>
                <w:color w:val="auto"/>
              </w:rPr>
              <w:t>237</w:t>
            </w:r>
          </w:p>
        </w:tc>
        <w:tc>
          <w:tcPr>
            <w:tcW w:w="2420" w:type="dxa"/>
            <w:vAlign w:val="bottom"/>
            <w:gridSpan w:val="3"/>
            <w:shd w:val="clear" w:color="auto" w:fill="CCEEFF"/>
          </w:tcPr>
          <w:p>
            <w:pPr>
              <w:jc w:val="right"/>
              <w:ind w:right="461"/>
              <w:spacing w:after="0" w:line="209" w:lineRule="exact"/>
              <w:rPr>
                <w:sz w:val="20"/>
                <w:szCs w:val="20"/>
                <w:color w:val="auto"/>
              </w:rPr>
            </w:pPr>
            <w:r>
              <w:rPr>
                <w:rFonts w:ascii="Arial" w:cs="Arial" w:eastAsia="Arial" w:hAnsi="Arial"/>
                <w:sz w:val="20"/>
                <w:szCs w:val="20"/>
                <w:color w:val="auto"/>
              </w:rPr>
              <w:t>147</w:t>
            </w: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1860" w:right="20"/>
        <w:spacing w:after="0" w:line="246" w:lineRule="auto"/>
        <w:rPr>
          <w:sz w:val="20"/>
          <w:szCs w:val="20"/>
          <w:color w:val="auto"/>
        </w:rPr>
      </w:pPr>
      <w:r>
        <w:rPr>
          <w:rFonts w:ascii="Arial" w:cs="Arial" w:eastAsia="Arial" w:hAnsi="Arial"/>
          <w:sz w:val="18"/>
          <w:szCs w:val="18"/>
          <w:color w:val="auto"/>
        </w:rPr>
        <w:t>The carrying amount of trade receivables individually determined to be impaired and the movement in the related allowance for impairment are as follows:</w:t>
      </w:r>
    </w:p>
    <w:p>
      <w:pPr>
        <w:sectPr>
          <w:pgSz w:w="11900" w:h="16838" w:orient="portrait"/>
          <w:cols w:equalWidth="0" w:num="1">
            <w:col w:w="11240"/>
          </w:cols>
          <w:pgMar w:left="240" w:top="46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Past due over 3 months</w:t>
      </w:r>
    </w:p>
    <w:p>
      <w:pPr>
        <w:spacing w:after="0" w:line="13"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Less: Allowance for impairment</w:t>
      </w:r>
    </w:p>
    <w:p>
      <w:pPr>
        <w:spacing w:after="0" w:line="267"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Beginning of financial year</w:t>
      </w:r>
    </w:p>
    <w:p>
      <w:pPr>
        <w:ind w:left="1860"/>
        <w:spacing w:after="0" w:line="225" w:lineRule="auto"/>
        <w:rPr>
          <w:sz w:val="20"/>
          <w:szCs w:val="20"/>
          <w:color w:val="auto"/>
        </w:rPr>
      </w:pPr>
      <w:r>
        <w:rPr>
          <w:rFonts w:ascii="Arial" w:cs="Arial" w:eastAsia="Arial" w:hAnsi="Arial"/>
          <w:sz w:val="20"/>
          <w:szCs w:val="20"/>
          <w:color w:val="auto"/>
        </w:rPr>
        <w:t>Allowance increased</w:t>
      </w:r>
    </w:p>
    <w:p>
      <w:pPr>
        <w:ind w:left="1860"/>
        <w:spacing w:after="0" w:line="226" w:lineRule="auto"/>
        <w:rPr>
          <w:sz w:val="20"/>
          <w:szCs w:val="20"/>
          <w:color w:val="auto"/>
        </w:rPr>
      </w:pPr>
      <w:r>
        <w:rPr>
          <w:rFonts w:ascii="Arial" w:cs="Arial" w:eastAsia="Arial" w:hAnsi="Arial"/>
          <w:sz w:val="20"/>
          <w:szCs w:val="20"/>
          <w:color w:val="auto"/>
        </w:rPr>
        <w:t>Allowance utilised</w:t>
      </w:r>
    </w:p>
    <w:p>
      <w:pPr>
        <w:ind w:left="1860"/>
        <w:spacing w:after="0"/>
        <w:rPr>
          <w:sz w:val="20"/>
          <w:szCs w:val="20"/>
          <w:color w:val="auto"/>
        </w:rPr>
      </w:pPr>
      <w:r>
        <w:rPr>
          <w:rFonts w:ascii="Arial" w:cs="Arial" w:eastAsia="Arial" w:hAnsi="Arial"/>
          <w:sz w:val="20"/>
          <w:szCs w:val="20"/>
          <w:color w:val="auto"/>
        </w:rPr>
        <w:t>Write-back of AR</w:t>
      </w:r>
    </w:p>
    <w:p>
      <w:pPr>
        <w:spacing w:after="0" w:line="13"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End of financial year</w:t>
      </w:r>
    </w:p>
    <w:p>
      <w:pPr>
        <w:spacing w:after="0" w:line="272" w:lineRule="exact"/>
        <w:rPr>
          <w:sz w:val="20"/>
          <w:szCs w:val="20"/>
          <w:color w:val="auto"/>
        </w:rPr>
      </w:pPr>
    </w:p>
    <w:p>
      <w:pPr>
        <w:ind w:left="980" w:hanging="776"/>
        <w:spacing w:after="0"/>
        <w:tabs>
          <w:tab w:leader="none" w:pos="9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2380" w:type="dxa"/>
            <w:vAlign w:val="bottom"/>
            <w:gridSpan w:val="3"/>
          </w:tcPr>
          <w:p>
            <w:pPr>
              <w:jc w:val="right"/>
              <w:ind w:right="1601"/>
              <w:spacing w:after="0"/>
              <w:rPr>
                <w:sz w:val="20"/>
                <w:szCs w:val="20"/>
                <w:color w:val="auto"/>
              </w:rPr>
            </w:pPr>
            <w:r>
              <w:rPr>
                <w:rFonts w:ascii="Arial" w:cs="Arial" w:eastAsia="Arial" w:hAnsi="Arial"/>
                <w:sz w:val="20"/>
                <w:szCs w:val="20"/>
                <w:color w:val="auto"/>
              </w:rPr>
              <w:t>Group</w:t>
            </w:r>
          </w:p>
        </w:tc>
      </w:tr>
      <w:tr>
        <w:trPr>
          <w:trHeight w:val="304"/>
        </w:trPr>
        <w:tc>
          <w:tcPr>
            <w:tcW w:w="2540" w:type="dxa"/>
            <w:vAlign w:val="bottom"/>
          </w:tcPr>
          <w:p>
            <w:pPr>
              <w:jc w:val="right"/>
              <w:ind w:right="481"/>
              <w:spacing w:after="0"/>
              <w:rPr>
                <w:sz w:val="20"/>
                <w:szCs w:val="20"/>
                <w:color w:val="auto"/>
              </w:rPr>
            </w:pPr>
            <w:r>
              <w:rPr>
                <w:rFonts w:ascii="Arial" w:cs="Arial" w:eastAsia="Arial" w:hAnsi="Arial"/>
                <w:sz w:val="20"/>
                <w:szCs w:val="20"/>
                <w:b w:val="1"/>
                <w:bCs w:val="1"/>
                <w:color w:val="auto"/>
              </w:rPr>
              <w:t>2017</w:t>
            </w:r>
          </w:p>
        </w:tc>
        <w:tc>
          <w:tcPr>
            <w:tcW w:w="1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700" w:type="dxa"/>
            <w:vAlign w:val="bottom"/>
          </w:tcPr>
          <w:p>
            <w:pPr>
              <w:jc w:val="right"/>
              <w:ind w:right="421"/>
              <w:spacing w:after="0"/>
              <w:rPr>
                <w:sz w:val="20"/>
                <w:szCs w:val="20"/>
                <w:color w:val="auto"/>
              </w:rPr>
            </w:pPr>
            <w:r>
              <w:rPr>
                <w:rFonts w:ascii="Arial" w:cs="Arial" w:eastAsia="Arial" w:hAnsi="Arial"/>
                <w:sz w:val="20"/>
                <w:szCs w:val="20"/>
                <w:color w:val="auto"/>
              </w:rPr>
              <w:t>2016</w:t>
            </w:r>
          </w:p>
        </w:tc>
      </w:tr>
      <w:tr>
        <w:trPr>
          <w:trHeight w:val="216"/>
        </w:trPr>
        <w:tc>
          <w:tcPr>
            <w:tcW w:w="2540" w:type="dxa"/>
            <w:vAlign w:val="bottom"/>
          </w:tcPr>
          <w:p>
            <w:pPr>
              <w:jc w:val="right"/>
              <w:ind w:right="41"/>
              <w:spacing w:after="0" w:line="216" w:lineRule="exact"/>
              <w:rPr>
                <w:sz w:val="20"/>
                <w:szCs w:val="20"/>
                <w:color w:val="auto"/>
              </w:rPr>
            </w:pPr>
            <w:r>
              <w:rPr>
                <w:rFonts w:ascii="Arial" w:cs="Arial" w:eastAsia="Arial" w:hAnsi="Arial"/>
                <w:sz w:val="20"/>
                <w:szCs w:val="20"/>
                <w:b w:val="1"/>
                <w:bCs w:val="1"/>
                <w:color w:val="auto"/>
              </w:rPr>
              <w:t>(US$ millions)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jc w:val="right"/>
              <w:ind w:right="21"/>
              <w:spacing w:after="0" w:line="216" w:lineRule="exact"/>
              <w:rPr>
                <w:sz w:val="20"/>
                <w:szCs w:val="20"/>
                <w:color w:val="auto"/>
              </w:rPr>
            </w:pPr>
            <w:r>
              <w:rPr>
                <w:rFonts w:ascii="Arial" w:cs="Arial" w:eastAsia="Arial" w:hAnsi="Arial"/>
                <w:sz w:val="20"/>
                <w:szCs w:val="20"/>
                <w:color w:val="auto"/>
              </w:rPr>
              <w:t>(US$ millions)</w:t>
            </w:r>
          </w:p>
        </w:tc>
      </w:tr>
      <w:tr>
        <w:trPr>
          <w:trHeight w:val="257"/>
        </w:trPr>
        <w:tc>
          <w:tcPr>
            <w:tcW w:w="254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w:t>
            </w:r>
          </w:p>
        </w:tc>
        <w:tc>
          <w:tcPr>
            <w:tcW w:w="238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20"/>
                <w:szCs w:val="20"/>
                <w:color w:val="auto"/>
              </w:rPr>
              <w:t>10</w:t>
            </w:r>
          </w:p>
        </w:tc>
      </w:tr>
      <w:tr>
        <w:trPr>
          <w:trHeight w:val="223"/>
        </w:trPr>
        <w:tc>
          <w:tcPr>
            <w:tcW w:w="254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b w:val="1"/>
                <w:bCs w:val="1"/>
                <w:color w:val="auto"/>
              </w:rPr>
              <w:t>-</w:t>
            </w:r>
          </w:p>
        </w:tc>
        <w:tc>
          <w:tcPr>
            <w:tcW w:w="2380" w:type="dxa"/>
            <w:vAlign w:val="bottom"/>
            <w:tcBorders>
              <w:bottom w:val="single" w:sz="8" w:color="auto"/>
            </w:tcBorders>
            <w:gridSpan w:val="3"/>
          </w:tcPr>
          <w:p>
            <w:pPr>
              <w:jc w:val="right"/>
              <w:ind w:right="401"/>
              <w:spacing w:after="0" w:line="223" w:lineRule="exact"/>
              <w:rPr>
                <w:sz w:val="20"/>
                <w:szCs w:val="20"/>
                <w:color w:val="auto"/>
              </w:rPr>
            </w:pPr>
            <w:r>
              <w:rPr>
                <w:rFonts w:ascii="Arial" w:cs="Arial" w:eastAsia="Arial" w:hAnsi="Arial"/>
                <w:sz w:val="20"/>
                <w:szCs w:val="20"/>
                <w:color w:val="auto"/>
              </w:rPr>
              <w:t>(10)</w:t>
            </w:r>
          </w:p>
        </w:tc>
      </w:tr>
      <w:tr>
        <w:trPr>
          <w:trHeight w:val="230"/>
        </w:trPr>
        <w:tc>
          <w:tcPr>
            <w:tcW w:w="254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w:t>
            </w:r>
          </w:p>
        </w:tc>
        <w:tc>
          <w:tcPr>
            <w:tcW w:w="2380" w:type="dxa"/>
            <w:vAlign w:val="bottom"/>
            <w:tcBorders>
              <w:bottom w:val="single" w:sz="8" w:color="auto"/>
            </w:tcBorders>
            <w:gridSpan w:val="3"/>
          </w:tcPr>
          <w:p>
            <w:pPr>
              <w:jc w:val="right"/>
              <w:ind w:right="461"/>
              <w:spacing w:after="0" w:line="223" w:lineRule="exact"/>
              <w:rPr>
                <w:sz w:val="20"/>
                <w:szCs w:val="20"/>
                <w:color w:val="auto"/>
              </w:rPr>
            </w:pPr>
            <w:r>
              <w:rPr>
                <w:rFonts w:ascii="Arial" w:cs="Arial" w:eastAsia="Arial" w:hAnsi="Arial"/>
                <w:sz w:val="20"/>
                <w:szCs w:val="20"/>
                <w:color w:val="auto"/>
              </w:rPr>
              <w:t>-</w:t>
            </w:r>
          </w:p>
        </w:tc>
      </w:tr>
      <w:tr>
        <w:trPr>
          <w:trHeight w:val="188"/>
        </w:trPr>
        <w:tc>
          <w:tcPr>
            <w:tcW w:w="2540" w:type="dxa"/>
            <w:vAlign w:val="bottom"/>
          </w:tcPr>
          <w:p>
            <w:pPr>
              <w:jc w:val="right"/>
              <w:ind w:right="521"/>
              <w:spacing w:after="0" w:line="188" w:lineRule="exact"/>
              <w:rPr>
                <w:sz w:val="20"/>
                <w:szCs w:val="20"/>
                <w:color w:val="auto"/>
              </w:rPr>
            </w:pPr>
            <w:r>
              <w:rPr>
                <w:rFonts w:ascii="Arial" w:cs="Arial" w:eastAsia="Arial" w:hAnsi="Arial"/>
                <w:sz w:val="20"/>
                <w:szCs w:val="20"/>
                <w:b w:val="1"/>
                <w:bCs w:val="1"/>
                <w:color w:val="auto"/>
              </w:rPr>
              <w:t>10</w:t>
            </w:r>
          </w:p>
        </w:tc>
        <w:tc>
          <w:tcPr>
            <w:tcW w:w="2380" w:type="dxa"/>
            <w:vAlign w:val="bottom"/>
            <w:gridSpan w:val="3"/>
          </w:tcPr>
          <w:p>
            <w:pPr>
              <w:jc w:val="right"/>
              <w:ind w:right="461"/>
              <w:spacing w:after="0" w:line="188" w:lineRule="exact"/>
              <w:rPr>
                <w:sz w:val="20"/>
                <w:szCs w:val="20"/>
                <w:color w:val="auto"/>
              </w:rPr>
            </w:pPr>
            <w:r>
              <w:rPr>
                <w:rFonts w:ascii="Arial" w:cs="Arial" w:eastAsia="Arial" w:hAnsi="Arial"/>
                <w:sz w:val="20"/>
                <w:szCs w:val="20"/>
                <w:color w:val="auto"/>
              </w:rPr>
              <w:t>3</w:t>
            </w:r>
          </w:p>
        </w:tc>
      </w:tr>
      <w:tr>
        <w:trPr>
          <w:trHeight w:val="216"/>
        </w:trPr>
        <w:tc>
          <w:tcPr>
            <w:tcW w:w="2540" w:type="dxa"/>
            <w:vAlign w:val="bottom"/>
          </w:tcPr>
          <w:p>
            <w:pPr>
              <w:jc w:val="right"/>
              <w:ind w:right="521"/>
              <w:spacing w:after="0" w:line="216" w:lineRule="exact"/>
              <w:rPr>
                <w:sz w:val="20"/>
                <w:szCs w:val="20"/>
                <w:color w:val="auto"/>
              </w:rPr>
            </w:pPr>
            <w:r>
              <w:rPr>
                <w:rFonts w:ascii="Arial" w:cs="Arial" w:eastAsia="Arial" w:hAnsi="Arial"/>
                <w:sz w:val="20"/>
                <w:szCs w:val="20"/>
                <w:b w:val="1"/>
                <w:bCs w:val="1"/>
                <w:color w:val="auto"/>
              </w:rPr>
              <w:t>-</w:t>
            </w:r>
          </w:p>
        </w:tc>
        <w:tc>
          <w:tcPr>
            <w:tcW w:w="2380" w:type="dxa"/>
            <w:vAlign w:val="bottom"/>
            <w:gridSpan w:val="3"/>
          </w:tcPr>
          <w:p>
            <w:pPr>
              <w:jc w:val="right"/>
              <w:ind w:right="461"/>
              <w:spacing w:after="0" w:line="216" w:lineRule="exact"/>
              <w:rPr>
                <w:sz w:val="20"/>
                <w:szCs w:val="20"/>
                <w:color w:val="auto"/>
              </w:rPr>
            </w:pPr>
            <w:r>
              <w:rPr>
                <w:rFonts w:ascii="Arial" w:cs="Arial" w:eastAsia="Arial" w:hAnsi="Arial"/>
                <w:sz w:val="20"/>
                <w:szCs w:val="20"/>
                <w:color w:val="auto"/>
              </w:rPr>
              <w:t>11</w:t>
            </w:r>
          </w:p>
        </w:tc>
      </w:tr>
      <w:tr>
        <w:trPr>
          <w:trHeight w:val="216"/>
        </w:trPr>
        <w:tc>
          <w:tcPr>
            <w:tcW w:w="2540" w:type="dxa"/>
            <w:vAlign w:val="bottom"/>
          </w:tcPr>
          <w:p>
            <w:pPr>
              <w:jc w:val="right"/>
              <w:ind w:right="521"/>
              <w:spacing w:after="0" w:line="216" w:lineRule="exact"/>
              <w:rPr>
                <w:sz w:val="20"/>
                <w:szCs w:val="20"/>
                <w:color w:val="auto"/>
              </w:rPr>
            </w:pPr>
            <w:r>
              <w:rPr>
                <w:rFonts w:ascii="Arial" w:cs="Arial" w:eastAsia="Arial" w:hAnsi="Arial"/>
                <w:sz w:val="20"/>
                <w:szCs w:val="20"/>
                <w:b w:val="1"/>
                <w:bCs w:val="1"/>
                <w:color w:val="auto"/>
              </w:rPr>
              <w:t>-</w:t>
            </w:r>
          </w:p>
        </w:tc>
        <w:tc>
          <w:tcPr>
            <w:tcW w:w="2380" w:type="dxa"/>
            <w:vAlign w:val="bottom"/>
            <w:gridSpan w:val="3"/>
          </w:tcPr>
          <w:p>
            <w:pPr>
              <w:jc w:val="right"/>
              <w:ind w:right="401"/>
              <w:spacing w:after="0" w:line="216" w:lineRule="exact"/>
              <w:rPr>
                <w:sz w:val="20"/>
                <w:szCs w:val="20"/>
                <w:color w:val="auto"/>
              </w:rPr>
            </w:pPr>
            <w:r>
              <w:rPr>
                <w:rFonts w:ascii="Arial" w:cs="Arial" w:eastAsia="Arial" w:hAnsi="Arial"/>
                <w:sz w:val="20"/>
                <w:szCs w:val="20"/>
                <w:color w:val="auto"/>
              </w:rPr>
              <w:t>(4)</w:t>
            </w:r>
          </w:p>
        </w:tc>
      </w:tr>
      <w:tr>
        <w:trPr>
          <w:trHeight w:val="257"/>
        </w:trPr>
        <w:tc>
          <w:tcPr>
            <w:tcW w:w="25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(10)</w:t>
            </w:r>
          </w:p>
        </w:tc>
        <w:tc>
          <w:tcPr>
            <w:tcW w:w="238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20"/>
                <w:szCs w:val="20"/>
                <w:color w:val="auto"/>
              </w:rPr>
              <w:t>-</w:t>
            </w:r>
          </w:p>
        </w:tc>
      </w:tr>
      <w:tr>
        <w:trPr>
          <w:trHeight w:val="230"/>
        </w:trPr>
        <w:tc>
          <w:tcPr>
            <w:tcW w:w="254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b w:val="1"/>
                <w:bCs w:val="1"/>
                <w:color w:val="auto"/>
              </w:rPr>
              <w:t>-</w:t>
            </w:r>
          </w:p>
        </w:tc>
        <w:tc>
          <w:tcPr>
            <w:tcW w:w="2380" w:type="dxa"/>
            <w:vAlign w:val="bottom"/>
            <w:tcBorders>
              <w:bottom w:val="single" w:sz="8" w:color="auto"/>
            </w:tcBorders>
            <w:gridSpan w:val="3"/>
          </w:tcPr>
          <w:p>
            <w:pPr>
              <w:jc w:val="right"/>
              <w:ind w:right="461"/>
              <w:spacing w:after="0" w:line="223" w:lineRule="exact"/>
              <w:rPr>
                <w:sz w:val="20"/>
                <w:szCs w:val="20"/>
                <w:color w:val="auto"/>
              </w:rPr>
            </w:pPr>
            <w:r>
              <w:rPr>
                <w:rFonts w:ascii="Arial" w:cs="Arial" w:eastAsia="Arial" w:hAnsi="Arial"/>
                <w:sz w:val="20"/>
                <w:szCs w:val="20"/>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-1200150</wp:posOffset>
            </wp:positionV>
            <wp:extent cx="5942965" cy="1371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942965" cy="13716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-899795</wp:posOffset>
            </wp:positionV>
            <wp:extent cx="5942965" cy="1460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942965" cy="14605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-591185</wp:posOffset>
            </wp:positionV>
            <wp:extent cx="5942965"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942965" cy="13716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-316865</wp:posOffset>
            </wp:positionV>
            <wp:extent cx="5942965" cy="137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942965" cy="137160"/>
                    </a:xfrm>
                    <a:prstGeom prst="rect">
                      <a:avLst/>
                    </a:prstGeom>
                    <a:noFill/>
                  </pic:spPr>
                </pic:pic>
              </a:graphicData>
            </a:graphic>
          </wp:anchor>
        </w:drawing>
      </w:r>
    </w:p>
    <w:p>
      <w:pPr>
        <w:spacing w:after="0" w:line="649" w:lineRule="exact"/>
        <w:rPr>
          <w:sz w:val="20"/>
          <w:szCs w:val="20"/>
          <w:color w:val="auto"/>
        </w:rPr>
      </w:pPr>
    </w:p>
    <w:p>
      <w:pPr>
        <w:sectPr>
          <w:pgSz w:w="11900" w:h="16838" w:orient="portrait"/>
          <w:cols w:equalWidth="0" w:num="2">
            <w:col w:w="5600" w:space="720"/>
            <w:col w:w="4920"/>
          </w:cols>
          <w:pgMar w:left="240" w:top="460" w:right="419" w:bottom="1440" w:gutter="0" w:footer="0" w:header="0"/>
          <w:type w:val="continuous"/>
        </w:sectPr>
      </w:pPr>
    </w:p>
    <w:p>
      <w:pPr>
        <w:spacing w:after="0" w:line="12" w:lineRule="exact"/>
        <w:rPr>
          <w:sz w:val="20"/>
          <w:szCs w:val="20"/>
          <w:color w:val="auto"/>
        </w:rPr>
      </w:pPr>
    </w:p>
    <w:p>
      <w:pPr>
        <w:jc w:val="both"/>
        <w:ind w:left="980" w:right="20"/>
        <w:spacing w:after="0" w:line="237" w:lineRule="auto"/>
        <w:rPr>
          <w:sz w:val="20"/>
          <w:szCs w:val="20"/>
          <w:color w:val="auto"/>
        </w:rPr>
      </w:pPr>
      <w:r>
        <w:rPr>
          <w:rFonts w:ascii="Arial" w:cs="Arial" w:eastAsia="Arial" w:hAnsi="Arial"/>
          <w:sz w:val="18"/>
          <w:szCs w:val="18"/>
          <w:color w:val="auto"/>
        </w:rPr>
        <w:t>The Group’s short-term and long-term liquidity requirements primarily arise from: (i) business acquisitions and investments the Group may make from time to time, (ii) working capital requirements, (iii) research and development and capital expenditure needs, (iv) interim cash dividend payments by Broadcom (if and when declared by the Board), (v) cash distributions by the Partnership (if and when declared by the Partnership’s general partner), (vi) interest and principal payments related to outstanding indebtedness, (vii) payment of income taxes, including taxes paid as a result of the intercompany transfer of intellectual property, and (viii) funding employee benefit plan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96520</wp:posOffset>
            </wp:positionV>
            <wp:extent cx="6997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A-96</w:t>
      </w:r>
    </w:p>
    <w:p>
      <w:pPr>
        <w:sectPr>
          <w:pgSz w:w="11900" w:h="16838" w:orient="portrait"/>
          <w:cols w:equalWidth="0" w:num="1">
            <w:col w:w="11240"/>
          </w:cols>
          <w:pgMar w:left="240" w:top="460" w:right="41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risk management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Liquidity risk (continued)</w:t>
      </w:r>
    </w:p>
    <w:p>
      <w:pPr>
        <w:spacing w:after="0" w:line="144" w:lineRule="exact"/>
        <w:rPr>
          <w:rFonts w:ascii="Arial" w:cs="Arial" w:eastAsia="Arial" w:hAnsi="Arial"/>
          <w:sz w:val="18"/>
          <w:szCs w:val="18"/>
          <w:color w:val="auto"/>
        </w:rPr>
      </w:pPr>
    </w:p>
    <w:p>
      <w:pPr>
        <w:jc w:val="both"/>
        <w:ind w:left="980" w:right="20"/>
        <w:spacing w:after="0" w:line="239" w:lineRule="auto"/>
        <w:rPr>
          <w:rFonts w:ascii="Arial" w:cs="Arial" w:eastAsia="Arial" w:hAnsi="Arial"/>
          <w:sz w:val="18"/>
          <w:szCs w:val="18"/>
          <w:color w:val="auto"/>
        </w:rPr>
      </w:pPr>
      <w:r>
        <w:rPr>
          <w:rFonts w:ascii="Arial" w:cs="Arial" w:eastAsia="Arial" w:hAnsi="Arial"/>
          <w:sz w:val="18"/>
          <w:szCs w:val="18"/>
          <w:color w:val="auto"/>
        </w:rPr>
        <w:t>Prudent liquidity risk management includes maintaining sufficient cash and marketable securities, the availability of funding through an adequate amount of committed credit facilities (Note 20) and the ability to close out market positions at a short notice. At the balance sheet date, assets held by the Group and the Company for managing liquidity risk included cash and cash equivalents as disclosed in Note 12.</w:t>
      </w:r>
    </w:p>
    <w:p>
      <w:pPr>
        <w:spacing w:after="0" w:line="201" w:lineRule="exact"/>
        <w:rPr>
          <w:rFonts w:ascii="Arial" w:cs="Arial" w:eastAsia="Arial" w:hAnsi="Arial"/>
          <w:sz w:val="18"/>
          <w:szCs w:val="18"/>
          <w:color w:val="auto"/>
        </w:rPr>
      </w:pPr>
    </w:p>
    <w:p>
      <w:pPr>
        <w:jc w:val="both"/>
        <w:ind w:left="980" w:right="20"/>
        <w:spacing w:after="0" w:line="239" w:lineRule="auto"/>
        <w:rPr>
          <w:rFonts w:ascii="Arial" w:cs="Arial" w:eastAsia="Arial" w:hAnsi="Arial"/>
          <w:sz w:val="18"/>
          <w:szCs w:val="18"/>
          <w:color w:val="auto"/>
        </w:rPr>
      </w:pPr>
      <w:r>
        <w:rPr>
          <w:rFonts w:ascii="Arial" w:cs="Arial" w:eastAsia="Arial" w:hAnsi="Arial"/>
          <w:sz w:val="18"/>
          <w:szCs w:val="18"/>
          <w:color w:val="auto"/>
        </w:rPr>
        <w:t>Management monitors rolling forecasts of the liquidity reserve (comprises cash and cash equivalents (Note 12)) of the Group and the Company on the basis of expected cash flow. This is generally carried out at Group level in accordance with the practice and limit. In addition, the Group’s liquidity management policy involves projecting cash flows in U.S. dollar and considering the level of liquid assets necessary to meet these, monitoring liquidity ratios and maintaining debt financing plans.</w:t>
      </w:r>
    </w:p>
    <w:p>
      <w:pPr>
        <w:spacing w:after="0" w:line="201" w:lineRule="exact"/>
        <w:rPr>
          <w:rFonts w:ascii="Arial" w:cs="Arial" w:eastAsia="Arial" w:hAnsi="Arial"/>
          <w:sz w:val="18"/>
          <w:szCs w:val="18"/>
          <w:color w:val="auto"/>
        </w:rPr>
      </w:pPr>
    </w:p>
    <w:p>
      <w:pPr>
        <w:jc w:val="both"/>
        <w:ind w:left="980" w:right="20"/>
        <w:spacing w:after="0" w:line="239" w:lineRule="auto"/>
        <w:rPr>
          <w:rFonts w:ascii="Arial" w:cs="Arial" w:eastAsia="Arial" w:hAnsi="Arial"/>
          <w:sz w:val="18"/>
          <w:szCs w:val="18"/>
          <w:color w:val="auto"/>
        </w:rPr>
      </w:pPr>
      <w:r>
        <w:rPr>
          <w:rFonts w:ascii="Arial" w:cs="Arial" w:eastAsia="Arial" w:hAnsi="Arial"/>
          <w:sz w:val="18"/>
          <w:szCs w:val="18"/>
          <w:color w:val="auto"/>
        </w:rPr>
        <w:t>The table below analyses non-derivative financial liabilities of the Group and the Company into relevant maturity groupings based on the remaining period from the balance sheet date to the contractual maturity date. The amounts disclosed in the table are the contractual undiscounted cash flows. Balances due within 12 months equal their carrying amounts as the impact of discounting is not significant.</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99"/>
              </w:rPr>
              <w:t>Less than</w:t>
            </w: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Between</w:t>
            </w:r>
          </w:p>
        </w:tc>
        <w:tc>
          <w:tcPr>
            <w:tcW w:w="40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Over</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2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9"/>
              </w:rPr>
              <w:t>1 year</w:t>
            </w:r>
          </w:p>
        </w:tc>
        <w:tc>
          <w:tcPr>
            <w:tcW w:w="132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8"/>
              </w:rPr>
              <w:t>1 and 5 years</w:t>
            </w:r>
          </w:p>
        </w:tc>
        <w:tc>
          <w:tcPr>
            <w:tcW w:w="400" w:type="dxa"/>
            <w:vAlign w:val="bottom"/>
          </w:tcPr>
          <w:p>
            <w:pPr>
              <w:spacing w:after="0"/>
              <w:rPr>
                <w:sz w:val="15"/>
                <w:szCs w:val="15"/>
                <w:color w:val="auto"/>
              </w:rPr>
            </w:pPr>
          </w:p>
        </w:tc>
        <w:tc>
          <w:tcPr>
            <w:tcW w:w="1000" w:type="dxa"/>
            <w:vAlign w:val="bottom"/>
            <w:gridSpan w:val="2"/>
          </w:tcPr>
          <w:p>
            <w:pPr>
              <w:jc w:val="right"/>
              <w:ind w:right="400"/>
              <w:spacing w:after="0" w:line="176" w:lineRule="exact"/>
              <w:rPr>
                <w:sz w:val="20"/>
                <w:szCs w:val="20"/>
                <w:color w:val="auto"/>
              </w:rPr>
            </w:pPr>
            <w:r>
              <w:rPr>
                <w:rFonts w:ascii="Arial" w:cs="Arial" w:eastAsia="Arial" w:hAnsi="Arial"/>
                <w:sz w:val="18"/>
                <w:szCs w:val="18"/>
                <w:color w:val="auto"/>
                <w:w w:val="98"/>
              </w:rPr>
              <w:t>5 years</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99"/>
              </w:rPr>
              <w:t>(US$ millions)</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99"/>
              </w:rPr>
              <w:t>(US$ millions)</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20"/>
                <w:szCs w:val="20"/>
                <w:color w:val="auto"/>
                <w:w w:val="93"/>
              </w:rPr>
              <w:t>Group</w:t>
            </w:r>
          </w:p>
        </w:tc>
        <w:tc>
          <w:tcPr>
            <w:tcW w:w="2840" w:type="dxa"/>
            <w:vAlign w:val="bottom"/>
            <w:tcBorders>
              <w:bottom w:val="single" w:sz="8" w:color="CCEEFF"/>
            </w:tcBorders>
            <w:gridSpan w:val="2"/>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3"/>
          </w:tcPr>
          <w:p>
            <w:pPr>
              <w:spacing w:after="0" w:line="203" w:lineRule="exact"/>
              <w:rPr>
                <w:sz w:val="20"/>
                <w:szCs w:val="20"/>
                <w:color w:val="auto"/>
              </w:rPr>
            </w:pPr>
            <w:r>
              <w:rPr>
                <w:rFonts w:ascii="Arial" w:cs="Arial" w:eastAsia="Arial" w:hAnsi="Arial"/>
                <w:sz w:val="20"/>
                <w:szCs w:val="20"/>
                <w:color w:val="auto"/>
              </w:rPr>
              <w:t>At 2017</w:t>
            </w:r>
          </w:p>
        </w:tc>
        <w:tc>
          <w:tcPr>
            <w:tcW w:w="2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Trade and other payables</w:t>
            </w:r>
          </w:p>
        </w:tc>
        <w:tc>
          <w:tcPr>
            <w:tcW w:w="4140" w:type="dxa"/>
            <w:vAlign w:val="bottom"/>
            <w:gridSpan w:val="4"/>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1,105</w:t>
            </w:r>
          </w:p>
        </w:tc>
        <w:tc>
          <w:tcPr>
            <w:tcW w:w="132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1400" w:type="dxa"/>
            <w:vAlign w:val="bottom"/>
            <w:gridSpan w:val="3"/>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80" w:type="dxa"/>
            <w:vAlign w:val="bottom"/>
            <w:gridSpan w:val="3"/>
          </w:tcPr>
          <w:p>
            <w:pPr>
              <w:spacing w:after="0"/>
              <w:rPr>
                <w:sz w:val="20"/>
                <w:szCs w:val="20"/>
                <w:color w:val="auto"/>
              </w:rPr>
            </w:pPr>
            <w:r>
              <w:rPr>
                <w:rFonts w:ascii="Arial" w:cs="Arial" w:eastAsia="Arial" w:hAnsi="Arial"/>
                <w:sz w:val="20"/>
                <w:szCs w:val="20"/>
                <w:color w:val="auto"/>
              </w:rPr>
              <w:t>Borrowings</w:t>
            </w:r>
          </w:p>
        </w:tc>
        <w:tc>
          <w:tcPr>
            <w:tcW w:w="4140" w:type="dxa"/>
            <w:vAlign w:val="bottom"/>
            <w:gridSpan w:val="4"/>
          </w:tcPr>
          <w:p>
            <w:pPr>
              <w:jc w:val="right"/>
              <w:ind w:right="100"/>
              <w:spacing w:after="0"/>
              <w:rPr>
                <w:sz w:val="20"/>
                <w:szCs w:val="20"/>
                <w:color w:val="auto"/>
              </w:rPr>
            </w:pPr>
            <w:r>
              <w:rPr>
                <w:rFonts w:ascii="Arial" w:cs="Arial" w:eastAsia="Arial" w:hAnsi="Arial"/>
                <w:sz w:val="20"/>
                <w:szCs w:val="20"/>
                <w:color w:val="auto"/>
              </w:rPr>
              <w:t>117</w:t>
            </w:r>
          </w:p>
        </w:tc>
        <w:tc>
          <w:tcPr>
            <w:tcW w:w="1320" w:type="dxa"/>
            <w:vAlign w:val="bottom"/>
            <w:gridSpan w:val="3"/>
          </w:tcPr>
          <w:p>
            <w:pPr>
              <w:jc w:val="right"/>
              <w:ind w:right="100"/>
              <w:spacing w:after="0"/>
              <w:rPr>
                <w:sz w:val="20"/>
                <w:szCs w:val="20"/>
                <w:color w:val="auto"/>
              </w:rPr>
            </w:pPr>
            <w:r>
              <w:rPr>
                <w:rFonts w:ascii="Arial" w:cs="Arial" w:eastAsia="Arial" w:hAnsi="Arial"/>
                <w:sz w:val="20"/>
                <w:szCs w:val="20"/>
                <w:color w:val="auto"/>
              </w:rPr>
              <w:t>7,009</w:t>
            </w:r>
          </w:p>
        </w:tc>
        <w:tc>
          <w:tcPr>
            <w:tcW w:w="1400" w:type="dxa"/>
            <w:vAlign w:val="bottom"/>
            <w:gridSpan w:val="3"/>
          </w:tcPr>
          <w:p>
            <w:pPr>
              <w:jc w:val="right"/>
              <w:ind w:right="200"/>
              <w:spacing w:after="0"/>
              <w:rPr>
                <w:sz w:val="20"/>
                <w:szCs w:val="20"/>
                <w:color w:val="auto"/>
              </w:rPr>
            </w:pPr>
            <w:r>
              <w:rPr>
                <w:rFonts w:ascii="Arial" w:cs="Arial" w:eastAsia="Arial" w:hAnsi="Arial"/>
                <w:sz w:val="20"/>
                <w:szCs w:val="20"/>
                <w:color w:val="auto"/>
              </w:rPr>
              <w:t>10,563</w:t>
            </w:r>
          </w:p>
        </w:tc>
        <w:tc>
          <w:tcPr>
            <w:tcW w:w="0" w:type="dxa"/>
            <w:vAlign w:val="bottom"/>
          </w:tcPr>
          <w:p>
            <w:pPr>
              <w:spacing w:after="0"/>
              <w:rPr>
                <w:sz w:val="1"/>
                <w:szCs w:val="1"/>
                <w:color w:val="auto"/>
              </w:rPr>
            </w:pPr>
          </w:p>
        </w:tc>
      </w:tr>
      <w:tr>
        <w:trPr>
          <w:trHeight w:val="203"/>
        </w:trPr>
        <w:tc>
          <w:tcPr>
            <w:tcW w:w="7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38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At 2016</w:t>
            </w:r>
          </w:p>
        </w:tc>
        <w:tc>
          <w:tcPr>
            <w:tcW w:w="2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3"/>
          </w:tcPr>
          <w:p>
            <w:pPr>
              <w:spacing w:after="0" w:line="216" w:lineRule="exact"/>
              <w:rPr>
                <w:sz w:val="20"/>
                <w:szCs w:val="20"/>
                <w:color w:val="auto"/>
              </w:rPr>
            </w:pPr>
            <w:r>
              <w:rPr>
                <w:rFonts w:ascii="Arial" w:cs="Arial" w:eastAsia="Arial" w:hAnsi="Arial"/>
                <w:sz w:val="20"/>
                <w:szCs w:val="20"/>
                <w:color w:val="auto"/>
              </w:rPr>
              <w:t>Trade and other payables</w:t>
            </w:r>
          </w:p>
        </w:tc>
        <w:tc>
          <w:tcPr>
            <w:tcW w:w="4140" w:type="dxa"/>
            <w:vAlign w:val="bottom"/>
            <w:gridSpan w:val="4"/>
          </w:tcPr>
          <w:p>
            <w:pPr>
              <w:jc w:val="right"/>
              <w:ind w:right="100"/>
              <w:spacing w:after="0" w:line="216" w:lineRule="exact"/>
              <w:rPr>
                <w:sz w:val="20"/>
                <w:szCs w:val="20"/>
                <w:color w:val="auto"/>
              </w:rPr>
            </w:pPr>
            <w:r>
              <w:rPr>
                <w:rFonts w:ascii="Arial" w:cs="Arial" w:eastAsia="Arial" w:hAnsi="Arial"/>
                <w:sz w:val="20"/>
                <w:szCs w:val="20"/>
                <w:color w:val="auto"/>
              </w:rPr>
              <w:t>1,261</w:t>
            </w:r>
          </w:p>
        </w:tc>
        <w:tc>
          <w:tcPr>
            <w:tcW w:w="1320" w:type="dxa"/>
            <w:vAlign w:val="bottom"/>
            <w:gridSpan w:val="3"/>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1400" w:type="dxa"/>
            <w:vAlign w:val="bottom"/>
            <w:gridSpan w:val="3"/>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Borrowings</w:t>
            </w:r>
          </w:p>
        </w:tc>
        <w:tc>
          <w:tcPr>
            <w:tcW w:w="4140" w:type="dxa"/>
            <w:vAlign w:val="bottom"/>
            <w:gridSpan w:val="4"/>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454</w:t>
            </w:r>
          </w:p>
        </w:tc>
        <w:tc>
          <w:tcPr>
            <w:tcW w:w="132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7,083</w:t>
            </w:r>
          </w:p>
        </w:tc>
        <w:tc>
          <w:tcPr>
            <w:tcW w:w="1400" w:type="dxa"/>
            <w:vAlign w:val="bottom"/>
            <w:gridSpan w:val="3"/>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6,270</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20"/>
                <w:szCs w:val="20"/>
                <w:color w:val="auto"/>
                <w:w w:val="95"/>
              </w:rPr>
              <w:t>Company</w:t>
            </w:r>
          </w:p>
        </w:tc>
        <w:tc>
          <w:tcPr>
            <w:tcW w:w="254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3"/>
          </w:tcPr>
          <w:p>
            <w:pPr>
              <w:spacing w:after="0" w:line="203" w:lineRule="exact"/>
              <w:rPr>
                <w:sz w:val="20"/>
                <w:szCs w:val="20"/>
                <w:color w:val="auto"/>
              </w:rPr>
            </w:pPr>
            <w:r>
              <w:rPr>
                <w:rFonts w:ascii="Arial" w:cs="Arial" w:eastAsia="Arial" w:hAnsi="Arial"/>
                <w:sz w:val="20"/>
                <w:szCs w:val="20"/>
                <w:color w:val="auto"/>
              </w:rPr>
              <w:t>At 2017</w:t>
            </w:r>
          </w:p>
        </w:tc>
        <w:tc>
          <w:tcPr>
            <w:tcW w:w="2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Trade and other payables</w:t>
            </w:r>
          </w:p>
        </w:tc>
        <w:tc>
          <w:tcPr>
            <w:tcW w:w="4140" w:type="dxa"/>
            <w:vAlign w:val="bottom"/>
            <w:gridSpan w:val="4"/>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180</w:t>
            </w:r>
          </w:p>
        </w:tc>
        <w:tc>
          <w:tcPr>
            <w:tcW w:w="132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1400" w:type="dxa"/>
            <w:vAlign w:val="bottom"/>
            <w:gridSpan w:val="3"/>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80" w:type="dxa"/>
            <w:vAlign w:val="bottom"/>
            <w:gridSpan w:val="3"/>
          </w:tcPr>
          <w:p>
            <w:pPr>
              <w:spacing w:after="0"/>
              <w:rPr>
                <w:sz w:val="20"/>
                <w:szCs w:val="20"/>
                <w:color w:val="auto"/>
              </w:rPr>
            </w:pPr>
            <w:r>
              <w:rPr>
                <w:rFonts w:ascii="Arial" w:cs="Arial" w:eastAsia="Arial" w:hAnsi="Arial"/>
                <w:sz w:val="20"/>
                <w:szCs w:val="20"/>
                <w:color w:val="auto"/>
              </w:rPr>
              <w:t>Borrowings</w:t>
            </w:r>
          </w:p>
        </w:tc>
        <w:tc>
          <w:tcPr>
            <w:tcW w:w="4140" w:type="dxa"/>
            <w:vAlign w:val="bottom"/>
            <w:gridSpan w:val="4"/>
          </w:tcPr>
          <w:p>
            <w:pPr>
              <w:jc w:val="right"/>
              <w:ind w:right="100"/>
              <w:spacing w:after="0"/>
              <w:rPr>
                <w:sz w:val="20"/>
                <w:szCs w:val="20"/>
                <w:color w:val="auto"/>
              </w:rPr>
            </w:pPr>
            <w:r>
              <w:rPr>
                <w:rFonts w:ascii="Arial" w:cs="Arial" w:eastAsia="Arial" w:hAnsi="Arial"/>
                <w:sz w:val="20"/>
                <w:szCs w:val="20"/>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40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7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38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At 2016</w:t>
            </w:r>
          </w:p>
        </w:tc>
        <w:tc>
          <w:tcPr>
            <w:tcW w:w="2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3"/>
          </w:tcPr>
          <w:p>
            <w:pPr>
              <w:spacing w:after="0" w:line="216" w:lineRule="exact"/>
              <w:rPr>
                <w:sz w:val="20"/>
                <w:szCs w:val="20"/>
                <w:color w:val="auto"/>
              </w:rPr>
            </w:pPr>
            <w:r>
              <w:rPr>
                <w:rFonts w:ascii="Arial" w:cs="Arial" w:eastAsia="Arial" w:hAnsi="Arial"/>
                <w:sz w:val="20"/>
                <w:szCs w:val="20"/>
                <w:color w:val="auto"/>
              </w:rPr>
              <w:t>Trade and other payables</w:t>
            </w:r>
          </w:p>
        </w:tc>
        <w:tc>
          <w:tcPr>
            <w:tcW w:w="4140" w:type="dxa"/>
            <w:vAlign w:val="bottom"/>
            <w:gridSpan w:val="4"/>
          </w:tcPr>
          <w:p>
            <w:pPr>
              <w:jc w:val="right"/>
              <w:ind w:right="100"/>
              <w:spacing w:after="0" w:line="216" w:lineRule="exact"/>
              <w:rPr>
                <w:sz w:val="20"/>
                <w:szCs w:val="20"/>
                <w:color w:val="auto"/>
              </w:rPr>
            </w:pPr>
            <w:r>
              <w:rPr>
                <w:rFonts w:ascii="Arial" w:cs="Arial" w:eastAsia="Arial" w:hAnsi="Arial"/>
                <w:sz w:val="20"/>
                <w:szCs w:val="20"/>
                <w:color w:val="auto"/>
              </w:rPr>
              <w:t>155</w:t>
            </w:r>
          </w:p>
        </w:tc>
        <w:tc>
          <w:tcPr>
            <w:tcW w:w="1320" w:type="dxa"/>
            <w:vAlign w:val="bottom"/>
            <w:gridSpan w:val="3"/>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1400" w:type="dxa"/>
            <w:vAlign w:val="bottom"/>
            <w:gridSpan w:val="3"/>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Borrowings</w:t>
            </w:r>
          </w:p>
        </w:tc>
        <w:tc>
          <w:tcPr>
            <w:tcW w:w="4140" w:type="dxa"/>
            <w:vAlign w:val="bottom"/>
            <w:gridSpan w:val="4"/>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132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1400" w:type="dxa"/>
            <w:vAlign w:val="bottom"/>
            <w:gridSpan w:val="3"/>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2"/>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140" w:type="dxa"/>
            <w:vAlign w:val="bottom"/>
            <w:gridSpan w:val="4"/>
          </w:tcPr>
          <w:p>
            <w:pPr>
              <w:jc w:val="right"/>
              <w:ind w:right="2620"/>
              <w:spacing w:after="0"/>
              <w:rPr>
                <w:sz w:val="20"/>
                <w:szCs w:val="20"/>
                <w:color w:val="auto"/>
              </w:rPr>
            </w:pPr>
            <w:r>
              <w:rPr>
                <w:rFonts w:ascii="Arial" w:cs="Arial" w:eastAsia="Arial" w:hAnsi="Arial"/>
                <w:sz w:val="18"/>
                <w:szCs w:val="18"/>
                <w:color w:val="auto"/>
              </w:rPr>
              <w:t>A-97</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risk management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Capital risk</w:t>
      </w:r>
    </w:p>
    <w:p>
      <w:pPr>
        <w:spacing w:after="0" w:line="211" w:lineRule="exact"/>
        <w:rPr>
          <w:rFonts w:ascii="Arial" w:cs="Arial" w:eastAsia="Arial" w:hAnsi="Arial"/>
          <w:sz w:val="18"/>
          <w:szCs w:val="18"/>
          <w:color w:val="auto"/>
        </w:rPr>
      </w:pPr>
    </w:p>
    <w:p>
      <w:pPr>
        <w:jc w:val="both"/>
        <w:ind w:left="980" w:right="20"/>
        <w:spacing w:after="0" w:line="239" w:lineRule="auto"/>
        <w:rPr>
          <w:rFonts w:ascii="Arial" w:cs="Arial" w:eastAsia="Arial" w:hAnsi="Arial"/>
          <w:sz w:val="18"/>
          <w:szCs w:val="18"/>
          <w:color w:val="auto"/>
        </w:rPr>
      </w:pPr>
      <w:r>
        <w:rPr>
          <w:rFonts w:ascii="Arial" w:cs="Arial" w:eastAsia="Arial" w:hAnsi="Arial"/>
          <w:sz w:val="18"/>
          <w:szCs w:val="18"/>
          <w:color w:val="auto"/>
        </w:rPr>
        <w:t>The Group’s objectives when managing capital are to safeguard the Group’s ability to continue as a going concern and to maintain an optimal capital structure so as to maximise shareholder value. In order to maintain or achieve the desired capital structure, the Group may adjust the amount of dividend payment, return capital to shareholders, issue new shares, buy back issued shares, obtain new borrowings or sell existing assets to reduce borrowings.</w:t>
      </w:r>
    </w:p>
    <w:p>
      <w:pPr>
        <w:spacing w:after="0" w:line="201" w:lineRule="exact"/>
        <w:rPr>
          <w:rFonts w:ascii="Arial" w:cs="Arial" w:eastAsia="Arial" w:hAnsi="Arial"/>
          <w:sz w:val="18"/>
          <w:szCs w:val="18"/>
          <w:color w:val="auto"/>
        </w:rPr>
      </w:pPr>
    </w:p>
    <w:p>
      <w:pPr>
        <w:jc w:val="both"/>
        <w:ind w:left="980" w:right="20"/>
        <w:spacing w:after="0"/>
        <w:rPr>
          <w:rFonts w:ascii="Arial" w:cs="Arial" w:eastAsia="Arial" w:hAnsi="Arial"/>
          <w:sz w:val="18"/>
          <w:szCs w:val="18"/>
          <w:color w:val="auto"/>
        </w:rPr>
      </w:pPr>
      <w:r>
        <w:rPr>
          <w:rFonts w:ascii="Arial" w:cs="Arial" w:eastAsia="Arial" w:hAnsi="Arial"/>
          <w:sz w:val="18"/>
          <w:szCs w:val="18"/>
          <w:color w:val="auto"/>
        </w:rPr>
        <w:t>In financial year 2016, management monitored capital based on a leverage ratio as the Group was required by the banks to maintain a leverage ratio of not exceeding 3.9 in line with the 2016 Credit Agreement. In financial year 2017, there are no such requirements.</w:t>
      </w:r>
    </w:p>
    <w:p>
      <w:pPr>
        <w:spacing w:after="0" w:line="202" w:lineRule="exact"/>
        <w:rPr>
          <w:rFonts w:ascii="Arial" w:cs="Arial" w:eastAsia="Arial" w:hAnsi="Arial"/>
          <w:sz w:val="18"/>
          <w:szCs w:val="18"/>
          <w:color w:val="auto"/>
        </w:rPr>
      </w:pPr>
    </w:p>
    <w:p>
      <w:pPr>
        <w:ind w:left="980" w:right="20"/>
        <w:spacing w:after="0" w:line="246" w:lineRule="auto"/>
        <w:rPr>
          <w:rFonts w:ascii="Arial" w:cs="Arial" w:eastAsia="Arial" w:hAnsi="Arial"/>
          <w:sz w:val="18"/>
          <w:szCs w:val="18"/>
          <w:color w:val="auto"/>
        </w:rPr>
      </w:pPr>
      <w:r>
        <w:rPr>
          <w:rFonts w:ascii="Arial" w:cs="Arial" w:eastAsia="Arial" w:hAnsi="Arial"/>
          <w:sz w:val="18"/>
          <w:szCs w:val="18"/>
          <w:color w:val="auto"/>
        </w:rPr>
        <w:t>The leverage ratio is calculated as total First Lien borrowings (“Consolidated total debt”) less cash and cash equivalent divided by adjusted earnings before income tax, depreciation and amortisation (“Adjusted EBITDA”).</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1640" w:type="dxa"/>
            <w:vAlign w:val="bottom"/>
            <w:gridSpan w:val="3"/>
          </w:tcPr>
          <w:p>
            <w:pPr>
              <w:jc w:val="center"/>
              <w:ind w:left="84"/>
              <w:spacing w:after="0"/>
              <w:rPr>
                <w:sz w:val="20"/>
                <w:szCs w:val="20"/>
                <w:color w:val="auto"/>
              </w:rPr>
            </w:pPr>
            <w:r>
              <w:rPr>
                <w:rFonts w:ascii="Arial" w:cs="Arial" w:eastAsia="Arial" w:hAnsi="Arial"/>
                <w:sz w:val="18"/>
                <w:szCs w:val="18"/>
                <w:color w:val="auto"/>
                <w:w w:val="99"/>
              </w:rPr>
              <w:t>Group</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2016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640" w:type="dxa"/>
            <w:vAlign w:val="bottom"/>
            <w:gridSpan w:val="3"/>
          </w:tcPr>
          <w:p>
            <w:pPr>
              <w:jc w:val="center"/>
              <w:ind w:left="64"/>
              <w:spacing w:after="0"/>
              <w:rPr>
                <w:sz w:val="20"/>
                <w:szCs w:val="20"/>
                <w:color w:val="auto"/>
              </w:rPr>
            </w:pPr>
            <w:r>
              <w:rPr>
                <w:rFonts w:ascii="Arial" w:cs="Arial" w:eastAsia="Arial" w:hAnsi="Arial"/>
                <w:sz w:val="18"/>
                <w:szCs w:val="18"/>
                <w:color w:val="auto"/>
                <w:w w:val="99"/>
              </w:rPr>
              <w:t>(US$ millions)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Consolidated total debt</w:t>
            </w:r>
          </w:p>
        </w:tc>
        <w:tc>
          <w:tcPr>
            <w:tcW w:w="1640" w:type="dxa"/>
            <w:vAlign w:val="bottom"/>
            <w:gridSpan w:val="3"/>
            <w:shd w:val="clear" w:color="auto" w:fill="CCEEFF"/>
          </w:tcPr>
          <w:p>
            <w:pPr>
              <w:jc w:val="right"/>
              <w:ind w:right="300"/>
              <w:spacing w:after="0" w:line="216" w:lineRule="exact"/>
              <w:rPr>
                <w:sz w:val="20"/>
                <w:szCs w:val="20"/>
                <w:color w:val="auto"/>
              </w:rPr>
            </w:pPr>
            <w:r>
              <w:rPr>
                <w:rFonts w:ascii="Arial" w:cs="Arial" w:eastAsia="Arial" w:hAnsi="Arial"/>
                <w:sz w:val="20"/>
                <w:szCs w:val="20"/>
                <w:color w:val="auto"/>
              </w:rPr>
              <w:t>13,503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Less: Cash and cash equivalent</w:t>
            </w:r>
          </w:p>
        </w:tc>
        <w:tc>
          <w:tcPr>
            <w:tcW w:w="16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20"/>
                <w:szCs w:val="20"/>
                <w:color w:val="auto"/>
              </w:rPr>
              <w:t>(3,097)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00"/>
              <w:spacing w:after="0" w:line="209" w:lineRule="exact"/>
              <w:rPr>
                <w:sz w:val="20"/>
                <w:szCs w:val="20"/>
                <w:color w:val="auto"/>
              </w:rPr>
            </w:pPr>
            <w:r>
              <w:rPr>
                <w:rFonts w:ascii="Arial" w:cs="Arial" w:eastAsia="Arial" w:hAnsi="Arial"/>
                <w:sz w:val="20"/>
                <w:szCs w:val="20"/>
                <w:color w:val="auto"/>
              </w:rPr>
              <w:t>10,406</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20"/>
                <w:szCs w:val="20"/>
                <w:color w:val="auto"/>
              </w:rPr>
              <w:t>Adjusted EBITDA</w:t>
            </w: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20" w:type="dxa"/>
            <w:vAlign w:val="bottom"/>
            <w:gridSpan w:val="2"/>
            <w:vMerge w:val="continue"/>
          </w:tcPr>
          <w:p>
            <w:pPr>
              <w:spacing w:after="0"/>
              <w:rPr>
                <w:sz w:val="19"/>
                <w:szCs w:val="19"/>
                <w:color w:val="auto"/>
              </w:rPr>
            </w:pPr>
          </w:p>
        </w:tc>
        <w:tc>
          <w:tcPr>
            <w:tcW w:w="1640" w:type="dxa"/>
            <w:vAlign w:val="bottom"/>
            <w:gridSpan w:val="3"/>
          </w:tcPr>
          <w:p>
            <w:pPr>
              <w:jc w:val="right"/>
              <w:ind w:right="300"/>
              <w:spacing w:after="0" w:line="224" w:lineRule="exact"/>
              <w:rPr>
                <w:sz w:val="20"/>
                <w:szCs w:val="20"/>
                <w:color w:val="auto"/>
              </w:rPr>
            </w:pPr>
            <w:r>
              <w:rPr>
                <w:rFonts w:ascii="Arial" w:cs="Arial" w:eastAsia="Arial" w:hAnsi="Arial"/>
                <w:sz w:val="20"/>
                <w:szCs w:val="20"/>
                <w:color w:val="auto"/>
              </w:rPr>
              <w:t>6,499</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Leverage ratio</w:t>
            </w:r>
          </w:p>
        </w:tc>
        <w:tc>
          <w:tcPr>
            <w:tcW w:w="1640" w:type="dxa"/>
            <w:vAlign w:val="bottom"/>
            <w:gridSpan w:val="3"/>
            <w:shd w:val="clear" w:color="auto" w:fill="CCEEFF"/>
          </w:tcPr>
          <w:p>
            <w:pPr>
              <w:jc w:val="right"/>
              <w:ind w:right="300"/>
              <w:spacing w:after="0" w:line="216" w:lineRule="exact"/>
              <w:rPr>
                <w:sz w:val="20"/>
                <w:szCs w:val="20"/>
                <w:color w:val="auto"/>
              </w:rPr>
            </w:pPr>
            <w:r>
              <w:rPr>
                <w:rFonts w:ascii="Arial" w:cs="Arial" w:eastAsia="Arial" w:hAnsi="Arial"/>
                <w:sz w:val="20"/>
                <w:szCs w:val="20"/>
                <w:color w:val="auto"/>
              </w:rPr>
              <w:t>1.60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The Group was in compliance with all externally imposed capital requirements for financial year 2016. The Group is not subjected to any externally imposed capital requirements for financial year 2017.</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is not subjected to any externally imposed capital requirements for financial years 2017 and 2016.</w:t>
      </w:r>
    </w:p>
    <w:p>
      <w:pPr>
        <w:spacing w:after="0" w:line="239" w:lineRule="exact"/>
        <w:rPr>
          <w:sz w:val="20"/>
          <w:szCs w:val="20"/>
          <w:color w:val="auto"/>
        </w:rPr>
      </w:pPr>
    </w:p>
    <w:p>
      <w:pPr>
        <w:ind w:left="980" w:hanging="776"/>
        <w:spacing w:after="0"/>
        <w:tabs>
          <w:tab w:leader="none" w:pos="9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Fair value measurements</w:t>
      </w:r>
    </w:p>
    <w:p>
      <w:pPr>
        <w:spacing w:after="0" w:line="211" w:lineRule="exact"/>
        <w:rPr>
          <w:rFonts w:ascii="Arial" w:cs="Arial" w:eastAsia="Arial" w:hAnsi="Arial"/>
          <w:sz w:val="18"/>
          <w:szCs w:val="18"/>
          <w:color w:val="auto"/>
        </w:rPr>
      </w:pPr>
    </w:p>
    <w:p>
      <w:pPr>
        <w:ind w:left="980" w:right="20"/>
        <w:spacing w:after="0" w:line="246" w:lineRule="auto"/>
        <w:rPr>
          <w:rFonts w:ascii="Arial" w:cs="Arial" w:eastAsia="Arial" w:hAnsi="Arial"/>
          <w:sz w:val="18"/>
          <w:szCs w:val="18"/>
          <w:color w:val="auto"/>
        </w:rPr>
      </w:pPr>
      <w:r>
        <w:rPr>
          <w:rFonts w:ascii="Arial" w:cs="Arial" w:eastAsia="Arial" w:hAnsi="Arial"/>
          <w:sz w:val="18"/>
          <w:szCs w:val="18"/>
          <w:color w:val="auto"/>
        </w:rPr>
        <w:t>The table below presents assets and liabilities measured and carried at fair value and classified by level of the following fair value measurement hierarchy:</w:t>
      </w:r>
    </w:p>
    <w:p>
      <w:pPr>
        <w:spacing w:after="0" w:line="196" w:lineRule="exact"/>
        <w:rPr>
          <w:rFonts w:ascii="Arial" w:cs="Arial" w:eastAsia="Arial" w:hAnsi="Arial"/>
          <w:sz w:val="18"/>
          <w:szCs w:val="18"/>
          <w:color w:val="auto"/>
        </w:rPr>
      </w:pPr>
    </w:p>
    <w:p>
      <w:pPr>
        <w:ind w:left="980" w:right="20"/>
        <w:spacing w:after="0" w:line="246" w:lineRule="auto"/>
        <w:rPr>
          <w:rFonts w:ascii="Arial" w:cs="Arial" w:eastAsia="Arial" w:hAnsi="Arial"/>
          <w:sz w:val="18"/>
          <w:szCs w:val="18"/>
          <w:color w:val="auto"/>
        </w:rPr>
      </w:pPr>
      <w:r>
        <w:rPr>
          <w:rFonts w:ascii="Arial" w:cs="Arial" w:eastAsia="Arial" w:hAnsi="Arial"/>
          <w:sz w:val="18"/>
          <w:szCs w:val="18"/>
          <w:color w:val="auto"/>
        </w:rPr>
        <w:t>Level 1 — Level 1 inputs are quoted prices (unadjusted) in active markets for identical assets or liabilities that the reporting entity has the ability to access at the measurement date.</w:t>
      </w:r>
    </w:p>
    <w:p>
      <w:pPr>
        <w:spacing w:after="0" w:line="196" w:lineRule="exact"/>
        <w:rPr>
          <w:rFonts w:ascii="Arial" w:cs="Arial" w:eastAsia="Arial" w:hAnsi="Arial"/>
          <w:sz w:val="18"/>
          <w:szCs w:val="18"/>
          <w:color w:val="auto"/>
        </w:rPr>
      </w:pPr>
    </w:p>
    <w:p>
      <w:pPr>
        <w:jc w:val="both"/>
        <w:ind w:left="980" w:right="20"/>
        <w:spacing w:after="0"/>
        <w:rPr>
          <w:rFonts w:ascii="Arial" w:cs="Arial" w:eastAsia="Arial" w:hAnsi="Arial"/>
          <w:sz w:val="18"/>
          <w:szCs w:val="18"/>
          <w:color w:val="auto"/>
        </w:rPr>
      </w:pPr>
      <w:r>
        <w:rPr>
          <w:rFonts w:ascii="Arial" w:cs="Arial" w:eastAsia="Arial" w:hAnsi="Arial"/>
          <w:sz w:val="18"/>
          <w:szCs w:val="18"/>
          <w:color w:val="auto"/>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A-98</w:t>
      </w:r>
    </w:p>
    <w:p>
      <w:pPr>
        <w:sectPr>
          <w:pgSz w:w="11900" w:h="16838" w:orient="portrait"/>
          <w:cols w:equalWidth="0" w:num="1">
            <w:col w:w="11240"/>
          </w:cols>
          <w:pgMar w:left="240" w:top="460" w:right="4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risk management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Fair value measurements (continued)</w:t>
      </w:r>
    </w:p>
    <w:p>
      <w:pPr>
        <w:spacing w:after="0" w:line="144" w:lineRule="exact"/>
        <w:rPr>
          <w:rFonts w:ascii="Arial" w:cs="Arial" w:eastAsia="Arial" w:hAnsi="Arial"/>
          <w:sz w:val="18"/>
          <w:szCs w:val="18"/>
          <w:color w:val="auto"/>
        </w:rPr>
      </w:pPr>
    </w:p>
    <w:p>
      <w:pPr>
        <w:ind w:left="980"/>
        <w:spacing w:after="0" w:line="246" w:lineRule="auto"/>
        <w:rPr>
          <w:rFonts w:ascii="Arial" w:cs="Arial" w:eastAsia="Arial" w:hAnsi="Arial"/>
          <w:sz w:val="18"/>
          <w:szCs w:val="18"/>
          <w:color w:val="auto"/>
        </w:rPr>
      </w:pPr>
      <w:r>
        <w:rPr>
          <w:rFonts w:ascii="Arial" w:cs="Arial" w:eastAsia="Arial" w:hAnsi="Arial"/>
          <w:sz w:val="18"/>
          <w:szCs w:val="18"/>
          <w:color w:val="auto"/>
        </w:rPr>
        <w:t>Level 3 — Level 3 inputs are unobservable inputs for the asset or liability in which there is little, if any, market activity for the asset or liability at the measurement date.</w:t>
      </w:r>
    </w:p>
    <w:p>
      <w:pPr>
        <w:spacing w:after="0" w:line="196" w:lineRule="exact"/>
        <w:rPr>
          <w:rFonts w:ascii="Arial" w:cs="Arial" w:eastAsia="Arial" w:hAnsi="Arial"/>
          <w:sz w:val="18"/>
          <w:szCs w:val="18"/>
          <w:color w:val="auto"/>
        </w:rPr>
      </w:pPr>
    </w:p>
    <w:p>
      <w:pPr>
        <w:ind w:left="980"/>
        <w:spacing w:after="0" w:line="246" w:lineRule="auto"/>
        <w:rPr>
          <w:rFonts w:ascii="Arial" w:cs="Arial" w:eastAsia="Arial" w:hAnsi="Arial"/>
          <w:sz w:val="18"/>
          <w:szCs w:val="18"/>
          <w:color w:val="auto"/>
        </w:rPr>
      </w:pPr>
      <w:r>
        <w:rPr>
          <w:rFonts w:ascii="Arial" w:cs="Arial" w:eastAsia="Arial" w:hAnsi="Arial"/>
          <w:sz w:val="18"/>
          <w:szCs w:val="18"/>
          <w:color w:val="auto"/>
        </w:rPr>
        <w:t>See Note 10 for disclosure of the disposal group classified as held-for-sale that are measured at fair value. See Note 7 for disclosure of the retirement plans and post-retirement Benefits that are measured at fair value.</w:t>
      </w:r>
    </w:p>
    <w:p>
      <w:pPr>
        <w:spacing w:after="0" w:line="19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There were no other transfers between Levels 1, 2 and 3 during the year.</w:t>
      </w:r>
    </w:p>
    <w:p>
      <w:pPr>
        <w:spacing w:after="0" w:line="211" w:lineRule="exact"/>
        <w:rPr>
          <w:rFonts w:ascii="Arial" w:cs="Arial" w:eastAsia="Arial" w:hAnsi="Arial"/>
          <w:sz w:val="18"/>
          <w:szCs w:val="18"/>
          <w:color w:val="auto"/>
        </w:rPr>
      </w:pPr>
    </w:p>
    <w:p>
      <w:pPr>
        <w:jc w:val="both"/>
        <w:ind w:left="980"/>
        <w:spacing w:after="0" w:line="238" w:lineRule="auto"/>
        <w:rPr>
          <w:rFonts w:ascii="Arial" w:cs="Arial" w:eastAsia="Arial" w:hAnsi="Arial"/>
          <w:sz w:val="18"/>
          <w:szCs w:val="18"/>
          <w:color w:val="auto"/>
        </w:rPr>
      </w:pPr>
      <w:r>
        <w:rPr>
          <w:rFonts w:ascii="Arial" w:cs="Arial" w:eastAsia="Arial" w:hAnsi="Arial"/>
          <w:sz w:val="18"/>
          <w:szCs w:val="18"/>
          <w:color w:val="auto"/>
        </w:rPr>
        <w:t>Management has assessed that the fair values of cash and cash equivalents, restricted cash and time deposits, trade and notes receivables, financial assets included in other current assets, entrusted loans, trade and notes payables, financial liabilities included in other payables and accrued liabilities, short-term and current portion of interest-bearing loans and borrowings, interest payable and the current portion of long-term payables approximate their carrying amounts largely due to the short-term maturities of these instruments.</w:t>
      </w:r>
    </w:p>
    <w:p>
      <w:pPr>
        <w:spacing w:after="0" w:line="202" w:lineRule="exact"/>
        <w:rPr>
          <w:rFonts w:ascii="Arial" w:cs="Arial" w:eastAsia="Arial" w:hAnsi="Arial"/>
          <w:sz w:val="18"/>
          <w:szCs w:val="18"/>
          <w:color w:val="auto"/>
        </w:rPr>
      </w:pPr>
    </w:p>
    <w:p>
      <w:pPr>
        <w:jc w:val="both"/>
        <w:ind w:left="980"/>
        <w:spacing w:after="0" w:line="238" w:lineRule="auto"/>
        <w:rPr>
          <w:rFonts w:ascii="Arial" w:cs="Arial" w:eastAsia="Arial" w:hAnsi="Arial"/>
          <w:sz w:val="18"/>
          <w:szCs w:val="18"/>
          <w:color w:val="auto"/>
        </w:rPr>
      </w:pPr>
      <w:r>
        <w:rPr>
          <w:rFonts w:ascii="Arial" w:cs="Arial" w:eastAsia="Arial" w:hAnsi="Arial"/>
          <w:sz w:val="18"/>
          <w:szCs w:val="18"/>
          <w:color w:val="auto"/>
        </w:rPr>
        <w:t>The fair values of financial instruments that are not traded in an active market (for example, over-the-counter derivatives) are determined by using valuation techniques. The Group uses a variety of methods and makes assumptions that are based on market conditions existing at each balance sheet date. The fair values of the financial assets and liabilities are included at the amount at which the instrument could be exchanged in a current transaction between willing parties, other than in a forced or liquidation sale. The following methods and assumptions were used to estimate the fair values:</w:t>
      </w:r>
    </w:p>
    <w:p>
      <w:pPr>
        <w:spacing w:after="0" w:line="229" w:lineRule="exact"/>
        <w:rPr>
          <w:rFonts w:ascii="Arial" w:cs="Arial" w:eastAsia="Arial" w:hAnsi="Arial"/>
          <w:sz w:val="18"/>
          <w:szCs w:val="18"/>
          <w:color w:val="auto"/>
        </w:rPr>
      </w:pPr>
    </w:p>
    <w:p>
      <w:pPr>
        <w:jc w:val="both"/>
        <w:ind w:left="1860" w:hanging="886"/>
        <w:spacing w:after="0"/>
        <w:tabs>
          <w:tab w:leader="none" w:pos="18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fair values of the financial assets included in other non-current assets and financial liabilities included in other non-current liabilities have been calculated by discounting the expected future cash flows using rates currently available for instruments on with similar terms, credit risk and remaining maturities.</w:t>
      </w:r>
    </w:p>
    <w:p>
      <w:pPr>
        <w:spacing w:after="0" w:line="229" w:lineRule="exact"/>
        <w:rPr>
          <w:rFonts w:ascii="Arial" w:cs="Arial" w:eastAsia="Arial" w:hAnsi="Arial"/>
          <w:sz w:val="18"/>
          <w:szCs w:val="18"/>
          <w:color w:val="auto"/>
        </w:rPr>
      </w:pPr>
    </w:p>
    <w:p>
      <w:pPr>
        <w:jc w:val="both"/>
        <w:ind w:left="1860" w:hanging="886"/>
        <w:spacing w:after="0"/>
        <w:tabs>
          <w:tab w:leader="none" w:pos="18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fair values of long-term interest-bearing loans and borrowings have been calculated by discounting the expected future cash flows using rates currently available for instruments with similar terms, credit risk and remaining maturities.</w:t>
      </w:r>
    </w:p>
    <w:p>
      <w:pPr>
        <w:spacing w:after="0" w:line="229" w:lineRule="exact"/>
        <w:rPr>
          <w:rFonts w:ascii="Arial" w:cs="Arial" w:eastAsia="Arial" w:hAnsi="Arial"/>
          <w:sz w:val="18"/>
          <w:szCs w:val="18"/>
          <w:color w:val="auto"/>
        </w:rPr>
      </w:pPr>
    </w:p>
    <w:p>
      <w:pPr>
        <w:ind w:left="1860" w:hanging="886"/>
        <w:spacing w:after="0" w:line="246" w:lineRule="auto"/>
        <w:tabs>
          <w:tab w:leader="none" w:pos="18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Group’s own non-performance risk for financial liabilities included in other non-current liabilities and long-term interest-bearing loans and borrowings as at 29 October 2017 and 30 October 2016 is assessed to be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A-99</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risk management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Financial instruments by category</w:t>
      </w:r>
    </w:p>
    <w:p>
      <w:pPr>
        <w:spacing w:after="0" w:line="211" w:lineRule="exact"/>
        <w:rPr>
          <w:rFonts w:ascii="Arial" w:cs="Arial" w:eastAsia="Arial" w:hAnsi="Arial"/>
          <w:sz w:val="18"/>
          <w:szCs w:val="18"/>
          <w:color w:val="auto"/>
        </w:rPr>
      </w:pPr>
    </w:p>
    <w:p>
      <w:pPr>
        <w:ind w:left="980" w:right="20"/>
        <w:spacing w:after="0" w:line="246" w:lineRule="auto"/>
        <w:rPr>
          <w:rFonts w:ascii="Arial" w:cs="Arial" w:eastAsia="Arial" w:hAnsi="Arial"/>
          <w:sz w:val="18"/>
          <w:szCs w:val="18"/>
          <w:color w:val="auto"/>
        </w:rPr>
      </w:pPr>
      <w:r>
        <w:rPr>
          <w:rFonts w:ascii="Arial" w:cs="Arial" w:eastAsia="Arial" w:hAnsi="Arial"/>
          <w:sz w:val="18"/>
          <w:szCs w:val="18"/>
          <w:color w:val="auto"/>
        </w:rPr>
        <w:t>The carrying amount of the different categories of financial instruments is as disclosed on the face of the balance sheet and in Note 13, Note 16, Note 19 and Note 20 to the financial statements, except for the following:</w:t>
      </w:r>
    </w:p>
    <w:p>
      <w:pPr>
        <w:spacing w:after="0" w:line="184"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60" w:type="dxa"/>
            <w:vAlign w:val="bottom"/>
            <w:vMerge w:val="restart"/>
          </w:tcPr>
          <w:p>
            <w:pPr>
              <w:jc w:val="right"/>
              <w:ind w:right="123"/>
              <w:spacing w:after="0"/>
              <w:rPr>
                <w:sz w:val="20"/>
                <w:szCs w:val="20"/>
                <w:color w:val="auto"/>
              </w:rPr>
            </w:pPr>
            <w:r>
              <w:rPr>
                <w:rFonts w:ascii="Arial" w:cs="Arial" w:eastAsia="Arial" w:hAnsi="Arial"/>
                <w:sz w:val="20"/>
                <w:szCs w:val="20"/>
                <w:b w:val="1"/>
                <w:bCs w:val="1"/>
                <w:color w:val="auto"/>
              </w:rPr>
              <w:t>2017</w:t>
            </w: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7"/>
              </w:rPr>
              <w:t>Group</w:t>
            </w:r>
          </w:p>
        </w:tc>
        <w:tc>
          <w:tcPr>
            <w:tcW w:w="1380" w:type="dxa"/>
            <w:vAlign w:val="bottom"/>
            <w:gridSpan w:val="2"/>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2017</w:t>
            </w: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5"/>
              </w:rPr>
              <w:t>Company</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right"/>
              <w:ind w:right="480"/>
              <w:spacing w:after="0" w:line="200" w:lineRule="exact"/>
              <w:rPr>
                <w:sz w:val="20"/>
                <w:szCs w:val="20"/>
                <w:color w:val="auto"/>
              </w:rPr>
            </w:pPr>
            <w:r>
              <w:rPr>
                <w:rFonts w:ascii="Arial" w:cs="Arial" w:eastAsia="Arial" w:hAnsi="Arial"/>
                <w:sz w:val="20"/>
                <w:szCs w:val="20"/>
                <w:color w:val="auto"/>
              </w:rPr>
              <w:t>2016</w:t>
            </w: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gridSpan w:val="2"/>
          </w:tcPr>
          <w:p>
            <w:pPr>
              <w:jc w:val="right"/>
              <w:ind w:right="420"/>
              <w:spacing w:after="0" w:line="200"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(US$ millions)</w:t>
            </w:r>
          </w:p>
        </w:tc>
        <w:tc>
          <w:tcPr>
            <w:tcW w:w="1660" w:type="dxa"/>
            <w:vAlign w:val="bottom"/>
            <w:gridSpan w:val="3"/>
          </w:tcPr>
          <w:p>
            <w:pPr>
              <w:ind w:left="100"/>
              <w:spacing w:after="0"/>
              <w:rPr>
                <w:sz w:val="20"/>
                <w:szCs w:val="20"/>
                <w:color w:val="auto"/>
              </w:rPr>
            </w:pPr>
            <w:r>
              <w:rPr>
                <w:rFonts w:ascii="Arial" w:cs="Arial" w:eastAsia="Arial" w:hAnsi="Arial"/>
                <w:sz w:val="18"/>
                <w:szCs w:val="18"/>
                <w:color w:val="auto"/>
              </w:rPr>
              <w:t>(US$ millions)</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(US$ millions)</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Loans and receivables</w:t>
            </w:r>
          </w:p>
        </w:tc>
        <w:tc>
          <w:tcPr>
            <w:tcW w:w="1440" w:type="dxa"/>
            <w:vAlign w:val="bottom"/>
            <w:gridSpan w:val="2"/>
            <w:shd w:val="clear" w:color="auto" w:fill="CCEEFF"/>
          </w:tcPr>
          <w:p>
            <w:pPr>
              <w:jc w:val="right"/>
              <w:ind w:right="121"/>
              <w:spacing w:after="0" w:line="216" w:lineRule="exact"/>
              <w:rPr>
                <w:sz w:val="20"/>
                <w:szCs w:val="20"/>
                <w:color w:val="auto"/>
              </w:rPr>
            </w:pPr>
            <w:r>
              <w:rPr>
                <w:rFonts w:ascii="Arial" w:cs="Arial" w:eastAsia="Arial" w:hAnsi="Arial"/>
                <w:sz w:val="20"/>
                <w:szCs w:val="20"/>
                <w:b w:val="1"/>
                <w:bCs w:val="1"/>
                <w:color w:val="auto"/>
              </w:rPr>
              <w:t>14,229</w:t>
            </w:r>
          </w:p>
        </w:tc>
        <w:tc>
          <w:tcPr>
            <w:tcW w:w="140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5,631</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line="216" w:lineRule="exact"/>
              <w:rPr>
                <w:sz w:val="20"/>
                <w:szCs w:val="20"/>
                <w:color w:val="auto"/>
              </w:rPr>
            </w:pPr>
            <w:r>
              <w:rPr>
                <w:rFonts w:ascii="Arial" w:cs="Arial" w:eastAsia="Arial" w:hAnsi="Arial"/>
                <w:sz w:val="20"/>
                <w:szCs w:val="20"/>
                <w:b w:val="1"/>
                <w:bCs w:val="1"/>
                <w:color w:val="auto"/>
              </w:rPr>
              <w:t>196</w:t>
            </w:r>
          </w:p>
        </w:tc>
        <w:tc>
          <w:tcPr>
            <w:tcW w:w="130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20"/>
                <w:szCs w:val="20"/>
                <w:color w:val="auto"/>
              </w:rPr>
              <w:t>Financial liabilities at amortised cost</w:t>
            </w:r>
          </w:p>
        </w:tc>
        <w:tc>
          <w:tcPr>
            <w:tcW w:w="144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20"/>
                <w:szCs w:val="20"/>
                <w:b w:val="1"/>
                <w:bCs w:val="1"/>
                <w:color w:val="auto"/>
              </w:rPr>
              <w:t>18,653</w:t>
            </w:r>
          </w:p>
        </w:tc>
        <w:tc>
          <w:tcPr>
            <w:tcW w:w="1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20"/>
                <w:szCs w:val="20"/>
                <w:color w:val="auto"/>
              </w:rPr>
              <w:t>14,903</w:t>
            </w:r>
          </w:p>
        </w:tc>
        <w:tc>
          <w:tcPr>
            <w:tcW w:w="260" w:type="dxa"/>
            <w:vAlign w:val="bottom"/>
          </w:tcPr>
          <w:p>
            <w:pPr>
              <w:spacing w:after="0"/>
              <w:rPr>
                <w:sz w:val="20"/>
                <w:szCs w:val="20"/>
                <w:color w:val="auto"/>
              </w:rPr>
            </w:pPr>
          </w:p>
        </w:tc>
        <w:tc>
          <w:tcPr>
            <w:tcW w:w="144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20"/>
                <w:szCs w:val="20"/>
                <w:b w:val="1"/>
                <w:bCs w:val="1"/>
                <w:color w:val="auto"/>
              </w:rPr>
              <w:t>180</w:t>
            </w:r>
          </w:p>
        </w:tc>
        <w:tc>
          <w:tcPr>
            <w:tcW w:w="1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20"/>
                <w:szCs w:val="20"/>
                <w:color w:val="auto"/>
              </w:rPr>
              <w:t>155</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980" w:hanging="776"/>
        <w:spacing w:after="0"/>
        <w:tabs>
          <w:tab w:leader="none" w:pos="98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3" w:lineRule="exact"/>
        <w:rPr>
          <w:rFonts w:ascii="Arial" w:cs="Arial" w:eastAsia="Arial" w:hAnsi="Arial"/>
          <w:sz w:val="18"/>
          <w:szCs w:val="18"/>
          <w:b w:val="1"/>
          <w:bCs w:val="1"/>
          <w:color w:val="auto"/>
        </w:rPr>
      </w:pPr>
    </w:p>
    <w:p>
      <w:pPr>
        <w:ind w:left="98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In addition to the information disclosed elsewhere in the financial statements, the following transactions took place between the Group and related parties at terms agreed between the parties:</w:t>
      </w:r>
    </w:p>
    <w:p>
      <w:pPr>
        <w:spacing w:after="0" w:line="20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8"/>
          <w:szCs w:val="18"/>
          <w:i w:val="1"/>
          <w:iCs w:val="1"/>
          <w:color w:val="auto"/>
        </w:rPr>
        <w:t>Sales and purchases of goods and services</w:t>
      </w:r>
    </w:p>
    <w:p>
      <w:pPr>
        <w:spacing w:after="0" w:line="240"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900" w:type="dxa"/>
            <w:vAlign w:val="bottom"/>
            <w:gridSpan w:val="2"/>
            <w:vMerge w:val="restart"/>
          </w:tcPr>
          <w:p>
            <w:pPr>
              <w:jc w:val="right"/>
              <w:ind w:right="381"/>
              <w:spacing w:after="0"/>
              <w:rPr>
                <w:sz w:val="20"/>
                <w:szCs w:val="20"/>
                <w:color w:val="auto"/>
              </w:rPr>
            </w:pPr>
            <w:r>
              <w:rPr>
                <w:rFonts w:ascii="Arial" w:cs="Arial" w:eastAsia="Arial" w:hAnsi="Arial"/>
                <w:sz w:val="20"/>
                <w:szCs w:val="20"/>
                <w:b w:val="1"/>
                <w:bCs w:val="1"/>
                <w:color w:val="auto"/>
              </w:rPr>
              <w:t>2017</w:t>
            </w:r>
          </w:p>
        </w:tc>
        <w:tc>
          <w:tcPr>
            <w:tcW w:w="2120" w:type="dxa"/>
            <w:vAlign w:val="bottom"/>
            <w:gridSpan w:val="4"/>
          </w:tcPr>
          <w:p>
            <w:pPr>
              <w:ind w:left="100"/>
              <w:spacing w:after="0"/>
              <w:rPr>
                <w:sz w:val="20"/>
                <w:szCs w:val="20"/>
                <w:color w:val="auto"/>
              </w:rPr>
            </w:pPr>
            <w:r>
              <w:rPr>
                <w:rFonts w:ascii="Arial" w:cs="Arial" w:eastAsia="Arial" w:hAnsi="Arial"/>
                <w:sz w:val="20"/>
                <w:szCs w:val="20"/>
                <w:color w:val="auto"/>
              </w:rPr>
              <w:t>Group</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0" w:type="dxa"/>
            <w:vAlign w:val="bottom"/>
          </w:tcPr>
          <w:p>
            <w:pPr>
              <w:jc w:val="right"/>
              <w:ind w:right="245"/>
              <w:spacing w:after="0" w:line="177" w:lineRule="exact"/>
              <w:rPr>
                <w:sz w:val="20"/>
                <w:szCs w:val="20"/>
                <w:color w:val="auto"/>
              </w:rPr>
            </w:pPr>
            <w:r>
              <w:rPr>
                <w:rFonts w:ascii="Arial" w:cs="Arial" w:eastAsia="Arial" w:hAnsi="Arial"/>
                <w:sz w:val="20"/>
                <w:szCs w:val="20"/>
                <w:color w:val="auto"/>
              </w:rPr>
              <w:t>2016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9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(US$ millions)</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Sales of goods and/or services to - other related parties</w:t>
            </w:r>
          </w:p>
        </w:tc>
        <w:tc>
          <w:tcPr>
            <w:tcW w:w="1900" w:type="dxa"/>
            <w:vAlign w:val="bottom"/>
            <w:gridSpan w:val="2"/>
            <w:shd w:val="clear" w:color="auto" w:fill="CCEEFF"/>
          </w:tcPr>
          <w:p>
            <w:pPr>
              <w:jc w:val="right"/>
              <w:ind w:right="101"/>
              <w:spacing w:after="0" w:line="216" w:lineRule="exact"/>
              <w:rPr>
                <w:sz w:val="20"/>
                <w:szCs w:val="20"/>
                <w:color w:val="auto"/>
              </w:rPr>
            </w:pPr>
            <w:r>
              <w:rPr>
                <w:rFonts w:ascii="Arial" w:cs="Arial" w:eastAsia="Arial" w:hAnsi="Arial"/>
                <w:sz w:val="20"/>
                <w:szCs w:val="20"/>
                <w:b w:val="1"/>
                <w:bCs w:val="1"/>
                <w:color w:val="auto"/>
              </w:rPr>
              <w:t>346</w:t>
            </w:r>
          </w:p>
        </w:tc>
        <w:tc>
          <w:tcPr>
            <w:tcW w:w="2040" w:type="dxa"/>
            <w:vAlign w:val="bottom"/>
            <w:gridSpan w:val="3"/>
            <w:shd w:val="clear" w:color="auto" w:fill="CCEEFF"/>
          </w:tcPr>
          <w:p>
            <w:pPr>
              <w:jc w:val="right"/>
              <w:ind w:right="25"/>
              <w:spacing w:after="0" w:line="216" w:lineRule="exact"/>
              <w:rPr>
                <w:sz w:val="20"/>
                <w:szCs w:val="20"/>
                <w:color w:val="auto"/>
              </w:rPr>
            </w:pPr>
            <w:r>
              <w:rPr>
                <w:rFonts w:ascii="Arial" w:cs="Arial" w:eastAsia="Arial" w:hAnsi="Arial"/>
                <w:sz w:val="20"/>
                <w:szCs w:val="20"/>
                <w:color w:val="auto"/>
              </w:rPr>
              <w:t>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line="212" w:lineRule="exact"/>
              <w:rPr>
                <w:sz w:val="20"/>
                <w:szCs w:val="20"/>
                <w:color w:val="auto"/>
              </w:rPr>
            </w:pPr>
            <w:r>
              <w:rPr>
                <w:rFonts w:ascii="Arial" w:cs="Arial" w:eastAsia="Arial" w:hAnsi="Arial"/>
                <w:sz w:val="20"/>
                <w:szCs w:val="20"/>
                <w:color w:val="auto"/>
              </w:rPr>
              <w:t>Purchase of inventory and other costs and expenses charged by</w:t>
            </w:r>
          </w:p>
        </w:tc>
        <w:tc>
          <w:tcPr>
            <w:tcW w:w="600" w:type="dxa"/>
            <w:vAlign w:val="bottom"/>
            <w:vMerge w:val="restart"/>
          </w:tcPr>
          <w:p>
            <w:pPr>
              <w:spacing w:after="0"/>
              <w:rPr>
                <w:sz w:val="18"/>
                <w:szCs w:val="18"/>
                <w:color w:val="auto"/>
              </w:rPr>
            </w:pPr>
          </w:p>
        </w:tc>
        <w:tc>
          <w:tcPr>
            <w:tcW w:w="130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rPr>
              <w:t>145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20" w:type="dxa"/>
            <w:vAlign w:val="bottom"/>
          </w:tcPr>
          <w:p>
            <w:pPr>
              <w:ind w:left="180"/>
              <w:spacing w:after="0" w:line="220" w:lineRule="exact"/>
              <w:rPr>
                <w:sz w:val="20"/>
                <w:szCs w:val="20"/>
                <w:color w:val="auto"/>
              </w:rPr>
            </w:pPr>
            <w:r>
              <w:rPr>
                <w:rFonts w:ascii="Arial" w:cs="Arial" w:eastAsia="Arial" w:hAnsi="Arial"/>
                <w:sz w:val="20"/>
                <w:szCs w:val="20"/>
                <w:color w:val="auto"/>
              </w:rPr>
              <w:t>other related parties</w:t>
            </w:r>
          </w:p>
        </w:tc>
        <w:tc>
          <w:tcPr>
            <w:tcW w:w="600" w:type="dxa"/>
            <w:vAlign w:val="bottom"/>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gridSpan w:val="3"/>
          </w:tcPr>
          <w:p>
            <w:pPr>
              <w:jc w:val="right"/>
              <w:ind w:right="25"/>
              <w:spacing w:after="0" w:line="220" w:lineRule="exact"/>
              <w:rPr>
                <w:sz w:val="20"/>
                <w:szCs w:val="20"/>
                <w:color w:val="auto"/>
              </w:rPr>
            </w:pPr>
            <w:r>
              <w:rPr>
                <w:rFonts w:ascii="Arial" w:cs="Arial" w:eastAsia="Arial" w:hAnsi="Arial"/>
                <w:sz w:val="20"/>
                <w:szCs w:val="20"/>
                <w:color w:val="auto"/>
              </w:rPr>
              <w:t>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During financial years 2017 and 2016, in the ordinary course of business, the Group purchased from, or sold to, several entities, for which one of our directors also serves or served as a director or entities that are otherwise affiliated with one of our directors.</w:t>
      </w:r>
    </w:p>
    <w:p>
      <w:pPr>
        <w:spacing w:after="0" w:line="197"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Outstanding balances arising from sale/purchase of goods and services, are unsecured and receivable/payable within 12 months from balance sheet date and are disclosed in Notes 13 and 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A-100</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(continued)</w:t>
      </w:r>
    </w:p>
    <w:p>
      <w:pPr>
        <w:spacing w:after="0" w:line="148" w:lineRule="exact"/>
        <w:rPr>
          <w:sz w:val="20"/>
          <w:szCs w:val="20"/>
          <w:color w:val="auto"/>
        </w:rPr>
      </w:pPr>
    </w:p>
    <w:p>
      <w:pPr>
        <w:ind w:left="980" w:hanging="776"/>
        <w:spacing w:after="0"/>
        <w:tabs>
          <w:tab w:leader="none" w:pos="980" w:val="left"/>
        </w:tabs>
        <w:numPr>
          <w:ilvl w:val="0"/>
          <w:numId w:val="267"/>
        </w:numPr>
        <w:rPr>
          <w:rFonts w:ascii="Arial" w:cs="Arial" w:eastAsia="Arial" w:hAnsi="Arial"/>
          <w:sz w:val="18"/>
          <w:szCs w:val="18"/>
          <w:i w:val="1"/>
          <w:iCs w:val="1"/>
          <w:color w:val="auto"/>
        </w:rPr>
      </w:pPr>
      <w:r>
        <w:rPr>
          <w:rFonts w:ascii="Arial" w:cs="Arial" w:eastAsia="Arial" w:hAnsi="Arial"/>
          <w:sz w:val="18"/>
          <w:szCs w:val="18"/>
          <w:i w:val="1"/>
          <w:iCs w:val="1"/>
          <w:color w:val="auto"/>
        </w:rPr>
        <w:t>Key management personnel compensation</w:t>
      </w:r>
    </w:p>
    <w:p>
      <w:pPr>
        <w:spacing w:after="0" w:line="229" w:lineRule="exact"/>
        <w:rPr>
          <w:rFonts w:ascii="Arial" w:cs="Arial" w:eastAsia="Arial" w:hAnsi="Arial"/>
          <w:sz w:val="18"/>
          <w:szCs w:val="18"/>
          <w:i w:val="1"/>
          <w:iCs w:val="1"/>
          <w:color w:val="auto"/>
        </w:rPr>
      </w:pPr>
    </w:p>
    <w:p>
      <w:pPr>
        <w:ind w:left="980"/>
        <w:spacing w:after="0"/>
        <w:rPr>
          <w:rFonts w:ascii="Arial" w:cs="Arial" w:eastAsia="Arial" w:hAnsi="Arial"/>
          <w:sz w:val="18"/>
          <w:szCs w:val="18"/>
          <w:i w:val="1"/>
          <w:iCs w:val="1"/>
          <w:color w:val="auto"/>
        </w:rPr>
      </w:pPr>
      <w:r>
        <w:rPr>
          <w:rFonts w:ascii="Arial" w:cs="Arial" w:eastAsia="Arial" w:hAnsi="Arial"/>
          <w:sz w:val="18"/>
          <w:szCs w:val="18"/>
          <w:color w:val="auto"/>
        </w:rPr>
        <w:t>Key management personnel compensation is as follows:</w:t>
      </w:r>
    </w:p>
    <w:p>
      <w:pPr>
        <w:spacing w:after="0" w:line="199"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2060" w:type="dxa"/>
            <w:vAlign w:val="bottom"/>
            <w:gridSpan w:val="2"/>
            <w:vMerge w:val="restart"/>
          </w:tcPr>
          <w:p>
            <w:pPr>
              <w:jc w:val="right"/>
              <w:ind w:right="501"/>
              <w:spacing w:after="0"/>
              <w:rPr>
                <w:sz w:val="20"/>
                <w:szCs w:val="20"/>
                <w:color w:val="auto"/>
              </w:rPr>
            </w:pPr>
            <w:r>
              <w:rPr>
                <w:rFonts w:ascii="Arial" w:cs="Arial" w:eastAsia="Arial" w:hAnsi="Arial"/>
                <w:sz w:val="20"/>
                <w:szCs w:val="20"/>
                <w:b w:val="1"/>
                <w:bCs w:val="1"/>
                <w:color w:val="auto"/>
              </w:rPr>
              <w:t>2017</w:t>
            </w:r>
          </w:p>
        </w:tc>
        <w:tc>
          <w:tcPr>
            <w:tcW w:w="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Group</w:t>
            </w:r>
          </w:p>
        </w:tc>
        <w:tc>
          <w:tcPr>
            <w:tcW w:w="15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060" w:type="dxa"/>
            <w:vAlign w:val="bottom"/>
            <w:gridSpan w:val="2"/>
            <w:vMerge w:val="continue"/>
          </w:tcPr>
          <w:p>
            <w:pPr>
              <w:spacing w:after="0"/>
              <w:rPr>
                <w:sz w:val="17"/>
                <w:szCs w:val="17"/>
                <w:color w:val="auto"/>
              </w:rPr>
            </w:pPr>
          </w:p>
        </w:tc>
        <w:tc>
          <w:tcPr>
            <w:tcW w:w="1980" w:type="dxa"/>
            <w:vAlign w:val="bottom"/>
            <w:gridSpan w:val="2"/>
          </w:tcPr>
          <w:p>
            <w:pPr>
              <w:jc w:val="right"/>
              <w:ind w:right="250"/>
              <w:spacing w:after="0" w:line="200" w:lineRule="exact"/>
              <w:rPr>
                <w:sz w:val="20"/>
                <w:szCs w:val="20"/>
                <w:color w:val="auto"/>
              </w:rPr>
            </w:pPr>
            <w:r>
              <w:rPr>
                <w:rFonts w:ascii="Arial" w:cs="Arial" w:eastAsia="Arial" w:hAnsi="Arial"/>
                <w:sz w:val="20"/>
                <w:szCs w:val="20"/>
                <w:color w:val="auto"/>
              </w:rPr>
              <w:t>2016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20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(US$ millions)</w:t>
            </w:r>
          </w:p>
        </w:tc>
        <w:tc>
          <w:tcPr>
            <w:tcW w:w="560" w:type="dxa"/>
            <w:vAlign w:val="bottom"/>
          </w:tcPr>
          <w:p>
            <w:pPr>
              <w:spacing w:after="0"/>
              <w:rPr>
                <w:sz w:val="19"/>
                <w:szCs w:val="19"/>
                <w:color w:val="auto"/>
              </w:rPr>
            </w:pP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Wages and salaries</w:t>
            </w:r>
          </w:p>
        </w:tc>
        <w:tc>
          <w:tcPr>
            <w:tcW w:w="2060" w:type="dxa"/>
            <w:vAlign w:val="bottom"/>
            <w:gridSpan w:val="2"/>
            <w:shd w:val="clear" w:color="auto" w:fill="CCEEFF"/>
          </w:tcPr>
          <w:p>
            <w:pPr>
              <w:jc w:val="right"/>
              <w:ind w:right="221"/>
              <w:spacing w:after="0" w:line="216" w:lineRule="exact"/>
              <w:rPr>
                <w:sz w:val="20"/>
                <w:szCs w:val="20"/>
                <w:color w:val="auto"/>
              </w:rPr>
            </w:pPr>
            <w:r>
              <w:rPr>
                <w:rFonts w:ascii="Arial" w:cs="Arial" w:eastAsia="Arial" w:hAnsi="Arial"/>
                <w:sz w:val="20"/>
                <w:szCs w:val="20"/>
                <w:b w:val="1"/>
                <w:bCs w:val="1"/>
                <w:color w:val="auto"/>
              </w:rPr>
              <w:t>9</w:t>
            </w:r>
          </w:p>
        </w:tc>
        <w:tc>
          <w:tcPr>
            <w:tcW w:w="1980" w:type="dxa"/>
            <w:vAlign w:val="bottom"/>
            <w:gridSpan w:val="2"/>
            <w:shd w:val="clear" w:color="auto" w:fill="CCEEFF"/>
          </w:tcPr>
          <w:p>
            <w:pPr>
              <w:jc w:val="right"/>
              <w:ind w:right="30"/>
              <w:spacing w:after="0" w:line="216" w:lineRule="exact"/>
              <w:rPr>
                <w:sz w:val="20"/>
                <w:szCs w:val="20"/>
                <w:color w:val="auto"/>
              </w:rPr>
            </w:pPr>
            <w:r>
              <w:rPr>
                <w:rFonts w:ascii="Arial" w:cs="Arial" w:eastAsia="Arial" w:hAnsi="Arial"/>
                <w:sz w:val="20"/>
                <w:szCs w:val="20"/>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tcPr>
          <w:p>
            <w:pPr>
              <w:spacing w:after="0" w:line="212" w:lineRule="exact"/>
              <w:rPr>
                <w:sz w:val="20"/>
                <w:szCs w:val="20"/>
                <w:color w:val="auto"/>
              </w:rPr>
            </w:pPr>
            <w:r>
              <w:rPr>
                <w:rFonts w:ascii="Arial" w:cs="Arial" w:eastAsia="Arial" w:hAnsi="Arial"/>
                <w:sz w:val="20"/>
                <w:szCs w:val="20"/>
                <w:color w:val="auto"/>
              </w:rPr>
              <w:t>Employer’s contribution to defined contribution plans, including</w:t>
            </w:r>
          </w:p>
        </w:tc>
        <w:tc>
          <w:tcPr>
            <w:tcW w:w="2060" w:type="dxa"/>
            <w:vAlign w:val="bottom"/>
            <w:gridSpan w:val="2"/>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20" w:type="dxa"/>
            <w:vAlign w:val="bottom"/>
          </w:tcPr>
          <w:p>
            <w:pPr>
              <w:ind w:left="180"/>
              <w:spacing w:after="0" w:line="220" w:lineRule="exact"/>
              <w:rPr>
                <w:sz w:val="20"/>
                <w:szCs w:val="20"/>
                <w:color w:val="auto"/>
              </w:rPr>
            </w:pPr>
            <w:r>
              <w:rPr>
                <w:rFonts w:ascii="Arial" w:cs="Arial" w:eastAsia="Arial" w:hAnsi="Arial"/>
                <w:sz w:val="20"/>
                <w:szCs w:val="20"/>
                <w:color w:val="auto"/>
              </w:rPr>
              <w:t>Central Provident Fund</w:t>
            </w:r>
          </w:p>
        </w:tc>
        <w:tc>
          <w:tcPr>
            <w:tcW w:w="2060" w:type="dxa"/>
            <w:vAlign w:val="bottom"/>
            <w:gridSpan w:val="2"/>
            <w:vMerge w:val="continue"/>
          </w:tcPr>
          <w:p>
            <w:pPr>
              <w:spacing w:after="0"/>
              <w:rPr>
                <w:sz w:val="19"/>
                <w:szCs w:val="19"/>
                <w:color w:val="auto"/>
              </w:rPr>
            </w:pPr>
          </w:p>
        </w:tc>
        <w:tc>
          <w:tcPr>
            <w:tcW w:w="1980" w:type="dxa"/>
            <w:vAlign w:val="bottom"/>
            <w:gridSpan w:val="2"/>
          </w:tcPr>
          <w:p>
            <w:pPr>
              <w:jc w:val="right"/>
              <w:ind w:right="30"/>
              <w:spacing w:after="0" w:line="220" w:lineRule="exact"/>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Termination benefits</w:t>
            </w:r>
          </w:p>
        </w:tc>
        <w:tc>
          <w:tcPr>
            <w:tcW w:w="2060" w:type="dxa"/>
            <w:vAlign w:val="bottom"/>
            <w:gridSpan w:val="2"/>
            <w:shd w:val="clear" w:color="auto" w:fill="CCEEFF"/>
          </w:tcPr>
          <w:p>
            <w:pPr>
              <w:jc w:val="right"/>
              <w:ind w:right="221"/>
              <w:spacing w:after="0" w:line="216" w:lineRule="exact"/>
              <w:rPr>
                <w:sz w:val="20"/>
                <w:szCs w:val="20"/>
                <w:color w:val="auto"/>
              </w:rPr>
            </w:pPr>
            <w:r>
              <w:rPr>
                <w:rFonts w:ascii="Arial" w:cs="Arial" w:eastAsia="Arial" w:hAnsi="Arial"/>
                <w:sz w:val="20"/>
                <w:szCs w:val="20"/>
                <w:b w:val="1"/>
                <w:bCs w:val="1"/>
                <w:color w:val="auto"/>
              </w:rPr>
              <w:t>-</w:t>
            </w:r>
          </w:p>
        </w:tc>
        <w:tc>
          <w:tcPr>
            <w:tcW w:w="1980" w:type="dxa"/>
            <w:vAlign w:val="bottom"/>
            <w:gridSpan w:val="2"/>
            <w:shd w:val="clear" w:color="auto" w:fill="CCEEFF"/>
          </w:tcPr>
          <w:p>
            <w:pPr>
              <w:jc w:val="right"/>
              <w:ind w:right="30"/>
              <w:spacing w:after="0" w:line="216" w:lineRule="exact"/>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line="216" w:lineRule="exact"/>
              <w:rPr>
                <w:sz w:val="20"/>
                <w:szCs w:val="20"/>
                <w:color w:val="auto"/>
              </w:rPr>
            </w:pPr>
            <w:r>
              <w:rPr>
                <w:rFonts w:ascii="Arial" w:cs="Arial" w:eastAsia="Arial" w:hAnsi="Arial"/>
                <w:sz w:val="20"/>
                <w:szCs w:val="20"/>
                <w:color w:val="auto"/>
              </w:rPr>
              <w:t>Share option expense</w:t>
            </w:r>
          </w:p>
        </w:tc>
        <w:tc>
          <w:tcPr>
            <w:tcW w:w="660" w:type="dxa"/>
            <w:vAlign w:val="bottom"/>
          </w:tcPr>
          <w:p>
            <w:pPr>
              <w:spacing w:after="0"/>
              <w:rPr>
                <w:sz w:val="19"/>
                <w:szCs w:val="19"/>
                <w:color w:val="auto"/>
              </w:rPr>
            </w:pPr>
          </w:p>
        </w:tc>
        <w:tc>
          <w:tcPr>
            <w:tcW w:w="1400" w:type="dxa"/>
            <w:vAlign w:val="bottom"/>
            <w:tcBorders>
              <w:bottom w:val="single" w:sz="8" w:color="auto"/>
            </w:tcBorders>
          </w:tcPr>
          <w:p>
            <w:pPr>
              <w:jc w:val="right"/>
              <w:ind w:right="221"/>
              <w:spacing w:after="0" w:line="216" w:lineRule="exact"/>
              <w:rPr>
                <w:sz w:val="20"/>
                <w:szCs w:val="20"/>
                <w:color w:val="auto"/>
              </w:rPr>
            </w:pPr>
            <w:r>
              <w:rPr>
                <w:rFonts w:ascii="Arial" w:cs="Arial" w:eastAsia="Arial" w:hAnsi="Arial"/>
                <w:sz w:val="20"/>
                <w:szCs w:val="20"/>
                <w:b w:val="1"/>
                <w:bCs w:val="1"/>
                <w:color w:val="auto"/>
              </w:rPr>
              <w:t>129</w:t>
            </w:r>
          </w:p>
        </w:tc>
        <w:tc>
          <w:tcPr>
            <w:tcW w:w="1980" w:type="dxa"/>
            <w:vAlign w:val="bottom"/>
            <w:tcBorders>
              <w:bottom w:val="single" w:sz="8" w:color="auto"/>
            </w:tcBorders>
            <w:gridSpan w:val="2"/>
          </w:tcPr>
          <w:p>
            <w:pPr>
              <w:jc w:val="right"/>
              <w:ind w:right="30"/>
              <w:spacing w:after="0" w:line="216" w:lineRule="exact"/>
              <w:rPr>
                <w:sz w:val="20"/>
                <w:szCs w:val="20"/>
                <w:color w:val="auto"/>
              </w:rPr>
            </w:pPr>
            <w:r>
              <w:rPr>
                <w:rFonts w:ascii="Arial" w:cs="Arial" w:eastAsia="Arial" w:hAnsi="Arial"/>
                <w:sz w:val="20"/>
                <w:szCs w:val="20"/>
                <w:color w:val="auto"/>
              </w:rPr>
              <w:t>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21"/>
              <w:spacing w:after="0" w:line="216" w:lineRule="exact"/>
              <w:rPr>
                <w:sz w:val="20"/>
                <w:szCs w:val="20"/>
                <w:color w:val="auto"/>
              </w:rPr>
            </w:pPr>
            <w:r>
              <w:rPr>
                <w:rFonts w:ascii="Arial" w:cs="Arial" w:eastAsia="Arial" w:hAnsi="Arial"/>
                <w:sz w:val="20"/>
                <w:szCs w:val="20"/>
                <w:b w:val="1"/>
                <w:bCs w:val="1"/>
                <w:color w:val="auto"/>
              </w:rPr>
              <w:t>138</w:t>
            </w:r>
          </w:p>
        </w:tc>
        <w:tc>
          <w:tcPr>
            <w:tcW w:w="1980" w:type="dxa"/>
            <w:vAlign w:val="bottom"/>
            <w:tcBorders>
              <w:bottom w:val="single" w:sz="8" w:color="auto"/>
            </w:tcBorders>
            <w:gridSpan w:val="2"/>
            <w:shd w:val="clear" w:color="auto" w:fill="CCEEFF"/>
          </w:tcPr>
          <w:p>
            <w:pPr>
              <w:jc w:val="right"/>
              <w:ind w:right="30"/>
              <w:spacing w:after="0" w:line="216" w:lineRule="exact"/>
              <w:rPr>
                <w:sz w:val="20"/>
                <w:szCs w:val="20"/>
                <w:color w:val="auto"/>
              </w:rPr>
            </w:pPr>
            <w:r>
              <w:rPr>
                <w:rFonts w:ascii="Arial" w:cs="Arial" w:eastAsia="Arial" w:hAnsi="Arial"/>
                <w:sz w:val="20"/>
                <w:szCs w:val="20"/>
                <w:color w:val="auto"/>
              </w:rPr>
              <w:t>56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Represents figures less than a million</w:t>
      </w:r>
    </w:p>
    <w:p>
      <w:pPr>
        <w:spacing w:after="0" w:line="243" w:lineRule="exact"/>
        <w:rPr>
          <w:sz w:val="20"/>
          <w:szCs w:val="20"/>
          <w:color w:val="auto"/>
        </w:rPr>
      </w:pPr>
    </w:p>
    <w:p>
      <w:pPr>
        <w:jc w:val="both"/>
        <w:ind w:left="980" w:right="8420" w:hanging="776"/>
        <w:spacing w:after="0" w:line="527" w:lineRule="auto"/>
        <w:tabs>
          <w:tab w:leader="none" w:pos="978"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b w:val="1"/>
          <w:bCs w:val="1"/>
          <w:i w:val="1"/>
          <w:iCs w:val="1"/>
          <w:color w:val="auto"/>
        </w:rPr>
        <w:t>Reportable Segments</w:t>
      </w:r>
    </w:p>
    <w:p>
      <w:pPr>
        <w:jc w:val="both"/>
        <w:ind w:left="980" w:right="20"/>
        <w:spacing w:after="0" w:line="237" w:lineRule="auto"/>
        <w:rPr>
          <w:rFonts w:ascii="Arial" w:cs="Arial" w:eastAsia="Arial" w:hAnsi="Arial"/>
          <w:sz w:val="17"/>
          <w:szCs w:val="17"/>
          <w:b w:val="1"/>
          <w:bCs w:val="1"/>
          <w:color w:val="auto"/>
        </w:rPr>
      </w:pPr>
      <w:r>
        <w:rPr>
          <w:rFonts w:ascii="Arial" w:cs="Arial" w:eastAsia="Arial" w:hAnsi="Arial"/>
          <w:sz w:val="18"/>
          <w:szCs w:val="18"/>
          <w:color w:val="auto"/>
        </w:rPr>
        <w:t>The Group has four reportable segments: wired infrastructure, wireless communications, enterprise storage and industrial &amp; others. These segments align with the Group’s principal target markets. The segments represent components for which separate financial information is available that is utilised on a regular basis by the CODM, as defined by authoritative guidance on segment reporting, in determining how to allocate resources and evaluate performance. The segments are determined based on several factors, including client base, homogeneity of products, technology, delivery channels and similar economic characteristics.</w:t>
      </w:r>
    </w:p>
    <w:p>
      <w:pPr>
        <w:spacing w:after="0" w:line="205" w:lineRule="exact"/>
        <w:rPr>
          <w:rFonts w:ascii="Arial" w:cs="Arial" w:eastAsia="Arial" w:hAnsi="Arial"/>
          <w:sz w:val="17"/>
          <w:szCs w:val="17"/>
          <w:b w:val="1"/>
          <w:bCs w:val="1"/>
          <w:color w:val="auto"/>
        </w:rPr>
      </w:pPr>
    </w:p>
    <w:p>
      <w:pPr>
        <w:jc w:val="both"/>
        <w:ind w:left="980" w:right="20"/>
        <w:spacing w:after="0" w:line="238" w:lineRule="auto"/>
        <w:rPr>
          <w:rFonts w:ascii="Arial" w:cs="Arial" w:eastAsia="Arial" w:hAnsi="Arial"/>
          <w:sz w:val="17"/>
          <w:szCs w:val="17"/>
          <w:b w:val="1"/>
          <w:bCs w:val="1"/>
          <w:color w:val="auto"/>
        </w:rPr>
      </w:pPr>
      <w:r>
        <w:rPr>
          <w:rFonts w:ascii="Arial" w:cs="Arial" w:eastAsia="Arial" w:hAnsi="Arial"/>
          <w:sz w:val="18"/>
          <w:szCs w:val="18"/>
          <w:color w:val="auto"/>
        </w:rPr>
        <w:t>The CODM assesses the performance of each segment and allocates resources to those segments based on net revenue and operating results and does not evaluate operating segments using discrete asset information. Operating results by segment include items that are directly attributable to each segment. Operating results by segment also include shared expenses such as global operations, including manufacturing support, logistics and quality control, which are allocated primarily based on revenue, while facilities expenses are primarily allocated based on site-specific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A-101</w:t>
      </w:r>
    </w:p>
    <w:p>
      <w:pPr>
        <w:sectPr>
          <w:pgSz w:w="11900" w:h="16838" w:orient="portrait"/>
          <w:cols w:equalWidth="0" w:num="1">
            <w:col w:w="11240"/>
          </w:cols>
          <w:pgMar w:left="240" w:top="459" w:right="4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jc w:val="both"/>
        <w:ind w:left="980" w:right="7460" w:hanging="776"/>
        <w:spacing w:after="0" w:line="444" w:lineRule="auto"/>
        <w:tabs>
          <w:tab w:leader="none" w:pos="978"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Reportable Segments </w:t>
      </w:r>
      <w:r>
        <w:rPr>
          <w:rFonts w:ascii="Arial" w:cs="Arial" w:eastAsia="Arial" w:hAnsi="Arial"/>
          <w:sz w:val="17"/>
          <w:szCs w:val="17"/>
          <w:color w:val="auto"/>
        </w:rPr>
        <w:t>(continued)</w:t>
      </w:r>
    </w:p>
    <w:p>
      <w:pPr>
        <w:spacing w:after="0" w:line="1" w:lineRule="exact"/>
        <w:rPr>
          <w:rFonts w:ascii="Arial" w:cs="Arial" w:eastAsia="Arial" w:hAnsi="Arial"/>
          <w:sz w:val="17"/>
          <w:szCs w:val="17"/>
          <w:b w:val="1"/>
          <w:bCs w:val="1"/>
          <w:color w:val="auto"/>
        </w:rPr>
      </w:pPr>
    </w:p>
    <w:p>
      <w:pPr>
        <w:ind w:left="980" w:right="2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following tables present the Group’s net revenue and operating income/(loss) from operations by reportable segment (US$ millions):</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Group</w:t>
            </w:r>
          </w:p>
        </w:tc>
        <w:tc>
          <w:tcPr>
            <w:tcW w:w="1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820" w:type="dxa"/>
            <w:vAlign w:val="bottom"/>
            <w:gridSpan w:val="2"/>
          </w:tcPr>
          <w:p>
            <w:pPr>
              <w:jc w:val="right"/>
              <w:ind w:right="23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(US$ million)</w:t>
            </w:r>
          </w:p>
        </w:tc>
        <w:tc>
          <w:tcPr>
            <w:tcW w:w="5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(US$ million)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Net revenue:</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Wired infrastructure</w:t>
            </w:r>
          </w:p>
        </w:tc>
        <w:tc>
          <w:tcPr>
            <w:tcW w:w="220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8,549</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Wireless communications</w:t>
            </w:r>
          </w:p>
        </w:tc>
        <w:tc>
          <w:tcPr>
            <w:tcW w:w="22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5,404</w:t>
            </w:r>
          </w:p>
        </w:tc>
        <w:tc>
          <w:tcPr>
            <w:tcW w:w="1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Enterprise storage</w:t>
            </w:r>
          </w:p>
        </w:tc>
        <w:tc>
          <w:tcPr>
            <w:tcW w:w="220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2,799</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Industrial and others</w:t>
            </w:r>
          </w:p>
        </w:tc>
        <w:tc>
          <w:tcPr>
            <w:tcW w:w="22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884</w:t>
            </w:r>
          </w:p>
        </w:tc>
        <w:tc>
          <w:tcPr>
            <w:tcW w:w="1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Total net revenue</w:t>
            </w:r>
          </w:p>
        </w:tc>
        <w:tc>
          <w:tcPr>
            <w:tcW w:w="88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17,636</w:t>
            </w:r>
          </w:p>
        </w:tc>
        <w:tc>
          <w:tcPr>
            <w:tcW w:w="1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13,240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Operating income/(loss):</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Wired infrastructure</w:t>
            </w:r>
          </w:p>
        </w:tc>
        <w:tc>
          <w:tcPr>
            <w:tcW w:w="220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3,853</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Wireless communications</w:t>
            </w:r>
          </w:p>
        </w:tc>
        <w:tc>
          <w:tcPr>
            <w:tcW w:w="22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2,155</w:t>
            </w:r>
          </w:p>
        </w:tc>
        <w:tc>
          <w:tcPr>
            <w:tcW w:w="1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1,282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Enterprise storage</w:t>
            </w:r>
          </w:p>
        </w:tc>
        <w:tc>
          <w:tcPr>
            <w:tcW w:w="220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1,527</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Industrial and others</w:t>
            </w:r>
          </w:p>
        </w:tc>
        <w:tc>
          <w:tcPr>
            <w:tcW w:w="22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447</w:t>
            </w:r>
          </w:p>
        </w:tc>
        <w:tc>
          <w:tcPr>
            <w:tcW w:w="1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expenses</w:t>
            </w:r>
          </w:p>
        </w:tc>
        <w:tc>
          <w:tcPr>
            <w:tcW w:w="2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(5,601)</w:t>
            </w:r>
          </w:p>
        </w:tc>
        <w:tc>
          <w:tcPr>
            <w:tcW w:w="1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Income/(Loss) from continuing operations</w:t>
            </w:r>
          </w:p>
        </w:tc>
        <w:tc>
          <w:tcPr>
            <w:tcW w:w="2200" w:type="dxa"/>
            <w:vAlign w:val="bottom"/>
            <w:gridSpan w:val="2"/>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rPr>
              <w:t>2,381</w:t>
            </w:r>
          </w:p>
        </w:tc>
        <w:tc>
          <w:tcPr>
            <w:tcW w:w="196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Unallocated Expenses</w:t>
      </w:r>
    </w:p>
    <w:p>
      <w:pPr>
        <w:spacing w:after="0" w:line="234" w:lineRule="exact"/>
        <w:rPr>
          <w:sz w:val="20"/>
          <w:szCs w:val="20"/>
          <w:color w:val="auto"/>
        </w:rPr>
      </w:pPr>
    </w:p>
    <w:p>
      <w:pPr>
        <w:jc w:val="both"/>
        <w:ind w:left="980" w:right="20"/>
        <w:spacing w:after="0" w:line="238" w:lineRule="auto"/>
        <w:rPr>
          <w:sz w:val="20"/>
          <w:szCs w:val="20"/>
          <w:color w:val="auto"/>
        </w:rPr>
      </w:pPr>
      <w:r>
        <w:rPr>
          <w:rFonts w:ascii="Arial" w:cs="Arial" w:eastAsia="Arial" w:hAnsi="Arial"/>
          <w:sz w:val="18"/>
          <w:szCs w:val="18"/>
          <w:color w:val="auto"/>
        </w:rPr>
        <w:t>Unallocated expenses include amortisation of acquisition-related intangible assets, share-based compensation expense, restructuring, impairment and disposal charges, acquisition-related costs, including charges related to inventory step-up to fair value, litigation settlement charges and other costs, which are not used in evaluating the results of, or in allocating resources to, the Group’s segments. Acquisition-related costs also include transaction costs and any costs directly related to the acquisition and integration of acquired businesses.</w:t>
      </w:r>
    </w:p>
    <w:p>
      <w:pPr>
        <w:spacing w:after="0" w:line="203" w:lineRule="exact"/>
        <w:rPr>
          <w:sz w:val="20"/>
          <w:szCs w:val="20"/>
          <w:color w:val="auto"/>
        </w:rPr>
      </w:pPr>
    </w:p>
    <w:p>
      <w:pPr>
        <w:jc w:val="both"/>
        <w:ind w:left="980" w:right="20"/>
        <w:spacing w:after="0" w:line="239" w:lineRule="auto"/>
        <w:rPr>
          <w:sz w:val="20"/>
          <w:szCs w:val="20"/>
          <w:color w:val="auto"/>
        </w:rPr>
      </w:pPr>
      <w:r>
        <w:rPr>
          <w:rFonts w:ascii="Arial" w:cs="Arial" w:eastAsia="Arial" w:hAnsi="Arial"/>
          <w:sz w:val="18"/>
          <w:szCs w:val="18"/>
          <w:color w:val="auto"/>
        </w:rPr>
        <w:t>Depreciation expense directly attributable to each reportable segment is included in operating results for each segment. However, the CODM does not evaluate depreciation expense by operating segment and, therefore, it is not separately presented. There was no inter-segment revenue. The accounting policies of the segments are the same as those described in the summary of significant accounting policies.</w:t>
      </w:r>
    </w:p>
    <w:p>
      <w:pPr>
        <w:spacing w:after="0" w:line="202"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The following tables present net revenue and long-lived asset information based on geographic region. Net revenue is based on the geographic location of the distributors, original equipment manufacturers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A-102</w:t>
      </w:r>
    </w:p>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jc w:val="both"/>
        <w:ind w:left="980" w:right="7400" w:hanging="776"/>
        <w:spacing w:after="0" w:line="440" w:lineRule="auto"/>
        <w:tabs>
          <w:tab w:leader="none" w:pos="978"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Reportable Segments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Unallocated Expenses </w:t>
      </w:r>
      <w:r>
        <w:rPr>
          <w:rFonts w:ascii="Arial" w:cs="Arial" w:eastAsia="Arial" w:hAnsi="Arial"/>
          <w:sz w:val="17"/>
          <w:szCs w:val="17"/>
          <w:color w:val="auto"/>
        </w:rPr>
        <w:t>(continued)</w:t>
      </w:r>
    </w:p>
    <w:p>
      <w:pPr>
        <w:ind w:left="980" w:right="2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or contract manufacturers who purchased Broadcom’s products, which may differ from the geographic location of the end customers. Long-lived assets include property, plant and equipment and are based on the physical location of the assets.</w:t>
      </w:r>
    </w:p>
    <w:p>
      <w:pPr>
        <w:spacing w:after="0" w:line="220"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9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800" w:type="dxa"/>
            <w:vAlign w:val="bottom"/>
            <w:gridSpan w:val="2"/>
          </w:tcPr>
          <w:p>
            <w:pPr>
              <w:jc w:val="right"/>
              <w:ind w:right="1190"/>
              <w:spacing w:after="0"/>
              <w:rPr>
                <w:sz w:val="20"/>
                <w:szCs w:val="20"/>
                <w:color w:val="auto"/>
              </w:rPr>
            </w:pPr>
            <w:r>
              <w:rPr>
                <w:rFonts w:ascii="Arial" w:cs="Arial" w:eastAsia="Arial" w:hAnsi="Arial"/>
                <w:sz w:val="18"/>
                <w:szCs w:val="18"/>
                <w:color w:val="auto"/>
                <w:w w:val="99"/>
              </w:rPr>
              <w:t>Group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920" w:type="dxa"/>
            <w:vAlign w:val="bottom"/>
            <w:vMerge w:val="continue"/>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80" w:type="dxa"/>
            <w:vAlign w:val="bottom"/>
          </w:tcPr>
          <w:p>
            <w:pPr>
              <w:jc w:val="right"/>
              <w:ind w:right="290"/>
              <w:spacing w:after="0" w:line="161"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(US$ million)</w:t>
            </w:r>
          </w:p>
        </w:tc>
        <w:tc>
          <w:tcPr>
            <w:tcW w:w="5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(US$ million)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w:t>
            </w:r>
          </w:p>
        </w:tc>
        <w:tc>
          <w:tcPr>
            <w:tcW w:w="1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c>
          <w:tcPr>
            <w:tcW w:w="19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9,460</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United States</w:t>
            </w:r>
          </w:p>
        </w:tc>
        <w:tc>
          <w:tcPr>
            <w:tcW w:w="1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1,266</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140"/>
              <w:spacing w:after="0" w:line="202" w:lineRule="exact"/>
              <w:rPr>
                <w:sz w:val="20"/>
                <w:szCs w:val="20"/>
                <w:color w:val="auto"/>
              </w:rPr>
            </w:pPr>
            <w:r>
              <w:rPr>
                <w:rFonts w:ascii="Arial" w:cs="Arial" w:eastAsia="Arial" w:hAnsi="Arial"/>
                <w:sz w:val="18"/>
                <w:szCs w:val="18"/>
                <w:color w:val="auto"/>
              </w:rPr>
              <w:t>Singapore</w:t>
            </w:r>
          </w:p>
        </w:tc>
        <w:tc>
          <w:tcPr>
            <w:tcW w:w="19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323</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6,587</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Total net revenue</w:t>
            </w: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1920" w:type="dxa"/>
            <w:vAlign w:val="bottom"/>
          </w:tcPr>
          <w:p>
            <w:pPr>
              <w:jc w:val="right"/>
              <w:ind w:right="10"/>
              <w:spacing w:after="0" w:line="203" w:lineRule="exact"/>
              <w:rPr>
                <w:sz w:val="20"/>
                <w:szCs w:val="20"/>
                <w:color w:val="auto"/>
              </w:rPr>
            </w:pPr>
            <w:r>
              <w:rPr>
                <w:rFonts w:ascii="Arial" w:cs="Arial" w:eastAsia="Arial" w:hAnsi="Arial"/>
                <w:sz w:val="18"/>
                <w:szCs w:val="18"/>
                <w:b w:val="1"/>
                <w:bCs w:val="1"/>
                <w:color w:val="auto"/>
              </w:rPr>
              <w:t>17,636</w:t>
            </w:r>
          </w:p>
        </w:tc>
        <w:tc>
          <w:tcPr>
            <w:tcW w:w="18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13,240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Long-lived assets:</w:t>
            </w:r>
          </w:p>
        </w:tc>
        <w:tc>
          <w:tcPr>
            <w:tcW w:w="1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140"/>
              <w:spacing w:after="0" w:line="202" w:lineRule="exact"/>
              <w:rPr>
                <w:sz w:val="20"/>
                <w:szCs w:val="20"/>
                <w:color w:val="auto"/>
              </w:rPr>
            </w:pPr>
            <w:r>
              <w:rPr>
                <w:rFonts w:ascii="Arial" w:cs="Arial" w:eastAsia="Arial" w:hAnsi="Arial"/>
                <w:sz w:val="18"/>
                <w:szCs w:val="18"/>
                <w:color w:val="auto"/>
              </w:rPr>
              <w:t>United States</w:t>
            </w:r>
          </w:p>
        </w:tc>
        <w:tc>
          <w:tcPr>
            <w:tcW w:w="19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1,822</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Taiwan</w:t>
            </w:r>
          </w:p>
        </w:tc>
        <w:tc>
          <w:tcPr>
            <w:tcW w:w="1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268</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140"/>
              <w:spacing w:after="0" w:line="202" w:lineRule="exact"/>
              <w:rPr>
                <w:sz w:val="20"/>
                <w:szCs w:val="20"/>
                <w:color w:val="auto"/>
              </w:rPr>
            </w:pPr>
            <w:r>
              <w:rPr>
                <w:rFonts w:ascii="Arial" w:cs="Arial" w:eastAsia="Arial" w:hAnsi="Arial"/>
                <w:sz w:val="18"/>
                <w:szCs w:val="18"/>
                <w:color w:val="auto"/>
              </w:rPr>
              <w:t>Singapore</w:t>
            </w:r>
          </w:p>
        </w:tc>
        <w:tc>
          <w:tcPr>
            <w:tcW w:w="19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79</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430</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Total long-lived assets</w:t>
            </w: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19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rPr>
              <w:t>2,599</w:t>
            </w:r>
          </w:p>
        </w:tc>
        <w:tc>
          <w:tcPr>
            <w:tcW w:w="180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Significant Customer Information</w:t>
      </w:r>
    </w:p>
    <w:p>
      <w:pPr>
        <w:spacing w:after="0" w:line="234" w:lineRule="exact"/>
        <w:rPr>
          <w:sz w:val="20"/>
          <w:szCs w:val="20"/>
          <w:color w:val="auto"/>
        </w:rPr>
      </w:pPr>
    </w:p>
    <w:p>
      <w:pPr>
        <w:jc w:val="both"/>
        <w:ind w:left="980" w:right="20"/>
        <w:spacing w:after="0" w:line="238" w:lineRule="auto"/>
        <w:rPr>
          <w:sz w:val="20"/>
          <w:szCs w:val="20"/>
          <w:color w:val="auto"/>
        </w:rPr>
      </w:pPr>
      <w:r>
        <w:rPr>
          <w:rFonts w:ascii="Arial" w:cs="Arial" w:eastAsia="Arial" w:hAnsi="Arial"/>
          <w:sz w:val="18"/>
          <w:szCs w:val="18"/>
          <w:color w:val="auto"/>
        </w:rPr>
        <w:t>The Group sells its products through its direct sales force and a select network distributors globally. One direct customer accounted for 17% and 18% of the Group’s net accounts receivable balance as at 29 October 2017 and 30 October 2016, respectively. During financial years 2017 and 2016, one direct customer represented 14% of the Group’s net revenue in each period. The majority of the revenue from this customer was included in the Group’s wired infrastructure and wireless communications segments. This customer is a contract manufacturer for a number of OEMs.</w:t>
      </w:r>
    </w:p>
    <w:p>
      <w:pPr>
        <w:spacing w:after="0" w:line="208" w:lineRule="exact"/>
        <w:rPr>
          <w:sz w:val="20"/>
          <w:szCs w:val="20"/>
          <w:color w:val="auto"/>
        </w:rPr>
      </w:pPr>
    </w:p>
    <w:p>
      <w:pPr>
        <w:ind w:left="980" w:hanging="776"/>
        <w:spacing w:after="0"/>
        <w:tabs>
          <w:tab w:leader="none" w:pos="98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61" w:lineRule="exact"/>
        <w:rPr>
          <w:sz w:val="20"/>
          <w:szCs w:val="20"/>
          <w:color w:val="auto"/>
        </w:rPr>
      </w:pPr>
    </w:p>
    <w:p>
      <w:pPr>
        <w:ind w:left="980" w:hanging="776"/>
        <w:spacing w:after="0"/>
        <w:tabs>
          <w:tab w:leader="none" w:pos="9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Acquisition of Broadcom Corporation</w:t>
      </w:r>
    </w:p>
    <w:p>
      <w:pPr>
        <w:spacing w:after="0" w:line="211" w:lineRule="exact"/>
        <w:rPr>
          <w:rFonts w:ascii="Arial" w:cs="Arial" w:eastAsia="Arial" w:hAnsi="Arial"/>
          <w:sz w:val="18"/>
          <w:szCs w:val="18"/>
          <w:color w:val="auto"/>
        </w:rPr>
      </w:pPr>
    </w:p>
    <w:p>
      <w:pPr>
        <w:jc w:val="both"/>
        <w:ind w:left="980" w:right="20"/>
        <w:spacing w:after="0" w:line="239" w:lineRule="auto"/>
        <w:rPr>
          <w:rFonts w:ascii="Arial" w:cs="Arial" w:eastAsia="Arial" w:hAnsi="Arial"/>
          <w:sz w:val="18"/>
          <w:szCs w:val="18"/>
          <w:color w:val="auto"/>
        </w:rPr>
      </w:pPr>
      <w:r>
        <w:rPr>
          <w:rFonts w:ascii="Arial" w:cs="Arial" w:eastAsia="Arial" w:hAnsi="Arial"/>
          <w:sz w:val="18"/>
          <w:szCs w:val="18"/>
          <w:color w:val="auto"/>
        </w:rPr>
        <w:t>On 1 February 2016, pursuant to an Agreement and Plan of Merger dated as of 28 May 2015 (the “Broadcom Agreement”), the Company, Avago, BRCM and certain other parties completed various transactions, under Singapore law between Avago and the Company (the “Avago Scheme”). Pursuant to the Avago Scheme, all issued ordinary shares of Avago were exchanged on a one-for-one basis for newly issued ordinary shares of the Company. Immediately following the consummation of the Avago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A-103</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Acquisition of Broadcom Corporation (continued)</w:t>
      </w:r>
    </w:p>
    <w:p>
      <w:pPr>
        <w:spacing w:after="0" w:line="144" w:lineRule="exact"/>
        <w:rPr>
          <w:rFonts w:ascii="Arial" w:cs="Arial" w:eastAsia="Arial" w:hAnsi="Arial"/>
          <w:sz w:val="18"/>
          <w:szCs w:val="18"/>
          <w:color w:val="auto"/>
        </w:rPr>
      </w:pPr>
    </w:p>
    <w:p>
      <w:pPr>
        <w:jc w:val="both"/>
        <w:ind w:left="980"/>
        <w:spacing w:after="0"/>
        <w:rPr>
          <w:rFonts w:ascii="Arial" w:cs="Arial" w:eastAsia="Arial" w:hAnsi="Arial"/>
          <w:sz w:val="18"/>
          <w:szCs w:val="18"/>
          <w:color w:val="auto"/>
        </w:rPr>
      </w:pPr>
      <w:r>
        <w:rPr>
          <w:rFonts w:ascii="Arial" w:cs="Arial" w:eastAsia="Arial" w:hAnsi="Arial"/>
          <w:sz w:val="18"/>
          <w:szCs w:val="18"/>
          <w:color w:val="auto"/>
        </w:rPr>
        <w:t>Scheme, two subsidiaries of the Company merged with and into BRCM with BRCM as the surviving corporation of each such merger (the “Broadcom Merger”). Following the Avago Scheme and the Broadcom Merger (the “Broadcom Transaction”), each of Avago and BRCM became indirect subsidiaries of the Company and the Partnership.</w:t>
      </w:r>
    </w:p>
    <w:p>
      <w:pPr>
        <w:spacing w:after="0" w:line="202" w:lineRule="exact"/>
        <w:rPr>
          <w:rFonts w:ascii="Arial" w:cs="Arial" w:eastAsia="Arial" w:hAnsi="Arial"/>
          <w:sz w:val="18"/>
          <w:szCs w:val="18"/>
          <w:color w:val="auto"/>
        </w:rPr>
      </w:pPr>
    </w:p>
    <w:p>
      <w:pPr>
        <w:jc w:val="both"/>
        <w:ind w:left="980"/>
        <w:spacing w:after="0" w:line="237" w:lineRule="auto"/>
        <w:rPr>
          <w:rFonts w:ascii="Arial" w:cs="Arial" w:eastAsia="Arial" w:hAnsi="Arial"/>
          <w:sz w:val="18"/>
          <w:szCs w:val="18"/>
          <w:color w:val="auto"/>
        </w:rPr>
      </w:pPr>
      <w:r>
        <w:rPr>
          <w:rFonts w:ascii="Arial" w:cs="Arial" w:eastAsia="Arial" w:hAnsi="Arial"/>
          <w:sz w:val="18"/>
          <w:szCs w:val="18"/>
          <w:color w:val="auto"/>
        </w:rPr>
        <w:t>The Partnership is an exempted limited partnership formed under the laws of the Cayman Islands. The Company is the Partnership’s sole General Partner and currently owns a majority interest (by vote and value) in the Partnership represented by common partnership units (“Common Units”). The balance of the partnership units represents the Partnership REUs, the holders of which are referred to as the Limited Partners. As General Partner, the Company has the exclusive right, power and authority to manage, control, administer and operate the business and affairs and to make decisions regarding the undertaking and business of the Partnership in accordance with the Partnership’s amended and restated exempted limited partnership agreement, as amended from time to time, and applicable laws.</w:t>
      </w:r>
    </w:p>
    <w:p>
      <w:pPr>
        <w:spacing w:after="0" w:line="203" w:lineRule="exact"/>
        <w:rPr>
          <w:rFonts w:ascii="Arial" w:cs="Arial" w:eastAsia="Arial" w:hAnsi="Arial"/>
          <w:sz w:val="18"/>
          <w:szCs w:val="18"/>
          <w:color w:val="auto"/>
        </w:rPr>
      </w:pPr>
    </w:p>
    <w:p>
      <w:pPr>
        <w:jc w:val="both"/>
        <w:ind w:left="980"/>
        <w:spacing w:after="0" w:line="238" w:lineRule="auto"/>
        <w:rPr>
          <w:rFonts w:ascii="Arial" w:cs="Arial" w:eastAsia="Arial" w:hAnsi="Arial"/>
          <w:sz w:val="18"/>
          <w:szCs w:val="18"/>
          <w:color w:val="auto"/>
        </w:rPr>
      </w:pPr>
      <w:r>
        <w:rPr>
          <w:rFonts w:ascii="Arial" w:cs="Arial" w:eastAsia="Arial" w:hAnsi="Arial"/>
          <w:sz w:val="18"/>
          <w:szCs w:val="18"/>
          <w:color w:val="auto"/>
        </w:rPr>
        <w:t>The Avago Scheme was accounted for in all periods as a capital reorganisation, as the transaction was premised on a non-substantive exchange in order to facilitate the acquisition of BRCM, resulting in the retention of the historical basis of accounting. Under this method of accounting, the Company and Avago were treated as if they had always been combined for accounting and financial reporting purposes. The accounting treatment under a capital reorganisation is described in further detail in Note 2.24.</w:t>
      </w:r>
    </w:p>
    <w:p>
      <w:pPr>
        <w:spacing w:after="0" w:line="202" w:lineRule="exact"/>
        <w:rPr>
          <w:rFonts w:ascii="Arial" w:cs="Arial" w:eastAsia="Arial" w:hAnsi="Arial"/>
          <w:sz w:val="18"/>
          <w:szCs w:val="18"/>
          <w:color w:val="auto"/>
        </w:rPr>
      </w:pPr>
    </w:p>
    <w:p>
      <w:pPr>
        <w:jc w:val="both"/>
        <w:ind w:left="980"/>
        <w:spacing w:after="0"/>
        <w:rPr>
          <w:rFonts w:ascii="Arial" w:cs="Arial" w:eastAsia="Arial" w:hAnsi="Arial"/>
          <w:sz w:val="18"/>
          <w:szCs w:val="18"/>
          <w:color w:val="auto"/>
        </w:rPr>
      </w:pPr>
      <w:r>
        <w:rPr>
          <w:rFonts w:ascii="Arial" w:cs="Arial" w:eastAsia="Arial" w:hAnsi="Arial"/>
          <w:sz w:val="18"/>
          <w:szCs w:val="18"/>
          <w:color w:val="auto"/>
        </w:rPr>
        <w:t>The Broadcom Merger closed on 1 February 2016, pursuant to the terms of the Broadcom Agreement. The aggregate consideration for the Broadcom Merger, which consisted of both cash and equity consideration, was approximately US$28,758 million, net of cash acquired.</w:t>
      </w:r>
    </w:p>
    <w:p>
      <w:pPr>
        <w:spacing w:after="0" w:line="202" w:lineRule="exact"/>
        <w:rPr>
          <w:rFonts w:ascii="Arial" w:cs="Arial" w:eastAsia="Arial" w:hAnsi="Arial"/>
          <w:sz w:val="18"/>
          <w:szCs w:val="18"/>
          <w:color w:val="auto"/>
        </w:rPr>
      </w:pPr>
    </w:p>
    <w:p>
      <w:pPr>
        <w:jc w:val="both"/>
        <w:ind w:left="980"/>
        <w:spacing w:after="0"/>
        <w:rPr>
          <w:rFonts w:ascii="Arial" w:cs="Arial" w:eastAsia="Arial" w:hAnsi="Arial"/>
          <w:sz w:val="18"/>
          <w:szCs w:val="18"/>
          <w:color w:val="auto"/>
        </w:rPr>
      </w:pPr>
      <w:r>
        <w:rPr>
          <w:rFonts w:ascii="Arial" w:cs="Arial" w:eastAsia="Arial" w:hAnsi="Arial"/>
          <w:sz w:val="18"/>
          <w:szCs w:val="18"/>
          <w:color w:val="auto"/>
        </w:rPr>
        <w:t>The cash portion of the Broadcom Merger was funded with the net proceeds from the issuance of the term loan facilities provided for under the 2016 Credit Agreement, as defined and discussed in further detail in Note 20 “Borrowings,” as well as cash on hand of the combined companies.</w:t>
      </w:r>
    </w:p>
    <w:p>
      <w:pPr>
        <w:spacing w:after="0" w:line="202" w:lineRule="exact"/>
        <w:rPr>
          <w:rFonts w:ascii="Arial" w:cs="Arial" w:eastAsia="Arial" w:hAnsi="Arial"/>
          <w:sz w:val="18"/>
          <w:szCs w:val="18"/>
          <w:color w:val="auto"/>
        </w:rPr>
      </w:pPr>
    </w:p>
    <w:p>
      <w:pPr>
        <w:jc w:val="both"/>
        <w:ind w:left="980"/>
        <w:spacing w:after="0" w:line="238" w:lineRule="auto"/>
        <w:rPr>
          <w:rFonts w:ascii="Arial" w:cs="Arial" w:eastAsia="Arial" w:hAnsi="Arial"/>
          <w:sz w:val="18"/>
          <w:szCs w:val="18"/>
          <w:color w:val="auto"/>
        </w:rPr>
      </w:pPr>
      <w:r>
        <w:rPr>
          <w:rFonts w:ascii="Arial" w:cs="Arial" w:eastAsia="Arial" w:hAnsi="Arial"/>
          <w:sz w:val="18"/>
          <w:szCs w:val="18"/>
          <w:color w:val="auto"/>
        </w:rPr>
        <w:t>BRCM was a leader in semiconductor solutions for wired and wireless communications and provided a broad portfolio of highly-integrated system-on-a-chip solutions that seamlessly deliver voice, video, data and multimedia connectivity in the home, office and mobile environments. The Group acquired BRCM to position themselves as a global diversified leader in wired and wireless communication semiconductors and to deepen its broad portfolios, and to enable the Group to better address the evolving needs of customers across the wired and wireless end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A-104</w:t>
      </w:r>
    </w:p>
    <w:p>
      <w:pPr>
        <w:sectPr>
          <w:pgSz w:w="11900" w:h="16838" w:orient="portrait"/>
          <w:cols w:equalWidth="0" w:num="1">
            <w:col w:w="11220"/>
          </w:cols>
          <w:pgMar w:left="240" w:top="460"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Acquisition of Broadcom Corporation (continued)</w:t>
      </w:r>
    </w:p>
    <w:p>
      <w:pPr>
        <w:spacing w:after="0" w:line="126" w:lineRule="exact"/>
        <w:rPr>
          <w:rFonts w:ascii="Arial" w:cs="Arial" w:eastAsia="Arial" w:hAnsi="Arial"/>
          <w:sz w:val="18"/>
          <w:szCs w:val="18"/>
          <w:color w:val="auto"/>
        </w:rPr>
      </w:pPr>
    </w:p>
    <w:p>
      <w:pPr>
        <w:ind w:left="1620" w:hanging="538"/>
        <w:spacing w:after="0"/>
        <w:tabs>
          <w:tab w:leader="none" w:pos="1620" w:val="left"/>
        </w:tabs>
        <w:numPr>
          <w:ilvl w:val="1"/>
          <w:numId w:val="276"/>
        </w:numPr>
        <w:rPr>
          <w:rFonts w:ascii="Arial" w:cs="Arial" w:eastAsia="Arial" w:hAnsi="Arial"/>
          <w:sz w:val="18"/>
          <w:szCs w:val="18"/>
          <w:i w:val="1"/>
          <w:iCs w:val="1"/>
          <w:color w:val="auto"/>
        </w:rPr>
      </w:pPr>
      <w:r>
        <w:rPr>
          <w:rFonts w:ascii="Arial" w:cs="Arial" w:eastAsia="Arial" w:hAnsi="Arial"/>
          <w:sz w:val="18"/>
          <w:szCs w:val="18"/>
          <w:i w:val="1"/>
          <w:iCs w:val="1"/>
          <w:color w:val="auto"/>
        </w:rPr>
        <w:t>Purchase consideration</w:t>
      </w:r>
    </w:p>
    <w:p>
      <w:pPr>
        <w:spacing w:after="0" w:line="229" w:lineRule="exact"/>
        <w:rPr>
          <w:rFonts w:ascii="Arial" w:cs="Arial" w:eastAsia="Arial" w:hAnsi="Arial"/>
          <w:sz w:val="18"/>
          <w:szCs w:val="18"/>
          <w:i w:val="1"/>
          <w:iCs w:val="1"/>
          <w:color w:val="auto"/>
        </w:rPr>
      </w:pPr>
    </w:p>
    <w:p>
      <w:pPr>
        <w:ind w:left="1640"/>
        <w:spacing w:after="0"/>
        <w:rPr>
          <w:rFonts w:ascii="Arial" w:cs="Arial" w:eastAsia="Arial" w:hAnsi="Arial"/>
          <w:sz w:val="18"/>
          <w:szCs w:val="18"/>
          <w:i w:val="1"/>
          <w:iCs w:val="1"/>
          <w:color w:val="auto"/>
        </w:rPr>
      </w:pPr>
      <w:r>
        <w:rPr>
          <w:rFonts w:ascii="Arial" w:cs="Arial" w:eastAsia="Arial" w:hAnsi="Arial"/>
          <w:sz w:val="18"/>
          <w:szCs w:val="18"/>
          <w:color w:val="auto"/>
        </w:rPr>
        <w:t>The aggregate consideration for the Broadcom Merger, net of cash acquired, consisted of the following (US$ millions):</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vMerge w:val="restart"/>
          </w:tcPr>
          <w:p>
            <w:pPr>
              <w:ind w:left="780"/>
              <w:spacing w:after="0"/>
              <w:rPr>
                <w:sz w:val="20"/>
                <w:szCs w:val="20"/>
                <w:color w:val="auto"/>
              </w:rPr>
            </w:pPr>
            <w:r>
              <w:rPr>
                <w:rFonts w:ascii="Arial" w:cs="Arial" w:eastAsia="Arial" w:hAnsi="Arial"/>
                <w:sz w:val="18"/>
                <w:szCs w:val="18"/>
                <w:color w:val="auto"/>
                <w:w w:val="90"/>
              </w:rPr>
              <w:t>(US</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Group</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 millions)</w:t>
            </w:r>
          </w:p>
        </w:tc>
        <w:tc>
          <w:tcPr>
            <w:tcW w:w="0" w:type="dxa"/>
            <w:vAlign w:val="bottom"/>
          </w:tcPr>
          <w:p>
            <w:pPr>
              <w:spacing w:after="0"/>
              <w:rPr>
                <w:sz w:val="1"/>
                <w:szCs w:val="1"/>
                <w:color w:val="auto"/>
              </w:rPr>
            </w:pPr>
          </w:p>
        </w:tc>
      </w:tr>
      <w:tr>
        <w:trPr>
          <w:trHeight w:val="80"/>
        </w:trPr>
        <w:tc>
          <w:tcPr>
            <w:tcW w:w="124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7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for outstanding BRCM common stock</w:t>
            </w:r>
          </w:p>
        </w:tc>
        <w:tc>
          <w:tcPr>
            <w:tcW w:w="20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16,798</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40" w:type="dxa"/>
            <w:vAlign w:val="bottom"/>
            <w:gridSpan w:val="2"/>
          </w:tcPr>
          <w:p>
            <w:pPr>
              <w:spacing w:after="0" w:line="202" w:lineRule="exact"/>
              <w:rPr>
                <w:sz w:val="20"/>
                <w:szCs w:val="20"/>
                <w:color w:val="auto"/>
              </w:rPr>
            </w:pPr>
            <w:r>
              <w:rPr>
                <w:rFonts w:ascii="Arial" w:cs="Arial" w:eastAsia="Arial" w:hAnsi="Arial"/>
                <w:sz w:val="18"/>
                <w:szCs w:val="18"/>
                <w:color w:val="auto"/>
              </w:rPr>
              <w:t>Fair value of Broadcom ordinary shares issued for outstanding BRCM common stock</w:t>
            </w:r>
          </w:p>
        </w:tc>
        <w:tc>
          <w:tcPr>
            <w:tcW w:w="20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Fair value of Partnership REUs issued for outstanding BRCM common stock</w:t>
            </w:r>
          </w:p>
        </w:tc>
        <w:tc>
          <w:tcPr>
            <w:tcW w:w="20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40" w:type="dxa"/>
            <w:vAlign w:val="bottom"/>
            <w:gridSpan w:val="2"/>
          </w:tcPr>
          <w:p>
            <w:pPr>
              <w:spacing w:after="0" w:line="202" w:lineRule="exact"/>
              <w:rPr>
                <w:sz w:val="20"/>
                <w:szCs w:val="20"/>
                <w:color w:val="auto"/>
              </w:rPr>
            </w:pPr>
            <w:r>
              <w:rPr>
                <w:rFonts w:ascii="Arial" w:cs="Arial" w:eastAsia="Arial" w:hAnsi="Arial"/>
                <w:sz w:val="18"/>
                <w:szCs w:val="18"/>
                <w:color w:val="auto"/>
              </w:rPr>
              <w:t>Fair value of partially vested assumed restricted stock unit awards</w:t>
            </w:r>
          </w:p>
        </w:tc>
        <w:tc>
          <w:tcPr>
            <w:tcW w:w="20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for vested BRCM equity awards</w:t>
            </w:r>
          </w:p>
        </w:tc>
        <w:tc>
          <w:tcPr>
            <w:tcW w:w="20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Effective settlement of pre-existing relationships</w:t>
            </w:r>
          </w:p>
        </w:tc>
        <w:tc>
          <w:tcPr>
            <w:tcW w:w="2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purchase consideration</w:t>
            </w:r>
          </w:p>
        </w:tc>
        <w:tc>
          <w:tcPr>
            <w:tcW w:w="204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35,706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Cash acquired</w:t>
            </w:r>
          </w:p>
        </w:tc>
        <w:tc>
          <w:tcPr>
            <w:tcW w:w="2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purchase consideration, net of cash acquired</w:t>
            </w:r>
          </w:p>
        </w:tc>
        <w:tc>
          <w:tcPr>
            <w:tcW w:w="204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28,758</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7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780" w:type="dxa"/>
            <w:vAlign w:val="bottom"/>
            <w:gridSpan w:val="6"/>
          </w:tcPr>
          <w:p>
            <w:pPr>
              <w:ind w:left="180"/>
              <w:spacing w:after="0"/>
              <w:rPr>
                <w:sz w:val="20"/>
                <w:szCs w:val="20"/>
                <w:color w:val="auto"/>
              </w:rPr>
            </w:pPr>
            <w:r>
              <w:rPr>
                <w:rFonts w:ascii="Arial" w:cs="Arial" w:eastAsia="Arial" w:hAnsi="Arial"/>
                <w:sz w:val="18"/>
                <w:szCs w:val="18"/>
                <w:color w:val="auto"/>
              </w:rPr>
              <w:t>The Company issued 112 million ordinary shares and the Partnership issued 23 million Partnership REUs, all of which</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780" w:type="dxa"/>
            <w:vAlign w:val="bottom"/>
            <w:gridSpan w:val="6"/>
          </w:tcPr>
          <w:p>
            <w:pPr>
              <w:ind w:left="180"/>
              <w:spacing w:after="0" w:line="202" w:lineRule="exact"/>
              <w:rPr>
                <w:sz w:val="20"/>
                <w:szCs w:val="20"/>
                <w:color w:val="auto"/>
              </w:rPr>
            </w:pPr>
            <w:r>
              <w:rPr>
                <w:rFonts w:ascii="Arial" w:cs="Arial" w:eastAsia="Arial" w:hAnsi="Arial"/>
                <w:sz w:val="18"/>
                <w:szCs w:val="18"/>
                <w:color w:val="auto"/>
              </w:rPr>
              <w:t>are valued and presented in the above table, to former BRCM shareholders in the Broadcom Merger. Broadcom also</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780" w:type="dxa"/>
            <w:vAlign w:val="bottom"/>
            <w:gridSpan w:val="6"/>
          </w:tcPr>
          <w:p>
            <w:pPr>
              <w:ind w:left="180"/>
              <w:spacing w:after="0" w:line="202" w:lineRule="exact"/>
              <w:rPr>
                <w:sz w:val="20"/>
                <w:szCs w:val="20"/>
                <w:color w:val="auto"/>
              </w:rPr>
            </w:pPr>
            <w:r>
              <w:rPr>
                <w:rFonts w:ascii="Arial" w:cs="Arial" w:eastAsia="Arial" w:hAnsi="Arial"/>
                <w:sz w:val="18"/>
                <w:szCs w:val="18"/>
                <w:color w:val="auto"/>
              </w:rPr>
              <w:t>assumed unvested RSUs originally granted by BRCM and converted them into 6 million of Broadcom RSUs. The portion</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780" w:type="dxa"/>
            <w:vAlign w:val="bottom"/>
            <w:gridSpan w:val="6"/>
          </w:tcPr>
          <w:p>
            <w:pPr>
              <w:ind w:left="180"/>
              <w:spacing w:after="0" w:line="202" w:lineRule="exact"/>
              <w:rPr>
                <w:sz w:val="20"/>
                <w:szCs w:val="20"/>
                <w:color w:val="auto"/>
              </w:rPr>
            </w:pPr>
            <w:r>
              <w:rPr>
                <w:rFonts w:ascii="Arial" w:cs="Arial" w:eastAsia="Arial" w:hAnsi="Arial"/>
                <w:sz w:val="18"/>
                <w:szCs w:val="18"/>
                <w:color w:val="auto"/>
              </w:rPr>
              <w:t>of the fair value of partially vested assumed RSUs associated with prior service of BRCM employees represented a</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780" w:type="dxa"/>
            <w:vAlign w:val="bottom"/>
            <w:gridSpan w:val="6"/>
          </w:tcPr>
          <w:p>
            <w:pPr>
              <w:ind w:left="180"/>
              <w:spacing w:after="0" w:line="202" w:lineRule="exact"/>
              <w:rPr>
                <w:sz w:val="20"/>
                <w:szCs w:val="20"/>
                <w:color w:val="auto"/>
              </w:rPr>
            </w:pPr>
            <w:r>
              <w:rPr>
                <w:rFonts w:ascii="Arial" w:cs="Arial" w:eastAsia="Arial" w:hAnsi="Arial"/>
                <w:sz w:val="18"/>
                <w:szCs w:val="18"/>
                <w:color w:val="auto"/>
              </w:rPr>
              <w:t>component of the total consideration, as presented above, and was valued based on the Company’s ordinary share</w:t>
            </w: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7740" w:type="dxa"/>
            <w:vAlign w:val="bottom"/>
            <w:gridSpan w:val="3"/>
          </w:tcPr>
          <w:p>
            <w:pPr>
              <w:ind w:left="180"/>
              <w:spacing w:after="0"/>
              <w:rPr>
                <w:sz w:val="20"/>
                <w:szCs w:val="20"/>
                <w:color w:val="auto"/>
              </w:rPr>
            </w:pPr>
            <w:r>
              <w:rPr>
                <w:rFonts w:ascii="Arial" w:cs="Arial" w:eastAsia="Arial" w:hAnsi="Arial"/>
                <w:sz w:val="18"/>
                <w:szCs w:val="18"/>
                <w:color w:val="auto"/>
              </w:rPr>
              <w:t>price as of the Acquisition Date.</w:t>
            </w: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240" w:type="dxa"/>
            <w:vAlign w:val="bottom"/>
          </w:tcPr>
          <w:p>
            <w:pPr>
              <w:spacing w:after="0"/>
              <w:rPr>
                <w:sz w:val="24"/>
                <w:szCs w:val="24"/>
                <w:color w:val="auto"/>
              </w:rPr>
            </w:pPr>
          </w:p>
        </w:tc>
        <w:tc>
          <w:tcPr>
            <w:tcW w:w="9780" w:type="dxa"/>
            <w:vAlign w:val="bottom"/>
            <w:gridSpan w:val="6"/>
          </w:tcPr>
          <w:p>
            <w:pPr>
              <w:ind w:left="180"/>
              <w:spacing w:after="0"/>
              <w:rPr>
                <w:sz w:val="20"/>
                <w:szCs w:val="20"/>
                <w:color w:val="auto"/>
              </w:rPr>
            </w:pPr>
            <w:r>
              <w:rPr>
                <w:rFonts w:ascii="Arial" w:cs="Arial" w:eastAsia="Arial" w:hAnsi="Arial"/>
                <w:sz w:val="18"/>
                <w:szCs w:val="18"/>
                <w:color w:val="auto"/>
              </w:rPr>
              <w:t>The purchase price has been allocated to tangible and intangible assets acquired and liabilities assumed based on their</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780" w:type="dxa"/>
            <w:vAlign w:val="bottom"/>
            <w:gridSpan w:val="6"/>
          </w:tcPr>
          <w:p>
            <w:pPr>
              <w:ind w:left="180"/>
              <w:spacing w:after="0" w:line="202" w:lineRule="exact"/>
              <w:rPr>
                <w:sz w:val="20"/>
                <w:szCs w:val="20"/>
                <w:color w:val="auto"/>
              </w:rPr>
            </w:pPr>
            <w:r>
              <w:rPr>
                <w:rFonts w:ascii="Arial" w:cs="Arial" w:eastAsia="Arial" w:hAnsi="Arial"/>
                <w:sz w:val="18"/>
                <w:szCs w:val="18"/>
                <w:color w:val="auto"/>
              </w:rPr>
              <w:t>estimated fair values. The fair value of identifiable intangible assets acquired was based on estimates and assumptions</w:t>
            </w: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7740" w:type="dxa"/>
            <w:vAlign w:val="bottom"/>
            <w:gridSpan w:val="3"/>
          </w:tcPr>
          <w:p>
            <w:pPr>
              <w:ind w:left="180"/>
              <w:spacing w:after="0"/>
              <w:rPr>
                <w:sz w:val="20"/>
                <w:szCs w:val="20"/>
                <w:color w:val="auto"/>
              </w:rPr>
            </w:pPr>
            <w:r>
              <w:rPr>
                <w:rFonts w:ascii="Arial" w:cs="Arial" w:eastAsia="Arial" w:hAnsi="Arial"/>
                <w:sz w:val="18"/>
                <w:szCs w:val="18"/>
                <w:color w:val="auto"/>
              </w:rPr>
              <w:t>made by management at the time of acquisition.</w:t>
            </w: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1240" w:type="dxa"/>
            <w:vAlign w:val="bottom"/>
          </w:tcPr>
          <w:p>
            <w:pPr>
              <w:ind w:left="860"/>
              <w:spacing w:after="0"/>
              <w:rPr>
                <w:sz w:val="20"/>
                <w:szCs w:val="20"/>
                <w:color w:val="auto"/>
              </w:rPr>
            </w:pPr>
            <w:r>
              <w:rPr>
                <w:rFonts w:ascii="Arial" w:cs="Arial" w:eastAsia="Arial" w:hAnsi="Arial"/>
                <w:sz w:val="18"/>
                <w:szCs w:val="18"/>
                <w:i w:val="1"/>
                <w:iCs w:val="1"/>
                <w:color w:val="auto"/>
              </w:rPr>
              <w:t>(ii)</w:t>
            </w:r>
          </w:p>
        </w:tc>
        <w:tc>
          <w:tcPr>
            <w:tcW w:w="7740" w:type="dxa"/>
            <w:vAlign w:val="bottom"/>
            <w:gridSpan w:val="3"/>
          </w:tcPr>
          <w:p>
            <w:pPr>
              <w:ind w:left="160"/>
              <w:spacing w:after="0"/>
              <w:rPr>
                <w:sz w:val="20"/>
                <w:szCs w:val="20"/>
                <w:color w:val="auto"/>
              </w:rPr>
            </w:pPr>
            <w:r>
              <w:rPr>
                <w:rFonts w:ascii="Arial" w:cs="Arial" w:eastAsia="Arial" w:hAnsi="Arial"/>
                <w:sz w:val="18"/>
                <w:szCs w:val="18"/>
                <w:i w:val="1"/>
                <w:iCs w:val="1"/>
                <w:color w:val="auto"/>
              </w:rPr>
              <w:t>Effect of cash flows of the Group</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vMerge w:val="restart"/>
          </w:tcPr>
          <w:p>
            <w:pPr>
              <w:ind w:left="780"/>
              <w:spacing w:after="0"/>
              <w:rPr>
                <w:sz w:val="20"/>
                <w:szCs w:val="20"/>
                <w:color w:val="auto"/>
              </w:rPr>
            </w:pPr>
            <w:r>
              <w:rPr>
                <w:rFonts w:ascii="Arial" w:cs="Arial" w:eastAsia="Arial" w:hAnsi="Arial"/>
                <w:sz w:val="18"/>
                <w:szCs w:val="18"/>
                <w:color w:val="auto"/>
                <w:w w:val="90"/>
              </w:rPr>
              <w:t>(US</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Group</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 millions)</w:t>
            </w:r>
          </w:p>
        </w:tc>
        <w:tc>
          <w:tcPr>
            <w:tcW w:w="0" w:type="dxa"/>
            <w:vAlign w:val="bottom"/>
          </w:tcPr>
          <w:p>
            <w:pPr>
              <w:spacing w:after="0"/>
              <w:rPr>
                <w:sz w:val="1"/>
                <w:szCs w:val="1"/>
                <w:color w:val="auto"/>
              </w:rPr>
            </w:pPr>
          </w:p>
        </w:tc>
      </w:tr>
      <w:tr>
        <w:trPr>
          <w:trHeight w:val="80"/>
        </w:trPr>
        <w:tc>
          <w:tcPr>
            <w:tcW w:w="124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7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paid</w:t>
            </w:r>
          </w:p>
        </w:tc>
        <w:tc>
          <w:tcPr>
            <w:tcW w:w="20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16,980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Less: cash and cash equivalents in BRCM</w:t>
            </w:r>
          </w:p>
        </w:tc>
        <w:tc>
          <w:tcPr>
            <w:tcW w:w="2040" w:type="dxa"/>
            <w:vAlign w:val="bottom"/>
            <w:gridSpan w:val="3"/>
          </w:tcPr>
          <w:p>
            <w:pPr>
              <w:jc w:val="right"/>
              <w:ind w:right="80"/>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outflow on acquisition</w:t>
            </w:r>
          </w:p>
        </w:tc>
        <w:tc>
          <w:tcPr>
            <w:tcW w:w="20" w:type="dxa"/>
            <w:vAlign w:val="bottom"/>
            <w:tcBorders>
              <w:top w:val="single" w:sz="8" w:color="auto"/>
            </w:tcBorders>
            <w:shd w:val="clear" w:color="auto" w:fill="CCEEFF"/>
          </w:tcPr>
          <w:p>
            <w:pPr>
              <w:spacing w:after="0"/>
              <w:rPr>
                <w:sz w:val="17"/>
                <w:szCs w:val="17"/>
                <w:color w:val="auto"/>
              </w:rPr>
            </w:pPr>
          </w:p>
        </w:tc>
        <w:tc>
          <w:tcPr>
            <w:tcW w:w="2040" w:type="dxa"/>
            <w:vAlign w:val="bottom"/>
            <w:tcBorders>
              <w:top w:val="single" w:sz="8" w:color="auto"/>
            </w:tcBorders>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10,032</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1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540" w:type="dxa"/>
            <w:vAlign w:val="bottom"/>
            <w:tcBorders>
              <w:bottom w:val="single" w:sz="8" w:color="auto"/>
            </w:tcBorders>
            <w:gridSpan w:val="2"/>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40" w:type="dxa"/>
            <w:vAlign w:val="bottom"/>
            <w:gridSpan w:val="2"/>
          </w:tcPr>
          <w:p>
            <w:pPr>
              <w:ind w:left="3820"/>
              <w:spacing w:after="0"/>
              <w:rPr>
                <w:sz w:val="20"/>
                <w:szCs w:val="20"/>
                <w:color w:val="auto"/>
              </w:rPr>
            </w:pPr>
            <w:r>
              <w:rPr>
                <w:rFonts w:ascii="Arial" w:cs="Arial" w:eastAsia="Arial" w:hAnsi="Arial"/>
                <w:sz w:val="18"/>
                <w:szCs w:val="18"/>
                <w:color w:val="auto"/>
              </w:rPr>
              <w:t>A-105</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Acquisition of Broadcom Corporation (continued)</w:t>
      </w:r>
    </w:p>
    <w:p>
      <w:pPr>
        <w:spacing w:after="0" w:line="126" w:lineRule="exact"/>
        <w:rPr>
          <w:rFonts w:ascii="Arial" w:cs="Arial" w:eastAsia="Arial" w:hAnsi="Arial"/>
          <w:sz w:val="18"/>
          <w:szCs w:val="18"/>
          <w:color w:val="auto"/>
        </w:rPr>
      </w:pPr>
    </w:p>
    <w:p>
      <w:pPr>
        <w:ind w:left="1620" w:hanging="538"/>
        <w:spacing w:after="0"/>
        <w:tabs>
          <w:tab w:leader="none" w:pos="1620" w:val="left"/>
        </w:tabs>
        <w:numPr>
          <w:ilvl w:val="1"/>
          <w:numId w:val="278"/>
        </w:numPr>
        <w:rPr>
          <w:rFonts w:ascii="Arial" w:cs="Arial" w:eastAsia="Arial" w:hAnsi="Arial"/>
          <w:sz w:val="18"/>
          <w:szCs w:val="18"/>
          <w:i w:val="1"/>
          <w:iCs w:val="1"/>
          <w:color w:val="auto"/>
        </w:rPr>
      </w:pPr>
      <w:r>
        <w:rPr>
          <w:rFonts w:ascii="Arial" w:cs="Arial" w:eastAsia="Arial" w:hAnsi="Arial"/>
          <w:sz w:val="18"/>
          <w:szCs w:val="18"/>
          <w:i w:val="1"/>
          <w:iCs w:val="1"/>
          <w:color w:val="auto"/>
        </w:rPr>
        <w:t>Identifiable assets acquired, liabilities assumed and goodwill</w:t>
      </w:r>
    </w:p>
    <w:p>
      <w:pPr>
        <w:spacing w:after="0" w:line="121" w:lineRule="exact"/>
        <w:rPr>
          <w:rFonts w:ascii="Arial" w:cs="Arial" w:eastAsia="Arial" w:hAnsi="Arial"/>
          <w:sz w:val="18"/>
          <w:szCs w:val="18"/>
          <w:i w:val="1"/>
          <w:iCs w:val="1"/>
          <w:color w:val="auto"/>
        </w:rPr>
      </w:pPr>
    </w:p>
    <w:p>
      <w:pPr>
        <w:ind w:left="1640"/>
        <w:spacing w:after="0"/>
        <w:rPr>
          <w:rFonts w:ascii="Arial" w:cs="Arial" w:eastAsia="Arial" w:hAnsi="Arial"/>
          <w:sz w:val="18"/>
          <w:szCs w:val="18"/>
          <w:i w:val="1"/>
          <w:iCs w:val="1"/>
          <w:color w:val="auto"/>
        </w:rPr>
      </w:pPr>
      <w:r>
        <w:rPr>
          <w:rFonts w:ascii="Arial" w:cs="Arial" w:eastAsia="Arial" w:hAnsi="Arial"/>
          <w:sz w:val="18"/>
          <w:szCs w:val="18"/>
          <w:color w:val="auto"/>
        </w:rPr>
        <w:t>The allocation of the total purchase price, net of cash acquired, is as follows (US$ millions):</w:t>
      </w:r>
    </w:p>
    <w:p>
      <w:pPr>
        <w:spacing w:after="0" w:line="235"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w w:val="96"/>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240" w:type="dxa"/>
            <w:vAlign w:val="bottom"/>
            <w:gridSpan w:val="3"/>
          </w:tcPr>
          <w:p>
            <w:pPr>
              <w:jc w:val="right"/>
              <w:ind w:right="740"/>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accounts receivable</w:t>
            </w:r>
          </w:p>
        </w:tc>
        <w:tc>
          <w:tcPr>
            <w:tcW w:w="224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224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held-for-sale</w:t>
            </w:r>
          </w:p>
        </w:tc>
        <w:tc>
          <w:tcPr>
            <w:tcW w:w="224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224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24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24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22,992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w:t>
            </w:r>
          </w:p>
        </w:tc>
        <w:tc>
          <w:tcPr>
            <w:tcW w:w="224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assets</w:t>
            </w:r>
          </w:p>
        </w:tc>
        <w:tc>
          <w:tcPr>
            <w:tcW w:w="224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assets acquired</w:t>
            </w:r>
          </w:p>
        </w:tc>
        <w:tc>
          <w:tcPr>
            <w:tcW w:w="2240" w:type="dxa"/>
            <w:vAlign w:val="bottom"/>
            <w:gridSpan w:val="3"/>
            <w:shd w:val="clear" w:color="auto" w:fill="CCEEFF"/>
          </w:tcPr>
          <w:p>
            <w:pPr>
              <w:jc w:val="right"/>
              <w:ind w:right="740"/>
              <w:spacing w:after="0" w:line="196" w:lineRule="exact"/>
              <w:rPr>
                <w:sz w:val="20"/>
                <w:szCs w:val="20"/>
                <w:color w:val="auto"/>
              </w:rPr>
            </w:pPr>
            <w:r>
              <w:rPr>
                <w:rFonts w:ascii="Arial" w:cs="Arial" w:eastAsia="Arial" w:hAnsi="Arial"/>
                <w:sz w:val="18"/>
                <w:szCs w:val="18"/>
                <w:color w:val="auto"/>
              </w:rPr>
              <w:t>42,359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7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224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Employee compensation and benefits</w:t>
            </w:r>
          </w:p>
        </w:tc>
        <w:tc>
          <w:tcPr>
            <w:tcW w:w="224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224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224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24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2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liabilities assumed</w:t>
            </w:r>
          </w:p>
        </w:tc>
        <w:tc>
          <w:tcPr>
            <w:tcW w:w="2240" w:type="dxa"/>
            <w:vAlign w:val="bottom"/>
            <w:gridSpan w:val="3"/>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(13,601)</w:t>
            </w: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Fair value of net assets acquired</w:t>
            </w:r>
          </w:p>
        </w:tc>
        <w:tc>
          <w:tcPr>
            <w:tcW w:w="224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8"/>
                <w:szCs w:val="18"/>
                <w:b w:val="1"/>
                <w:bCs w:val="1"/>
                <w:color w:val="auto"/>
              </w:rPr>
              <w:t>28,758</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640" w:right="20"/>
        <w:spacing w:after="0" w:line="239" w:lineRule="auto"/>
        <w:rPr>
          <w:sz w:val="20"/>
          <w:szCs w:val="20"/>
          <w:color w:val="auto"/>
        </w:rPr>
      </w:pPr>
      <w:r>
        <w:rPr>
          <w:rFonts w:ascii="Arial" w:cs="Arial" w:eastAsia="Arial" w:hAnsi="Arial"/>
          <w:sz w:val="18"/>
          <w:szCs w:val="18"/>
          <w:color w:val="auto"/>
        </w:rPr>
        <w:t>Goodwill was primarily attributable to the assembled workforce, anticipated synergies and economies of scale expected from the operations of the combined company. The synergies include certain cost savings, operating efficiencies, and other strategic benefits projected to be achieved as a result of the Broadcom Merger. Goodwill is not deductible for tax purposes.</w:t>
      </w:r>
    </w:p>
    <w:p>
      <w:pPr>
        <w:spacing w:after="0" w:line="202" w:lineRule="exact"/>
        <w:rPr>
          <w:sz w:val="20"/>
          <w:szCs w:val="20"/>
          <w:color w:val="auto"/>
        </w:rPr>
      </w:pPr>
    </w:p>
    <w:p>
      <w:pPr>
        <w:jc w:val="both"/>
        <w:ind w:left="1640" w:right="20"/>
        <w:spacing w:after="0"/>
        <w:rPr>
          <w:sz w:val="20"/>
          <w:szCs w:val="20"/>
          <w:color w:val="auto"/>
        </w:rPr>
      </w:pPr>
      <w:r>
        <w:rPr>
          <w:rFonts w:ascii="Arial" w:cs="Arial" w:eastAsia="Arial" w:hAnsi="Arial"/>
          <w:sz w:val="18"/>
          <w:szCs w:val="18"/>
          <w:color w:val="auto"/>
        </w:rPr>
        <w:t>The assets held-for-sale represented those BRCM businesses that were not aligned with the Group’s strategic objectives. The sales of these businesses are discussed in Note 10 “Discontinued operations and disposal group classified as held-for-sale”.</w:t>
      </w:r>
    </w:p>
    <w:p>
      <w:pPr>
        <w:spacing w:after="0" w:line="212" w:lineRule="exact"/>
        <w:rPr>
          <w:sz w:val="20"/>
          <w:szCs w:val="20"/>
          <w:color w:val="auto"/>
        </w:rPr>
      </w:pPr>
    </w:p>
    <w:p>
      <w:pPr>
        <w:ind w:left="1620" w:hanging="538"/>
        <w:spacing w:after="0"/>
        <w:tabs>
          <w:tab w:leader="none" w:pos="1620" w:val="left"/>
        </w:tabs>
        <w:numPr>
          <w:ilvl w:val="0"/>
          <w:numId w:val="279"/>
        </w:numPr>
        <w:rPr>
          <w:rFonts w:ascii="Arial" w:cs="Arial" w:eastAsia="Arial" w:hAnsi="Arial"/>
          <w:sz w:val="18"/>
          <w:szCs w:val="18"/>
          <w:i w:val="1"/>
          <w:iCs w:val="1"/>
          <w:color w:val="auto"/>
        </w:rPr>
      </w:pPr>
      <w:r>
        <w:rPr>
          <w:rFonts w:ascii="Arial" w:cs="Arial" w:eastAsia="Arial" w:hAnsi="Arial"/>
          <w:sz w:val="18"/>
          <w:szCs w:val="18"/>
          <w:i w:val="1"/>
          <w:iCs w:val="1"/>
          <w:color w:val="auto"/>
        </w:rPr>
        <w:t>Revenue and profit contribution</w:t>
      </w:r>
    </w:p>
    <w:p>
      <w:pPr>
        <w:spacing w:after="0" w:line="229" w:lineRule="exact"/>
        <w:rPr>
          <w:rFonts w:ascii="Arial" w:cs="Arial" w:eastAsia="Arial" w:hAnsi="Arial"/>
          <w:sz w:val="18"/>
          <w:szCs w:val="18"/>
          <w:i w:val="1"/>
          <w:iCs w:val="1"/>
          <w:color w:val="auto"/>
        </w:rPr>
      </w:pPr>
    </w:p>
    <w:p>
      <w:pPr>
        <w:ind w:left="1640" w:right="2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The Group’s results of continuing operations for financial year 2016 include US$6,993 million of net revenue attributable to BRCM. It is impracticable to determine the effect on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A-106</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Acquisition of Broadcom Corporation (continued)</w:t>
      </w:r>
    </w:p>
    <w:p>
      <w:pPr>
        <w:spacing w:after="0" w:line="126" w:lineRule="exact"/>
        <w:rPr>
          <w:rFonts w:ascii="Arial" w:cs="Arial" w:eastAsia="Arial" w:hAnsi="Arial"/>
          <w:sz w:val="18"/>
          <w:szCs w:val="18"/>
          <w:color w:val="auto"/>
        </w:rPr>
      </w:pPr>
    </w:p>
    <w:p>
      <w:pPr>
        <w:ind w:left="1620" w:hanging="538"/>
        <w:spacing w:after="0"/>
        <w:tabs>
          <w:tab w:leader="none" w:pos="1620" w:val="left"/>
        </w:tabs>
        <w:numPr>
          <w:ilvl w:val="1"/>
          <w:numId w:val="28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Revenue and profit contribution </w:t>
      </w:r>
      <w:r>
        <w:rPr>
          <w:rFonts w:ascii="Arial" w:cs="Arial" w:eastAsia="Arial" w:hAnsi="Arial"/>
          <w:sz w:val="18"/>
          <w:szCs w:val="18"/>
          <w:color w:val="auto"/>
        </w:rPr>
        <w:t>(continued)</w:t>
      </w:r>
    </w:p>
    <w:p>
      <w:pPr>
        <w:spacing w:after="0" w:line="162" w:lineRule="exact"/>
        <w:rPr>
          <w:rFonts w:ascii="Arial" w:cs="Arial" w:eastAsia="Arial" w:hAnsi="Arial"/>
          <w:sz w:val="18"/>
          <w:szCs w:val="18"/>
          <w:i w:val="1"/>
          <w:iCs w:val="1"/>
          <w:color w:val="auto"/>
        </w:rPr>
      </w:pPr>
    </w:p>
    <w:p>
      <w:pPr>
        <w:ind w:left="1640" w:right="2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attributable to BRCM for financial year 2016 as the operations of BRCM were immediately integrated into Broadcom’s ongoing operations.</w:t>
      </w:r>
    </w:p>
    <w:p>
      <w:pPr>
        <w:spacing w:after="0" w:line="205" w:lineRule="exact"/>
        <w:rPr>
          <w:rFonts w:ascii="Arial" w:cs="Arial" w:eastAsia="Arial" w:hAnsi="Arial"/>
          <w:sz w:val="18"/>
          <w:szCs w:val="18"/>
          <w:i w:val="1"/>
          <w:iCs w:val="1"/>
          <w:color w:val="auto"/>
        </w:rPr>
      </w:pPr>
    </w:p>
    <w:p>
      <w:pPr>
        <w:ind w:left="1620" w:hanging="538"/>
        <w:spacing w:after="0"/>
        <w:tabs>
          <w:tab w:leader="none" w:pos="1620" w:val="left"/>
        </w:tabs>
        <w:numPr>
          <w:ilvl w:val="1"/>
          <w:numId w:val="281"/>
        </w:numPr>
        <w:rPr>
          <w:rFonts w:ascii="Arial" w:cs="Arial" w:eastAsia="Arial" w:hAnsi="Arial"/>
          <w:sz w:val="18"/>
          <w:szCs w:val="18"/>
          <w:i w:val="1"/>
          <w:iCs w:val="1"/>
          <w:color w:val="auto"/>
        </w:rPr>
      </w:pPr>
      <w:r>
        <w:rPr>
          <w:rFonts w:ascii="Arial" w:cs="Arial" w:eastAsia="Arial" w:hAnsi="Arial"/>
          <w:sz w:val="18"/>
          <w:szCs w:val="18"/>
          <w:i w:val="1"/>
          <w:iCs w:val="1"/>
          <w:color w:val="auto"/>
        </w:rPr>
        <w:t>Acquisition-related costs</w:t>
      </w:r>
    </w:p>
    <w:p>
      <w:pPr>
        <w:spacing w:after="0" w:line="229" w:lineRule="exact"/>
        <w:rPr>
          <w:rFonts w:ascii="Arial" w:cs="Arial" w:eastAsia="Arial" w:hAnsi="Arial"/>
          <w:sz w:val="18"/>
          <w:szCs w:val="18"/>
          <w:i w:val="1"/>
          <w:iCs w:val="1"/>
          <w:color w:val="auto"/>
        </w:rPr>
      </w:pPr>
    </w:p>
    <w:p>
      <w:pPr>
        <w:ind w:left="1640" w:right="2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Transaction costs of US$42 million incurred related to the Broadcom Merger were included in selling, general and administrative expense in the consolidated statements of operations for financial year 2016.</w:t>
      </w:r>
    </w:p>
    <w:p>
      <w:pPr>
        <w:spacing w:after="0" w:line="205" w:lineRule="exact"/>
        <w:rPr>
          <w:rFonts w:ascii="Arial" w:cs="Arial" w:eastAsia="Arial" w:hAnsi="Arial"/>
          <w:sz w:val="18"/>
          <w:szCs w:val="18"/>
          <w:i w:val="1"/>
          <w:iCs w:val="1"/>
          <w:color w:val="auto"/>
        </w:rPr>
      </w:pPr>
    </w:p>
    <w:p>
      <w:pPr>
        <w:ind w:left="1620" w:hanging="538"/>
        <w:spacing w:after="0"/>
        <w:tabs>
          <w:tab w:leader="none" w:pos="1620" w:val="left"/>
        </w:tabs>
        <w:numPr>
          <w:ilvl w:val="1"/>
          <w:numId w:val="281"/>
        </w:numPr>
        <w:rPr>
          <w:rFonts w:ascii="Arial" w:cs="Arial" w:eastAsia="Arial" w:hAnsi="Arial"/>
          <w:sz w:val="18"/>
          <w:szCs w:val="18"/>
          <w:i w:val="1"/>
          <w:iCs w:val="1"/>
          <w:color w:val="auto"/>
        </w:rPr>
      </w:pPr>
      <w:r>
        <w:rPr>
          <w:rFonts w:ascii="Arial" w:cs="Arial" w:eastAsia="Arial" w:hAnsi="Arial"/>
          <w:sz w:val="18"/>
          <w:szCs w:val="18"/>
          <w:i w:val="1"/>
          <w:iCs w:val="1"/>
          <w:color w:val="auto"/>
        </w:rPr>
        <w:t>Acquired intangible assets</w:t>
      </w:r>
    </w:p>
    <w:p>
      <w:pPr>
        <w:spacing w:after="0" w:line="229" w:lineRule="exact"/>
        <w:rPr>
          <w:rFonts w:ascii="Arial" w:cs="Arial" w:eastAsia="Arial" w:hAnsi="Arial"/>
          <w:sz w:val="18"/>
          <w:szCs w:val="18"/>
          <w:i w:val="1"/>
          <w:iCs w:val="1"/>
          <w:color w:val="auto"/>
        </w:rPr>
      </w:pPr>
    </w:p>
    <w:p>
      <w:pPr>
        <w:ind w:left="1640"/>
        <w:spacing w:after="0"/>
        <w:rPr>
          <w:rFonts w:ascii="Arial" w:cs="Arial" w:eastAsia="Arial" w:hAnsi="Arial"/>
          <w:sz w:val="18"/>
          <w:szCs w:val="18"/>
          <w:i w:val="1"/>
          <w:iCs w:val="1"/>
          <w:color w:val="auto"/>
        </w:rPr>
      </w:pPr>
      <w:r>
        <w:rPr>
          <w:rFonts w:ascii="Arial" w:cs="Arial" w:eastAsia="Arial" w:hAnsi="Arial"/>
          <w:sz w:val="18"/>
          <w:szCs w:val="18"/>
          <w:color w:val="auto"/>
        </w:rPr>
        <w:t>Identified intangible assets and their respective useful lives are as follows:</w:t>
      </w:r>
    </w:p>
    <w:p>
      <w:pPr>
        <w:spacing w:after="0" w:line="234"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Weighted-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8"/>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9"/>
              </w:rPr>
              <w:t>amortisation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jc w:val="right"/>
              <w:ind w:right="70"/>
              <w:spacing w:after="0" w:line="203" w:lineRule="exact"/>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17"/>
                <w:szCs w:val="17"/>
                <w:color w:val="auto"/>
              </w:rPr>
            </w:pPr>
          </w:p>
        </w:tc>
        <w:tc>
          <w:tcPr>
            <w:tcW w:w="1040" w:type="dxa"/>
            <w:vAlign w:val="bottom"/>
            <w:gridSpan w:val="2"/>
          </w:tcPr>
          <w:p>
            <w:pPr>
              <w:jc w:val="center"/>
              <w:ind w:right="80"/>
              <w:spacing w:after="0" w:line="203" w:lineRule="exact"/>
              <w:rPr>
                <w:sz w:val="20"/>
                <w:szCs w:val="20"/>
                <w:color w:val="auto"/>
              </w:rPr>
            </w:pPr>
            <w:r>
              <w:rPr>
                <w:rFonts w:ascii="Arial" w:cs="Arial" w:eastAsia="Arial" w:hAnsi="Arial"/>
                <w:sz w:val="18"/>
                <w:szCs w:val="18"/>
                <w:color w:val="auto"/>
              </w:rPr>
              <w:t>periods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(US$ millions)</w:t>
            </w:r>
          </w:p>
        </w:tc>
        <w:tc>
          <w:tcPr>
            <w:tcW w:w="180" w:type="dxa"/>
            <w:vAlign w:val="bottom"/>
          </w:tcPr>
          <w:p>
            <w:pPr>
              <w:spacing w:after="0"/>
              <w:rPr>
                <w:sz w:val="17"/>
                <w:szCs w:val="17"/>
                <w:color w:val="auto"/>
              </w:rPr>
            </w:pPr>
          </w:p>
        </w:tc>
        <w:tc>
          <w:tcPr>
            <w:tcW w:w="98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rPr>
              <w:t>(in years)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280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9,010</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line="202" w:lineRule="exact"/>
              <w:rPr>
                <w:sz w:val="20"/>
                <w:szCs w:val="20"/>
                <w:color w:val="auto"/>
              </w:rPr>
            </w:pPr>
            <w:r>
              <w:rPr>
                <w:rFonts w:ascii="Arial" w:cs="Arial" w:eastAsia="Arial" w:hAnsi="Arial"/>
                <w:sz w:val="18"/>
                <w:szCs w:val="18"/>
                <w:color w:val="auto"/>
              </w:rPr>
              <w:t>Customer contracts and related relationships</w:t>
            </w:r>
          </w:p>
        </w:tc>
        <w:tc>
          <w:tcPr>
            <w:tcW w:w="28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2,703</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Order backlog</w:t>
            </w:r>
          </w:p>
        </w:tc>
        <w:tc>
          <w:tcPr>
            <w:tcW w:w="280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750</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&lt;1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line="202" w:lineRule="exact"/>
              <w:rPr>
                <w:sz w:val="20"/>
                <w:szCs w:val="20"/>
                <w:color w:val="auto"/>
              </w:rPr>
            </w:pPr>
            <w:r>
              <w:rPr>
                <w:rFonts w:ascii="Arial" w:cs="Arial" w:eastAsia="Arial" w:hAnsi="Arial"/>
                <w:sz w:val="18"/>
                <w:szCs w:val="18"/>
                <w:color w:val="auto"/>
              </w:rPr>
              <w:t>Trade name</w:t>
            </w:r>
          </w:p>
        </w:tc>
        <w:tc>
          <w:tcPr>
            <w:tcW w:w="28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350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identified finite-lived intangible assets</w:t>
            </w:r>
          </w:p>
        </w:tc>
        <w:tc>
          <w:tcPr>
            <w:tcW w:w="2800" w:type="dxa"/>
            <w:vAlign w:val="bottom"/>
            <w:gridSpan w:val="2"/>
          </w:tcPr>
          <w:p>
            <w:pPr>
              <w:jc w:val="right"/>
              <w:ind w:right="110"/>
              <w:spacing w:after="0"/>
              <w:rPr>
                <w:sz w:val="20"/>
                <w:szCs w:val="20"/>
                <w:color w:val="auto"/>
              </w:rPr>
            </w:pPr>
            <w:r>
              <w:rPr>
                <w:rFonts w:ascii="Arial" w:cs="Arial" w:eastAsia="Arial" w:hAnsi="Arial"/>
                <w:sz w:val="18"/>
                <w:szCs w:val="18"/>
                <w:color w:val="auto"/>
              </w:rPr>
              <w:t>12,858</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In-process research and development</w:t>
            </w:r>
          </w:p>
        </w:tc>
        <w:tc>
          <w:tcPr>
            <w:tcW w:w="280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1,950</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5580" w:type="dxa"/>
            <w:vAlign w:val="bottom"/>
            <w:gridSpan w:val="2"/>
          </w:tcPr>
          <w:p>
            <w:pPr>
              <w:spacing w:after="0"/>
              <w:rPr>
                <w:sz w:val="20"/>
                <w:szCs w:val="20"/>
                <w:color w:val="auto"/>
              </w:rPr>
            </w:pPr>
            <w:r>
              <w:rPr>
                <w:rFonts w:ascii="Arial" w:cs="Arial" w:eastAsia="Arial" w:hAnsi="Arial"/>
                <w:sz w:val="18"/>
                <w:szCs w:val="18"/>
                <w:color w:val="auto"/>
              </w:rPr>
              <w:t>Total identified intangible assets, net of assets</w:t>
            </w:r>
          </w:p>
        </w:tc>
        <w:tc>
          <w:tcPr>
            <w:tcW w:w="1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160"/>
              <w:spacing w:after="0" w:line="203" w:lineRule="exact"/>
              <w:rPr>
                <w:sz w:val="20"/>
                <w:szCs w:val="20"/>
                <w:color w:val="auto"/>
              </w:rPr>
            </w:pPr>
            <w:r>
              <w:rPr>
                <w:rFonts w:ascii="Arial" w:cs="Arial" w:eastAsia="Arial" w:hAnsi="Arial"/>
                <w:sz w:val="18"/>
                <w:szCs w:val="18"/>
                <w:color w:val="auto"/>
              </w:rPr>
              <w:t>held-for-sale</w:t>
            </w:r>
          </w:p>
        </w:tc>
        <w:tc>
          <w:tcPr>
            <w:tcW w:w="2800" w:type="dxa"/>
            <w:vAlign w:val="bottom"/>
            <w:gridSpan w:val="2"/>
          </w:tcPr>
          <w:p>
            <w:pPr>
              <w:jc w:val="right"/>
              <w:ind w:right="110"/>
              <w:spacing w:after="0" w:line="203" w:lineRule="exact"/>
              <w:rPr>
                <w:sz w:val="20"/>
                <w:szCs w:val="20"/>
                <w:color w:val="auto"/>
              </w:rPr>
            </w:pPr>
            <w:r>
              <w:rPr>
                <w:rFonts w:ascii="Arial" w:cs="Arial" w:eastAsia="Arial" w:hAnsi="Arial"/>
                <w:sz w:val="18"/>
                <w:szCs w:val="18"/>
                <w:color w:val="auto"/>
              </w:rPr>
              <w:t>14,808</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included in assets held-for-sale</w:t>
            </w:r>
          </w:p>
        </w:tc>
        <w:tc>
          <w:tcPr>
            <w:tcW w:w="280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Identified intangible assets</w:t>
            </w:r>
          </w:p>
        </w:tc>
        <w:tc>
          <w:tcPr>
            <w:tcW w:w="1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15,128</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420" w:right="20"/>
        <w:spacing w:after="0" w:line="246" w:lineRule="auto"/>
        <w:rPr>
          <w:sz w:val="20"/>
          <w:szCs w:val="20"/>
          <w:color w:val="auto"/>
        </w:rPr>
      </w:pPr>
      <w:r>
        <w:rPr>
          <w:rFonts w:ascii="Arial" w:cs="Arial" w:eastAsia="Arial" w:hAnsi="Arial"/>
          <w:sz w:val="18"/>
          <w:szCs w:val="18"/>
          <w:color w:val="auto"/>
        </w:rPr>
        <w:t>Developed technology relates to products for wired and wireless communication applications. The developed technology was valued using the multi-period excess earnings method under the income approach.</w:t>
      </w:r>
    </w:p>
    <w:p>
      <w:pPr>
        <w:spacing w:after="0" w:line="197" w:lineRule="exact"/>
        <w:rPr>
          <w:sz w:val="20"/>
          <w:szCs w:val="20"/>
          <w:color w:val="auto"/>
        </w:rPr>
      </w:pPr>
    </w:p>
    <w:p>
      <w:pPr>
        <w:jc w:val="both"/>
        <w:ind w:left="1420" w:right="20"/>
        <w:spacing w:after="0" w:line="239" w:lineRule="auto"/>
        <w:rPr>
          <w:sz w:val="20"/>
          <w:szCs w:val="20"/>
          <w:color w:val="auto"/>
        </w:rPr>
      </w:pPr>
      <w:r>
        <w:rPr>
          <w:rFonts w:ascii="Arial" w:cs="Arial" w:eastAsia="Arial" w:hAnsi="Arial"/>
          <w:sz w:val="18"/>
          <w:szCs w:val="18"/>
          <w:color w:val="auto"/>
        </w:rPr>
        <w:t>This method reflects the present value of the projected cash flows that are expected to be generated by the developed technology less charges representing the contribution of other assets to those cash flows. The economic useful life was determined based on the technology cycle related to each developed technology, as well as the cash flows over the forecast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A-107</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Acquisition of Broadcom Corporation (continued)</w:t>
      </w:r>
    </w:p>
    <w:p>
      <w:pPr>
        <w:spacing w:after="0" w:line="126" w:lineRule="exact"/>
        <w:rPr>
          <w:rFonts w:ascii="Arial" w:cs="Arial" w:eastAsia="Arial" w:hAnsi="Arial"/>
          <w:sz w:val="18"/>
          <w:szCs w:val="18"/>
          <w:color w:val="auto"/>
        </w:rPr>
      </w:pPr>
    </w:p>
    <w:p>
      <w:pPr>
        <w:ind w:left="1620" w:hanging="538"/>
        <w:spacing w:after="0"/>
        <w:tabs>
          <w:tab w:leader="none" w:pos="1620" w:val="left"/>
        </w:tabs>
        <w:numPr>
          <w:ilvl w:val="1"/>
          <w:numId w:val="28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Acquired intangible assets </w:t>
      </w:r>
      <w:r>
        <w:rPr>
          <w:rFonts w:ascii="Arial" w:cs="Arial" w:eastAsia="Arial" w:hAnsi="Arial"/>
          <w:sz w:val="18"/>
          <w:szCs w:val="18"/>
          <w:color w:val="auto"/>
        </w:rPr>
        <w:t>(continued)</w:t>
      </w:r>
    </w:p>
    <w:p>
      <w:pPr>
        <w:spacing w:after="0" w:line="162" w:lineRule="exact"/>
        <w:rPr>
          <w:sz w:val="20"/>
          <w:szCs w:val="20"/>
          <w:color w:val="auto"/>
        </w:rPr>
      </w:pPr>
    </w:p>
    <w:p>
      <w:pPr>
        <w:jc w:val="both"/>
        <w:ind w:left="1520"/>
        <w:spacing w:after="0" w:line="237" w:lineRule="auto"/>
        <w:rPr>
          <w:sz w:val="20"/>
          <w:szCs w:val="20"/>
          <w:color w:val="auto"/>
        </w:rPr>
      </w:pPr>
      <w:r>
        <w:rPr>
          <w:rFonts w:ascii="Arial" w:cs="Arial" w:eastAsia="Arial" w:hAnsi="Arial"/>
          <w:sz w:val="18"/>
          <w:szCs w:val="18"/>
          <w:color w:val="auto"/>
        </w:rPr>
        <w:t>Customer contracts and related relationships represent the fair value of future projected revenue that will be derived from sales of products to existing customers of BRCM. Customer contracts and related relationships were valued using the with-and-without-method under the income approach. In this method, the fair value is measured by the difference between the present value of the cash flows with and without the existing customers in place over the period of time necessary to reacquire the customers. The economic useful life was determined based on historical customer turnover rates.</w:t>
      </w:r>
    </w:p>
    <w:p>
      <w:pPr>
        <w:spacing w:after="0" w:line="205" w:lineRule="exact"/>
        <w:rPr>
          <w:sz w:val="20"/>
          <w:szCs w:val="20"/>
          <w:color w:val="auto"/>
        </w:rPr>
      </w:pPr>
    </w:p>
    <w:p>
      <w:pPr>
        <w:jc w:val="both"/>
        <w:ind w:left="1520"/>
        <w:spacing w:after="0" w:line="239" w:lineRule="auto"/>
        <w:rPr>
          <w:sz w:val="20"/>
          <w:szCs w:val="20"/>
          <w:color w:val="auto"/>
        </w:rPr>
      </w:pPr>
      <w:r>
        <w:rPr>
          <w:rFonts w:ascii="Arial" w:cs="Arial" w:eastAsia="Arial" w:hAnsi="Arial"/>
          <w:sz w:val="18"/>
          <w:szCs w:val="18"/>
          <w:color w:val="auto"/>
        </w:rPr>
        <w:t>Order backlog represents business under existing contractual obligations as of the Acquisition Date. The fair value of backlog was determined using the multi-period excess earnings method under the income approach based on expected operating cash flows from future contractual revenue. The economic useful life was determined based on the expected life of the backlog and the cash flows over the forecast period.</w:t>
      </w:r>
    </w:p>
    <w:p>
      <w:pPr>
        <w:spacing w:after="0" w:line="202" w:lineRule="exact"/>
        <w:rPr>
          <w:sz w:val="20"/>
          <w:szCs w:val="20"/>
          <w:color w:val="auto"/>
        </w:rPr>
      </w:pPr>
    </w:p>
    <w:p>
      <w:pPr>
        <w:jc w:val="both"/>
        <w:ind w:left="1520"/>
        <w:spacing w:after="0" w:line="239" w:lineRule="auto"/>
        <w:rPr>
          <w:sz w:val="20"/>
          <w:szCs w:val="20"/>
          <w:color w:val="auto"/>
        </w:rPr>
      </w:pPr>
      <w:r>
        <w:rPr>
          <w:rFonts w:ascii="Arial" w:cs="Arial" w:eastAsia="Arial" w:hAnsi="Arial"/>
          <w:sz w:val="18"/>
          <w:szCs w:val="18"/>
          <w:color w:val="auto"/>
        </w:rPr>
        <w:t>Trade name relates to the “Broadcom” trade name. The fair value was determined by applying the relief-from-royalty method under the income approach. This valuation method is based on the application of a royalty rate to forecasted revenue under the trade name. The economic useful life was determined based on the expected life of the trade name and the cash flows anticipated over the forecasted periods.</w:t>
      </w:r>
    </w:p>
    <w:p>
      <w:pPr>
        <w:spacing w:after="0" w:line="202" w:lineRule="exact"/>
        <w:rPr>
          <w:sz w:val="20"/>
          <w:szCs w:val="20"/>
          <w:color w:val="auto"/>
        </w:rPr>
      </w:pPr>
    </w:p>
    <w:p>
      <w:pPr>
        <w:jc w:val="both"/>
        <w:ind w:left="1520"/>
        <w:spacing w:after="0"/>
        <w:rPr>
          <w:sz w:val="20"/>
          <w:szCs w:val="20"/>
          <w:color w:val="auto"/>
        </w:rPr>
      </w:pPr>
      <w:r>
        <w:rPr>
          <w:rFonts w:ascii="Arial" w:cs="Arial" w:eastAsia="Arial" w:hAnsi="Arial"/>
          <w:sz w:val="18"/>
          <w:szCs w:val="18"/>
          <w:color w:val="auto"/>
        </w:rPr>
        <w:t>The fair value of IPR&amp;D was determined using the multi-period excess earnings method under the income approach. This method reflects the present value of the projected cash flows that are expected to be generated by the IPR&amp;D, less charges representing the contribution of other assets to those cash flows.</w:t>
      </w:r>
    </w:p>
    <w:p>
      <w:pPr>
        <w:spacing w:after="0" w:line="203" w:lineRule="exact"/>
        <w:rPr>
          <w:sz w:val="20"/>
          <w:szCs w:val="20"/>
          <w:color w:val="auto"/>
        </w:rPr>
      </w:pPr>
    </w:p>
    <w:p>
      <w:pPr>
        <w:jc w:val="both"/>
        <w:ind w:left="1520"/>
        <w:spacing w:after="0" w:line="246" w:lineRule="auto"/>
        <w:rPr>
          <w:sz w:val="20"/>
          <w:szCs w:val="20"/>
          <w:color w:val="auto"/>
        </w:rPr>
      </w:pPr>
      <w:r>
        <w:rPr>
          <w:rFonts w:ascii="Arial" w:cs="Arial" w:eastAsia="Arial" w:hAnsi="Arial"/>
          <w:sz w:val="18"/>
          <w:szCs w:val="18"/>
          <w:color w:val="auto"/>
        </w:rPr>
        <w:t>The amounts of purchased intangible assets recorded above represent the fair values of, and approximate the amounts a market participant would pay for, these intangible assets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A-108</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Acquisition of Broadcom Corporation (continued)</w:t>
      </w:r>
    </w:p>
    <w:p>
      <w:pPr>
        <w:spacing w:after="0" w:line="126" w:lineRule="exact"/>
        <w:rPr>
          <w:sz w:val="20"/>
          <w:szCs w:val="20"/>
          <w:color w:val="auto"/>
        </w:rPr>
      </w:pPr>
    </w:p>
    <w:p>
      <w:pPr>
        <w:ind w:left="1620" w:hanging="538"/>
        <w:spacing w:after="0"/>
        <w:tabs>
          <w:tab w:leader="none" w:pos="1620" w:val="left"/>
        </w:tabs>
        <w:numPr>
          <w:ilvl w:val="0"/>
          <w:numId w:val="28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Acquired intangible assets </w:t>
      </w:r>
      <w:r>
        <w:rPr>
          <w:rFonts w:ascii="Arial" w:cs="Arial" w:eastAsia="Arial" w:hAnsi="Arial"/>
          <w:sz w:val="18"/>
          <w:szCs w:val="18"/>
          <w:color w:val="auto"/>
        </w:rPr>
        <w:t>(continued)</w:t>
      </w:r>
    </w:p>
    <w:p>
      <w:pPr>
        <w:spacing w:after="0" w:line="16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following table summarises the details of IPR&amp;D by category as of the Acquisition Date:</w:t>
      </w:r>
    </w:p>
    <w:p>
      <w:pPr>
        <w:spacing w:after="0" w:line="241" w:lineRule="exact"/>
        <w:rPr>
          <w:sz w:val="20"/>
          <w:szCs w:val="20"/>
          <w:color w:val="auto"/>
        </w:rPr>
      </w:pPr>
    </w:p>
    <w:tbl>
      <w:tblPr>
        <w:tblLayout w:type="fixed"/>
        <w:tblInd w:w="15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rPr>
              <w:t>Percentage</w:t>
            </w:r>
          </w:p>
        </w:tc>
        <w:tc>
          <w:tcPr>
            <w:tcW w:w="1160" w:type="dxa"/>
            <w:vAlign w:val="bottom"/>
            <w:gridSpan w:val="3"/>
          </w:tcPr>
          <w:p>
            <w:pPr>
              <w:jc w:val="center"/>
              <w:spacing w:after="0"/>
              <w:rPr>
                <w:sz w:val="20"/>
                <w:szCs w:val="20"/>
                <w:color w:val="auto"/>
              </w:rPr>
            </w:pPr>
            <w:r>
              <w:rPr>
                <w:rFonts w:ascii="Arial" w:cs="Arial" w:eastAsia="Arial" w:hAnsi="Arial"/>
                <w:sz w:val="16"/>
                <w:szCs w:val="16"/>
                <w:color w:val="auto"/>
              </w:rPr>
              <w:t>Estimated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gridSpan w:val="3"/>
            <w:vMerge w:val="restart"/>
          </w:tcPr>
          <w:p>
            <w:pPr>
              <w:spacing w:after="0"/>
              <w:rPr>
                <w:sz w:val="20"/>
                <w:szCs w:val="20"/>
                <w:color w:val="auto"/>
              </w:rPr>
            </w:pPr>
            <w:r>
              <w:rPr>
                <w:rFonts w:ascii="Arial" w:cs="Arial" w:eastAsia="Arial" w:hAnsi="Arial"/>
                <w:sz w:val="17"/>
                <w:szCs w:val="17"/>
                <w:color w:val="auto"/>
              </w:rPr>
              <w:t>Description</w:t>
            </w: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rPr>
              <w:t>of completion</w:t>
            </w:r>
          </w:p>
        </w:tc>
        <w:tc>
          <w:tcPr>
            <w:tcW w:w="2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rPr>
              <w:t>cost to</w:t>
            </w:r>
          </w:p>
        </w:tc>
        <w:tc>
          <w:tcPr>
            <w:tcW w:w="18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Estimated</w:t>
            </w:r>
          </w:p>
        </w:tc>
        <w:tc>
          <w:tcPr>
            <w:tcW w:w="0" w:type="dxa"/>
            <w:vAlign w:val="bottom"/>
          </w:tcPr>
          <w:p>
            <w:pPr>
              <w:spacing w:after="0"/>
              <w:rPr>
                <w:sz w:val="1"/>
                <w:szCs w:val="1"/>
                <w:color w:val="auto"/>
              </w:rPr>
            </w:pPr>
          </w:p>
        </w:tc>
      </w:tr>
      <w:tr>
        <w:trPr>
          <w:trHeight w:val="187"/>
        </w:trPr>
        <w:tc>
          <w:tcPr>
            <w:tcW w:w="4880" w:type="dxa"/>
            <w:vAlign w:val="bottom"/>
            <w:gridSpan w:val="3"/>
            <w:vMerge w:val="continue"/>
          </w:tcPr>
          <w:p>
            <w:pPr>
              <w:spacing w:after="0"/>
              <w:rPr>
                <w:sz w:val="16"/>
                <w:szCs w:val="16"/>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6"/>
                <w:szCs w:val="16"/>
                <w:color w:val="auto"/>
              </w:rPr>
              <w:t>IPR&amp;D</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rPr>
              <w:t>at acquisition</w:t>
            </w:r>
          </w:p>
        </w:tc>
        <w:tc>
          <w:tcPr>
            <w:tcW w:w="1160" w:type="dxa"/>
            <w:vAlign w:val="bottom"/>
            <w:gridSpan w:val="3"/>
          </w:tcPr>
          <w:p>
            <w:pPr>
              <w:jc w:val="center"/>
              <w:ind w:right="20"/>
              <w:spacing w:after="0"/>
              <w:rPr>
                <w:sz w:val="20"/>
                <w:szCs w:val="20"/>
                <w:color w:val="auto"/>
              </w:rPr>
            </w:pPr>
            <w:r>
              <w:rPr>
                <w:rFonts w:ascii="Arial" w:cs="Arial" w:eastAsia="Arial" w:hAnsi="Arial"/>
                <w:sz w:val="16"/>
                <w:szCs w:val="16"/>
                <w:color w:val="auto"/>
              </w:rPr>
              <w:t>complete</w:t>
            </w:r>
          </w:p>
        </w:tc>
        <w:tc>
          <w:tcPr>
            <w:tcW w:w="1220" w:type="dxa"/>
            <w:vAlign w:val="bottom"/>
            <w:gridSpan w:val="3"/>
          </w:tcPr>
          <w:p>
            <w:pPr>
              <w:jc w:val="right"/>
              <w:ind w:right="160"/>
              <w:spacing w:after="0"/>
              <w:rPr>
                <w:sz w:val="20"/>
                <w:szCs w:val="20"/>
                <w:color w:val="auto"/>
              </w:rPr>
            </w:pPr>
            <w:r>
              <w:rPr>
                <w:rFonts w:ascii="Arial" w:cs="Arial" w:eastAsia="Arial" w:hAnsi="Arial"/>
                <w:sz w:val="16"/>
                <w:szCs w:val="16"/>
                <w:color w:val="auto"/>
              </w:rPr>
              <w:t>release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6"/>
                <w:szCs w:val="16"/>
                <w:color w:val="auto"/>
                <w:w w:val="86"/>
              </w:rPr>
              <w:t>(US</w:t>
            </w: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2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w w:val="99"/>
              </w:rPr>
              <w:t>$ millions)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(US$ millions)</w:t>
            </w:r>
          </w:p>
        </w:tc>
        <w:tc>
          <w:tcPr>
            <w:tcW w:w="122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(financial year)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Set-top box solutions</w:t>
            </w:r>
          </w:p>
        </w:tc>
        <w:tc>
          <w:tcPr>
            <w:tcW w:w="11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90</w:t>
            </w:r>
          </w:p>
        </w:tc>
        <w:tc>
          <w:tcPr>
            <w:tcW w:w="12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56%</w:t>
            </w:r>
          </w:p>
        </w:tc>
        <w:tc>
          <w:tcPr>
            <w:tcW w:w="11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90</w:t>
            </w:r>
          </w:p>
        </w:tc>
        <w:tc>
          <w:tcPr>
            <w:tcW w:w="12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2016 - 2017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gridSpan w:val="2"/>
          </w:tcPr>
          <w:p>
            <w:pPr>
              <w:spacing w:after="0" w:line="189" w:lineRule="exact"/>
              <w:rPr>
                <w:sz w:val="20"/>
                <w:szCs w:val="20"/>
                <w:color w:val="auto"/>
              </w:rPr>
            </w:pPr>
            <w:r>
              <w:rPr>
                <w:rFonts w:ascii="Arial" w:cs="Arial" w:eastAsia="Arial" w:hAnsi="Arial"/>
                <w:sz w:val="17"/>
                <w:szCs w:val="17"/>
                <w:color w:val="auto"/>
              </w:rPr>
              <w:t>Broadband carrier access solutions</w:t>
            </w:r>
          </w:p>
        </w:tc>
        <w:tc>
          <w:tcPr>
            <w:tcW w:w="11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390</w:t>
            </w:r>
          </w:p>
        </w:tc>
        <w:tc>
          <w:tcPr>
            <w:tcW w:w="12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11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376</w:t>
            </w:r>
          </w:p>
        </w:tc>
        <w:tc>
          <w:tcPr>
            <w:tcW w:w="12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2016 - 2018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Carrier switch solutions</w:t>
            </w:r>
          </w:p>
        </w:tc>
        <w:tc>
          <w:tcPr>
            <w:tcW w:w="11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270</w:t>
            </w:r>
          </w:p>
        </w:tc>
        <w:tc>
          <w:tcPr>
            <w:tcW w:w="12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11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255</w:t>
            </w:r>
          </w:p>
        </w:tc>
        <w:tc>
          <w:tcPr>
            <w:tcW w:w="12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2016 - 2019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gridSpan w:val="2"/>
          </w:tcPr>
          <w:p>
            <w:pPr>
              <w:spacing w:after="0" w:line="189" w:lineRule="exact"/>
              <w:rPr>
                <w:sz w:val="20"/>
                <w:szCs w:val="20"/>
                <w:color w:val="auto"/>
              </w:rPr>
            </w:pPr>
            <w:r>
              <w:rPr>
                <w:rFonts w:ascii="Arial" w:cs="Arial" w:eastAsia="Arial" w:hAnsi="Arial"/>
                <w:sz w:val="17"/>
                <w:szCs w:val="17"/>
                <w:color w:val="auto"/>
              </w:rPr>
              <w:t>Compute and connectivity solutions</w:t>
            </w:r>
          </w:p>
        </w:tc>
        <w:tc>
          <w:tcPr>
            <w:tcW w:w="11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170</w:t>
            </w:r>
          </w:p>
        </w:tc>
        <w:tc>
          <w:tcPr>
            <w:tcW w:w="12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61%</w:t>
            </w:r>
          </w:p>
        </w:tc>
        <w:tc>
          <w:tcPr>
            <w:tcW w:w="11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136</w:t>
            </w:r>
          </w:p>
        </w:tc>
        <w:tc>
          <w:tcPr>
            <w:tcW w:w="12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2016 - 2018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Physical layer product solutions</w:t>
            </w:r>
          </w:p>
        </w:tc>
        <w:tc>
          <w:tcPr>
            <w:tcW w:w="11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190</w:t>
            </w:r>
          </w:p>
        </w:tc>
        <w:tc>
          <w:tcPr>
            <w:tcW w:w="12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11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71</w:t>
            </w:r>
          </w:p>
        </w:tc>
        <w:tc>
          <w:tcPr>
            <w:tcW w:w="12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2016 - 2019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gridSpan w:val="2"/>
          </w:tcPr>
          <w:p>
            <w:pPr>
              <w:spacing w:after="0" w:line="189" w:lineRule="exact"/>
              <w:rPr>
                <w:sz w:val="20"/>
                <w:szCs w:val="20"/>
                <w:color w:val="auto"/>
              </w:rPr>
            </w:pPr>
            <w:r>
              <w:rPr>
                <w:rFonts w:ascii="Arial" w:cs="Arial" w:eastAsia="Arial" w:hAnsi="Arial"/>
                <w:sz w:val="17"/>
                <w:szCs w:val="17"/>
                <w:color w:val="auto"/>
              </w:rPr>
              <w:t>Wireless connectivity combo solutions</w:t>
            </w:r>
          </w:p>
        </w:tc>
        <w:tc>
          <w:tcPr>
            <w:tcW w:w="11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770</w:t>
            </w:r>
          </w:p>
        </w:tc>
        <w:tc>
          <w:tcPr>
            <w:tcW w:w="12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57%</w:t>
            </w:r>
          </w:p>
        </w:tc>
        <w:tc>
          <w:tcPr>
            <w:tcW w:w="11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364</w:t>
            </w:r>
          </w:p>
        </w:tc>
        <w:tc>
          <w:tcPr>
            <w:tcW w:w="12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2016 - 2018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Touch controllers</w:t>
            </w:r>
          </w:p>
        </w:tc>
        <w:tc>
          <w:tcPr>
            <w:tcW w:w="11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70</w:t>
            </w:r>
          </w:p>
        </w:tc>
        <w:tc>
          <w:tcPr>
            <w:tcW w:w="12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39%</w:t>
            </w:r>
          </w:p>
        </w:tc>
        <w:tc>
          <w:tcPr>
            <w:tcW w:w="11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21</w:t>
            </w:r>
          </w:p>
        </w:tc>
        <w:tc>
          <w:tcPr>
            <w:tcW w:w="12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2016 - 2017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Total</w:t>
            </w:r>
          </w:p>
        </w:tc>
        <w:tc>
          <w:tcPr>
            <w:tcW w:w="118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7"/>
                <w:szCs w:val="17"/>
                <w:b w:val="1"/>
                <w:bCs w:val="1"/>
                <w:color w:val="auto"/>
              </w:rPr>
              <w:t>1,950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520" w:right="20"/>
        <w:spacing w:after="0" w:line="239" w:lineRule="auto"/>
        <w:rPr>
          <w:sz w:val="20"/>
          <w:szCs w:val="20"/>
          <w:color w:val="auto"/>
        </w:rPr>
      </w:pPr>
      <w:r>
        <w:rPr>
          <w:rFonts w:ascii="Arial" w:cs="Arial" w:eastAsia="Arial" w:hAnsi="Arial"/>
          <w:sz w:val="18"/>
          <w:szCs w:val="18"/>
          <w:color w:val="auto"/>
        </w:rPr>
        <w:t>Discount rates of 14% and 16% were applied to the projected cash flows to reflect the risk related to these wired and wireless IPR&amp;D projects, respectively. These discount rates represent a premium of 2% over the respective wired and wireless weighted-average cost of capital to reflect the higher risk and uncertainty of the cash flows for IPR&amp;D relative to the overall businesses.</w:t>
      </w:r>
    </w:p>
    <w:p>
      <w:pPr>
        <w:spacing w:after="0" w:line="202" w:lineRule="exact"/>
        <w:rPr>
          <w:sz w:val="20"/>
          <w:szCs w:val="20"/>
          <w:color w:val="auto"/>
        </w:rPr>
      </w:pPr>
    </w:p>
    <w:p>
      <w:pPr>
        <w:jc w:val="both"/>
        <w:ind w:left="1520" w:right="20"/>
        <w:spacing w:after="0"/>
        <w:rPr>
          <w:sz w:val="20"/>
          <w:szCs w:val="20"/>
          <w:color w:val="auto"/>
        </w:rPr>
      </w:pPr>
      <w:r>
        <w:rPr>
          <w:rFonts w:ascii="Arial" w:cs="Arial" w:eastAsia="Arial" w:hAnsi="Arial"/>
          <w:sz w:val="18"/>
          <w:szCs w:val="18"/>
          <w:color w:val="auto"/>
        </w:rPr>
        <w:t>During financial year 2016, US$411 million of acquired IPR&amp;D was written-off to restructuring, impairment and disposal charges, as those projects were not developed further. The majority of these abandoned IPR&amp;D projects relates to wireless connectivity combo and broadband carrier access solutions.</w:t>
      </w:r>
    </w:p>
    <w:p>
      <w:pPr>
        <w:spacing w:after="0" w:line="212" w:lineRule="exact"/>
        <w:rPr>
          <w:sz w:val="20"/>
          <w:szCs w:val="20"/>
          <w:color w:val="auto"/>
        </w:rPr>
      </w:pPr>
    </w:p>
    <w:p>
      <w:pPr>
        <w:ind w:left="1620" w:hanging="538"/>
        <w:spacing w:after="0"/>
        <w:tabs>
          <w:tab w:leader="none" w:pos="1620" w:val="left"/>
        </w:tabs>
        <w:numPr>
          <w:ilvl w:val="0"/>
          <w:numId w:val="287"/>
        </w:numPr>
        <w:rPr>
          <w:rFonts w:ascii="Arial" w:cs="Arial" w:eastAsia="Arial" w:hAnsi="Arial"/>
          <w:sz w:val="18"/>
          <w:szCs w:val="18"/>
          <w:i w:val="1"/>
          <w:iCs w:val="1"/>
          <w:color w:val="auto"/>
        </w:rPr>
      </w:pPr>
      <w:r>
        <w:rPr>
          <w:rFonts w:ascii="Arial" w:cs="Arial" w:eastAsia="Arial" w:hAnsi="Arial"/>
          <w:sz w:val="18"/>
          <w:szCs w:val="18"/>
          <w:i w:val="1"/>
          <w:iCs w:val="1"/>
          <w:color w:val="auto"/>
        </w:rPr>
        <w:t>Acquired receivables</w:t>
      </w:r>
    </w:p>
    <w:p>
      <w:pPr>
        <w:spacing w:after="0" w:line="230" w:lineRule="exact"/>
        <w:rPr>
          <w:sz w:val="20"/>
          <w:szCs w:val="20"/>
          <w:color w:val="auto"/>
        </w:rPr>
      </w:pPr>
    </w:p>
    <w:p>
      <w:pPr>
        <w:ind w:left="1520" w:right="20"/>
        <w:spacing w:after="0" w:line="246" w:lineRule="auto"/>
        <w:rPr>
          <w:sz w:val="20"/>
          <w:szCs w:val="20"/>
          <w:color w:val="auto"/>
        </w:rPr>
      </w:pPr>
      <w:r>
        <w:rPr>
          <w:rFonts w:ascii="Arial" w:cs="Arial" w:eastAsia="Arial" w:hAnsi="Arial"/>
          <w:sz w:val="18"/>
          <w:szCs w:val="18"/>
          <w:color w:val="auto"/>
        </w:rPr>
        <w:t>The fair value of trade accounts receivables is US$669 million. The gross contractual amount for trade accounts receivables due is $696 million, of which $10 million is expected to be uncollectible.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A-109</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32.</w:t>
            </w:r>
          </w:p>
        </w:tc>
        <w:tc>
          <w:tcPr>
            <w:tcW w:w="3900" w:type="dxa"/>
            <w:vAlign w:val="bottom"/>
            <w:gridSpan w:val="2"/>
          </w:tcPr>
          <w:p>
            <w:pPr>
              <w:ind w:left="260"/>
              <w:spacing w:after="0"/>
              <w:rPr>
                <w:sz w:val="20"/>
                <w:szCs w:val="20"/>
                <w:color w:val="auto"/>
              </w:rPr>
            </w:pPr>
            <w:r>
              <w:rPr>
                <w:rFonts w:ascii="Arial" w:cs="Arial" w:eastAsia="Arial" w:hAnsi="Arial"/>
                <w:sz w:val="18"/>
                <w:szCs w:val="18"/>
                <w:b w:val="1"/>
                <w:bCs w:val="1"/>
                <w:color w:val="auto"/>
              </w:rPr>
              <w:t>Other reserves</w:t>
            </w: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900" w:type="dxa"/>
            <w:vAlign w:val="bottom"/>
            <w:gridSpan w:val="3"/>
          </w:tcPr>
          <w:p>
            <w:pPr>
              <w:ind w:left="1440"/>
              <w:spacing w:after="0"/>
              <w:rPr>
                <w:sz w:val="20"/>
                <w:szCs w:val="20"/>
                <w:color w:val="auto"/>
              </w:rPr>
            </w:pPr>
            <w:r>
              <w:rPr>
                <w:rFonts w:ascii="Arial" w:cs="Arial" w:eastAsia="Arial" w:hAnsi="Arial"/>
                <w:sz w:val="16"/>
                <w:szCs w:val="16"/>
                <w:color w:val="auto"/>
                <w:w w:val="98"/>
              </w:rPr>
              <w:t>Group</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gridSpan w:val="4"/>
          </w:tcPr>
          <w:p>
            <w:pPr>
              <w:jc w:val="right"/>
              <w:ind w:right="979"/>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253"/>
        </w:trPr>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jc w:val="right"/>
              <w:ind w:right="359"/>
              <w:spacing w:after="0"/>
              <w:rPr>
                <w:sz w:val="20"/>
                <w:szCs w:val="20"/>
                <w:color w:val="auto"/>
              </w:rPr>
            </w:pPr>
            <w:r>
              <w:rPr>
                <w:rFonts w:ascii="Arial" w:cs="Arial" w:eastAsia="Arial" w:hAnsi="Arial"/>
                <w:sz w:val="16"/>
                <w:szCs w:val="16"/>
                <w:color w:val="auto"/>
              </w:rPr>
              <w:t>2016</w:t>
            </w:r>
          </w:p>
        </w:tc>
        <w:tc>
          <w:tcPr>
            <w:tcW w:w="360" w:type="dxa"/>
            <w:vAlign w:val="bottom"/>
          </w:tcPr>
          <w:p>
            <w:pPr>
              <w:spacing w:after="0"/>
              <w:rPr>
                <w:sz w:val="21"/>
                <w:szCs w:val="21"/>
                <w:color w:val="auto"/>
              </w:rPr>
            </w:pPr>
          </w:p>
        </w:tc>
        <w:tc>
          <w:tcPr>
            <w:tcW w:w="14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07"/>
        </w:trPr>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9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(US$ millions)</w:t>
            </w:r>
          </w:p>
        </w:tc>
        <w:tc>
          <w:tcPr>
            <w:tcW w:w="1520" w:type="dxa"/>
            <w:vAlign w:val="bottom"/>
            <w:gridSpan w:val="2"/>
          </w:tcPr>
          <w:p>
            <w:pPr>
              <w:ind w:left="40"/>
              <w:spacing w:after="0"/>
              <w:rPr>
                <w:sz w:val="20"/>
                <w:szCs w:val="20"/>
                <w:color w:val="auto"/>
              </w:rPr>
            </w:pPr>
            <w:r>
              <w:rPr>
                <w:rFonts w:ascii="Arial" w:cs="Arial" w:eastAsia="Arial" w:hAnsi="Arial"/>
                <w:sz w:val="16"/>
                <w:szCs w:val="16"/>
                <w:color w:val="auto"/>
              </w:rPr>
              <w:t>(US$ millions)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(US$ millions)</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(US$ millions)</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Composition:</w:t>
            </w:r>
          </w:p>
        </w:tc>
        <w:tc>
          <w:tcPr>
            <w:tcW w:w="1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3900" w:type="dxa"/>
            <w:vAlign w:val="bottom"/>
            <w:gridSpan w:val="2"/>
          </w:tcPr>
          <w:p>
            <w:pPr>
              <w:ind w:left="1140"/>
              <w:spacing w:after="0"/>
              <w:rPr>
                <w:sz w:val="20"/>
                <w:szCs w:val="20"/>
                <w:color w:val="auto"/>
              </w:rPr>
            </w:pPr>
            <w:r>
              <w:rPr>
                <w:rFonts w:ascii="Arial" w:cs="Arial" w:eastAsia="Arial" w:hAnsi="Arial"/>
                <w:sz w:val="16"/>
                <w:szCs w:val="16"/>
                <w:color w:val="auto"/>
              </w:rPr>
              <w:t>Capital reserves</w:t>
            </w:r>
          </w:p>
        </w:tc>
        <w:tc>
          <w:tcPr>
            <w:tcW w:w="1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86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rPr>
              <w:t>-</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Share-based payment reserves</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1,700</w:t>
            </w: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779</w:t>
            </w:r>
          </w:p>
        </w:tc>
        <w:tc>
          <w:tcPr>
            <w:tcW w:w="360" w:type="dxa"/>
            <w:vAlign w:val="bottom"/>
            <w:shd w:val="clear" w:color="auto" w:fill="CCEEFF"/>
          </w:tcPr>
          <w:p>
            <w:pPr>
              <w:spacing w:after="0"/>
              <w:rPr>
                <w:sz w:val="16"/>
                <w:szCs w:val="16"/>
                <w:color w:val="auto"/>
              </w:rPr>
            </w:pPr>
          </w:p>
        </w:tc>
        <w:tc>
          <w:tcPr>
            <w:tcW w:w="186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1,618</w:t>
            </w: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3900" w:type="dxa"/>
            <w:vAlign w:val="bottom"/>
            <w:gridSpan w:val="2"/>
          </w:tcPr>
          <w:p>
            <w:pPr>
              <w:ind w:left="1140"/>
              <w:spacing w:after="0"/>
              <w:rPr>
                <w:sz w:val="20"/>
                <w:szCs w:val="20"/>
                <w:color w:val="auto"/>
              </w:rPr>
            </w:pPr>
            <w:r>
              <w:rPr>
                <w:rFonts w:ascii="Arial" w:cs="Arial" w:eastAsia="Arial" w:hAnsi="Arial"/>
                <w:sz w:val="16"/>
                <w:szCs w:val="16"/>
                <w:color w:val="auto"/>
              </w:rPr>
              <w:t>Accumulated other comprehensive</w:t>
            </w:r>
          </w:p>
        </w:tc>
        <w:tc>
          <w:tcPr>
            <w:tcW w:w="188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rPr>
              <w:t>(106)</w:t>
            </w: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right"/>
              <w:ind w:right="200"/>
              <w:spacing w:after="0"/>
              <w:rPr>
                <w:sz w:val="20"/>
                <w:szCs w:val="20"/>
                <w:color w:val="auto"/>
              </w:rPr>
            </w:pPr>
            <w:r>
              <w:rPr>
                <w:rFonts w:ascii="Arial" w:cs="Arial" w:eastAsia="Arial" w:hAnsi="Arial"/>
                <w:sz w:val="16"/>
                <w:szCs w:val="16"/>
                <w:b w:val="1"/>
                <w:bCs w:val="1"/>
                <w:color w:val="auto"/>
              </w:rPr>
              <w:t>(73)</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740" w:type="dxa"/>
            <w:vAlign w:val="bottom"/>
          </w:tcPr>
          <w:p>
            <w:pPr>
              <w:ind w:left="140"/>
              <w:spacing w:after="0"/>
              <w:rPr>
                <w:sz w:val="20"/>
                <w:szCs w:val="20"/>
                <w:color w:val="auto"/>
              </w:rPr>
            </w:pPr>
            <w:r>
              <w:rPr>
                <w:rFonts w:ascii="Arial" w:cs="Arial" w:eastAsia="Arial" w:hAnsi="Arial"/>
                <w:sz w:val="16"/>
                <w:szCs w:val="16"/>
                <w:color w:val="auto"/>
              </w:rPr>
              <w:t>loss</w:t>
            </w:r>
          </w:p>
        </w:tc>
        <w:tc>
          <w:tcPr>
            <w:tcW w:w="18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(149)</w:t>
            </w:r>
          </w:p>
        </w:tc>
        <w:tc>
          <w:tcPr>
            <w:tcW w:w="360" w:type="dxa"/>
            <w:vAlign w:val="bottom"/>
          </w:tcPr>
          <w:p>
            <w:pPr>
              <w:spacing w:after="0"/>
              <w:rPr>
                <w:sz w:val="17"/>
                <w:szCs w:val="17"/>
                <w:color w:val="auto"/>
              </w:rPr>
            </w:pPr>
          </w:p>
        </w:tc>
        <w:tc>
          <w:tcPr>
            <w:tcW w:w="1860" w:type="dxa"/>
            <w:vAlign w:val="bottom"/>
            <w:gridSpan w:val="4"/>
            <w:vMerge w:val="continue"/>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End of financial year</w:t>
            </w:r>
          </w:p>
        </w:tc>
        <w:tc>
          <w:tcPr>
            <w:tcW w:w="1880" w:type="dxa"/>
            <w:vAlign w:val="bottom"/>
            <w:tcBorders>
              <w:top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1,594</w:t>
            </w:r>
          </w:p>
        </w:tc>
        <w:tc>
          <w:tcPr>
            <w:tcW w:w="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630</w:t>
            </w: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2"/>
            <w:shd w:val="clear" w:color="auto" w:fill="CCEEFF"/>
          </w:tcPr>
          <w:p>
            <w:pPr>
              <w:spacing w:after="0"/>
              <w:rPr>
                <w:sz w:val="16"/>
                <w:szCs w:val="16"/>
                <w:color w:val="auto"/>
              </w:rPr>
            </w:pPr>
          </w:p>
        </w:tc>
        <w:tc>
          <w:tcPr>
            <w:tcW w:w="172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1,545</w:t>
            </w:r>
          </w:p>
        </w:tc>
        <w:tc>
          <w:tcPr>
            <w:tcW w:w="1340" w:type="dxa"/>
            <w:vAlign w:val="bottom"/>
            <w:tcBorders>
              <w:top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390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Movements</w:t>
            </w: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390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(i) Capital reserves </w:t>
            </w:r>
            <w:r>
              <w:rPr>
                <w:rFonts w:ascii="Arial" w:cs="Arial" w:eastAsia="Arial" w:hAnsi="Arial"/>
                <w:sz w:val="16"/>
                <w:szCs w:val="16"/>
                <w:color w:val="auto"/>
              </w:rPr>
              <w:t>(Note 2.24)</w:t>
            </w:r>
          </w:p>
        </w:tc>
        <w:tc>
          <w:tcPr>
            <w:tcW w:w="1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3900" w:type="dxa"/>
            <w:vAlign w:val="bottom"/>
            <w:gridSpan w:val="2"/>
          </w:tcPr>
          <w:p>
            <w:pPr>
              <w:ind w:left="1140"/>
              <w:spacing w:after="0"/>
              <w:rPr>
                <w:sz w:val="20"/>
                <w:szCs w:val="20"/>
                <w:color w:val="auto"/>
              </w:rPr>
            </w:pPr>
            <w:r>
              <w:rPr>
                <w:rFonts w:ascii="Arial" w:cs="Arial" w:eastAsia="Arial" w:hAnsi="Arial"/>
                <w:sz w:val="16"/>
                <w:szCs w:val="16"/>
                <w:color w:val="auto"/>
              </w:rPr>
              <w:t>Beginning of financial year</w:t>
            </w:r>
          </w:p>
        </w:tc>
        <w:tc>
          <w:tcPr>
            <w:tcW w:w="1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2,547</w:t>
            </w:r>
          </w:p>
        </w:tc>
        <w:tc>
          <w:tcPr>
            <w:tcW w:w="360" w:type="dxa"/>
            <w:vAlign w:val="bottom"/>
          </w:tcPr>
          <w:p>
            <w:pPr>
              <w:spacing w:after="0"/>
              <w:rPr>
                <w:sz w:val="16"/>
                <w:szCs w:val="16"/>
                <w:color w:val="auto"/>
              </w:rPr>
            </w:pPr>
          </w:p>
        </w:tc>
        <w:tc>
          <w:tcPr>
            <w:tcW w:w="186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rPr>
              <w:t>-</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Effects of capital reorganisation</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360" w:type="dxa"/>
            <w:vAlign w:val="bottom"/>
            <w:shd w:val="clear" w:color="auto" w:fill="CCEEFF"/>
          </w:tcPr>
          <w:p>
            <w:pPr>
              <w:spacing w:after="0"/>
              <w:rPr>
                <w:sz w:val="16"/>
                <w:szCs w:val="16"/>
                <w:color w:val="auto"/>
              </w:rPr>
            </w:pPr>
          </w:p>
        </w:tc>
        <w:tc>
          <w:tcPr>
            <w:tcW w:w="186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900" w:type="dxa"/>
            <w:vAlign w:val="bottom"/>
            <w:gridSpan w:val="2"/>
            <w:vMerge w:val="restart"/>
          </w:tcPr>
          <w:p>
            <w:pPr>
              <w:ind w:left="1140"/>
              <w:spacing w:after="0"/>
              <w:rPr>
                <w:sz w:val="20"/>
                <w:szCs w:val="20"/>
                <w:color w:val="auto"/>
              </w:rPr>
            </w:pPr>
            <w:r>
              <w:rPr>
                <w:rFonts w:ascii="Arial" w:cs="Arial" w:eastAsia="Arial" w:hAnsi="Arial"/>
                <w:sz w:val="16"/>
                <w:szCs w:val="16"/>
                <w:color w:val="auto"/>
              </w:rPr>
              <w:t>End of financial year</w:t>
            </w: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 w:type="dxa"/>
            <w:vAlign w:val="bottom"/>
          </w:tcPr>
          <w:p>
            <w:pPr>
              <w:spacing w:after="0"/>
              <w:rPr>
                <w:sz w:val="17"/>
                <w:szCs w:val="17"/>
                <w:color w:val="auto"/>
              </w:rPr>
            </w:pPr>
          </w:p>
        </w:tc>
        <w:tc>
          <w:tcPr>
            <w:tcW w:w="3900" w:type="dxa"/>
            <w:vAlign w:val="bottom"/>
            <w:gridSpan w:val="2"/>
            <w:vMerge w:val="continue"/>
          </w:tcPr>
          <w:p>
            <w:pPr>
              <w:spacing w:after="0"/>
              <w:rPr>
                <w:sz w:val="17"/>
                <w:szCs w:val="17"/>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(ii) Share-based payment reserves</w:t>
            </w:r>
          </w:p>
        </w:tc>
        <w:tc>
          <w:tcPr>
            <w:tcW w:w="1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3900" w:type="dxa"/>
            <w:vAlign w:val="bottom"/>
            <w:gridSpan w:val="2"/>
          </w:tcPr>
          <w:p>
            <w:pPr>
              <w:ind w:left="1140"/>
              <w:spacing w:after="0"/>
              <w:rPr>
                <w:sz w:val="20"/>
                <w:szCs w:val="20"/>
                <w:color w:val="auto"/>
              </w:rPr>
            </w:pPr>
            <w:r>
              <w:rPr>
                <w:rFonts w:ascii="Arial" w:cs="Arial" w:eastAsia="Arial" w:hAnsi="Arial"/>
                <w:sz w:val="16"/>
                <w:szCs w:val="16"/>
                <w:color w:val="auto"/>
              </w:rPr>
              <w:t>Beginning of financial year</w:t>
            </w:r>
          </w:p>
        </w:tc>
        <w:tc>
          <w:tcPr>
            <w:tcW w:w="1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779</w:t>
            </w:r>
          </w:p>
        </w:tc>
        <w:tc>
          <w:tcPr>
            <w:tcW w:w="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86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rPr>
              <w:t>697</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921</w:t>
            </w: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690</w:t>
            </w:r>
          </w:p>
        </w:tc>
        <w:tc>
          <w:tcPr>
            <w:tcW w:w="360" w:type="dxa"/>
            <w:vAlign w:val="bottom"/>
            <w:shd w:val="clear" w:color="auto" w:fill="CCEEFF"/>
          </w:tcPr>
          <w:p>
            <w:pPr>
              <w:spacing w:after="0"/>
              <w:rPr>
                <w:sz w:val="16"/>
                <w:szCs w:val="16"/>
                <w:color w:val="auto"/>
              </w:rPr>
            </w:pPr>
          </w:p>
        </w:tc>
        <w:tc>
          <w:tcPr>
            <w:tcW w:w="186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921</w:t>
            </w: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3900" w:type="dxa"/>
            <w:vAlign w:val="bottom"/>
            <w:gridSpan w:val="2"/>
          </w:tcPr>
          <w:p>
            <w:pPr>
              <w:ind w:left="1140"/>
              <w:spacing w:after="0"/>
              <w:rPr>
                <w:sz w:val="20"/>
                <w:szCs w:val="20"/>
                <w:color w:val="auto"/>
              </w:rPr>
            </w:pPr>
            <w:r>
              <w:rPr>
                <w:rFonts w:ascii="Arial" w:cs="Arial" w:eastAsia="Arial" w:hAnsi="Arial"/>
                <w:sz w:val="16"/>
                <w:szCs w:val="16"/>
                <w:color w:val="auto"/>
              </w:rPr>
              <w:t>Excess tax-benefits from share-</w:t>
            </w:r>
          </w:p>
        </w:tc>
        <w:tc>
          <w:tcPr>
            <w:tcW w:w="188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740" w:type="dxa"/>
            <w:vAlign w:val="bottom"/>
          </w:tcPr>
          <w:p>
            <w:pPr>
              <w:ind w:left="140"/>
              <w:spacing w:after="0"/>
              <w:rPr>
                <w:sz w:val="20"/>
                <w:szCs w:val="20"/>
                <w:color w:val="auto"/>
              </w:rPr>
            </w:pPr>
            <w:r>
              <w:rPr>
                <w:rFonts w:ascii="Arial" w:cs="Arial" w:eastAsia="Arial" w:hAnsi="Arial"/>
                <w:sz w:val="16"/>
                <w:szCs w:val="16"/>
                <w:color w:val="auto"/>
              </w:rPr>
              <w:t>based compensation</w:t>
            </w:r>
          </w:p>
        </w:tc>
        <w:tc>
          <w:tcPr>
            <w:tcW w:w="18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360" w:type="dxa"/>
            <w:vAlign w:val="bottom"/>
          </w:tcPr>
          <w:p>
            <w:pPr>
              <w:spacing w:after="0"/>
              <w:rPr>
                <w:sz w:val="17"/>
                <w:szCs w:val="17"/>
                <w:color w:val="auto"/>
              </w:rPr>
            </w:pPr>
          </w:p>
        </w:tc>
        <w:tc>
          <w:tcPr>
            <w:tcW w:w="1860" w:type="dxa"/>
            <w:vAlign w:val="bottom"/>
            <w:gridSpan w:val="4"/>
            <w:vMerge w:val="continue"/>
          </w:tcPr>
          <w:p>
            <w:pPr>
              <w:spacing w:after="0"/>
              <w:rPr>
                <w:sz w:val="17"/>
                <w:szCs w:val="17"/>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End of financial year</w:t>
            </w:r>
          </w:p>
        </w:tc>
        <w:tc>
          <w:tcPr>
            <w:tcW w:w="1880" w:type="dxa"/>
            <w:vAlign w:val="bottom"/>
            <w:tcBorders>
              <w:top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1,700</w:t>
            </w:r>
          </w:p>
        </w:tc>
        <w:tc>
          <w:tcPr>
            <w:tcW w:w="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779</w:t>
            </w: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2"/>
            <w:shd w:val="clear" w:color="auto" w:fill="CCEEFF"/>
          </w:tcPr>
          <w:p>
            <w:pPr>
              <w:spacing w:after="0"/>
              <w:rPr>
                <w:sz w:val="16"/>
                <w:szCs w:val="16"/>
                <w:color w:val="auto"/>
              </w:rPr>
            </w:pPr>
          </w:p>
        </w:tc>
        <w:tc>
          <w:tcPr>
            <w:tcW w:w="172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1,618</w:t>
            </w:r>
          </w:p>
        </w:tc>
        <w:tc>
          <w:tcPr>
            <w:tcW w:w="1340" w:type="dxa"/>
            <w:vAlign w:val="bottom"/>
            <w:tcBorders>
              <w:top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390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(iii) Accumulated other</w:t>
            </w: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390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40" w:type="dxa"/>
            <w:vAlign w:val="bottom"/>
          </w:tcPr>
          <w:p>
            <w:pPr>
              <w:ind w:left="140"/>
              <w:spacing w:after="0"/>
              <w:rPr>
                <w:sz w:val="20"/>
                <w:szCs w:val="20"/>
                <w:color w:val="auto"/>
              </w:rPr>
            </w:pPr>
            <w:r>
              <w:rPr>
                <w:rFonts w:ascii="Arial" w:cs="Arial" w:eastAsia="Arial" w:hAnsi="Arial"/>
                <w:sz w:val="16"/>
                <w:szCs w:val="16"/>
                <w:b w:val="1"/>
                <w:bCs w:val="1"/>
                <w:color w:val="auto"/>
              </w:rPr>
              <w:t>comprehensive loss</w:t>
            </w: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Beginning of financial year</w:t>
            </w:r>
          </w:p>
        </w:tc>
        <w:tc>
          <w:tcPr>
            <w:tcW w:w="1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(149)</w:t>
            </w: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360" w:type="dxa"/>
            <w:vAlign w:val="bottom"/>
            <w:shd w:val="clear" w:color="auto" w:fill="CCEEFF"/>
          </w:tcPr>
          <w:p>
            <w:pPr>
              <w:spacing w:after="0"/>
              <w:rPr>
                <w:sz w:val="16"/>
                <w:szCs w:val="16"/>
                <w:color w:val="auto"/>
              </w:rPr>
            </w:pPr>
          </w:p>
        </w:tc>
        <w:tc>
          <w:tcPr>
            <w:tcW w:w="186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3900" w:type="dxa"/>
            <w:vAlign w:val="bottom"/>
            <w:gridSpan w:val="2"/>
          </w:tcPr>
          <w:p>
            <w:pPr>
              <w:ind w:left="1140"/>
              <w:spacing w:after="0"/>
              <w:rPr>
                <w:sz w:val="20"/>
                <w:szCs w:val="20"/>
                <w:color w:val="auto"/>
              </w:rPr>
            </w:pPr>
            <w:r>
              <w:rPr>
                <w:rFonts w:ascii="Arial" w:cs="Arial" w:eastAsia="Arial" w:hAnsi="Arial"/>
                <w:sz w:val="16"/>
                <w:szCs w:val="16"/>
                <w:color w:val="auto"/>
              </w:rPr>
              <w:t>Unrealised loss on defined benefit</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tcPr>
          <w:p>
            <w:pPr>
              <w:ind w:left="140"/>
              <w:spacing w:after="0"/>
              <w:rPr>
                <w:sz w:val="20"/>
                <w:szCs w:val="20"/>
                <w:color w:val="auto"/>
              </w:rPr>
            </w:pPr>
            <w:r>
              <w:rPr>
                <w:rFonts w:ascii="Arial" w:cs="Arial" w:eastAsia="Arial" w:hAnsi="Arial"/>
                <w:sz w:val="16"/>
                <w:szCs w:val="16"/>
                <w:color w:val="auto"/>
              </w:rPr>
              <w:t>pension plans or post-retirement</w:t>
            </w:r>
          </w:p>
        </w:tc>
        <w:tc>
          <w:tcPr>
            <w:tcW w:w="188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42</w:t>
            </w: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tcPr>
          <w:p>
            <w:pPr>
              <w:ind w:left="140"/>
              <w:spacing w:after="0"/>
              <w:rPr>
                <w:sz w:val="20"/>
                <w:szCs w:val="20"/>
                <w:color w:val="auto"/>
              </w:rPr>
            </w:pPr>
            <w:r>
              <w:rPr>
                <w:rFonts w:ascii="Arial" w:cs="Arial" w:eastAsia="Arial" w:hAnsi="Arial"/>
                <w:sz w:val="16"/>
                <w:szCs w:val="16"/>
                <w:color w:val="auto"/>
              </w:rPr>
              <w:t>benefit plans</w:t>
            </w:r>
          </w:p>
        </w:tc>
        <w:tc>
          <w:tcPr>
            <w:tcW w:w="18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w:t>
            </w: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of net loss</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360" w:type="dxa"/>
            <w:vAlign w:val="bottom"/>
            <w:shd w:val="clear" w:color="auto" w:fill="CCEEFF"/>
          </w:tcPr>
          <w:p>
            <w:pPr>
              <w:spacing w:after="0"/>
              <w:rPr>
                <w:sz w:val="16"/>
                <w:szCs w:val="16"/>
                <w:color w:val="auto"/>
              </w:rPr>
            </w:pPr>
          </w:p>
        </w:tc>
        <w:tc>
          <w:tcPr>
            <w:tcW w:w="186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900" w:type="dxa"/>
            <w:vAlign w:val="bottom"/>
            <w:gridSpan w:val="2"/>
            <w:vMerge w:val="restart"/>
          </w:tcPr>
          <w:p>
            <w:pPr>
              <w:ind w:left="1140"/>
              <w:spacing w:after="0"/>
              <w:rPr>
                <w:sz w:val="20"/>
                <w:szCs w:val="20"/>
                <w:color w:val="auto"/>
              </w:rPr>
            </w:pPr>
            <w:r>
              <w:rPr>
                <w:rFonts w:ascii="Arial" w:cs="Arial" w:eastAsia="Arial" w:hAnsi="Arial"/>
                <w:sz w:val="16"/>
                <w:szCs w:val="16"/>
                <w:color w:val="auto"/>
              </w:rPr>
              <w:t>End of financial year</w:t>
            </w: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 w:type="dxa"/>
            <w:vAlign w:val="bottom"/>
          </w:tcPr>
          <w:p>
            <w:pPr>
              <w:spacing w:after="0"/>
              <w:rPr>
                <w:sz w:val="17"/>
                <w:szCs w:val="17"/>
                <w:color w:val="auto"/>
              </w:rPr>
            </w:pPr>
          </w:p>
        </w:tc>
        <w:tc>
          <w:tcPr>
            <w:tcW w:w="3900" w:type="dxa"/>
            <w:vAlign w:val="bottom"/>
            <w:gridSpan w:val="2"/>
            <w:vMerge w:val="continue"/>
          </w:tcPr>
          <w:p>
            <w:pPr>
              <w:spacing w:after="0"/>
              <w:rPr>
                <w:sz w:val="17"/>
                <w:szCs w:val="17"/>
                <w:color w:val="auto"/>
              </w:rPr>
            </w:pPr>
          </w:p>
        </w:tc>
        <w:tc>
          <w:tcPr>
            <w:tcW w:w="18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(106)</w:t>
            </w: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36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1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(73)</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980" w:hanging="776"/>
        <w:spacing w:after="0"/>
        <w:tabs>
          <w:tab w:leader="none" w:pos="98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Events occurring after balance sheet date</w:t>
      </w:r>
    </w:p>
    <w:p>
      <w:pPr>
        <w:spacing w:after="0" w:line="261" w:lineRule="exact"/>
        <w:rPr>
          <w:sz w:val="20"/>
          <w:szCs w:val="20"/>
          <w:color w:val="auto"/>
        </w:rPr>
      </w:pPr>
    </w:p>
    <w:p>
      <w:pPr>
        <w:ind w:left="980" w:hanging="776"/>
        <w:spacing w:after="0"/>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Acquisition of Brocade</w:t>
      </w:r>
    </w:p>
    <w:p>
      <w:pPr>
        <w:spacing w:after="0" w:line="211" w:lineRule="exact"/>
        <w:rPr>
          <w:rFonts w:ascii="Arial" w:cs="Arial" w:eastAsia="Arial" w:hAnsi="Arial"/>
          <w:sz w:val="18"/>
          <w:szCs w:val="18"/>
          <w:color w:val="auto"/>
        </w:rPr>
      </w:pPr>
    </w:p>
    <w:p>
      <w:pPr>
        <w:jc w:val="both"/>
        <w:ind w:left="980" w:right="20"/>
        <w:spacing w:after="0" w:line="236" w:lineRule="auto"/>
        <w:rPr>
          <w:rFonts w:ascii="Arial" w:cs="Arial" w:eastAsia="Arial" w:hAnsi="Arial"/>
          <w:sz w:val="18"/>
          <w:szCs w:val="18"/>
          <w:color w:val="auto"/>
        </w:rPr>
      </w:pPr>
      <w:r>
        <w:rPr>
          <w:rFonts w:ascii="Arial" w:cs="Arial" w:eastAsia="Arial" w:hAnsi="Arial"/>
          <w:sz w:val="18"/>
          <w:szCs w:val="18"/>
          <w:color w:val="auto"/>
        </w:rPr>
        <w:t>On 17 November 2017, (“Brocade Acquisition Date”), pursuant to the Agreement and Plan of Merger, by and among Broadcom, BRCM, Brocade Communications Systems, Inc. (“Brocade”), and Bobcat Merger Sub, Inc., (“Merger Sub”), which BRCM subsequently assigned to LSI on 18 December 2016, Merger Sub merged with and into Brocade with Brocade as the surviving corporation (“Brocade Merger”). As a result of the Brocade Merger, and Brocade stockholders who did not perfect their appraisal rights with respect to the Brocade Merger received, in aggregate, approximately $5.3 billion in cash in exchange for all shares of Brocade common stock issued and outstanding immediately prior to the effective time of the Brocade Merger. The Group also paid $701 million to retire Brocade’s term loan. In addition, the Group assumed certain vested (to the extent not in-the-money) and all unvested Brocade stock options, RSUs, and performance stock units (“PSUs”), held by continuing employees and service providers. All vested in-the-money Brocade stock options, after giving effect to any acceleration, and all other RSUs and PSUs were cashed out upon the Brocade Merger. As a result of the Brocade Merger, Brocade became an indirect subsidiary of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96520</wp:posOffset>
            </wp:positionV>
            <wp:extent cx="6997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A-110</w:t>
      </w:r>
    </w:p>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occurring after balance sheet date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Acquisition of Brocade (continued)</w:t>
      </w:r>
    </w:p>
    <w:p>
      <w:pPr>
        <w:spacing w:after="0" w:line="144" w:lineRule="exact"/>
        <w:rPr>
          <w:rFonts w:ascii="Arial" w:cs="Arial" w:eastAsia="Arial" w:hAnsi="Arial"/>
          <w:sz w:val="18"/>
          <w:szCs w:val="18"/>
          <w:color w:val="auto"/>
        </w:rPr>
      </w:pPr>
    </w:p>
    <w:p>
      <w:pPr>
        <w:jc w:val="both"/>
        <w:ind w:left="980" w:right="20"/>
        <w:spacing w:after="0" w:line="239" w:lineRule="auto"/>
        <w:rPr>
          <w:rFonts w:ascii="Arial" w:cs="Arial" w:eastAsia="Arial" w:hAnsi="Arial"/>
          <w:sz w:val="18"/>
          <w:szCs w:val="18"/>
          <w:color w:val="auto"/>
        </w:rPr>
      </w:pPr>
      <w:r>
        <w:rPr>
          <w:rFonts w:ascii="Arial" w:cs="Arial" w:eastAsia="Arial" w:hAnsi="Arial"/>
          <w:sz w:val="18"/>
          <w:szCs w:val="18"/>
          <w:color w:val="auto"/>
        </w:rPr>
        <w:t>Brocade was a leading supplier of networking hardware, software and services, including FC SAN solutions and Internet Protocol Networking (“IP Networking”) solutions. The Group acquired Brocade to enhance its position as a leading provider of enterprise storage connectivity solutions and, with a broader portfolio for enterprise storage, to increase its ability to address the evolving needs of its OEM customers.</w:t>
      </w:r>
    </w:p>
    <w:p>
      <w:pPr>
        <w:spacing w:after="0" w:line="20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aggregate consideration for the Brocade Merger consisted of the following:</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(US$ millions)</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Cash for outstanding Brocade common stock</w:t>
            </w:r>
          </w:p>
        </w:tc>
        <w:tc>
          <w:tcPr>
            <w:tcW w:w="22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5,298</w:t>
            </w:r>
          </w:p>
        </w:tc>
      </w:tr>
      <w:tr>
        <w:trPr>
          <w:trHeight w:val="216"/>
        </w:trPr>
        <w:tc>
          <w:tcPr>
            <w:tcW w:w="20" w:type="dxa"/>
            <w:vAlign w:val="bottom"/>
          </w:tcPr>
          <w:p>
            <w:pPr>
              <w:spacing w:after="0"/>
              <w:rPr>
                <w:sz w:val="18"/>
                <w:szCs w:val="18"/>
                <w:color w:val="auto"/>
              </w:rPr>
            </w:pPr>
          </w:p>
        </w:tc>
        <w:tc>
          <w:tcPr>
            <w:tcW w:w="8020" w:type="dxa"/>
            <w:vAlign w:val="bottom"/>
          </w:tcPr>
          <w:p>
            <w:pPr>
              <w:spacing w:after="0" w:line="216" w:lineRule="exact"/>
              <w:rPr>
                <w:sz w:val="20"/>
                <w:szCs w:val="20"/>
                <w:color w:val="auto"/>
              </w:rPr>
            </w:pPr>
            <w:r>
              <w:rPr>
                <w:rFonts w:ascii="Arial" w:cs="Arial" w:eastAsia="Arial" w:hAnsi="Arial"/>
                <w:sz w:val="20"/>
                <w:szCs w:val="20"/>
                <w:color w:val="auto"/>
              </w:rPr>
              <w:t>Cash paid by Broadcom to retire Brocade’s term loan</w:t>
            </w:r>
          </w:p>
        </w:tc>
        <w:tc>
          <w:tcPr>
            <w:tcW w:w="222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701</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Cash for vested Brocade equity awards</w:t>
            </w:r>
          </w:p>
        </w:tc>
        <w:tc>
          <w:tcPr>
            <w:tcW w:w="22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28</w:t>
            </w: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Fair value of partially vested assumed equity awards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23</w:t>
            </w: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line="209" w:lineRule="exact"/>
              <w:rPr>
                <w:sz w:val="20"/>
                <w:szCs w:val="20"/>
                <w:color w:val="auto"/>
              </w:rPr>
            </w:pPr>
            <w:r>
              <w:rPr>
                <w:rFonts w:ascii="Arial" w:cs="Arial" w:eastAsia="Arial" w:hAnsi="Arial"/>
                <w:sz w:val="20"/>
                <w:szCs w:val="20"/>
                <w:color w:val="auto"/>
              </w:rPr>
              <w:t>Total purchase consideration</w:t>
            </w:r>
          </w:p>
        </w:tc>
        <w:tc>
          <w:tcPr>
            <w:tcW w:w="222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b w:val="1"/>
                <w:bCs w:val="1"/>
                <w:color w:val="auto"/>
              </w:rPr>
              <w:t>6,050</w:t>
            </w:r>
          </w:p>
        </w:tc>
      </w:tr>
      <w:tr>
        <w:trPr>
          <w:trHeight w:val="21"/>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The Group financed the Brocade Merger with the net proceeds from the issuance of the October 2017 Senior Notes (Note 20), as well as cash on hand of the combined companies.</w:t>
      </w:r>
    </w:p>
    <w:p>
      <w:pPr>
        <w:spacing w:after="0" w:line="197" w:lineRule="exact"/>
        <w:rPr>
          <w:sz w:val="20"/>
          <w:szCs w:val="20"/>
          <w:color w:val="auto"/>
        </w:rPr>
      </w:pPr>
    </w:p>
    <w:p>
      <w:pPr>
        <w:jc w:val="both"/>
        <w:ind w:left="980" w:right="20"/>
        <w:spacing w:after="0" w:line="239" w:lineRule="auto"/>
        <w:rPr>
          <w:sz w:val="20"/>
          <w:szCs w:val="20"/>
          <w:color w:val="auto"/>
        </w:rPr>
      </w:pPr>
      <w:r>
        <w:rPr>
          <w:rFonts w:ascii="Arial" w:cs="Arial" w:eastAsia="Arial" w:hAnsi="Arial"/>
          <w:sz w:val="18"/>
          <w:szCs w:val="18"/>
          <w:color w:val="auto"/>
        </w:rPr>
        <w:t>The Group is currently evaluating the purchase price allocation following the consummation of the Brocade Merger. It is not practicable to disclose the preliminary purchase price allocation or unaudited pro forma combined financial information for this transaction, given the short period of time between the acquisition date and the issuance of these consolidated financial statements.</w:t>
      </w:r>
    </w:p>
    <w:p>
      <w:pPr>
        <w:spacing w:after="0" w:line="229" w:lineRule="exact"/>
        <w:rPr>
          <w:sz w:val="20"/>
          <w:szCs w:val="20"/>
          <w:color w:val="auto"/>
        </w:rPr>
      </w:pPr>
    </w:p>
    <w:p>
      <w:pPr>
        <w:ind w:left="980" w:hanging="776"/>
        <w:spacing w:after="0"/>
        <w:tabs>
          <w:tab w:leader="none" w:pos="9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Divestiture of Brocade’s IP Networking Business</w:t>
      </w:r>
    </w:p>
    <w:p>
      <w:pPr>
        <w:spacing w:after="0" w:line="211" w:lineRule="exact"/>
        <w:rPr>
          <w:rFonts w:ascii="Arial" w:cs="Arial" w:eastAsia="Arial" w:hAnsi="Arial"/>
          <w:sz w:val="18"/>
          <w:szCs w:val="18"/>
          <w:color w:val="auto"/>
        </w:rPr>
      </w:pPr>
    </w:p>
    <w:p>
      <w:pPr>
        <w:jc w:val="both"/>
        <w:ind w:left="980" w:right="20"/>
        <w:spacing w:after="0"/>
        <w:rPr>
          <w:rFonts w:ascii="Arial" w:cs="Arial" w:eastAsia="Arial" w:hAnsi="Arial"/>
          <w:sz w:val="18"/>
          <w:szCs w:val="18"/>
          <w:color w:val="auto"/>
        </w:rPr>
      </w:pPr>
      <w:r>
        <w:rPr>
          <w:rFonts w:ascii="Arial" w:cs="Arial" w:eastAsia="Arial" w:hAnsi="Arial"/>
          <w:sz w:val="18"/>
          <w:szCs w:val="18"/>
          <w:color w:val="auto"/>
        </w:rPr>
        <w:t>Following the Brocade Merger, on 1 December 2017, the Group sold Brocade’s IP Networking business, including the Ruckus Wireless and ICX Switch businesses, to ARRIS International plc for cash consideration of $800 million, plus unvested assumed employee stock awards.</w:t>
      </w:r>
    </w:p>
    <w:p>
      <w:pPr>
        <w:spacing w:after="0" w:line="229" w:lineRule="exact"/>
        <w:rPr>
          <w:rFonts w:ascii="Arial" w:cs="Arial" w:eastAsia="Arial" w:hAnsi="Arial"/>
          <w:sz w:val="18"/>
          <w:szCs w:val="18"/>
          <w:color w:val="auto"/>
        </w:rPr>
      </w:pPr>
    </w:p>
    <w:p>
      <w:pPr>
        <w:ind w:left="980" w:hanging="776"/>
        <w:spacing w:after="0"/>
        <w:tabs>
          <w:tab w:leader="none" w:pos="9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Sale of Brocade’s San Jose Headquarters</w:t>
      </w:r>
    </w:p>
    <w:p>
      <w:pPr>
        <w:spacing w:after="0" w:line="21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On 30 November 2017, the Group completed the sale of Brocade’s San Jose, California headquarters for $225 million.</w:t>
      </w:r>
    </w:p>
    <w:p>
      <w:pPr>
        <w:spacing w:after="0" w:line="238" w:lineRule="exact"/>
        <w:rPr>
          <w:rFonts w:ascii="Arial" w:cs="Arial" w:eastAsia="Arial" w:hAnsi="Arial"/>
          <w:sz w:val="18"/>
          <w:szCs w:val="18"/>
          <w:color w:val="auto"/>
        </w:rPr>
      </w:pPr>
    </w:p>
    <w:p>
      <w:pPr>
        <w:ind w:left="980" w:hanging="776"/>
        <w:spacing w:after="0"/>
        <w:tabs>
          <w:tab w:leader="none" w:pos="9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Proposed Acquisition of Qualcomm</w:t>
      </w:r>
    </w:p>
    <w:p>
      <w:pPr>
        <w:spacing w:after="0" w:line="211" w:lineRule="exact"/>
        <w:rPr>
          <w:rFonts w:ascii="Arial" w:cs="Arial" w:eastAsia="Arial" w:hAnsi="Arial"/>
          <w:sz w:val="18"/>
          <w:szCs w:val="18"/>
          <w:color w:val="auto"/>
        </w:rPr>
      </w:pPr>
    </w:p>
    <w:p>
      <w:pPr>
        <w:jc w:val="both"/>
        <w:ind w:left="980" w:right="20"/>
        <w:spacing w:after="0" w:line="238" w:lineRule="auto"/>
        <w:rPr>
          <w:rFonts w:ascii="Arial" w:cs="Arial" w:eastAsia="Arial" w:hAnsi="Arial"/>
          <w:sz w:val="18"/>
          <w:szCs w:val="18"/>
          <w:color w:val="auto"/>
        </w:rPr>
      </w:pPr>
      <w:r>
        <w:rPr>
          <w:rFonts w:ascii="Arial" w:cs="Arial" w:eastAsia="Arial" w:hAnsi="Arial"/>
          <w:sz w:val="18"/>
          <w:szCs w:val="18"/>
          <w:color w:val="auto"/>
        </w:rPr>
        <w:t>On 6 November 2017, Broadcom announced a proposal to acquire Qualcomm Incorporated (“Qualcomm”) for $70 per share, consisting of $60 in cash and $10 in Broadcom ordinary shares. The Group stated that the proposal stands whether Qualcomm’s pending acquisition of NXP Semiconductors N.V. (“NXP”), is consummated on the then-disclosed terms of $110 per NXP share or is terminated. Including the assumption of net debt and giving effect to the pending NXP acquisition, the enterprise value of the proposed transaction is approximately $130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A-111</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occurring after balance sheet date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Proposed Acquisition of Qualcomm (continued)</w:t>
      </w:r>
    </w:p>
    <w:p>
      <w:pPr>
        <w:spacing w:after="0" w:line="144" w:lineRule="exact"/>
        <w:rPr>
          <w:rFonts w:ascii="Arial" w:cs="Arial" w:eastAsia="Arial" w:hAnsi="Arial"/>
          <w:sz w:val="18"/>
          <w:szCs w:val="18"/>
          <w:color w:val="auto"/>
        </w:rPr>
      </w:pPr>
    </w:p>
    <w:p>
      <w:pPr>
        <w:ind w:left="980"/>
        <w:spacing w:after="0" w:line="246" w:lineRule="auto"/>
        <w:rPr>
          <w:rFonts w:ascii="Arial" w:cs="Arial" w:eastAsia="Arial" w:hAnsi="Arial"/>
          <w:sz w:val="18"/>
          <w:szCs w:val="18"/>
          <w:color w:val="auto"/>
        </w:rPr>
      </w:pPr>
      <w:r>
        <w:rPr>
          <w:rFonts w:ascii="Arial" w:cs="Arial" w:eastAsia="Arial" w:hAnsi="Arial"/>
          <w:sz w:val="18"/>
          <w:szCs w:val="18"/>
          <w:color w:val="auto"/>
        </w:rPr>
        <w:t>On 13 November 2017, Qualcomm’s board of directors rejected the Group’s proposal. In response, the Group announced that Broadcom remained fully committed to pursuing the acquisition of Qualcomm and reiterated its proposal.</w:t>
      </w:r>
    </w:p>
    <w:p>
      <w:pPr>
        <w:spacing w:after="0" w:line="196" w:lineRule="exact"/>
        <w:rPr>
          <w:rFonts w:ascii="Arial" w:cs="Arial" w:eastAsia="Arial" w:hAnsi="Arial"/>
          <w:sz w:val="18"/>
          <w:szCs w:val="18"/>
          <w:color w:val="auto"/>
        </w:rPr>
      </w:pPr>
    </w:p>
    <w:p>
      <w:pPr>
        <w:ind w:left="980"/>
        <w:spacing w:after="0" w:line="246" w:lineRule="auto"/>
        <w:rPr>
          <w:rFonts w:ascii="Arial" w:cs="Arial" w:eastAsia="Arial" w:hAnsi="Arial"/>
          <w:sz w:val="18"/>
          <w:szCs w:val="18"/>
          <w:color w:val="auto"/>
        </w:rPr>
      </w:pPr>
      <w:r>
        <w:rPr>
          <w:rFonts w:ascii="Arial" w:cs="Arial" w:eastAsia="Arial" w:hAnsi="Arial"/>
          <w:sz w:val="18"/>
          <w:szCs w:val="18"/>
          <w:color w:val="auto"/>
        </w:rPr>
        <w:t>On 4 December 2017, the Group announced that Broadcom had provided notice to Qualcomm of its intent to nominate 11 candidates for election to the Qualcomm board of directors at Qualcomm’s 2018 annual meeting of stockholders.</w:t>
      </w:r>
    </w:p>
    <w:p>
      <w:pPr>
        <w:spacing w:after="0" w:line="196" w:lineRule="exact"/>
        <w:rPr>
          <w:rFonts w:ascii="Arial" w:cs="Arial" w:eastAsia="Arial" w:hAnsi="Arial"/>
          <w:sz w:val="18"/>
          <w:szCs w:val="18"/>
          <w:color w:val="auto"/>
        </w:rPr>
      </w:pPr>
    </w:p>
    <w:p>
      <w:pPr>
        <w:jc w:val="both"/>
        <w:ind w:left="980"/>
        <w:spacing w:after="0"/>
        <w:rPr>
          <w:rFonts w:ascii="Arial" w:cs="Arial" w:eastAsia="Arial" w:hAnsi="Arial"/>
          <w:sz w:val="18"/>
          <w:szCs w:val="18"/>
          <w:color w:val="auto"/>
        </w:rPr>
      </w:pPr>
      <w:r>
        <w:rPr>
          <w:rFonts w:ascii="Arial" w:cs="Arial" w:eastAsia="Arial" w:hAnsi="Arial"/>
          <w:sz w:val="18"/>
          <w:szCs w:val="18"/>
          <w:color w:val="auto"/>
        </w:rPr>
        <w:t>On 11 December 2017, the Group filed preliminary proxy materials with the SEC in connection with its planned solicitation of proxies to elect 11 independent, highly qualified nominees to the Qualcomm board of directors at Qualcomm’s 2018 annual meeting of stockholders, which Qualcomm has announced will be held on March 6, 2018.</w:t>
      </w:r>
    </w:p>
    <w:p>
      <w:pPr>
        <w:spacing w:after="0" w:line="202" w:lineRule="exact"/>
        <w:rPr>
          <w:rFonts w:ascii="Arial" w:cs="Arial" w:eastAsia="Arial" w:hAnsi="Arial"/>
          <w:sz w:val="18"/>
          <w:szCs w:val="18"/>
          <w:color w:val="auto"/>
        </w:rPr>
      </w:pPr>
    </w:p>
    <w:p>
      <w:pPr>
        <w:jc w:val="both"/>
        <w:ind w:left="980"/>
        <w:spacing w:after="0" w:line="239" w:lineRule="auto"/>
        <w:rPr>
          <w:rFonts w:ascii="Arial" w:cs="Arial" w:eastAsia="Arial" w:hAnsi="Arial"/>
          <w:sz w:val="18"/>
          <w:szCs w:val="18"/>
          <w:color w:val="auto"/>
        </w:rPr>
      </w:pPr>
      <w:r>
        <w:rPr>
          <w:rFonts w:ascii="Arial" w:cs="Arial" w:eastAsia="Arial" w:hAnsi="Arial"/>
          <w:sz w:val="18"/>
          <w:szCs w:val="18"/>
          <w:color w:val="auto"/>
        </w:rPr>
        <w:t>On 5 January 2018, the Group filed definitive proxy materials, which were subsequently amended on 8 January 2018, and commenced sending of proxy statements and accompanying blue proxy card or blue voting instructions form to stockholders of Qualcomm for the purpose of soliciting proxies to elect the 11 independent nominees to the Qualcomm board of Directors at Qualcomm’s 2018 annual meeting of stockholders, scheduled for 6 March 2018.</w:t>
      </w:r>
    </w:p>
    <w:p>
      <w:pPr>
        <w:spacing w:after="0" w:line="201" w:lineRule="exact"/>
        <w:rPr>
          <w:rFonts w:ascii="Arial" w:cs="Arial" w:eastAsia="Arial" w:hAnsi="Arial"/>
          <w:sz w:val="18"/>
          <w:szCs w:val="18"/>
          <w:color w:val="auto"/>
        </w:rPr>
      </w:pPr>
    </w:p>
    <w:p>
      <w:pPr>
        <w:jc w:val="both"/>
        <w:ind w:left="980"/>
        <w:spacing w:after="0"/>
        <w:rPr>
          <w:rFonts w:ascii="Arial" w:cs="Arial" w:eastAsia="Arial" w:hAnsi="Arial"/>
          <w:sz w:val="18"/>
          <w:szCs w:val="18"/>
          <w:color w:val="auto"/>
        </w:rPr>
      </w:pPr>
      <w:r>
        <w:rPr>
          <w:rFonts w:ascii="Arial" w:cs="Arial" w:eastAsia="Arial" w:hAnsi="Arial"/>
          <w:sz w:val="18"/>
          <w:szCs w:val="18"/>
          <w:color w:val="auto"/>
        </w:rPr>
        <w:t>The Group has also filed a premerger notification under the Hart-Scott-Rodino Antitrust Improvements Act of 1976 with the U.S. Department of Justice and the Federal Trade Commission regarding its proposed acquisition of Qualcomm. No agreement has been reached with Qualcomm and there can be no assurance that any transaction will result from the proposal.</w:t>
      </w:r>
    </w:p>
    <w:p>
      <w:pPr>
        <w:spacing w:after="0" w:line="202" w:lineRule="exact"/>
        <w:rPr>
          <w:rFonts w:ascii="Arial" w:cs="Arial" w:eastAsia="Arial" w:hAnsi="Arial"/>
          <w:sz w:val="18"/>
          <w:szCs w:val="18"/>
          <w:color w:val="auto"/>
        </w:rPr>
      </w:pPr>
    </w:p>
    <w:p>
      <w:pPr>
        <w:ind w:left="980"/>
        <w:spacing w:after="0" w:line="246" w:lineRule="auto"/>
        <w:rPr>
          <w:rFonts w:ascii="Arial" w:cs="Arial" w:eastAsia="Arial" w:hAnsi="Arial"/>
          <w:sz w:val="18"/>
          <w:szCs w:val="18"/>
          <w:color w:val="auto"/>
        </w:rPr>
      </w:pPr>
      <w:r>
        <w:rPr>
          <w:rFonts w:ascii="Arial" w:cs="Arial" w:eastAsia="Arial" w:hAnsi="Arial"/>
          <w:sz w:val="18"/>
          <w:szCs w:val="18"/>
          <w:color w:val="auto"/>
        </w:rPr>
        <w:t>On 5 February 2018, Broadcom announced a best and final offer to acquire all of the outstanding shares of common stock of Qualcomm. The following terms of the offer were communicated by Broadcom:</w:t>
      </w:r>
    </w:p>
    <w:p>
      <w:pPr>
        <w:spacing w:after="0" w:line="223" w:lineRule="exact"/>
        <w:rPr>
          <w:rFonts w:ascii="Arial" w:cs="Arial" w:eastAsia="Arial" w:hAnsi="Arial"/>
          <w:sz w:val="18"/>
          <w:szCs w:val="18"/>
          <w:color w:val="auto"/>
        </w:rPr>
      </w:pPr>
    </w:p>
    <w:p>
      <w:pPr>
        <w:ind w:left="1620" w:hanging="646"/>
        <w:spacing w:after="0" w:line="246" w:lineRule="auto"/>
        <w:tabs>
          <w:tab w:leader="none" w:pos="16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Broadcom is prepared to acquire Qualcomm for an aggregate of $82.00 per Qualcomm share, consisting $60.00 and the remainder in Broadcom shares.</w:t>
      </w:r>
    </w:p>
    <w:p>
      <w:pPr>
        <w:spacing w:after="0" w:line="223" w:lineRule="exact"/>
        <w:rPr>
          <w:rFonts w:ascii="Arial" w:cs="Arial" w:eastAsia="Arial" w:hAnsi="Arial"/>
          <w:sz w:val="18"/>
          <w:szCs w:val="18"/>
          <w:color w:val="auto"/>
        </w:rPr>
      </w:pPr>
    </w:p>
    <w:p>
      <w:pPr>
        <w:ind w:left="1620" w:hanging="646"/>
        <w:spacing w:after="0" w:line="246" w:lineRule="auto"/>
        <w:tabs>
          <w:tab w:leader="none" w:pos="16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Broadcom is prepared to pay a ticking fee for an increase in cash consideration payable to Qualcomm stockholders if the transaction is not consummated by the one-year anniversary of entering into a definitive agreement.</w:t>
      </w:r>
    </w:p>
    <w:p>
      <w:pPr>
        <w:spacing w:after="0" w:line="223" w:lineRule="exact"/>
        <w:rPr>
          <w:rFonts w:ascii="Arial" w:cs="Arial" w:eastAsia="Arial" w:hAnsi="Arial"/>
          <w:sz w:val="18"/>
          <w:szCs w:val="18"/>
          <w:color w:val="auto"/>
        </w:rPr>
      </w:pPr>
    </w:p>
    <w:p>
      <w:pPr>
        <w:ind w:left="1620" w:hanging="646"/>
        <w:spacing w:after="0" w:line="246" w:lineRule="auto"/>
        <w:tabs>
          <w:tab w:leader="none" w:pos="16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Broadcom is prepared to pay to Qualcomm a significant reverse termination fee in an amount appropriate for a transaction of this size in the unlikely event Broadcom is unable to obtain required regulatory approvals.</w:t>
      </w:r>
    </w:p>
    <w:p>
      <w:pPr>
        <w:spacing w:after="0" w:line="223" w:lineRule="exact"/>
        <w:rPr>
          <w:rFonts w:ascii="Arial" w:cs="Arial" w:eastAsia="Arial" w:hAnsi="Arial"/>
          <w:sz w:val="18"/>
          <w:szCs w:val="18"/>
          <w:color w:val="auto"/>
        </w:rPr>
      </w:pPr>
    </w:p>
    <w:p>
      <w:pPr>
        <w:ind w:left="1620" w:hanging="646"/>
        <w:spacing w:after="0" w:line="246" w:lineRule="auto"/>
        <w:tabs>
          <w:tab w:leader="none" w:pos="16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Broadcom is willing to agree to regulatory efforts provision that is at least as favourable as the one Qualcomm provided to NXP.</w:t>
      </w:r>
    </w:p>
    <w:p>
      <w:pPr>
        <w:spacing w:after="0" w:line="223" w:lineRule="exact"/>
        <w:rPr>
          <w:rFonts w:ascii="Arial" w:cs="Arial" w:eastAsia="Arial" w:hAnsi="Arial"/>
          <w:sz w:val="18"/>
          <w:szCs w:val="18"/>
          <w:color w:val="auto"/>
        </w:rPr>
      </w:pPr>
    </w:p>
    <w:p>
      <w:pPr>
        <w:ind w:left="1620" w:hanging="646"/>
        <w:spacing w:after="0" w:line="246" w:lineRule="auto"/>
        <w:tabs>
          <w:tab w:leader="none" w:pos="16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Broadcom has fully negotiated commitment papers with its financing sources in an amount sufficient to fully fund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A-112</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occurring after balance sheet date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Proposed Acquisition of Qualcomm (continued)</w:t>
      </w:r>
    </w:p>
    <w:p>
      <w:pPr>
        <w:spacing w:after="0" w:line="144" w:lineRule="exact"/>
        <w:rPr>
          <w:rFonts w:ascii="Arial" w:cs="Arial" w:eastAsia="Arial" w:hAnsi="Arial"/>
          <w:sz w:val="18"/>
          <w:szCs w:val="18"/>
          <w:color w:val="auto"/>
        </w:rPr>
      </w:pPr>
    </w:p>
    <w:p>
      <w:pPr>
        <w:ind w:left="1620" w:hanging="646"/>
        <w:spacing w:after="0" w:line="246" w:lineRule="auto"/>
        <w:tabs>
          <w:tab w:leader="none" w:pos="16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Broadcom Board is prepared to invite Paul Jacobs and one other current Qualcomm director to join the combined company’s board upon completion of the transaction.</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offer is premised on the following conditions:</w:t>
      </w:r>
    </w:p>
    <w:p>
      <w:pPr>
        <w:spacing w:after="0" w:line="239" w:lineRule="exact"/>
        <w:rPr>
          <w:sz w:val="20"/>
          <w:szCs w:val="20"/>
          <w:color w:val="auto"/>
        </w:rPr>
      </w:pPr>
    </w:p>
    <w:p>
      <w:pPr>
        <w:ind w:left="1620" w:hanging="646"/>
        <w:spacing w:after="0" w:line="246" w:lineRule="auto"/>
        <w:tabs>
          <w:tab w:leader="none" w:pos="16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Either Qualcomm acquiring NXP on the currently disclosed terms of $110 per NXP shares or the transaction being terminated.</w:t>
      </w:r>
    </w:p>
    <w:p>
      <w:pPr>
        <w:spacing w:after="0" w:line="223" w:lineRule="exact"/>
        <w:rPr>
          <w:rFonts w:ascii="Arial" w:cs="Arial" w:eastAsia="Arial" w:hAnsi="Arial"/>
          <w:sz w:val="18"/>
          <w:szCs w:val="18"/>
          <w:color w:val="auto"/>
        </w:rPr>
      </w:pPr>
    </w:p>
    <w:p>
      <w:pPr>
        <w:ind w:left="1620" w:hanging="646"/>
        <w:spacing w:after="0"/>
        <w:tabs>
          <w:tab w:leader="none" w:pos="16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Qualcomm not delaying or adjourning its annual meeting past 6 March 2018.</w:t>
      </w:r>
    </w:p>
    <w:p>
      <w:pPr>
        <w:spacing w:after="0" w:line="238" w:lineRule="exact"/>
        <w:rPr>
          <w:rFonts w:ascii="Arial" w:cs="Arial" w:eastAsia="Arial" w:hAnsi="Arial"/>
          <w:sz w:val="18"/>
          <w:szCs w:val="18"/>
          <w:color w:val="auto"/>
        </w:rPr>
      </w:pPr>
    </w:p>
    <w:p>
      <w:pPr>
        <w:ind w:left="980" w:hanging="776"/>
        <w:spacing w:after="0"/>
        <w:tabs>
          <w:tab w:leader="none" w:pos="9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Re-domiciliation to the United States from Singapore</w:t>
      </w:r>
    </w:p>
    <w:p>
      <w:pPr>
        <w:spacing w:after="0" w:line="211" w:lineRule="exact"/>
        <w:rPr>
          <w:rFonts w:ascii="Arial" w:cs="Arial" w:eastAsia="Arial" w:hAnsi="Arial"/>
          <w:sz w:val="18"/>
          <w:szCs w:val="18"/>
          <w:color w:val="auto"/>
        </w:rPr>
      </w:pPr>
    </w:p>
    <w:p>
      <w:pPr>
        <w:jc w:val="both"/>
        <w:ind w:left="980"/>
        <w:spacing w:after="0" w:line="238" w:lineRule="auto"/>
        <w:rPr>
          <w:rFonts w:ascii="Arial" w:cs="Arial" w:eastAsia="Arial" w:hAnsi="Arial"/>
          <w:sz w:val="18"/>
          <w:szCs w:val="18"/>
          <w:color w:val="auto"/>
        </w:rPr>
      </w:pPr>
      <w:r>
        <w:rPr>
          <w:rFonts w:ascii="Arial" w:cs="Arial" w:eastAsia="Arial" w:hAnsi="Arial"/>
          <w:sz w:val="18"/>
          <w:szCs w:val="18"/>
          <w:color w:val="auto"/>
        </w:rPr>
        <w:t>On 2 November 2017, the Group announced its intention to initiate a process to change the ultimate parent company of the Broadcom corporate group from a Singapore company to a U.S. corporation. On 22 January 2018, the Board approved the entry by the Company into an Implementation Agreement (the “Implementation Agreement”), with a newly established Delaware corporation (also named Broadcom Limited and referred to herein as “Broadcom-Delaware”) relating to the restructuring of the Group.</w:t>
      </w:r>
    </w:p>
    <w:p>
      <w:pPr>
        <w:spacing w:after="0" w:line="202" w:lineRule="exact"/>
        <w:rPr>
          <w:rFonts w:ascii="Arial" w:cs="Arial" w:eastAsia="Arial" w:hAnsi="Arial"/>
          <w:sz w:val="18"/>
          <w:szCs w:val="18"/>
          <w:color w:val="auto"/>
        </w:rPr>
      </w:pPr>
    </w:p>
    <w:p>
      <w:pPr>
        <w:jc w:val="both"/>
        <w:ind w:left="980"/>
        <w:spacing w:after="0" w:line="237" w:lineRule="auto"/>
        <w:rPr>
          <w:rFonts w:ascii="Arial" w:cs="Arial" w:eastAsia="Arial" w:hAnsi="Arial"/>
          <w:sz w:val="18"/>
          <w:szCs w:val="18"/>
          <w:color w:val="auto"/>
        </w:rPr>
      </w:pPr>
      <w:r>
        <w:rPr>
          <w:rFonts w:ascii="Arial" w:cs="Arial" w:eastAsia="Arial" w:hAnsi="Arial"/>
          <w:sz w:val="18"/>
          <w:szCs w:val="18"/>
          <w:color w:val="auto"/>
        </w:rPr>
        <w:t>The Implementation Agreement provides for a statutory procedure known as a Scheme of Arrangement (the “Scheme of Arrangement”) to be implemented by the Company and Broadcom-Delaware under Singapore law, subject to approval of the High Court of the Republic of Singapore (the “Singapore High Court”). Pursuant to the Scheme of Arrangement, all issued ordinary shares in the capital of the Company as of immediately prior to the effective time of the Scheme of Arrangement will be exchanged on a one-for-one basis for newly issued shares of common stock of Broadcom-Delaware, and the Company will become a subsidiary of Broadcom-Delaware.</w:t>
      </w:r>
    </w:p>
    <w:p>
      <w:pPr>
        <w:spacing w:after="0" w:line="205" w:lineRule="exact"/>
        <w:rPr>
          <w:rFonts w:ascii="Arial" w:cs="Arial" w:eastAsia="Arial" w:hAnsi="Arial"/>
          <w:sz w:val="18"/>
          <w:szCs w:val="18"/>
          <w:color w:val="auto"/>
        </w:rPr>
      </w:pPr>
    </w:p>
    <w:p>
      <w:pPr>
        <w:jc w:val="both"/>
        <w:ind w:left="980"/>
        <w:spacing w:after="0" w:line="239" w:lineRule="auto"/>
        <w:rPr>
          <w:rFonts w:ascii="Arial" w:cs="Arial" w:eastAsia="Arial" w:hAnsi="Arial"/>
          <w:sz w:val="18"/>
          <w:szCs w:val="18"/>
          <w:color w:val="auto"/>
        </w:rPr>
      </w:pPr>
      <w:r>
        <w:rPr>
          <w:rFonts w:ascii="Arial" w:cs="Arial" w:eastAsia="Arial" w:hAnsi="Arial"/>
          <w:sz w:val="18"/>
          <w:szCs w:val="18"/>
          <w:color w:val="auto"/>
        </w:rPr>
        <w:t>In addition, the re-domiciliation is subject to the approval of the Company’s shareholders. If the Group does not complete the re-domiciliation within one year from the Brocade Acquisition Date, the Group agreed to initiate a process to separate and divest the Brocade FC SAN business. The Group expects to receive approvals by the Company’s shareholders and the Singapore High Court by the end of its financial second quarter ending 6 May 2018.</w:t>
      </w:r>
    </w:p>
    <w:p>
      <w:pPr>
        <w:spacing w:after="0" w:line="201" w:lineRule="exact"/>
        <w:rPr>
          <w:rFonts w:ascii="Arial" w:cs="Arial" w:eastAsia="Arial" w:hAnsi="Arial"/>
          <w:sz w:val="18"/>
          <w:szCs w:val="18"/>
          <w:color w:val="auto"/>
        </w:rPr>
      </w:pPr>
    </w:p>
    <w:p>
      <w:pPr>
        <w:jc w:val="both"/>
        <w:ind w:left="980"/>
        <w:spacing w:after="0" w:line="239" w:lineRule="auto"/>
        <w:rPr>
          <w:rFonts w:ascii="Arial" w:cs="Arial" w:eastAsia="Arial" w:hAnsi="Arial"/>
          <w:sz w:val="18"/>
          <w:szCs w:val="18"/>
          <w:color w:val="auto"/>
        </w:rPr>
      </w:pPr>
      <w:r>
        <w:rPr>
          <w:rFonts w:ascii="Arial" w:cs="Arial" w:eastAsia="Arial" w:hAnsi="Arial"/>
          <w:sz w:val="18"/>
          <w:szCs w:val="18"/>
          <w:color w:val="auto"/>
        </w:rPr>
        <w:t>On 22 January 2018, the Group filed preliminary proxy materials with the SEC in connection with a Broadcom special shareholder meeting to approve the previously announced re-domiciliation of the ultimate parent company of the Broadcom corporate group from a Singapore company to a Delaware corporation. The re-domiciliation is expected to be tax-free to Broadcom’s shareholders.</w:t>
      </w:r>
    </w:p>
    <w:p>
      <w:pPr>
        <w:spacing w:after="0" w:line="201" w:lineRule="exact"/>
        <w:rPr>
          <w:rFonts w:ascii="Arial" w:cs="Arial" w:eastAsia="Arial" w:hAnsi="Arial"/>
          <w:sz w:val="18"/>
          <w:szCs w:val="18"/>
          <w:color w:val="auto"/>
        </w:rPr>
      </w:pPr>
    </w:p>
    <w:p>
      <w:pPr>
        <w:jc w:val="both"/>
        <w:ind w:left="980"/>
        <w:spacing w:after="0" w:line="239" w:lineRule="auto"/>
        <w:rPr>
          <w:rFonts w:ascii="Arial" w:cs="Arial" w:eastAsia="Arial" w:hAnsi="Arial"/>
          <w:sz w:val="18"/>
          <w:szCs w:val="18"/>
          <w:color w:val="auto"/>
        </w:rPr>
      </w:pPr>
      <w:r>
        <w:rPr>
          <w:rFonts w:ascii="Arial" w:cs="Arial" w:eastAsia="Arial" w:hAnsi="Arial"/>
          <w:sz w:val="18"/>
          <w:szCs w:val="18"/>
          <w:color w:val="auto"/>
        </w:rPr>
        <w:t>The re-domiciliation is subject to the approval of the Company’s shareholders. If the Company does not complete the re-domiciliation within one year from the Brocade Acquisition Date, the Group agreed to initiate a process to separate and divest the Brocade FC SAN business. The Group expects to receive approvals by the Company’s shareholders and the Singapore High Court by the end of its financial second quarter ending 6 May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A-113</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occurring after balance sheet date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Exchange offer for Senior Notes</w:t>
      </w:r>
    </w:p>
    <w:p>
      <w:pPr>
        <w:spacing w:after="0" w:line="211" w:lineRule="exact"/>
        <w:rPr>
          <w:rFonts w:ascii="Arial" w:cs="Arial" w:eastAsia="Arial" w:hAnsi="Arial"/>
          <w:sz w:val="18"/>
          <w:szCs w:val="18"/>
          <w:color w:val="auto"/>
        </w:rPr>
      </w:pPr>
    </w:p>
    <w:p>
      <w:pPr>
        <w:jc w:val="both"/>
        <w:ind w:left="980"/>
        <w:spacing w:after="0" w:line="236" w:lineRule="auto"/>
        <w:rPr>
          <w:rFonts w:ascii="Arial" w:cs="Arial" w:eastAsia="Arial" w:hAnsi="Arial"/>
          <w:sz w:val="18"/>
          <w:szCs w:val="18"/>
          <w:color w:val="auto"/>
        </w:rPr>
      </w:pPr>
      <w:r>
        <w:rPr>
          <w:rFonts w:ascii="Arial" w:cs="Arial" w:eastAsia="Arial" w:hAnsi="Arial"/>
          <w:sz w:val="18"/>
          <w:szCs w:val="18"/>
          <w:color w:val="auto"/>
        </w:rPr>
        <w:t>On 9 January 2018, the Group announced that two of the Company’s subsidiaries, BRCM and Broadcom Cayman Finance Limited, have commenced an exchange offer for any and all outstanding unregistered 2017 Senior Notes. The January 2017 Notes and the October 2017 Notes were originally issued on 19 January 2017 and 17 October 2017, respectively, in private placements exempt from the registration requirements of the Securities Act of 1933, as amended, in aggregate principal amounts of $13.55 billion and $4.0 billion, respectively. Holders of these notes may exchange them for an equal principal amount of new issues of 2.375% Senior Notes due 2020, 3.000% Senior Notes due 2022, 3.625% Senior Notes due 2024, 3.875% Senior Notes due 2027, 2.200% senior Notes due 2021, 2.650% Senior Notes due 2023, 3.125% Senior Notes due 2025 and 3.500% Senior Notes due 2028, respectively, pursuant to an effective registration statement on Form S-4 filed with the SEC. Terms of the new notes are substantially identical to those of the original notes, except that the transfer restrictions and registration rights relating to the original notes do not apply to the new notes.</w:t>
      </w:r>
    </w:p>
    <w:p>
      <w:pPr>
        <w:spacing w:after="0" w:line="233" w:lineRule="exact"/>
        <w:rPr>
          <w:rFonts w:ascii="Arial" w:cs="Arial" w:eastAsia="Arial" w:hAnsi="Arial"/>
          <w:sz w:val="18"/>
          <w:szCs w:val="18"/>
          <w:color w:val="auto"/>
        </w:rPr>
      </w:pPr>
    </w:p>
    <w:p>
      <w:pPr>
        <w:ind w:left="980" w:hanging="776"/>
        <w:spacing w:after="0"/>
        <w:tabs>
          <w:tab w:leader="none" w:pos="9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U.S. 2017 Tax Reform Act and its potential tax consequences to the Broadcom Group</w:t>
      </w:r>
    </w:p>
    <w:p>
      <w:pPr>
        <w:spacing w:after="0" w:line="211" w:lineRule="exact"/>
        <w:rPr>
          <w:rFonts w:ascii="Arial" w:cs="Arial" w:eastAsia="Arial" w:hAnsi="Arial"/>
          <w:sz w:val="18"/>
          <w:szCs w:val="18"/>
          <w:color w:val="auto"/>
        </w:rPr>
      </w:pPr>
    </w:p>
    <w:p>
      <w:pPr>
        <w:jc w:val="both"/>
        <w:ind w:left="980"/>
        <w:spacing w:after="0" w:line="236" w:lineRule="auto"/>
        <w:rPr>
          <w:rFonts w:ascii="Arial" w:cs="Arial" w:eastAsia="Arial" w:hAnsi="Arial"/>
          <w:sz w:val="18"/>
          <w:szCs w:val="18"/>
          <w:color w:val="auto"/>
        </w:rPr>
      </w:pPr>
      <w:r>
        <w:rPr>
          <w:rFonts w:ascii="Arial" w:cs="Arial" w:eastAsia="Arial" w:hAnsi="Arial"/>
          <w:sz w:val="18"/>
          <w:szCs w:val="18"/>
          <w:color w:val="auto"/>
        </w:rPr>
        <w:t>On 22 December 2017, the Tax Cuts and Jobs Act (“2017 Tax Reform Act”) was enacted. The United States corporate income tax regime (including applicable statutory tax rates) changed significantly due to the enactment of the 2017 Tax Reform Act. There is significant uncertainty as to how the 2017 Tax Reform Act will be implemented from an accounting standpoint. However, following the Scheme of Arrangement, the Group expects the cash tax costs and overall effective cash tax rate of the Group (which the Group defines as cash tax costs as a percentage of non-US GAAP income before tax) to increase due to Broadcom-Delaware becoming the parent company of the Group. The Group presently expects that its overall effective cash tax rate following the Scheme of Arrangement will be in the range of 9-11%. Due to the uncertainty described above, the Group does not believe it is practicable to reconcile the foregoing amount to the Group’s effective tax rate under US GAAP. There are also no further adjustments made to this set of FRS financial statements based on the foregoing.</w:t>
      </w:r>
    </w:p>
    <w:p>
      <w:pPr>
        <w:spacing w:after="0" w:line="207" w:lineRule="exact"/>
        <w:rPr>
          <w:rFonts w:ascii="Arial" w:cs="Arial" w:eastAsia="Arial" w:hAnsi="Arial"/>
          <w:sz w:val="18"/>
          <w:szCs w:val="18"/>
          <w:color w:val="auto"/>
        </w:rPr>
      </w:pPr>
    </w:p>
    <w:p>
      <w:pPr>
        <w:jc w:val="both"/>
        <w:ind w:left="980"/>
        <w:spacing w:after="0" w:line="237" w:lineRule="auto"/>
        <w:rPr>
          <w:rFonts w:ascii="Arial" w:cs="Arial" w:eastAsia="Arial" w:hAnsi="Arial"/>
          <w:sz w:val="18"/>
          <w:szCs w:val="18"/>
          <w:color w:val="auto"/>
        </w:rPr>
      </w:pPr>
      <w:r>
        <w:rPr>
          <w:rFonts w:ascii="Arial" w:cs="Arial" w:eastAsia="Arial" w:hAnsi="Arial"/>
          <w:sz w:val="18"/>
          <w:szCs w:val="18"/>
          <w:color w:val="auto"/>
        </w:rPr>
        <w:t>The Group also expects to incur additional cash tax costs as a result of the 2017 Tax Reform Act that would apply irrespective of the Scheme of Arrangement. Based on initial analysis, the Group believes the 2017 Tax Reform Act will result in a mandatory deemed repatriation tax of between $1.6 billion and $2.6 billion on certain of the Group’s non-US earnings, without taking into account available deductions and credits. The amount and timing of instalment payments of this deemed repatriation tax depend, in part, on when the Scheme of Arrangement becomes effective. However, this tax liability will be payable over eight years, with the amount of payments more heavily weighted to the latter years of this period. The Group presently expects these instalment payments to start in its financial year 2019.</w:t>
      </w:r>
    </w:p>
    <w:p>
      <w:pPr>
        <w:spacing w:after="0" w:line="203" w:lineRule="exact"/>
        <w:rPr>
          <w:rFonts w:ascii="Arial" w:cs="Arial" w:eastAsia="Arial" w:hAnsi="Arial"/>
          <w:sz w:val="18"/>
          <w:szCs w:val="18"/>
          <w:color w:val="auto"/>
        </w:rPr>
      </w:pPr>
    </w:p>
    <w:p>
      <w:pPr>
        <w:jc w:val="both"/>
        <w:ind w:left="980"/>
        <w:spacing w:after="0" w:line="239" w:lineRule="auto"/>
        <w:rPr>
          <w:rFonts w:ascii="Arial" w:cs="Arial" w:eastAsia="Arial" w:hAnsi="Arial"/>
          <w:sz w:val="18"/>
          <w:szCs w:val="18"/>
          <w:color w:val="auto"/>
        </w:rPr>
      </w:pPr>
      <w:r>
        <w:rPr>
          <w:rFonts w:ascii="Arial" w:cs="Arial" w:eastAsia="Arial" w:hAnsi="Arial"/>
          <w:sz w:val="18"/>
          <w:szCs w:val="18"/>
          <w:color w:val="auto"/>
        </w:rPr>
        <w:t>The Group’s preliminary estimates of the overall cash tax impact of the Scheme of Arrangement, as well as the amount and timing of instalment payments of the mandatory deemed repatriation tax under the 2017 Tax Reform Act, are expected to change as the Group continues to refine its analysis and as additional guidance becomes available, particularly with respect to the 2017 Tax Reform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A-114</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occurring after balance sheet date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U.S. 2017 Tax Reform Act and its potential tax consequences to the Broadcom Group (continued)</w:t>
      </w:r>
    </w:p>
    <w:p>
      <w:pPr>
        <w:spacing w:after="0" w:line="144" w:lineRule="exact"/>
        <w:rPr>
          <w:rFonts w:ascii="Arial" w:cs="Arial" w:eastAsia="Arial" w:hAnsi="Arial"/>
          <w:sz w:val="18"/>
          <w:szCs w:val="18"/>
          <w:color w:val="auto"/>
        </w:rPr>
      </w:pPr>
    </w:p>
    <w:p>
      <w:pPr>
        <w:jc w:val="both"/>
        <w:ind w:left="980"/>
        <w:spacing w:after="0" w:line="239" w:lineRule="auto"/>
        <w:rPr>
          <w:rFonts w:ascii="Arial" w:cs="Arial" w:eastAsia="Arial" w:hAnsi="Arial"/>
          <w:sz w:val="18"/>
          <w:szCs w:val="18"/>
          <w:color w:val="auto"/>
        </w:rPr>
      </w:pPr>
      <w:r>
        <w:rPr>
          <w:rFonts w:ascii="Arial" w:cs="Arial" w:eastAsia="Arial" w:hAnsi="Arial"/>
          <w:sz w:val="18"/>
          <w:szCs w:val="18"/>
          <w:color w:val="auto"/>
        </w:rPr>
        <w:t>There is no assurance that the final determination of the Group’s income tax liability will not be materially different than what is reflected in the Group’s income tax provisions and accruals and in the estimated ranges provide above. Significant judgment is required to determine the recognition and measurement of tax liabilities prescribed in the relevant accounting guidance for uncertainty in income taxes.</w:t>
      </w:r>
    </w:p>
    <w:p>
      <w:pPr>
        <w:spacing w:after="0" w:line="207" w:lineRule="exact"/>
        <w:rPr>
          <w:sz w:val="20"/>
          <w:szCs w:val="20"/>
          <w:color w:val="auto"/>
        </w:rPr>
      </w:pPr>
    </w:p>
    <w:p>
      <w:pPr>
        <w:ind w:left="980" w:hanging="776"/>
        <w:spacing w:after="0"/>
        <w:tabs>
          <w:tab w:leader="none" w:pos="98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New or revised accounting standards and interpretations</w:t>
      </w:r>
    </w:p>
    <w:p>
      <w:pPr>
        <w:spacing w:after="0" w:line="233" w:lineRule="exact"/>
        <w:rPr>
          <w:rFonts w:ascii="Arial" w:cs="Arial" w:eastAsia="Arial" w:hAnsi="Arial"/>
          <w:sz w:val="18"/>
          <w:szCs w:val="18"/>
          <w:b w:val="1"/>
          <w:bCs w:val="1"/>
          <w:color w:val="auto"/>
        </w:rPr>
      </w:pPr>
    </w:p>
    <w:p>
      <w:pPr>
        <w:ind w:left="9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Below are the mandatory standards, amendments and interpretations to existing standards that have been published, and are relevant for the Group’s accounting periods beginning on or after 1 January 2017 and which the Group has not early adopted:</w:t>
      </w:r>
    </w:p>
    <w:p>
      <w:pPr>
        <w:spacing w:after="0" w:line="223" w:lineRule="exact"/>
        <w:rPr>
          <w:rFonts w:ascii="Arial" w:cs="Arial" w:eastAsia="Arial" w:hAnsi="Arial"/>
          <w:sz w:val="18"/>
          <w:szCs w:val="18"/>
          <w:b w:val="1"/>
          <w:bCs w:val="1"/>
          <w:color w:val="auto"/>
        </w:rPr>
      </w:pPr>
    </w:p>
    <w:p>
      <w:pPr>
        <w:ind w:left="1620" w:hanging="646"/>
        <w:spacing w:after="0"/>
        <w:tabs>
          <w:tab w:leader="none" w:pos="16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FRS 115 Revenue from contracts with customers (effective for annual periods beginning on or after 1 January 2018)</w:t>
      </w:r>
    </w:p>
    <w:p>
      <w:pPr>
        <w:spacing w:after="0" w:line="211" w:lineRule="exact"/>
        <w:rPr>
          <w:rFonts w:ascii="Arial" w:cs="Arial" w:eastAsia="Arial" w:hAnsi="Arial"/>
          <w:sz w:val="18"/>
          <w:szCs w:val="18"/>
          <w:color w:val="auto"/>
        </w:rPr>
      </w:pPr>
    </w:p>
    <w:p>
      <w:pPr>
        <w:jc w:val="both"/>
        <w:ind w:left="1640"/>
        <w:spacing w:after="0" w:line="237" w:lineRule="auto"/>
        <w:rPr>
          <w:rFonts w:ascii="Arial" w:cs="Arial" w:eastAsia="Arial" w:hAnsi="Arial"/>
          <w:sz w:val="18"/>
          <w:szCs w:val="18"/>
          <w:color w:val="auto"/>
        </w:rPr>
      </w:pPr>
      <w:r>
        <w:rPr>
          <w:rFonts w:ascii="Arial" w:cs="Arial" w:eastAsia="Arial" w:hAnsi="Arial"/>
          <w:sz w:val="18"/>
          <w:szCs w:val="18"/>
          <w:color w:val="auto"/>
        </w:rPr>
        <w:t>This is the converged standard on revenue recognition. It replaces FRS 11 Construction contracts, FRS 18 Revenue, and related interpretations. Revenue is recognised when a customer obtains control of a good or service. A customer obtains control when it has the ability to direct the use of and obtain the benefits from the good or service. The core principle of FRS 115 is that an entity recognises revenue to depict the transfer of promised goods or services to customers in an amount that reflects the consideration to which the entity expects to be entitled in exchange for those goods or services. An entity recognises revenue in accordance with that core principle by applying the following steps:</w:t>
      </w:r>
    </w:p>
    <w:p>
      <w:pPr>
        <w:spacing w:after="0" w:line="232" w:lineRule="exact"/>
        <w:rPr>
          <w:rFonts w:ascii="Arial" w:cs="Arial" w:eastAsia="Arial" w:hAnsi="Arial"/>
          <w:sz w:val="18"/>
          <w:szCs w:val="18"/>
          <w:color w:val="auto"/>
        </w:rPr>
      </w:pPr>
    </w:p>
    <w:p>
      <w:pPr>
        <w:ind w:left="1960" w:hanging="325"/>
        <w:spacing w:after="0"/>
        <w:tabs>
          <w:tab w:leader="none" w:pos="196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Step 1: Identify the contract(s) with a customer</w:t>
      </w:r>
    </w:p>
    <w:p>
      <w:pPr>
        <w:spacing w:after="0" w:line="238" w:lineRule="exact"/>
        <w:rPr>
          <w:rFonts w:ascii="Arial" w:cs="Arial" w:eastAsia="Arial" w:hAnsi="Arial"/>
          <w:sz w:val="18"/>
          <w:szCs w:val="18"/>
          <w:color w:val="auto"/>
        </w:rPr>
      </w:pPr>
    </w:p>
    <w:p>
      <w:pPr>
        <w:ind w:left="1960" w:hanging="325"/>
        <w:spacing w:after="0"/>
        <w:tabs>
          <w:tab w:leader="none" w:pos="196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238" w:lineRule="exact"/>
        <w:rPr>
          <w:rFonts w:ascii="Arial" w:cs="Arial" w:eastAsia="Arial" w:hAnsi="Arial"/>
          <w:sz w:val="18"/>
          <w:szCs w:val="18"/>
          <w:color w:val="auto"/>
        </w:rPr>
      </w:pPr>
    </w:p>
    <w:p>
      <w:pPr>
        <w:ind w:left="1960" w:hanging="325"/>
        <w:spacing w:after="0"/>
        <w:tabs>
          <w:tab w:leader="none" w:pos="196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238" w:lineRule="exact"/>
        <w:rPr>
          <w:rFonts w:ascii="Arial" w:cs="Arial" w:eastAsia="Arial" w:hAnsi="Arial"/>
          <w:sz w:val="18"/>
          <w:szCs w:val="18"/>
          <w:color w:val="auto"/>
        </w:rPr>
      </w:pPr>
    </w:p>
    <w:p>
      <w:pPr>
        <w:ind w:left="1960" w:hanging="325"/>
        <w:spacing w:after="0"/>
        <w:tabs>
          <w:tab w:leader="none" w:pos="196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238" w:lineRule="exact"/>
        <w:rPr>
          <w:rFonts w:ascii="Arial" w:cs="Arial" w:eastAsia="Arial" w:hAnsi="Arial"/>
          <w:sz w:val="18"/>
          <w:szCs w:val="18"/>
          <w:color w:val="auto"/>
        </w:rPr>
      </w:pPr>
    </w:p>
    <w:p>
      <w:pPr>
        <w:ind w:left="1960" w:hanging="325"/>
        <w:spacing w:after="0"/>
        <w:tabs>
          <w:tab w:leader="none" w:pos="196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Step 5: Recognise revenue when (or as) the entity satisfies a performance obligation</w:t>
      </w:r>
    </w:p>
    <w:p>
      <w:pPr>
        <w:spacing w:after="0" w:line="212" w:lineRule="exact"/>
        <w:rPr>
          <w:sz w:val="20"/>
          <w:szCs w:val="20"/>
          <w:color w:val="auto"/>
        </w:rPr>
      </w:pPr>
    </w:p>
    <w:p>
      <w:pPr>
        <w:jc w:val="both"/>
        <w:ind w:left="1640"/>
        <w:spacing w:after="0"/>
        <w:rPr>
          <w:sz w:val="20"/>
          <w:szCs w:val="20"/>
          <w:color w:val="auto"/>
        </w:rPr>
      </w:pPr>
      <w:r>
        <w:rPr>
          <w:rFonts w:ascii="Arial" w:cs="Arial" w:eastAsia="Arial" w:hAnsi="Arial"/>
          <w:sz w:val="18"/>
          <w:szCs w:val="18"/>
          <w:color w:val="auto"/>
        </w:rPr>
        <w:t>FRS 115 also includes a cohesive set of disclosure requirements that will result in an entity providing users of financial statements with comprehensive information about the nature, amount, timing and uncertainty of revenue and cash flows arising from the entity’s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A-115</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New or revised accounting standards and interpretations </w:t>
      </w:r>
      <w:r>
        <w:rPr>
          <w:rFonts w:ascii="Arial" w:cs="Arial" w:eastAsia="Arial" w:hAnsi="Arial"/>
          <w:sz w:val="18"/>
          <w:szCs w:val="18"/>
          <w:color w:val="auto"/>
        </w:rPr>
        <w:t>(continued)</w:t>
      </w:r>
    </w:p>
    <w:p>
      <w:pPr>
        <w:spacing w:after="0" w:line="166" w:lineRule="exact"/>
        <w:rPr>
          <w:rFonts w:ascii="Arial" w:cs="Arial" w:eastAsia="Arial" w:hAnsi="Arial"/>
          <w:sz w:val="18"/>
          <w:szCs w:val="18"/>
          <w:b w:val="1"/>
          <w:bCs w:val="1"/>
          <w:color w:val="auto"/>
        </w:rPr>
      </w:pPr>
    </w:p>
    <w:p>
      <w:pPr>
        <w:ind w:left="1620" w:hanging="646"/>
        <w:spacing w:after="0" w:line="246" w:lineRule="auto"/>
        <w:tabs>
          <w:tab w:leader="none" w:pos="16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FRS 115 Revenue from contracts with customers (effective for annual periods beginning on or after 1 January 2018) (continued)</w:t>
      </w:r>
    </w:p>
    <w:p>
      <w:pPr>
        <w:spacing w:after="0" w:line="129" w:lineRule="exact"/>
        <w:rPr>
          <w:rFonts w:ascii="Arial" w:cs="Arial" w:eastAsia="Arial" w:hAnsi="Arial"/>
          <w:sz w:val="18"/>
          <w:szCs w:val="18"/>
          <w:color w:val="auto"/>
        </w:rPr>
      </w:pPr>
    </w:p>
    <w:p>
      <w:pPr>
        <w:ind w:left="1640"/>
        <w:spacing w:after="0" w:line="246" w:lineRule="auto"/>
        <w:rPr>
          <w:rFonts w:ascii="Arial" w:cs="Arial" w:eastAsia="Arial" w:hAnsi="Arial"/>
          <w:sz w:val="18"/>
          <w:szCs w:val="18"/>
          <w:color w:val="auto"/>
        </w:rPr>
      </w:pPr>
      <w:r>
        <w:rPr>
          <w:rFonts w:ascii="Arial" w:cs="Arial" w:eastAsia="Arial" w:hAnsi="Arial"/>
          <w:sz w:val="18"/>
          <w:szCs w:val="18"/>
          <w:color w:val="auto"/>
        </w:rPr>
        <w:t>Management is currently assessing the effects of applying the new standard on the Group’s financial statements and has identified the following areas that are likely to be affected:</w:t>
      </w:r>
    </w:p>
    <w:p>
      <w:pPr>
        <w:spacing w:after="0" w:line="223" w:lineRule="exact"/>
        <w:rPr>
          <w:rFonts w:ascii="Arial" w:cs="Arial" w:eastAsia="Arial" w:hAnsi="Arial"/>
          <w:sz w:val="18"/>
          <w:szCs w:val="18"/>
          <w:color w:val="auto"/>
        </w:rPr>
      </w:pPr>
    </w:p>
    <w:p>
      <w:pPr>
        <w:ind w:left="1960" w:hanging="325"/>
        <w:spacing w:after="0" w:line="234" w:lineRule="auto"/>
        <w:tabs>
          <w:tab w:leader="none" w:pos="196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Rights of return – FRS 115 requires separate presentation on the balance sheet of the right to recover the goods from the customer and the refund obligation; and</w:t>
      </w:r>
    </w:p>
    <w:p>
      <w:pPr>
        <w:spacing w:after="0" w:line="1" w:lineRule="exact"/>
        <w:rPr>
          <w:rFonts w:ascii="Arial" w:cs="Arial" w:eastAsia="Arial" w:hAnsi="Arial"/>
          <w:sz w:val="18"/>
          <w:szCs w:val="18"/>
          <w:color w:val="auto"/>
        </w:rPr>
      </w:pPr>
    </w:p>
    <w:p>
      <w:pPr>
        <w:ind w:left="1960" w:hanging="325"/>
        <w:spacing w:after="0" w:line="246" w:lineRule="auto"/>
        <w:tabs>
          <w:tab w:leader="none" w:pos="196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Accounting for certain costs incurred in fulfilling a contract – certain costs which are currently expensed may need to be recognised as an asset under FRS 115.</w:t>
      </w:r>
    </w:p>
    <w:p>
      <w:pPr>
        <w:spacing w:after="0" w:line="197" w:lineRule="exact"/>
        <w:rPr>
          <w:sz w:val="20"/>
          <w:szCs w:val="20"/>
          <w:color w:val="auto"/>
        </w:rPr>
      </w:pPr>
    </w:p>
    <w:p>
      <w:pPr>
        <w:ind w:left="1640"/>
        <w:spacing w:after="0" w:line="246" w:lineRule="auto"/>
        <w:rPr>
          <w:sz w:val="20"/>
          <w:szCs w:val="20"/>
          <w:color w:val="auto"/>
        </w:rPr>
      </w:pPr>
      <w:r>
        <w:rPr>
          <w:rFonts w:ascii="Arial" w:cs="Arial" w:eastAsia="Arial" w:hAnsi="Arial"/>
          <w:sz w:val="18"/>
          <w:szCs w:val="18"/>
          <w:color w:val="auto"/>
        </w:rPr>
        <w:t>At this stage, the Group is not able to estimate the impact of the new rules on the Group’s financial statements. The Group will make more detailed assessment of the impact over the next twelve months.</w:t>
      </w:r>
    </w:p>
    <w:p>
      <w:pPr>
        <w:spacing w:after="0" w:line="224" w:lineRule="exact"/>
        <w:rPr>
          <w:sz w:val="20"/>
          <w:szCs w:val="20"/>
          <w:color w:val="auto"/>
        </w:rPr>
      </w:pPr>
    </w:p>
    <w:p>
      <w:pPr>
        <w:ind w:left="1620" w:hanging="646"/>
        <w:spacing w:after="0"/>
        <w:tabs>
          <w:tab w:leader="none" w:pos="16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FRS 109 Financial instruments (effective for annual periods beginning on or after 1 January 2018)</w:t>
      </w:r>
    </w:p>
    <w:p>
      <w:pPr>
        <w:spacing w:after="0" w:line="211" w:lineRule="exact"/>
        <w:rPr>
          <w:rFonts w:ascii="Arial" w:cs="Arial" w:eastAsia="Arial" w:hAnsi="Arial"/>
          <w:sz w:val="18"/>
          <w:szCs w:val="18"/>
          <w:color w:val="auto"/>
        </w:rPr>
      </w:pPr>
    </w:p>
    <w:p>
      <w:pPr>
        <w:jc w:val="both"/>
        <w:ind w:left="1640"/>
        <w:spacing w:after="0" w:line="237" w:lineRule="auto"/>
        <w:rPr>
          <w:rFonts w:ascii="Arial" w:cs="Arial" w:eastAsia="Arial" w:hAnsi="Arial"/>
          <w:sz w:val="18"/>
          <w:szCs w:val="18"/>
          <w:color w:val="auto"/>
        </w:rPr>
      </w:pPr>
      <w:r>
        <w:rPr>
          <w:rFonts w:ascii="Arial" w:cs="Arial" w:eastAsia="Arial" w:hAnsi="Arial"/>
          <w:sz w:val="18"/>
          <w:szCs w:val="18"/>
          <w:color w:val="auto"/>
        </w:rPr>
        <w:t>The complete version of FRS 109 replaces most of the guidance in FRS 39. FRS 109 retains the mixed measurement model and establishes three primary measurement categories for financial assets: amortised cost, fair value through Other Comprehensive Income (OCI) and fair value through Profit or Loss. The basis of classification depends on the entity’s business model and the contractual cash flow characteristics of the financial asset. Investments in equity instruments are required to be measured at fair value through profit or loss with the irrevocable option at inception to present changes in fair value in OCI.</w:t>
      </w:r>
    </w:p>
    <w:p>
      <w:pPr>
        <w:spacing w:after="0" w:line="205" w:lineRule="exact"/>
        <w:rPr>
          <w:rFonts w:ascii="Arial" w:cs="Arial" w:eastAsia="Arial" w:hAnsi="Arial"/>
          <w:sz w:val="18"/>
          <w:szCs w:val="18"/>
          <w:color w:val="auto"/>
        </w:rPr>
      </w:pPr>
    </w:p>
    <w:p>
      <w:pPr>
        <w:jc w:val="both"/>
        <w:ind w:left="1640"/>
        <w:spacing w:after="0"/>
        <w:rPr>
          <w:rFonts w:ascii="Arial" w:cs="Arial" w:eastAsia="Arial" w:hAnsi="Arial"/>
          <w:sz w:val="18"/>
          <w:szCs w:val="18"/>
          <w:color w:val="auto"/>
        </w:rPr>
      </w:pPr>
      <w:r>
        <w:rPr>
          <w:rFonts w:ascii="Arial" w:cs="Arial" w:eastAsia="Arial" w:hAnsi="Arial"/>
          <w:sz w:val="18"/>
          <w:szCs w:val="18"/>
          <w:color w:val="auto"/>
        </w:rPr>
        <w:t>While the Group has yet to undertake a detailed assessment of the classification and measurement of financial assets, debt instruments currently classified as available-for-sale (AFS) financial assets would appear to satisfy the conditions for classification as at fair value through OCI and hence there will be no change to the accounting for these assets.</w:t>
      </w:r>
    </w:p>
    <w:p>
      <w:pPr>
        <w:spacing w:after="0" w:line="202" w:lineRule="exact"/>
        <w:rPr>
          <w:rFonts w:ascii="Arial" w:cs="Arial" w:eastAsia="Arial" w:hAnsi="Arial"/>
          <w:sz w:val="18"/>
          <w:szCs w:val="18"/>
          <w:color w:val="auto"/>
        </w:rPr>
      </w:pPr>
    </w:p>
    <w:p>
      <w:pPr>
        <w:ind w:left="1640"/>
        <w:spacing w:after="0"/>
        <w:rPr>
          <w:rFonts w:ascii="Arial" w:cs="Arial" w:eastAsia="Arial" w:hAnsi="Arial"/>
          <w:sz w:val="18"/>
          <w:szCs w:val="18"/>
          <w:color w:val="auto"/>
        </w:rPr>
      </w:pPr>
      <w:r>
        <w:rPr>
          <w:rFonts w:ascii="Arial" w:cs="Arial" w:eastAsia="Arial" w:hAnsi="Arial"/>
          <w:sz w:val="18"/>
          <w:szCs w:val="18"/>
          <w:color w:val="auto"/>
        </w:rPr>
        <w:t>The other financial assets held by the Group include:</w:t>
      </w:r>
    </w:p>
    <w:p>
      <w:pPr>
        <w:spacing w:after="0" w:line="238" w:lineRule="exact"/>
        <w:rPr>
          <w:rFonts w:ascii="Arial" w:cs="Arial" w:eastAsia="Arial" w:hAnsi="Arial"/>
          <w:sz w:val="18"/>
          <w:szCs w:val="18"/>
          <w:color w:val="auto"/>
        </w:rPr>
      </w:pPr>
    </w:p>
    <w:p>
      <w:pPr>
        <w:ind w:left="1960" w:hanging="325"/>
        <w:spacing w:after="0"/>
        <w:tabs>
          <w:tab w:leader="none" w:pos="19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equity instruments currently classified as AFS for which fair value through OCI election is available;</w:t>
      </w:r>
    </w:p>
    <w:p>
      <w:pPr>
        <w:spacing w:after="0" w:line="238" w:lineRule="exact"/>
        <w:rPr>
          <w:rFonts w:ascii="Arial" w:cs="Arial" w:eastAsia="Arial" w:hAnsi="Arial"/>
          <w:sz w:val="18"/>
          <w:szCs w:val="18"/>
          <w:color w:val="auto"/>
        </w:rPr>
      </w:pPr>
    </w:p>
    <w:p>
      <w:pPr>
        <w:ind w:left="1960" w:hanging="325"/>
        <w:spacing w:after="0" w:line="246" w:lineRule="auto"/>
        <w:tabs>
          <w:tab w:leader="none" w:pos="19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equity investments currently measured at fair value through profit or loss which would likely to continue to be measured on the same basis under FRS 109; and</w:t>
      </w:r>
    </w:p>
    <w:p>
      <w:pPr>
        <w:spacing w:after="0" w:line="223" w:lineRule="exact"/>
        <w:rPr>
          <w:rFonts w:ascii="Arial" w:cs="Arial" w:eastAsia="Arial" w:hAnsi="Arial"/>
          <w:sz w:val="18"/>
          <w:szCs w:val="18"/>
          <w:color w:val="auto"/>
        </w:rPr>
      </w:pPr>
    </w:p>
    <w:p>
      <w:pPr>
        <w:ind w:left="1960" w:hanging="325"/>
        <w:spacing w:after="0" w:line="246" w:lineRule="auto"/>
        <w:tabs>
          <w:tab w:leader="none" w:pos="19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debt instruments classified as held-to-maturity or loans and receivables and measured at amortised cost appear to meet the conditions for classification at amortised cost under FRS 109.</w:t>
      </w:r>
    </w:p>
    <w:p>
      <w:pPr>
        <w:spacing w:after="0" w:line="197" w:lineRule="exact"/>
        <w:rPr>
          <w:sz w:val="20"/>
          <w:szCs w:val="20"/>
          <w:color w:val="auto"/>
        </w:rPr>
      </w:pPr>
    </w:p>
    <w:p>
      <w:pPr>
        <w:ind w:left="1640"/>
        <w:spacing w:after="0" w:line="246" w:lineRule="auto"/>
        <w:rPr>
          <w:sz w:val="20"/>
          <w:szCs w:val="20"/>
          <w:color w:val="auto"/>
        </w:rPr>
      </w:pPr>
      <w:r>
        <w:rPr>
          <w:rFonts w:ascii="Arial" w:cs="Arial" w:eastAsia="Arial" w:hAnsi="Arial"/>
          <w:sz w:val="18"/>
          <w:szCs w:val="18"/>
          <w:color w:val="auto"/>
        </w:rPr>
        <w:t>Accordingly, the Group does not expect the new guidance to have a significant impact on the classification of its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A-116</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New or revised accounting standards and interpretations </w:t>
      </w:r>
      <w:r>
        <w:rPr>
          <w:rFonts w:ascii="Arial" w:cs="Arial" w:eastAsia="Arial" w:hAnsi="Arial"/>
          <w:sz w:val="18"/>
          <w:szCs w:val="18"/>
          <w:color w:val="auto"/>
        </w:rPr>
        <w:t>(continued)</w:t>
      </w:r>
    </w:p>
    <w:p>
      <w:pPr>
        <w:spacing w:after="0" w:line="166" w:lineRule="exact"/>
        <w:rPr>
          <w:rFonts w:ascii="Arial" w:cs="Arial" w:eastAsia="Arial" w:hAnsi="Arial"/>
          <w:sz w:val="18"/>
          <w:szCs w:val="18"/>
          <w:b w:val="1"/>
          <w:bCs w:val="1"/>
          <w:color w:val="auto"/>
        </w:rPr>
      </w:pPr>
    </w:p>
    <w:p>
      <w:pPr>
        <w:ind w:left="1620" w:hanging="430"/>
        <w:spacing w:after="0"/>
        <w:tabs>
          <w:tab w:leader="none" w:pos="16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FRS 109 Financial instruments (effective for annual periods beginning on or after 1 January 2018) (continued)</w:t>
      </w:r>
    </w:p>
    <w:p>
      <w:pPr>
        <w:spacing w:after="0" w:line="211" w:lineRule="exact"/>
        <w:rPr>
          <w:rFonts w:ascii="Arial" w:cs="Arial" w:eastAsia="Arial" w:hAnsi="Arial"/>
          <w:sz w:val="18"/>
          <w:szCs w:val="18"/>
          <w:color w:val="auto"/>
        </w:rPr>
      </w:pPr>
    </w:p>
    <w:p>
      <w:pPr>
        <w:jc w:val="both"/>
        <w:ind w:left="1640"/>
        <w:spacing w:after="0"/>
        <w:rPr>
          <w:rFonts w:ascii="Arial" w:cs="Arial" w:eastAsia="Arial" w:hAnsi="Arial"/>
          <w:sz w:val="18"/>
          <w:szCs w:val="18"/>
          <w:color w:val="auto"/>
        </w:rPr>
      </w:pPr>
      <w:r>
        <w:rPr>
          <w:rFonts w:ascii="Arial" w:cs="Arial" w:eastAsia="Arial" w:hAnsi="Arial"/>
          <w:sz w:val="18"/>
          <w:szCs w:val="18"/>
          <w:color w:val="auto"/>
        </w:rPr>
        <w:t>For financial liabilities there were no changes to classification and measurement except for the recognition of changes in own credit risk in OCI, for liabilities designed at fair value through profit or loss. There will be no impact on the Group’s accounting for financial liabilities as the Group does not have any such liabilities.</w:t>
      </w:r>
    </w:p>
    <w:p>
      <w:pPr>
        <w:spacing w:after="0" w:line="202" w:lineRule="exact"/>
        <w:rPr>
          <w:rFonts w:ascii="Arial" w:cs="Arial" w:eastAsia="Arial" w:hAnsi="Arial"/>
          <w:sz w:val="18"/>
          <w:szCs w:val="18"/>
          <w:color w:val="auto"/>
        </w:rPr>
      </w:pPr>
    </w:p>
    <w:p>
      <w:pPr>
        <w:jc w:val="both"/>
        <w:ind w:left="1640"/>
        <w:spacing w:after="0" w:line="237" w:lineRule="auto"/>
        <w:rPr>
          <w:rFonts w:ascii="Arial" w:cs="Arial" w:eastAsia="Arial" w:hAnsi="Arial"/>
          <w:sz w:val="18"/>
          <w:szCs w:val="18"/>
          <w:color w:val="auto"/>
        </w:rPr>
      </w:pPr>
      <w:r>
        <w:rPr>
          <w:rFonts w:ascii="Arial" w:cs="Arial" w:eastAsia="Arial" w:hAnsi="Arial"/>
          <w:sz w:val="18"/>
          <w:szCs w:val="18"/>
          <w:color w:val="auto"/>
        </w:rPr>
        <w:t>FRS 109 relaxes the requirements for hedge effectiveness by replacing the bright line hedge effectiveness tests. It requires an economic relationship between the hedged item and hedging instrument and for the ‘hedged ratio’ to be the same as the one management actually use for risk management purposes. While the Group is yet to undertake a detailed assessment, it would appear that the Group’s current hedge relationships would qualify as continuing hedges upon the adoption of FRS 109. Accordingly, the Group does not expect a significant impact on the accounting for its hedging relationships.</w:t>
      </w:r>
    </w:p>
    <w:p>
      <w:pPr>
        <w:spacing w:after="0" w:line="205" w:lineRule="exact"/>
        <w:rPr>
          <w:rFonts w:ascii="Arial" w:cs="Arial" w:eastAsia="Arial" w:hAnsi="Arial"/>
          <w:sz w:val="18"/>
          <w:szCs w:val="18"/>
          <w:color w:val="auto"/>
        </w:rPr>
      </w:pPr>
    </w:p>
    <w:p>
      <w:pPr>
        <w:jc w:val="both"/>
        <w:ind w:left="1640"/>
        <w:spacing w:after="0" w:line="238" w:lineRule="auto"/>
        <w:rPr>
          <w:rFonts w:ascii="Arial" w:cs="Arial" w:eastAsia="Arial" w:hAnsi="Arial"/>
          <w:sz w:val="18"/>
          <w:szCs w:val="18"/>
          <w:color w:val="auto"/>
        </w:rPr>
      </w:pPr>
      <w:r>
        <w:rPr>
          <w:rFonts w:ascii="Arial" w:cs="Arial" w:eastAsia="Arial" w:hAnsi="Arial"/>
          <w:sz w:val="18"/>
          <w:szCs w:val="18"/>
          <w:color w:val="auto"/>
        </w:rPr>
        <w:t>There is now a new expected credit losses model that replaces the incurred loss impairment model used in FRS 39. It applies to financial assets classified at amortised cost, debt instruments measured at fair value through OCI, contract assets under FRS 115 Revenue from contracts with customers, lease receivables, loan commitments and certain financial guarantee contracts. While the Group has not yet undertaken a detailed assessment of how its impairment provisions would be affected by the new model, it may result in an earlier recognition of credit losses.</w:t>
      </w:r>
    </w:p>
    <w:p>
      <w:pPr>
        <w:spacing w:after="0" w:line="202" w:lineRule="exact"/>
        <w:rPr>
          <w:rFonts w:ascii="Arial" w:cs="Arial" w:eastAsia="Arial" w:hAnsi="Arial"/>
          <w:sz w:val="18"/>
          <w:szCs w:val="18"/>
          <w:color w:val="auto"/>
        </w:rPr>
      </w:pPr>
    </w:p>
    <w:p>
      <w:pPr>
        <w:jc w:val="both"/>
        <w:ind w:left="1640"/>
        <w:spacing w:after="0"/>
        <w:rPr>
          <w:rFonts w:ascii="Arial" w:cs="Arial" w:eastAsia="Arial" w:hAnsi="Arial"/>
          <w:sz w:val="18"/>
          <w:szCs w:val="18"/>
          <w:color w:val="auto"/>
        </w:rPr>
      </w:pPr>
      <w:r>
        <w:rPr>
          <w:rFonts w:ascii="Arial" w:cs="Arial" w:eastAsia="Arial" w:hAnsi="Arial"/>
          <w:sz w:val="18"/>
          <w:szCs w:val="18"/>
          <w:color w:val="auto"/>
        </w:rPr>
        <w:t>The new standard also introduces expanded disclosure requirements and changes in presentation. These are expected to change the nature and extent of the Group’s disclosures about its financial instruments particularly in the year of the adoption of the new standard.</w:t>
      </w:r>
    </w:p>
    <w:p>
      <w:pPr>
        <w:spacing w:after="0" w:line="229" w:lineRule="exact"/>
        <w:rPr>
          <w:rFonts w:ascii="Arial" w:cs="Arial" w:eastAsia="Arial" w:hAnsi="Arial"/>
          <w:sz w:val="18"/>
          <w:szCs w:val="18"/>
          <w:color w:val="auto"/>
        </w:rPr>
      </w:pPr>
    </w:p>
    <w:p>
      <w:pPr>
        <w:ind w:left="1620" w:hanging="430"/>
        <w:spacing w:after="0"/>
        <w:tabs>
          <w:tab w:leader="none" w:pos="16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FRS 116 Leases (effective for annual periods beginning on or after 1 January 2019)</w:t>
      </w:r>
    </w:p>
    <w:p>
      <w:pPr>
        <w:spacing w:after="0" w:line="211" w:lineRule="exact"/>
        <w:rPr>
          <w:rFonts w:ascii="Arial" w:cs="Arial" w:eastAsia="Arial" w:hAnsi="Arial"/>
          <w:sz w:val="18"/>
          <w:szCs w:val="18"/>
          <w:color w:val="auto"/>
        </w:rPr>
      </w:pPr>
    </w:p>
    <w:p>
      <w:pPr>
        <w:jc w:val="both"/>
        <w:ind w:left="1640"/>
        <w:spacing w:after="0" w:line="239" w:lineRule="auto"/>
        <w:rPr>
          <w:rFonts w:ascii="Arial" w:cs="Arial" w:eastAsia="Arial" w:hAnsi="Arial"/>
          <w:sz w:val="18"/>
          <w:szCs w:val="18"/>
          <w:color w:val="auto"/>
        </w:rPr>
      </w:pPr>
      <w:r>
        <w:rPr>
          <w:rFonts w:ascii="Arial" w:cs="Arial" w:eastAsia="Arial" w:hAnsi="Arial"/>
          <w:sz w:val="18"/>
          <w:szCs w:val="18"/>
          <w:color w:val="auto"/>
        </w:rPr>
        <w:t>FRS 116 will result in almost all leases being recognised on the balance sheet, as the distinction between operating and finance leases is removed. Under the new standard, an asset (the right to use the leased item) and a financial liability to pay rentals are recognised. The only exceptions are short-term and low-value leases. The accounting for lessors will not change significantly.</w:t>
      </w:r>
    </w:p>
    <w:p>
      <w:pPr>
        <w:spacing w:after="0" w:line="201" w:lineRule="exact"/>
        <w:rPr>
          <w:rFonts w:ascii="Arial" w:cs="Arial" w:eastAsia="Arial" w:hAnsi="Arial"/>
          <w:sz w:val="18"/>
          <w:szCs w:val="18"/>
          <w:color w:val="auto"/>
        </w:rPr>
      </w:pPr>
    </w:p>
    <w:p>
      <w:pPr>
        <w:jc w:val="both"/>
        <w:ind w:left="1640"/>
        <w:spacing w:after="0" w:line="239" w:lineRule="auto"/>
        <w:rPr>
          <w:rFonts w:ascii="Arial" w:cs="Arial" w:eastAsia="Arial" w:hAnsi="Arial"/>
          <w:sz w:val="18"/>
          <w:szCs w:val="18"/>
          <w:color w:val="auto"/>
        </w:rPr>
      </w:pPr>
      <w:r>
        <w:rPr>
          <w:rFonts w:ascii="Arial" w:cs="Arial" w:eastAsia="Arial" w:hAnsi="Arial"/>
          <w:sz w:val="18"/>
          <w:szCs w:val="18"/>
          <w:color w:val="auto"/>
        </w:rPr>
        <w:t>The standard will affect primarily the accounting for the Group’s operating leases. As at the reporting date, the Group has non-cancellable operating lease commitments of US$745 million (Note 27(b)). However, the Group has yet to determine to what extent these commitments will result in the recognition of an asset and a liability for future payments and how this will affect the Group’s profit and classification of cash flows.</w:t>
      </w:r>
    </w:p>
    <w:p>
      <w:pPr>
        <w:spacing w:after="0" w:line="201" w:lineRule="exact"/>
        <w:rPr>
          <w:rFonts w:ascii="Arial" w:cs="Arial" w:eastAsia="Arial" w:hAnsi="Arial"/>
          <w:sz w:val="18"/>
          <w:szCs w:val="18"/>
          <w:color w:val="auto"/>
        </w:rPr>
      </w:pPr>
    </w:p>
    <w:p>
      <w:pPr>
        <w:ind w:left="1640"/>
        <w:spacing w:after="0" w:line="246" w:lineRule="auto"/>
        <w:rPr>
          <w:rFonts w:ascii="Arial" w:cs="Arial" w:eastAsia="Arial" w:hAnsi="Arial"/>
          <w:sz w:val="18"/>
          <w:szCs w:val="18"/>
          <w:color w:val="auto"/>
        </w:rPr>
      </w:pPr>
      <w:r>
        <w:rPr>
          <w:rFonts w:ascii="Arial" w:cs="Arial" w:eastAsia="Arial" w:hAnsi="Arial"/>
          <w:sz w:val="18"/>
          <w:szCs w:val="18"/>
          <w:color w:val="auto"/>
        </w:rPr>
        <w:t>Some of the commitments may be covered by the exception for short-term and low-value leases and some commitments may relate to arrangements that will not qualify as leases under FRS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A-117</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Listing of significant subsidiaries in the Group</w:t>
      </w:r>
    </w:p>
    <w:p>
      <w:pPr>
        <w:spacing w:after="0" w:line="233"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The Group had the following significant subsidiaries as at 29 October 2017 and 30 October 2016:</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Equity holding</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700" w:type="dxa"/>
            <w:vAlign w:val="bottom"/>
            <w:gridSpan w:val="2"/>
          </w:tcPr>
          <w:p>
            <w:pPr>
              <w:jc w:val="right"/>
              <w:ind w:right="430"/>
              <w:spacing w:after="0" w:line="187" w:lineRule="exact"/>
              <w:rPr>
                <w:sz w:val="20"/>
                <w:szCs w:val="20"/>
                <w:color w:val="auto"/>
              </w:rPr>
            </w:pPr>
            <w:r>
              <w:rPr>
                <w:rFonts w:ascii="Arial" w:cs="Arial" w:eastAsia="Arial" w:hAnsi="Arial"/>
                <w:sz w:val="18"/>
                <w:szCs w:val="18"/>
                <w:b w:val="1"/>
                <w:bCs w:val="1"/>
                <w:color w:val="auto"/>
              </w:rPr>
              <w:t>2017</w:t>
            </w:r>
          </w:p>
        </w:tc>
        <w:tc>
          <w:tcPr>
            <w:tcW w:w="1000" w:type="dxa"/>
            <w:vAlign w:val="bottom"/>
            <w:gridSpan w:val="2"/>
          </w:tcPr>
          <w:p>
            <w:pPr>
              <w:jc w:val="right"/>
              <w:ind w:right="180"/>
              <w:spacing w:after="0" w:line="187"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5"/>
        </w:trPr>
        <w:tc>
          <w:tcPr>
            <w:tcW w:w="5960" w:type="dxa"/>
            <w:vAlign w:val="bottom"/>
            <w:gridSpan w:val="3"/>
          </w:tcPr>
          <w:p>
            <w:pPr>
              <w:ind w:left="880"/>
              <w:spacing w:after="0"/>
              <w:rPr>
                <w:sz w:val="20"/>
                <w:szCs w:val="20"/>
                <w:color w:val="auto"/>
              </w:rPr>
            </w:pPr>
            <w:r>
              <w:rPr>
                <w:rFonts w:ascii="Arial" w:cs="Arial" w:eastAsia="Arial" w:hAnsi="Arial"/>
                <w:sz w:val="18"/>
                <w:szCs w:val="18"/>
                <w:b w:val="1"/>
                <w:bCs w:val="1"/>
                <w:color w:val="auto"/>
              </w:rPr>
              <w:t>Name of companies</w:t>
            </w:r>
          </w:p>
        </w:tc>
        <w:tc>
          <w:tcPr>
            <w:tcW w:w="236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Country of incorporation</w:t>
            </w:r>
          </w:p>
        </w:tc>
        <w:tc>
          <w:tcPr>
            <w:tcW w:w="17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Agere Systems LLC^</w:t>
            </w:r>
          </w:p>
        </w:tc>
        <w:tc>
          <w:tcPr>
            <w:tcW w:w="3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Delaware (U.S.A.)</w:t>
            </w:r>
          </w:p>
        </w:tc>
        <w:tc>
          <w:tcPr>
            <w:tcW w:w="1700" w:type="dxa"/>
            <w:vAlign w:val="bottom"/>
            <w:tcBorders>
              <w:top w:val="single" w:sz="8" w:color="CCEEFF"/>
            </w:tcBorders>
            <w:gridSpan w:val="2"/>
            <w:shd w:val="clear" w:color="auto" w:fill="CCEEFF"/>
          </w:tcPr>
          <w:p>
            <w:pPr>
              <w:jc w:val="right"/>
              <w:ind w:right="330"/>
              <w:spacing w:after="0" w:line="196" w:lineRule="exact"/>
              <w:rPr>
                <w:sz w:val="20"/>
                <w:szCs w:val="20"/>
                <w:color w:val="auto"/>
              </w:rPr>
            </w:pPr>
            <w:r>
              <w:rPr>
                <w:rFonts w:ascii="Arial" w:cs="Arial" w:eastAsia="Arial" w:hAnsi="Arial"/>
                <w:sz w:val="18"/>
                <w:szCs w:val="18"/>
                <w:b w:val="1"/>
                <w:bCs w:val="1"/>
                <w:color w:val="auto"/>
              </w:rPr>
              <w:t>95</w:t>
            </w:r>
          </w:p>
        </w:tc>
        <w:tc>
          <w:tcPr>
            <w:tcW w:w="1000" w:type="dxa"/>
            <w:vAlign w:val="bottom"/>
            <w:tcBorders>
              <w:top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AT Luxembourg S.a r.l.^</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Luxembourg</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Avago Technologies Cayman Holdings Ltd^</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Cayman Islands</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Avago Technologies Cayman Ltd.^</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Cayman Islands</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Avago Technologies Finance Pte. Ltd.^</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Singapore</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Avago Technologies General IP (Singapore) Pte. Ltd.^</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Singapore</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Avago Technologies Holdings B.V.^</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Netherlands</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Avago Technologies International Sales Pte. Limited^</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Singapore</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Avago Technologies Manufacturing (Singapore) Pte. Ltd.^</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Singapore</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Avago Technologies U.S. Inc.^</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Delaware (U.S.A.)</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Avago Technologies Wireless (U.S.A.) Manufacturing</w:t>
            </w:r>
          </w:p>
        </w:tc>
        <w:tc>
          <w:tcPr>
            <w:tcW w:w="2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700" w:type="dxa"/>
            <w:vAlign w:val="bottom"/>
            <w:gridSpan w:val="2"/>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95</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ind w:left="640"/>
              <w:spacing w:after="0" w:line="203" w:lineRule="exact"/>
              <w:rPr>
                <w:sz w:val="20"/>
                <w:szCs w:val="20"/>
                <w:color w:val="auto"/>
              </w:rPr>
            </w:pPr>
            <w:r>
              <w:rPr>
                <w:rFonts w:ascii="Arial" w:cs="Arial" w:eastAsia="Arial" w:hAnsi="Arial"/>
                <w:sz w:val="18"/>
                <w:szCs w:val="18"/>
                <w:color w:val="auto"/>
              </w:rPr>
              <w:t>LLC^</w:t>
            </w:r>
          </w:p>
        </w:tc>
        <w:tc>
          <w:tcPr>
            <w:tcW w:w="2360" w:type="dxa"/>
            <w:vAlign w:val="bottom"/>
            <w:gridSpan w:val="2"/>
            <w:shd w:val="clear" w:color="auto" w:fill="CCEEFF"/>
          </w:tcPr>
          <w:p>
            <w:pPr>
              <w:ind w:left="240"/>
              <w:spacing w:after="0" w:line="203" w:lineRule="exact"/>
              <w:rPr>
                <w:sz w:val="20"/>
                <w:szCs w:val="20"/>
                <w:color w:val="auto"/>
              </w:rPr>
            </w:pPr>
            <w:r>
              <w:rPr>
                <w:rFonts w:ascii="Arial" w:cs="Arial" w:eastAsia="Arial" w:hAnsi="Arial"/>
                <w:sz w:val="18"/>
                <w:szCs w:val="18"/>
                <w:color w:val="auto"/>
              </w:rPr>
              <w:t>Delaware (U.S.A.)</w:t>
            </w:r>
          </w:p>
        </w:tc>
        <w:tc>
          <w:tcPr>
            <w:tcW w:w="1700" w:type="dxa"/>
            <w:vAlign w:val="bottom"/>
            <w:gridSpan w:val="2"/>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BC Luxembourg S.a r.l.^</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Luxembourg</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Broadcom Asia Distribution Pte. Ltd.^</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Singapore</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Broadcom Bermuda LP^</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Bermuda</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Broadcom Cayman Finance Limited^</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Cayman Islands</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Broadcom Cayman L.P.†</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Cayman Islands</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Broadcom Cayman Limited^</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Cayman Islands</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Broadcom Communications Bermuda Limited^</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Bermuda</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Broadcom Communications Netherlands B.V.^</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Netherlands</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Broadcom Corporation^</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California (U.S.A.)</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Broadcom Distribution Unlimited Company^</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Ireland</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Broadcom International Limited^</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Cayman Islands</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Broadcom International LLC^</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Delaware (U.S.A.)</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Broadcom International Pte. Ltd.^</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Singapore</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Broadcom Europe Limited^</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England</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Broadcom Netherlands B.V.^</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Netherlands</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Broadcom Products Unlimited Company^</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Ireland</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Broadcom Singapore Pte Ltd.^</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Singapore</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Broadcom Technologies Bermuda Unlimited^</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Bermuda</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Broadcom UK Ltd.^</w:t>
            </w:r>
          </w:p>
        </w:tc>
        <w:tc>
          <w:tcPr>
            <w:tcW w:w="23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Delaware (U.S.A.)</w:t>
            </w:r>
          </w:p>
        </w:tc>
        <w:tc>
          <w:tcPr>
            <w:tcW w:w="17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CMK LLC^</w:t>
            </w:r>
          </w:p>
        </w:tc>
        <w:tc>
          <w:tcPr>
            <w:tcW w:w="2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Delaware (U.S.A.)</w:t>
            </w:r>
          </w:p>
        </w:tc>
        <w:tc>
          <w:tcPr>
            <w:tcW w:w="17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380" w:type="dxa"/>
            <w:vAlign w:val="bottom"/>
          </w:tcPr>
          <w:p>
            <w:pPr>
              <w:ind w:left="2680"/>
              <w:spacing w:after="0"/>
              <w:rPr>
                <w:sz w:val="20"/>
                <w:szCs w:val="20"/>
                <w:color w:val="auto"/>
              </w:rPr>
            </w:pPr>
            <w:r>
              <w:rPr>
                <w:rFonts w:ascii="Arial" w:cs="Arial" w:eastAsia="Arial" w:hAnsi="Arial"/>
                <w:sz w:val="18"/>
                <w:szCs w:val="18"/>
                <w:color w:val="auto"/>
              </w:rPr>
              <w:t>A-118</w:t>
            </w: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Listing of significant subsidiaries in the Group </w:t>
      </w:r>
      <w:r>
        <w:rPr>
          <w:rFonts w:ascii="Arial" w:cs="Arial" w:eastAsia="Arial" w:hAnsi="Arial"/>
          <w:sz w:val="18"/>
          <w:szCs w:val="18"/>
          <w:color w:val="auto"/>
        </w:rPr>
        <w:t>(continued)</w:t>
      </w:r>
    </w:p>
    <w:p>
      <w:pPr>
        <w:spacing w:after="0" w:line="136"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Equity holding</w:t>
            </w:r>
          </w:p>
        </w:tc>
        <w:tc>
          <w:tcPr>
            <w:tcW w:w="360" w:type="dxa"/>
            <w:vAlign w:val="bottom"/>
          </w:tcPr>
          <w:p>
            <w:pPr>
              <w:spacing w:after="0"/>
              <w:rPr>
                <w:sz w:val="17"/>
                <w:szCs w:val="17"/>
                <w:color w:val="auto"/>
              </w:rPr>
            </w:pPr>
          </w:p>
        </w:tc>
      </w:tr>
      <w:tr>
        <w:trPr>
          <w:trHeight w:val="187"/>
        </w:trPr>
        <w:tc>
          <w:tcPr>
            <w:tcW w:w="17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410"/>
              <w:spacing w:after="0" w:line="187" w:lineRule="exact"/>
              <w:rPr>
                <w:sz w:val="20"/>
                <w:szCs w:val="20"/>
                <w:color w:val="auto"/>
              </w:rPr>
            </w:pPr>
            <w:r>
              <w:rPr>
                <w:rFonts w:ascii="Arial" w:cs="Arial" w:eastAsia="Arial" w:hAnsi="Arial"/>
                <w:sz w:val="18"/>
                <w:szCs w:val="18"/>
                <w:b w:val="1"/>
                <w:bCs w:val="1"/>
                <w:color w:val="auto"/>
              </w:rPr>
              <w:t>2017</w:t>
            </w:r>
          </w:p>
        </w:tc>
        <w:tc>
          <w:tcPr>
            <w:tcW w:w="1000" w:type="dxa"/>
            <w:vAlign w:val="bottom"/>
            <w:gridSpan w:val="2"/>
          </w:tcPr>
          <w:p>
            <w:pPr>
              <w:jc w:val="right"/>
              <w:ind w:right="200"/>
              <w:spacing w:after="0" w:line="187" w:lineRule="exact"/>
              <w:rPr>
                <w:sz w:val="20"/>
                <w:szCs w:val="20"/>
                <w:color w:val="auto"/>
              </w:rPr>
            </w:pPr>
            <w:r>
              <w:rPr>
                <w:rFonts w:ascii="Arial" w:cs="Arial" w:eastAsia="Arial" w:hAnsi="Arial"/>
                <w:sz w:val="18"/>
                <w:szCs w:val="18"/>
                <w:color w:val="auto"/>
              </w:rPr>
              <w:t>2016</w:t>
            </w:r>
          </w:p>
        </w:tc>
      </w:tr>
      <w:tr>
        <w:trPr>
          <w:trHeight w:val="198"/>
        </w:trPr>
        <w:tc>
          <w:tcPr>
            <w:tcW w:w="1700" w:type="dxa"/>
            <w:vAlign w:val="bottom"/>
          </w:tcPr>
          <w:p>
            <w:pPr>
              <w:spacing w:after="0" w:line="199" w:lineRule="exact"/>
              <w:rPr>
                <w:sz w:val="20"/>
                <w:szCs w:val="20"/>
                <w:color w:val="auto"/>
              </w:rPr>
            </w:pPr>
            <w:r>
              <w:rPr>
                <w:rFonts w:ascii="Arial" w:cs="Arial" w:eastAsia="Arial" w:hAnsi="Arial"/>
                <w:sz w:val="18"/>
                <w:szCs w:val="18"/>
                <w:b w:val="1"/>
                <w:bCs w:val="1"/>
                <w:color w:val="auto"/>
                <w:w w:val="98"/>
              </w:rPr>
              <w:t>Name of companies</w:t>
            </w:r>
          </w:p>
        </w:tc>
        <w:tc>
          <w:tcPr>
            <w:tcW w:w="2640" w:type="dxa"/>
            <w:vAlign w:val="bottom"/>
          </w:tcPr>
          <w:p>
            <w:pPr>
              <w:spacing w:after="0"/>
              <w:rPr>
                <w:sz w:val="17"/>
                <w:szCs w:val="17"/>
                <w:color w:val="auto"/>
              </w:rPr>
            </w:pPr>
          </w:p>
        </w:tc>
        <w:tc>
          <w:tcPr>
            <w:tcW w:w="3580" w:type="dxa"/>
            <w:vAlign w:val="bottom"/>
            <w:gridSpan w:val="3"/>
          </w:tcPr>
          <w:p>
            <w:pPr>
              <w:ind w:left="1160"/>
              <w:spacing w:after="0" w:line="199" w:lineRule="exact"/>
              <w:rPr>
                <w:sz w:val="20"/>
                <w:szCs w:val="20"/>
                <w:color w:val="auto"/>
              </w:rPr>
            </w:pPr>
            <w:r>
              <w:rPr>
                <w:rFonts w:ascii="Arial" w:cs="Arial" w:eastAsia="Arial" w:hAnsi="Arial"/>
                <w:sz w:val="18"/>
                <w:szCs w:val="18"/>
                <w:b w:val="1"/>
                <w:bCs w:val="1"/>
                <w:color w:val="auto"/>
              </w:rPr>
              <w:t>Country of incorporation</w:t>
            </w:r>
          </w:p>
        </w:tc>
        <w:tc>
          <w:tcPr>
            <w:tcW w:w="1220" w:type="dxa"/>
            <w:vAlign w:val="bottom"/>
            <w:gridSpan w:val="2"/>
          </w:tcPr>
          <w:p>
            <w:pPr>
              <w:jc w:val="right"/>
              <w:ind w:right="310"/>
              <w:spacing w:after="0" w:line="19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r>
      <w:tr>
        <w:trPr>
          <w:trHeight w:val="20"/>
        </w:trPr>
        <w:tc>
          <w:tcPr>
            <w:tcW w:w="1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Cyoptics, Inc.^</w:t>
            </w:r>
          </w:p>
        </w:tc>
        <w:tc>
          <w:tcPr>
            <w:tcW w:w="264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Delaware (U.S.A.)</w:t>
            </w:r>
          </w:p>
        </w:tc>
        <w:tc>
          <w:tcPr>
            <w:tcW w:w="12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Emulex Corporation^</w:t>
            </w:r>
          </w:p>
        </w:tc>
        <w:tc>
          <w:tcPr>
            <w:tcW w:w="3580" w:type="dxa"/>
            <w:vAlign w:val="bottom"/>
            <w:gridSpan w:val="3"/>
          </w:tcPr>
          <w:p>
            <w:pPr>
              <w:ind w:left="1160"/>
              <w:spacing w:after="0" w:line="202" w:lineRule="exact"/>
              <w:rPr>
                <w:sz w:val="20"/>
                <w:szCs w:val="20"/>
                <w:color w:val="auto"/>
              </w:rPr>
            </w:pPr>
            <w:r>
              <w:rPr>
                <w:rFonts w:ascii="Arial" w:cs="Arial" w:eastAsia="Arial" w:hAnsi="Arial"/>
                <w:sz w:val="18"/>
                <w:szCs w:val="18"/>
                <w:color w:val="auto"/>
              </w:rPr>
              <w:t>California (U.S.A.)</w:t>
            </w:r>
          </w:p>
        </w:tc>
        <w:tc>
          <w:tcPr>
            <w:tcW w:w="1220" w:type="dxa"/>
            <w:vAlign w:val="bottom"/>
            <w:gridSpan w:val="2"/>
          </w:tcPr>
          <w:p>
            <w:pPr>
              <w:jc w:val="right"/>
              <w:ind w:right="31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Global Locate, Inc.^</w:t>
            </w:r>
          </w:p>
        </w:tc>
        <w:tc>
          <w:tcPr>
            <w:tcW w:w="3580" w:type="dxa"/>
            <w:vAlign w:val="bottom"/>
            <w:gridSpan w:val="3"/>
            <w:shd w:val="clear" w:color="auto" w:fill="CCEEFF"/>
          </w:tcPr>
          <w:p>
            <w:pPr>
              <w:ind w:left="1160"/>
              <w:spacing w:after="0" w:line="202" w:lineRule="exact"/>
              <w:rPr>
                <w:sz w:val="20"/>
                <w:szCs w:val="20"/>
                <w:color w:val="auto"/>
              </w:rPr>
            </w:pPr>
            <w:r>
              <w:rPr>
                <w:rFonts w:ascii="Arial" w:cs="Arial" w:eastAsia="Arial" w:hAnsi="Arial"/>
                <w:sz w:val="18"/>
                <w:szCs w:val="18"/>
                <w:color w:val="auto"/>
              </w:rPr>
              <w:t>Delaware (U.S.A.)</w:t>
            </w:r>
          </w:p>
        </w:tc>
        <w:tc>
          <w:tcPr>
            <w:tcW w:w="1220" w:type="dxa"/>
            <w:vAlign w:val="bottom"/>
            <w:gridSpan w:val="2"/>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LSI Corporation^</w:t>
            </w:r>
          </w:p>
        </w:tc>
        <w:tc>
          <w:tcPr>
            <w:tcW w:w="3580" w:type="dxa"/>
            <w:vAlign w:val="bottom"/>
            <w:gridSpan w:val="3"/>
          </w:tcPr>
          <w:p>
            <w:pPr>
              <w:ind w:left="1160"/>
              <w:spacing w:after="0" w:line="202" w:lineRule="exact"/>
              <w:rPr>
                <w:sz w:val="20"/>
                <w:szCs w:val="20"/>
                <w:color w:val="auto"/>
              </w:rPr>
            </w:pPr>
            <w:r>
              <w:rPr>
                <w:rFonts w:ascii="Arial" w:cs="Arial" w:eastAsia="Arial" w:hAnsi="Arial"/>
                <w:sz w:val="18"/>
                <w:szCs w:val="18"/>
                <w:color w:val="auto"/>
              </w:rPr>
              <w:t>Delaware (U.S.A.)</w:t>
            </w:r>
          </w:p>
        </w:tc>
        <w:tc>
          <w:tcPr>
            <w:tcW w:w="1220" w:type="dxa"/>
            <w:vAlign w:val="bottom"/>
            <w:gridSpan w:val="2"/>
          </w:tcPr>
          <w:p>
            <w:pPr>
              <w:jc w:val="right"/>
              <w:ind w:right="31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LSI Logic HK Holdings^</w:t>
            </w:r>
          </w:p>
        </w:tc>
        <w:tc>
          <w:tcPr>
            <w:tcW w:w="3580" w:type="dxa"/>
            <w:vAlign w:val="bottom"/>
            <w:gridSpan w:val="3"/>
            <w:shd w:val="clear" w:color="auto" w:fill="CCEEFF"/>
          </w:tcPr>
          <w:p>
            <w:pPr>
              <w:ind w:left="1160"/>
              <w:spacing w:after="0" w:line="202" w:lineRule="exact"/>
              <w:rPr>
                <w:sz w:val="20"/>
                <w:szCs w:val="20"/>
                <w:color w:val="auto"/>
              </w:rPr>
            </w:pPr>
            <w:r>
              <w:rPr>
                <w:rFonts w:ascii="Arial" w:cs="Arial" w:eastAsia="Arial" w:hAnsi="Arial"/>
                <w:sz w:val="18"/>
                <w:szCs w:val="18"/>
                <w:color w:val="auto"/>
              </w:rPr>
              <w:t>Cayman Islands</w:t>
            </w:r>
          </w:p>
        </w:tc>
        <w:tc>
          <w:tcPr>
            <w:tcW w:w="1220" w:type="dxa"/>
            <w:vAlign w:val="bottom"/>
            <w:gridSpan w:val="2"/>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LSI Storage Ireland Limited^</w:t>
            </w:r>
          </w:p>
        </w:tc>
        <w:tc>
          <w:tcPr>
            <w:tcW w:w="3580" w:type="dxa"/>
            <w:vAlign w:val="bottom"/>
            <w:gridSpan w:val="3"/>
          </w:tcPr>
          <w:p>
            <w:pPr>
              <w:ind w:left="1160"/>
              <w:spacing w:after="0" w:line="202" w:lineRule="exact"/>
              <w:rPr>
                <w:sz w:val="20"/>
                <w:szCs w:val="20"/>
                <w:color w:val="auto"/>
              </w:rPr>
            </w:pPr>
            <w:r>
              <w:rPr>
                <w:rFonts w:ascii="Arial" w:cs="Arial" w:eastAsia="Arial" w:hAnsi="Arial"/>
                <w:sz w:val="18"/>
                <w:szCs w:val="18"/>
                <w:color w:val="auto"/>
              </w:rPr>
              <w:t>Ireland</w:t>
            </w:r>
          </w:p>
        </w:tc>
        <w:tc>
          <w:tcPr>
            <w:tcW w:w="1220" w:type="dxa"/>
            <w:vAlign w:val="bottom"/>
            <w:gridSpan w:val="2"/>
          </w:tcPr>
          <w:p>
            <w:pPr>
              <w:jc w:val="right"/>
              <w:ind w:right="31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LSI Technology (Singapore) Pte. Ltd.^</w:t>
            </w:r>
          </w:p>
        </w:tc>
        <w:tc>
          <w:tcPr>
            <w:tcW w:w="3580" w:type="dxa"/>
            <w:vAlign w:val="bottom"/>
            <w:gridSpan w:val="3"/>
            <w:shd w:val="clear" w:color="auto" w:fill="CCEEFF"/>
          </w:tcPr>
          <w:p>
            <w:pPr>
              <w:ind w:left="1160"/>
              <w:spacing w:after="0" w:line="202" w:lineRule="exact"/>
              <w:rPr>
                <w:sz w:val="20"/>
                <w:szCs w:val="20"/>
                <w:color w:val="auto"/>
              </w:rPr>
            </w:pPr>
            <w:r>
              <w:rPr>
                <w:rFonts w:ascii="Arial" w:cs="Arial" w:eastAsia="Arial" w:hAnsi="Arial"/>
                <w:sz w:val="18"/>
                <w:szCs w:val="18"/>
                <w:color w:val="auto"/>
              </w:rPr>
              <w:t>Singapore</w:t>
            </w:r>
          </w:p>
        </w:tc>
        <w:tc>
          <w:tcPr>
            <w:tcW w:w="1220" w:type="dxa"/>
            <w:vAlign w:val="bottom"/>
            <w:gridSpan w:val="2"/>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Netlogic I LLC^</w:t>
            </w:r>
          </w:p>
        </w:tc>
        <w:tc>
          <w:tcPr>
            <w:tcW w:w="3580" w:type="dxa"/>
            <w:vAlign w:val="bottom"/>
            <w:gridSpan w:val="3"/>
          </w:tcPr>
          <w:p>
            <w:pPr>
              <w:ind w:left="1160"/>
              <w:spacing w:after="0" w:line="202" w:lineRule="exact"/>
              <w:rPr>
                <w:sz w:val="20"/>
                <w:szCs w:val="20"/>
                <w:color w:val="auto"/>
              </w:rPr>
            </w:pPr>
            <w:r>
              <w:rPr>
                <w:rFonts w:ascii="Arial" w:cs="Arial" w:eastAsia="Arial" w:hAnsi="Arial"/>
                <w:sz w:val="18"/>
                <w:szCs w:val="18"/>
                <w:color w:val="auto"/>
              </w:rPr>
              <w:t>Delaware (U.S.A.)</w:t>
            </w:r>
          </w:p>
        </w:tc>
        <w:tc>
          <w:tcPr>
            <w:tcW w:w="1220" w:type="dxa"/>
            <w:vAlign w:val="bottom"/>
            <w:gridSpan w:val="2"/>
          </w:tcPr>
          <w:p>
            <w:pPr>
              <w:jc w:val="right"/>
              <w:ind w:right="31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O.C. Property Company, LLC^</w:t>
            </w:r>
          </w:p>
        </w:tc>
        <w:tc>
          <w:tcPr>
            <w:tcW w:w="3580" w:type="dxa"/>
            <w:vAlign w:val="bottom"/>
            <w:gridSpan w:val="3"/>
            <w:shd w:val="clear" w:color="auto" w:fill="CCEEFF"/>
          </w:tcPr>
          <w:p>
            <w:pPr>
              <w:ind w:left="1160"/>
              <w:spacing w:after="0" w:line="202" w:lineRule="exact"/>
              <w:rPr>
                <w:sz w:val="20"/>
                <w:szCs w:val="20"/>
                <w:color w:val="auto"/>
              </w:rPr>
            </w:pPr>
            <w:r>
              <w:rPr>
                <w:rFonts w:ascii="Arial" w:cs="Arial" w:eastAsia="Arial" w:hAnsi="Arial"/>
                <w:sz w:val="18"/>
                <w:szCs w:val="18"/>
                <w:color w:val="auto"/>
              </w:rPr>
              <w:t>Delaware (U.S.A.)</w:t>
            </w:r>
          </w:p>
        </w:tc>
        <w:tc>
          <w:tcPr>
            <w:tcW w:w="1220" w:type="dxa"/>
            <w:vAlign w:val="bottom"/>
            <w:gridSpan w:val="2"/>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Serverworks Corporation^</w:t>
            </w:r>
          </w:p>
        </w:tc>
        <w:tc>
          <w:tcPr>
            <w:tcW w:w="3580" w:type="dxa"/>
            <w:vAlign w:val="bottom"/>
            <w:gridSpan w:val="3"/>
          </w:tcPr>
          <w:p>
            <w:pPr>
              <w:ind w:left="1160"/>
              <w:spacing w:after="0" w:line="202" w:lineRule="exact"/>
              <w:rPr>
                <w:sz w:val="20"/>
                <w:szCs w:val="20"/>
                <w:color w:val="auto"/>
              </w:rPr>
            </w:pPr>
            <w:r>
              <w:rPr>
                <w:rFonts w:ascii="Arial" w:cs="Arial" w:eastAsia="Arial" w:hAnsi="Arial"/>
                <w:sz w:val="18"/>
                <w:szCs w:val="18"/>
                <w:color w:val="auto"/>
              </w:rPr>
              <w:t>Delaware (U.S.A.)</w:t>
            </w:r>
          </w:p>
        </w:tc>
        <w:tc>
          <w:tcPr>
            <w:tcW w:w="1220" w:type="dxa"/>
            <w:vAlign w:val="bottom"/>
            <w:gridSpan w:val="2"/>
          </w:tcPr>
          <w:p>
            <w:pPr>
              <w:jc w:val="right"/>
              <w:ind w:right="31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ServerWorks International Ltd.^</w:t>
            </w:r>
          </w:p>
        </w:tc>
        <w:tc>
          <w:tcPr>
            <w:tcW w:w="3580" w:type="dxa"/>
            <w:vAlign w:val="bottom"/>
            <w:gridSpan w:val="3"/>
            <w:shd w:val="clear" w:color="auto" w:fill="CCEEFF"/>
          </w:tcPr>
          <w:p>
            <w:pPr>
              <w:ind w:left="1160"/>
              <w:spacing w:after="0" w:line="202" w:lineRule="exact"/>
              <w:rPr>
                <w:sz w:val="20"/>
                <w:szCs w:val="20"/>
                <w:color w:val="auto"/>
              </w:rPr>
            </w:pPr>
            <w:r>
              <w:rPr>
                <w:rFonts w:ascii="Arial" w:cs="Arial" w:eastAsia="Arial" w:hAnsi="Arial"/>
                <w:sz w:val="18"/>
                <w:szCs w:val="18"/>
                <w:color w:val="auto"/>
              </w:rPr>
              <w:t>Cayman Islands</w:t>
            </w:r>
          </w:p>
        </w:tc>
        <w:tc>
          <w:tcPr>
            <w:tcW w:w="1220" w:type="dxa"/>
            <w:vAlign w:val="bottom"/>
            <w:gridSpan w:val="2"/>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Teknovus, Inc.^</w:t>
            </w:r>
          </w:p>
        </w:tc>
        <w:tc>
          <w:tcPr>
            <w:tcW w:w="3580" w:type="dxa"/>
            <w:vAlign w:val="bottom"/>
            <w:gridSpan w:val="3"/>
          </w:tcPr>
          <w:p>
            <w:pPr>
              <w:ind w:left="1160"/>
              <w:spacing w:after="0" w:line="202" w:lineRule="exact"/>
              <w:rPr>
                <w:sz w:val="20"/>
                <w:szCs w:val="20"/>
                <w:color w:val="auto"/>
              </w:rPr>
            </w:pPr>
            <w:r>
              <w:rPr>
                <w:rFonts w:ascii="Arial" w:cs="Arial" w:eastAsia="Arial" w:hAnsi="Arial"/>
                <w:sz w:val="18"/>
                <w:szCs w:val="18"/>
                <w:color w:val="auto"/>
              </w:rPr>
              <w:t>California (U.S.A.)</w:t>
            </w:r>
          </w:p>
        </w:tc>
        <w:tc>
          <w:tcPr>
            <w:tcW w:w="1220" w:type="dxa"/>
            <w:vAlign w:val="bottom"/>
            <w:gridSpan w:val="2"/>
          </w:tcPr>
          <w:p>
            <w:pPr>
              <w:jc w:val="right"/>
              <w:ind w:right="310"/>
              <w:spacing w:after="0" w:line="202"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Silicon Manufacturing Partners Pte Ltd.*</w:t>
            </w:r>
          </w:p>
        </w:tc>
        <w:tc>
          <w:tcPr>
            <w:tcW w:w="3580" w:type="dxa"/>
            <w:vAlign w:val="bottom"/>
            <w:gridSpan w:val="3"/>
            <w:shd w:val="clear" w:color="auto" w:fill="CCEEFF"/>
          </w:tcPr>
          <w:p>
            <w:pPr>
              <w:ind w:left="1160"/>
              <w:spacing w:after="0" w:line="202" w:lineRule="exact"/>
              <w:rPr>
                <w:sz w:val="20"/>
                <w:szCs w:val="20"/>
                <w:color w:val="auto"/>
              </w:rPr>
            </w:pPr>
            <w:r>
              <w:rPr>
                <w:rFonts w:ascii="Arial" w:cs="Arial" w:eastAsia="Arial" w:hAnsi="Arial"/>
                <w:sz w:val="18"/>
                <w:szCs w:val="18"/>
                <w:color w:val="auto"/>
              </w:rPr>
              <w:t>Singapore</w:t>
            </w:r>
          </w:p>
        </w:tc>
        <w:tc>
          <w:tcPr>
            <w:tcW w:w="1220" w:type="dxa"/>
            <w:vAlign w:val="bottom"/>
            <w:gridSpan w:val="2"/>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49</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w:t>
            </w:r>
          </w:p>
        </w:tc>
      </w:tr>
    </w:tbl>
    <w:p>
      <w:pPr>
        <w:spacing w:after="0" w:line="150" w:lineRule="exact"/>
        <w:rPr>
          <w:sz w:val="20"/>
          <w:szCs w:val="20"/>
          <w:color w:val="auto"/>
        </w:rPr>
      </w:pPr>
    </w:p>
    <w:p>
      <w:pPr>
        <w:ind w:left="980" w:right="2200"/>
        <w:spacing w:after="0" w:line="246" w:lineRule="auto"/>
        <w:rPr>
          <w:sz w:val="20"/>
          <w:szCs w:val="20"/>
          <w:color w:val="auto"/>
        </w:rPr>
      </w:pPr>
      <w:r>
        <w:rPr>
          <w:rFonts w:ascii="Arial" w:cs="Arial" w:eastAsia="Arial" w:hAnsi="Arial"/>
          <w:sz w:val="16"/>
          <w:szCs w:val="16"/>
          <w:color w:val="auto"/>
        </w:rPr>
        <w:t>† This subsidiary is the only subsidiary of Broadcom Limited that is not a subsidiary of Broadcom Cayman L.P. * 51% LSI Technology (Singapore) Pte. Ltd.; 49% GlobalFoundries</w:t>
      </w:r>
    </w:p>
    <w:p>
      <w:pPr>
        <w:ind w:left="1300" w:right="20" w:hanging="324"/>
        <w:spacing w:after="0" w:line="260" w:lineRule="auto"/>
        <w:rPr>
          <w:sz w:val="20"/>
          <w:szCs w:val="20"/>
          <w:color w:val="auto"/>
        </w:rPr>
      </w:pPr>
      <w:r>
        <w:rPr>
          <w:rFonts w:ascii="Arial" w:cs="Arial" w:eastAsia="Arial" w:hAnsi="Arial"/>
          <w:sz w:val="16"/>
          <w:szCs w:val="16"/>
          <w:color w:val="auto"/>
        </w:rPr>
        <w:t>^ These subsidiaries are 100% owned subsidiaries of Broadcom Cayman L.P. Effective equity holding in these subsidiaries held by the Group is 95% due to 5% equity holding in Broadcom Cayman L.P. held by other non-controlling interests.</w:t>
      </w:r>
    </w:p>
    <w:p>
      <w:pPr>
        <w:spacing w:after="0" w:line="197" w:lineRule="exact"/>
        <w:rPr>
          <w:sz w:val="20"/>
          <w:szCs w:val="20"/>
          <w:color w:val="auto"/>
        </w:rPr>
      </w:pPr>
    </w:p>
    <w:p>
      <w:pPr>
        <w:ind w:left="980" w:hanging="776"/>
        <w:spacing w:after="0"/>
        <w:tabs>
          <w:tab w:leader="none" w:pos="98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to FRS</w:t>
      </w:r>
    </w:p>
    <w:p>
      <w:pPr>
        <w:spacing w:after="0" w:line="233" w:lineRule="exact"/>
        <w:rPr>
          <w:rFonts w:ascii="Arial" w:cs="Arial" w:eastAsia="Arial" w:hAnsi="Arial"/>
          <w:sz w:val="18"/>
          <w:szCs w:val="18"/>
          <w:b w:val="1"/>
          <w:bCs w:val="1"/>
          <w:color w:val="auto"/>
        </w:rPr>
      </w:pPr>
    </w:p>
    <w:p>
      <w:pPr>
        <w:jc w:val="both"/>
        <w:ind w:left="980" w:right="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As part of the Company’s listing requirement on the NASDAQ Global Select Market, the consolidated financial statements of Broadcom Limited for financial year 2017 were prepared in conformity with previous GAAP for the purpose of filing with the SEC. An Annual Report on Form 10-K containing the consolidated financial statements of Broadcom Limited for financial year 2017 was filed with the SEC on 21 December 2017. There are differences in certain aspects between the consolidated financial statements filed with the SEC and those consolidated financial statements prepared in accordance with FRS. The following disclosures shows the reconciliation to FRS for the Group’s consolidated balance sheet and total comprehensive income that were prepared under previous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A-119</w:t>
      </w:r>
    </w:p>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Reconciliation to FRS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Reconciliation of the Group’s consolidated balance sheet reported in accordance with the previous GAAP to FRS</w:t>
      </w:r>
    </w:p>
    <w:p>
      <w:pPr>
        <w:spacing w:after="0" w:line="9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760" w:type="dxa"/>
            <w:vAlign w:val="bottom"/>
          </w:tcPr>
          <w:p>
            <w:pPr>
              <w:ind w:left="1660"/>
              <w:spacing w:after="0"/>
              <w:rPr>
                <w:sz w:val="20"/>
                <w:szCs w:val="20"/>
                <w:color w:val="auto"/>
              </w:rPr>
            </w:pPr>
            <w:r>
              <w:rPr>
                <w:rFonts w:ascii="Arial" w:cs="Arial" w:eastAsia="Arial" w:hAnsi="Arial"/>
                <w:sz w:val="18"/>
                <w:szCs w:val="18"/>
                <w:b w:val="1"/>
                <w:bCs w:val="1"/>
                <w:color w:val="auto"/>
              </w:rPr>
              <w:t>Explanatory</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29 October</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Reconciliation</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29 October</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760" w:type="dxa"/>
            <w:vAlign w:val="bottom"/>
          </w:tcPr>
          <w:p>
            <w:pPr>
              <w:ind w:left="1980"/>
              <w:spacing w:after="0" w:line="202" w:lineRule="exact"/>
              <w:rPr>
                <w:sz w:val="20"/>
                <w:szCs w:val="20"/>
                <w:color w:val="auto"/>
              </w:rPr>
            </w:pPr>
            <w:r>
              <w:rPr>
                <w:rFonts w:ascii="Arial" w:cs="Arial" w:eastAsia="Arial" w:hAnsi="Arial"/>
                <w:sz w:val="18"/>
                <w:szCs w:val="18"/>
                <w:b w:val="1"/>
                <w:bCs w:val="1"/>
                <w:color w:val="auto"/>
              </w:rPr>
              <w:t>Note</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2017</w:t>
            </w:r>
          </w:p>
        </w:tc>
        <w:tc>
          <w:tcPr>
            <w:tcW w:w="14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 FRS</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reported</w:t>
            </w:r>
          </w:p>
        </w:tc>
        <w:tc>
          <w:tcPr>
            <w:tcW w:w="140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reported</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under</w:t>
            </w:r>
          </w:p>
        </w:tc>
        <w:tc>
          <w:tcPr>
            <w:tcW w:w="140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under FRS</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previous</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GAAP</w:t>
            </w:r>
          </w:p>
        </w:tc>
        <w:tc>
          <w:tcPr>
            <w:tcW w:w="1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Arial" w:cs="Arial" w:eastAsia="Arial" w:hAnsi="Arial"/>
                <w:sz w:val="18"/>
                <w:szCs w:val="18"/>
                <w:color w:val="auto"/>
                <w:w w:val="99"/>
              </w:rPr>
              <w:t>(US$ millions)</w:t>
            </w:r>
          </w:p>
        </w:tc>
        <w:tc>
          <w:tcPr>
            <w:tcW w:w="1400" w:type="dxa"/>
            <w:vAlign w:val="bottom"/>
          </w:tcPr>
          <w:p>
            <w:pPr>
              <w:jc w:val="center"/>
              <w:spacing w:after="0" w:line="203" w:lineRule="exact"/>
              <w:rPr>
                <w:sz w:val="20"/>
                <w:szCs w:val="20"/>
                <w:color w:val="auto"/>
              </w:rPr>
            </w:pPr>
            <w:r>
              <w:rPr>
                <w:rFonts w:ascii="Arial" w:cs="Arial" w:eastAsia="Arial" w:hAnsi="Arial"/>
                <w:sz w:val="18"/>
                <w:szCs w:val="18"/>
                <w:color w:val="auto"/>
                <w:w w:val="99"/>
              </w:rPr>
              <w:t>(US$ millions)</w:t>
            </w:r>
          </w:p>
        </w:tc>
        <w:tc>
          <w:tcPr>
            <w:tcW w:w="1380" w:type="dxa"/>
            <w:vAlign w:val="bottom"/>
          </w:tcPr>
          <w:p>
            <w:pPr>
              <w:jc w:val="right"/>
              <w:ind w:right="90"/>
              <w:spacing w:after="0" w:line="203" w:lineRule="exact"/>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2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11,204</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11,204</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Trade receivables, net</w:t>
            </w:r>
          </w:p>
        </w:tc>
        <w:tc>
          <w:tcPr>
            <w:tcW w:w="27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2,448</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1,447</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2760" w:type="dxa"/>
            <w:vAlign w:val="bottom"/>
            <w:tcBorders>
              <w:bottom w:val="single" w:sz="8" w:color="CCEEFF"/>
            </w:tcBorders>
          </w:tcPr>
          <w:p>
            <w:pPr>
              <w:ind w:left="2160"/>
              <w:spacing w:after="0"/>
              <w:rPr>
                <w:sz w:val="20"/>
                <w:szCs w:val="20"/>
                <w:color w:val="auto"/>
              </w:rPr>
            </w:pPr>
            <w:r>
              <w:rPr>
                <w:rFonts w:ascii="Arial" w:cs="Arial" w:eastAsia="Arial" w:hAnsi="Arial"/>
                <w:sz w:val="18"/>
                <w:szCs w:val="18"/>
                <w:b w:val="1"/>
                <w:bCs w:val="1"/>
                <w:color w:val="auto"/>
              </w:rPr>
              <w:t>A1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15,823</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3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15,810</w:t>
            </w:r>
          </w:p>
        </w:tc>
        <w:tc>
          <w:tcPr>
            <w:tcW w:w="0" w:type="dxa"/>
            <w:vAlign w:val="bottom"/>
          </w:tcPr>
          <w:p>
            <w:pPr>
              <w:spacing w:after="0"/>
              <w:rPr>
                <w:sz w:val="1"/>
                <w:szCs w:val="1"/>
                <w:color w:val="auto"/>
              </w:rPr>
            </w:pPr>
          </w:p>
        </w:tc>
      </w:tr>
      <w:tr>
        <w:trPr>
          <w:trHeight w:val="418"/>
        </w:trPr>
        <w:tc>
          <w:tcPr>
            <w:tcW w:w="4180" w:type="dxa"/>
            <w:vAlign w:val="bottom"/>
            <w:gridSpan w:val="2"/>
          </w:tcPr>
          <w:p>
            <w:pPr>
              <w:ind w:left="760"/>
              <w:spacing w:after="0"/>
              <w:rPr>
                <w:sz w:val="20"/>
                <w:szCs w:val="20"/>
                <w:color w:val="auto"/>
              </w:rPr>
            </w:pPr>
            <w:r>
              <w:rPr>
                <w:rFonts w:ascii="Arial" w:cs="Arial" w:eastAsia="Arial" w:hAnsi="Arial"/>
                <w:sz w:val="18"/>
                <w:szCs w:val="18"/>
                <w:color w:val="auto"/>
              </w:rPr>
              <w:t>Assets of disposal group</w:t>
            </w:r>
          </w:p>
        </w:tc>
        <w:tc>
          <w:tcPr>
            <w:tcW w:w="2760" w:type="dxa"/>
            <w:vAlign w:val="bottom"/>
            <w:vMerge w:val="restart"/>
          </w:tcPr>
          <w:p>
            <w:pPr>
              <w:ind w:left="2160"/>
              <w:spacing w:after="0"/>
              <w:rPr>
                <w:sz w:val="20"/>
                <w:szCs w:val="20"/>
                <w:color w:val="auto"/>
              </w:rPr>
            </w:pPr>
            <w:r>
              <w:rPr>
                <w:rFonts w:ascii="Arial" w:cs="Arial" w:eastAsia="Arial" w:hAnsi="Arial"/>
                <w:sz w:val="18"/>
                <w:szCs w:val="18"/>
                <w:b w:val="1"/>
                <w:bCs w:val="1"/>
                <w:color w:val="auto"/>
              </w:rPr>
              <w:t>A1</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3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classified as held-for-sale</w:t>
            </w:r>
          </w:p>
        </w:tc>
        <w:tc>
          <w:tcPr>
            <w:tcW w:w="2760" w:type="dxa"/>
            <w:vAlign w:val="bottom"/>
            <w:tcBorders>
              <w:bottom w:val="single" w:sz="8" w:color="CCEEFF"/>
            </w:tcBorders>
            <w:vMerge w:val="continue"/>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15,823</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15,823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Non-current assets</w:t>
            </w:r>
          </w:p>
        </w:tc>
        <w:tc>
          <w:tcPr>
            <w:tcW w:w="2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plant and</w:t>
            </w: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equipment</w:t>
            </w: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2,599</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7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24,706</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24,706</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10,832</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10,832</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2760" w:type="dxa"/>
            <w:vAlign w:val="bottom"/>
          </w:tcPr>
          <w:p>
            <w:pPr>
              <w:ind w:left="2160"/>
              <w:spacing w:after="0" w:line="202" w:lineRule="exact"/>
              <w:rPr>
                <w:sz w:val="20"/>
                <w:szCs w:val="20"/>
                <w:color w:val="auto"/>
              </w:rPr>
            </w:pPr>
            <w:r>
              <w:rPr>
                <w:rFonts w:ascii="Arial" w:cs="Arial" w:eastAsia="Arial" w:hAnsi="Arial"/>
                <w:sz w:val="18"/>
                <w:szCs w:val="18"/>
                <w:b w:val="1"/>
                <w:bCs w:val="1"/>
                <w:color w:val="auto"/>
              </w:rPr>
              <w:t>A2</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458</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 assets</w:t>
            </w:r>
          </w:p>
        </w:tc>
        <w:tc>
          <w:tcPr>
            <w:tcW w:w="2760" w:type="dxa"/>
            <w:vAlign w:val="bottom"/>
            <w:shd w:val="clear" w:color="auto" w:fill="CCEEFF"/>
          </w:tcPr>
          <w:p>
            <w:pPr>
              <w:ind w:left="2160"/>
              <w:spacing w:after="0" w:line="202" w:lineRule="exact"/>
              <w:rPr>
                <w:sz w:val="20"/>
                <w:szCs w:val="20"/>
                <w:color w:val="auto"/>
              </w:rPr>
            </w:pPr>
            <w:r>
              <w:rPr>
                <w:rFonts w:ascii="Arial" w:cs="Arial" w:eastAsia="Arial" w:hAnsi="Arial"/>
                <w:sz w:val="18"/>
                <w:szCs w:val="18"/>
                <w:b w:val="1"/>
                <w:bCs w:val="1"/>
                <w:color w:val="auto"/>
              </w:rPr>
              <w:t>A2</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3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38,595</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38,595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54,418</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54,418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vMerge w:val="restart"/>
          </w:tcPr>
          <w:p>
            <w:pPr>
              <w:spacing w:after="0"/>
              <w:rPr>
                <w:sz w:val="16"/>
                <w:szCs w:val="16"/>
                <w:color w:val="auto"/>
              </w:rPr>
            </w:pPr>
          </w:p>
        </w:tc>
        <w:tc>
          <w:tcPr>
            <w:tcW w:w="34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2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payables</w:t>
            </w: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1,105</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Current income tax liabilities</w:t>
            </w:r>
          </w:p>
        </w:tc>
        <w:tc>
          <w:tcPr>
            <w:tcW w:w="2760" w:type="dxa"/>
            <w:vAlign w:val="bottom"/>
          </w:tcPr>
          <w:p>
            <w:pPr>
              <w:ind w:left="2160"/>
              <w:spacing w:after="0" w:line="202" w:lineRule="exact"/>
              <w:rPr>
                <w:sz w:val="20"/>
                <w:szCs w:val="20"/>
                <w:color w:val="auto"/>
              </w:rPr>
            </w:pPr>
            <w:r>
              <w:rPr>
                <w:rFonts w:ascii="Arial" w:cs="Arial" w:eastAsia="Arial" w:hAnsi="Arial"/>
                <w:sz w:val="18"/>
                <w:szCs w:val="18"/>
                <w:b w:val="1"/>
                <w:bCs w:val="1"/>
                <w:color w:val="auto"/>
              </w:rPr>
              <w:t>A2</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981</w:t>
            </w:r>
          </w:p>
        </w:tc>
        <w:tc>
          <w:tcPr>
            <w:tcW w:w="1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Borrowings – Current portion</w:t>
            </w: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of long-term debts</w:t>
            </w: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117</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Employee compensation and</w:t>
            </w:r>
          </w:p>
        </w:tc>
        <w:tc>
          <w:tcPr>
            <w:tcW w:w="2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Pr>
          <w:p>
            <w:pPr>
              <w:ind w:left="160"/>
              <w:spacing w:after="0" w:line="203" w:lineRule="exact"/>
              <w:rPr>
                <w:sz w:val="20"/>
                <w:szCs w:val="20"/>
                <w:color w:val="auto"/>
              </w:rPr>
            </w:pPr>
            <w:r>
              <w:rPr>
                <w:rFonts w:ascii="Arial" w:cs="Arial" w:eastAsia="Arial" w:hAnsi="Arial"/>
                <w:sz w:val="18"/>
                <w:szCs w:val="18"/>
                <w:color w:val="auto"/>
              </w:rPr>
              <w:t>benefits</w:t>
            </w:r>
          </w:p>
        </w:tc>
        <w:tc>
          <w:tcPr>
            <w:tcW w:w="27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626</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line="203" w:lineRule="exact"/>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current liabilities and</w:t>
            </w:r>
          </w:p>
        </w:tc>
        <w:tc>
          <w:tcPr>
            <w:tcW w:w="2760" w:type="dxa"/>
            <w:vAlign w:val="bottom"/>
            <w:vMerge w:val="restart"/>
            <w:shd w:val="clear" w:color="auto" w:fill="CCEEFF"/>
          </w:tcPr>
          <w:p>
            <w:pPr>
              <w:ind w:left="2160"/>
              <w:spacing w:after="0"/>
              <w:rPr>
                <w:sz w:val="20"/>
                <w:szCs w:val="20"/>
                <w:color w:val="auto"/>
              </w:rPr>
            </w:pPr>
            <w:r>
              <w:rPr>
                <w:rFonts w:ascii="Arial" w:cs="Arial" w:eastAsia="Arial" w:hAnsi="Arial"/>
                <w:sz w:val="18"/>
                <w:szCs w:val="18"/>
                <w:b w:val="1"/>
                <w:bCs w:val="1"/>
                <w:color w:val="auto"/>
              </w:rPr>
              <w:t>A2</w:t>
            </w:r>
          </w:p>
        </w:tc>
        <w:tc>
          <w:tcPr>
            <w:tcW w:w="1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other provisions</w:t>
            </w:r>
          </w:p>
        </w:tc>
        <w:tc>
          <w:tcPr>
            <w:tcW w:w="2760" w:type="dxa"/>
            <w:vAlign w:val="bottom"/>
            <w:vMerge w:val="continue"/>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681</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(102)</w:t>
            </w:r>
          </w:p>
        </w:tc>
        <w:tc>
          <w:tcPr>
            <w:tcW w:w="138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2,529</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879</w:t>
            </w:r>
          </w:p>
        </w:tc>
        <w:tc>
          <w:tcPr>
            <w:tcW w:w="13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156"/>
        </w:trPr>
        <w:tc>
          <w:tcPr>
            <w:tcW w:w="78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760" w:type="dxa"/>
            <w:vAlign w:val="bottom"/>
          </w:tcPr>
          <w:p>
            <w:pPr>
              <w:ind w:left="1080"/>
              <w:spacing w:after="0"/>
              <w:rPr>
                <w:sz w:val="20"/>
                <w:szCs w:val="20"/>
                <w:color w:val="auto"/>
              </w:rPr>
            </w:pPr>
            <w:r>
              <w:rPr>
                <w:rFonts w:ascii="Arial" w:cs="Arial" w:eastAsia="Arial" w:hAnsi="Arial"/>
                <w:sz w:val="18"/>
                <w:szCs w:val="18"/>
                <w:color w:val="auto"/>
              </w:rPr>
              <w:t>A-120</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Reconciliation to FRS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Reconciliation of the Group’s consolidated balance sheet reported in accordance with the previous GAAP to FRS (continued)</w:t>
      </w:r>
    </w:p>
    <w:p>
      <w:pPr>
        <w:spacing w:after="0" w:line="11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Explanatory</w:t>
            </w:r>
          </w:p>
        </w:tc>
        <w:tc>
          <w:tcPr>
            <w:tcW w:w="200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29 October</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rPr>
              <w:t>Reconciliation</w:t>
            </w:r>
          </w:p>
        </w:tc>
        <w:tc>
          <w:tcPr>
            <w:tcW w:w="160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29 October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60" w:type="dxa"/>
            <w:vAlign w:val="bottom"/>
          </w:tcPr>
          <w:p>
            <w:pPr>
              <w:jc w:val="center"/>
              <w:ind w:left="910"/>
              <w:spacing w:after="0" w:line="202" w:lineRule="exact"/>
              <w:rPr>
                <w:sz w:val="20"/>
                <w:szCs w:val="20"/>
                <w:color w:val="auto"/>
              </w:rPr>
            </w:pPr>
            <w:r>
              <w:rPr>
                <w:rFonts w:ascii="Arial" w:cs="Arial" w:eastAsia="Arial" w:hAnsi="Arial"/>
                <w:sz w:val="18"/>
                <w:szCs w:val="18"/>
                <w:b w:val="1"/>
                <w:bCs w:val="1"/>
                <w:color w:val="auto"/>
                <w:w w:val="99"/>
              </w:rPr>
              <w:t>Note</w:t>
            </w:r>
          </w:p>
        </w:tc>
        <w:tc>
          <w:tcPr>
            <w:tcW w:w="200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9"/>
              </w:rPr>
              <w:t>2017</w:t>
            </w:r>
          </w:p>
        </w:tc>
        <w:tc>
          <w:tcPr>
            <w:tcW w:w="18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 FRS</w:t>
            </w:r>
          </w:p>
        </w:tc>
        <w:tc>
          <w:tcPr>
            <w:tcW w:w="160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0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8"/>
              </w:rPr>
              <w:t>reported</w:t>
            </w:r>
          </w:p>
        </w:tc>
        <w:tc>
          <w:tcPr>
            <w:tcW w:w="1860" w:type="dxa"/>
            <w:vAlign w:val="bottom"/>
          </w:tcPr>
          <w:p>
            <w:pPr>
              <w:spacing w:after="0"/>
              <w:rPr>
                <w:sz w:val="17"/>
                <w:szCs w:val="17"/>
                <w:color w:val="auto"/>
              </w:rPr>
            </w:pPr>
          </w:p>
        </w:tc>
        <w:tc>
          <w:tcPr>
            <w:tcW w:w="160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8"/>
              </w:rPr>
              <w:t>reported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0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w w:val="99"/>
              </w:rPr>
              <w:t>under</w:t>
            </w:r>
          </w:p>
        </w:tc>
        <w:tc>
          <w:tcPr>
            <w:tcW w:w="1860" w:type="dxa"/>
            <w:vAlign w:val="bottom"/>
          </w:tcPr>
          <w:p>
            <w:pPr>
              <w:spacing w:after="0"/>
              <w:rPr>
                <w:sz w:val="17"/>
                <w:szCs w:val="17"/>
                <w:color w:val="auto"/>
              </w:rPr>
            </w:pPr>
          </w:p>
        </w:tc>
        <w:tc>
          <w:tcPr>
            <w:tcW w:w="160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rPr>
              <w:t>under FRS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0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rPr>
              <w:t>previous</w:t>
            </w:r>
          </w:p>
        </w:tc>
        <w:tc>
          <w:tcPr>
            <w:tcW w:w="1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GAAP</w:t>
            </w:r>
          </w:p>
        </w:tc>
        <w:tc>
          <w:tcPr>
            <w:tcW w:w="1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00" w:type="dxa"/>
            <w:vAlign w:val="bottom"/>
          </w:tcPr>
          <w:p>
            <w:pPr>
              <w:jc w:val="center"/>
              <w:ind w:left="150"/>
              <w:spacing w:after="0" w:line="203" w:lineRule="exact"/>
              <w:rPr>
                <w:sz w:val="20"/>
                <w:szCs w:val="20"/>
                <w:color w:val="auto"/>
              </w:rPr>
            </w:pPr>
            <w:r>
              <w:rPr>
                <w:rFonts w:ascii="Arial" w:cs="Arial" w:eastAsia="Arial" w:hAnsi="Arial"/>
                <w:sz w:val="18"/>
                <w:szCs w:val="18"/>
                <w:color w:val="auto"/>
                <w:w w:val="99"/>
              </w:rPr>
              <w:t>(US$ millions)</w:t>
            </w:r>
          </w:p>
        </w:tc>
        <w:tc>
          <w:tcPr>
            <w:tcW w:w="1860" w:type="dxa"/>
            <w:vAlign w:val="bottom"/>
          </w:tcPr>
          <w:p>
            <w:pPr>
              <w:jc w:val="center"/>
              <w:spacing w:after="0" w:line="203" w:lineRule="exact"/>
              <w:rPr>
                <w:sz w:val="20"/>
                <w:szCs w:val="20"/>
                <w:color w:val="auto"/>
              </w:rPr>
            </w:pPr>
            <w:r>
              <w:rPr>
                <w:rFonts w:ascii="Arial" w:cs="Arial" w:eastAsia="Arial" w:hAnsi="Arial"/>
                <w:sz w:val="18"/>
                <w:szCs w:val="18"/>
                <w:color w:val="auto"/>
                <w:w w:val="99"/>
              </w:rPr>
              <w:t>(US$ millions)</w:t>
            </w:r>
          </w:p>
        </w:tc>
        <w:tc>
          <w:tcPr>
            <w:tcW w:w="16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2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spacing w:after="0" w:line="202" w:lineRule="exact"/>
              <w:rPr>
                <w:sz w:val="20"/>
                <w:szCs w:val="20"/>
                <w:color w:val="auto"/>
              </w:rPr>
            </w:pPr>
            <w:r>
              <w:rPr>
                <w:rFonts w:ascii="Arial" w:cs="Arial" w:eastAsia="Arial" w:hAnsi="Arial"/>
                <w:sz w:val="18"/>
                <w:szCs w:val="18"/>
                <w:color w:val="auto"/>
              </w:rPr>
              <w:t>Borrowings – Long-term debt</w:t>
            </w:r>
          </w:p>
        </w:tc>
        <w:tc>
          <w:tcPr>
            <w:tcW w:w="2160" w:type="dxa"/>
            <w:vAlign w:val="bottom"/>
          </w:tcPr>
          <w:p>
            <w:pPr>
              <w:spacing w:after="0"/>
              <w:rPr>
                <w:sz w:val="17"/>
                <w:szCs w:val="17"/>
                <w:color w:val="auto"/>
              </w:rPr>
            </w:pPr>
          </w:p>
        </w:tc>
        <w:tc>
          <w:tcPr>
            <w:tcW w:w="20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17,431</w:t>
            </w:r>
          </w:p>
        </w:tc>
        <w:tc>
          <w:tcPr>
            <w:tcW w:w="1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17,431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income tax liabilities</w:t>
            </w:r>
          </w:p>
        </w:tc>
        <w:tc>
          <w:tcPr>
            <w:tcW w:w="2160" w:type="dxa"/>
            <w:vAlign w:val="bottom"/>
            <w:shd w:val="clear" w:color="auto" w:fill="CCEEFF"/>
          </w:tcPr>
          <w:p>
            <w:pPr>
              <w:jc w:val="center"/>
              <w:ind w:left="1010"/>
              <w:spacing w:after="0" w:line="202" w:lineRule="exact"/>
              <w:rPr>
                <w:sz w:val="20"/>
                <w:szCs w:val="20"/>
                <w:color w:val="auto"/>
              </w:rPr>
            </w:pPr>
            <w:r>
              <w:rPr>
                <w:rFonts w:ascii="Arial" w:cs="Arial" w:eastAsia="Arial" w:hAnsi="Arial"/>
                <w:sz w:val="18"/>
                <w:szCs w:val="18"/>
                <w:b w:val="1"/>
                <w:bCs w:val="1"/>
                <w:color w:val="auto"/>
                <w:w w:val="95"/>
              </w:rPr>
              <w:t>A2</w:t>
            </w:r>
          </w:p>
        </w:tc>
        <w:tc>
          <w:tcPr>
            <w:tcW w:w="20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10,019</w:t>
            </w:r>
          </w:p>
        </w:tc>
        <w:tc>
          <w:tcPr>
            <w:tcW w:w="16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Pension and post-retirement</w:t>
            </w:r>
          </w:p>
        </w:tc>
        <w:tc>
          <w:tcPr>
            <w:tcW w:w="2160" w:type="dxa"/>
            <w:vAlign w:val="bottom"/>
            <w:vMerge w:val="restart"/>
          </w:tcPr>
          <w:p>
            <w:pPr>
              <w:jc w:val="center"/>
              <w:ind w:left="1010"/>
              <w:spacing w:after="0"/>
              <w:rPr>
                <w:sz w:val="20"/>
                <w:szCs w:val="20"/>
                <w:color w:val="auto"/>
              </w:rPr>
            </w:pPr>
            <w:r>
              <w:rPr>
                <w:rFonts w:ascii="Arial" w:cs="Arial" w:eastAsia="Arial" w:hAnsi="Arial"/>
                <w:sz w:val="18"/>
                <w:szCs w:val="18"/>
                <w:b w:val="1"/>
                <w:bCs w:val="1"/>
                <w:color w:val="auto"/>
                <w:w w:val="95"/>
              </w:rPr>
              <w:t>A4</w:t>
            </w:r>
          </w:p>
        </w:tc>
        <w:tc>
          <w:tcPr>
            <w:tcW w:w="2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benefit obligations</w:t>
            </w:r>
          </w:p>
        </w:tc>
        <w:tc>
          <w:tcPr>
            <w:tcW w:w="2160" w:type="dxa"/>
            <w:vAlign w:val="bottom"/>
            <w:vMerge w:val="continue"/>
          </w:tcPr>
          <w:p>
            <w:pPr>
              <w:spacing w:after="0"/>
              <w:rPr>
                <w:sz w:val="17"/>
                <w:szCs w:val="17"/>
                <w:color w:val="auto"/>
              </w:rPr>
            </w:pPr>
          </w:p>
        </w:tc>
        <w:tc>
          <w:tcPr>
            <w:tcW w:w="200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112</w:t>
            </w:r>
          </w:p>
        </w:tc>
        <w:tc>
          <w:tcPr>
            <w:tcW w:w="186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17</w:t>
            </w:r>
          </w:p>
        </w:tc>
        <w:tc>
          <w:tcPr>
            <w:tcW w:w="1600" w:type="dxa"/>
            <w:vAlign w:val="bottom"/>
          </w:tcPr>
          <w:p>
            <w:pPr>
              <w:jc w:val="right"/>
              <w:ind w:right="70"/>
              <w:spacing w:after="0" w:line="203"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2160" w:type="dxa"/>
            <w:vAlign w:val="bottom"/>
            <w:shd w:val="clear" w:color="auto" w:fill="CCEEFF"/>
          </w:tcPr>
          <w:p>
            <w:pPr>
              <w:jc w:val="center"/>
              <w:ind w:left="1010"/>
              <w:spacing w:after="0" w:line="202" w:lineRule="exact"/>
              <w:rPr>
                <w:sz w:val="20"/>
                <w:szCs w:val="20"/>
                <w:color w:val="auto"/>
              </w:rPr>
            </w:pPr>
            <w:r>
              <w:rPr>
                <w:rFonts w:ascii="Arial" w:cs="Arial" w:eastAsia="Arial" w:hAnsi="Arial"/>
                <w:sz w:val="18"/>
                <w:szCs w:val="18"/>
                <w:b w:val="1"/>
                <w:bCs w:val="1"/>
                <w:color w:val="auto"/>
                <w:w w:val="95"/>
              </w:rPr>
              <w:t>A2</w:t>
            </w:r>
          </w:p>
        </w:tc>
        <w:tc>
          <w:tcPr>
            <w:tcW w:w="20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11,160</w:t>
            </w:r>
          </w:p>
        </w:tc>
        <w:tc>
          <w:tcPr>
            <w:tcW w:w="1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(10,898)</w:t>
            </w:r>
          </w:p>
        </w:tc>
        <w:tc>
          <w:tcPr>
            <w:tcW w:w="16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14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28,703</w:t>
            </w:r>
          </w:p>
        </w:tc>
        <w:tc>
          <w:tcPr>
            <w:tcW w:w="18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(862)</w:t>
            </w:r>
          </w:p>
        </w:tc>
        <w:tc>
          <w:tcPr>
            <w:tcW w:w="16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27,841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Total liabilities</w:t>
            </w:r>
          </w:p>
        </w:tc>
        <w:tc>
          <w:tcPr>
            <w:tcW w:w="21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31,232</w:t>
            </w:r>
          </w:p>
        </w:tc>
        <w:tc>
          <w:tcPr>
            <w:tcW w:w="186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17</w:t>
            </w:r>
          </w:p>
        </w:tc>
        <w:tc>
          <w:tcPr>
            <w:tcW w:w="16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31,249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NET ASSETS</w:t>
            </w:r>
          </w:p>
        </w:tc>
        <w:tc>
          <w:tcPr>
            <w:tcW w:w="2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23,186</w:t>
            </w:r>
          </w:p>
        </w:tc>
        <w:tc>
          <w:tcPr>
            <w:tcW w:w="18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(17)</w:t>
            </w:r>
          </w:p>
        </w:tc>
        <w:tc>
          <w:tcPr>
            <w:tcW w:w="16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23,169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21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line="180" w:lineRule="exact"/>
              <w:rPr>
                <w:sz w:val="20"/>
                <w:szCs w:val="20"/>
                <w:color w:val="auto"/>
              </w:rPr>
            </w:pPr>
            <w:r>
              <w:rPr>
                <w:rFonts w:ascii="Arial" w:cs="Arial" w:eastAsia="Arial" w:hAnsi="Arial"/>
                <w:sz w:val="18"/>
                <w:szCs w:val="18"/>
                <w:b w:val="1"/>
                <w:bCs w:val="1"/>
                <w:color w:val="auto"/>
              </w:rPr>
              <w:t>Capital and reserves</w:t>
            </w:r>
          </w:p>
        </w:tc>
        <w:tc>
          <w:tcPr>
            <w:tcW w:w="2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attributable to equity</w:t>
            </w:r>
          </w:p>
        </w:tc>
        <w:tc>
          <w:tcPr>
            <w:tcW w:w="2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b w:val="1"/>
                <w:bCs w:val="1"/>
                <w:color w:val="auto"/>
              </w:rPr>
              <w:t>holders of the Company</w:t>
            </w:r>
          </w:p>
        </w:tc>
        <w:tc>
          <w:tcPr>
            <w:tcW w:w="2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capital</w:t>
            </w:r>
          </w:p>
        </w:tc>
        <w:tc>
          <w:tcPr>
            <w:tcW w:w="2140" w:type="dxa"/>
            <w:vAlign w:val="bottom"/>
            <w:shd w:val="clear" w:color="auto" w:fill="CCEEFF"/>
          </w:tcPr>
          <w:p>
            <w:pPr>
              <w:spacing w:after="0"/>
              <w:rPr>
                <w:sz w:val="17"/>
                <w:szCs w:val="17"/>
                <w:color w:val="auto"/>
              </w:rPr>
            </w:pPr>
          </w:p>
        </w:tc>
        <w:tc>
          <w:tcPr>
            <w:tcW w:w="2160" w:type="dxa"/>
            <w:vAlign w:val="bottom"/>
            <w:shd w:val="clear" w:color="auto" w:fill="CCEEFF"/>
          </w:tcPr>
          <w:p>
            <w:pPr>
              <w:jc w:val="center"/>
              <w:ind w:left="1010"/>
              <w:spacing w:after="0" w:line="202" w:lineRule="exact"/>
              <w:rPr>
                <w:sz w:val="20"/>
                <w:szCs w:val="20"/>
                <w:color w:val="auto"/>
              </w:rPr>
            </w:pPr>
            <w:r>
              <w:rPr>
                <w:rFonts w:ascii="Arial" w:cs="Arial" w:eastAsia="Arial" w:hAnsi="Arial"/>
                <w:sz w:val="18"/>
                <w:szCs w:val="18"/>
                <w:b w:val="1"/>
                <w:bCs w:val="1"/>
                <w:color w:val="auto"/>
                <w:w w:val="95"/>
              </w:rPr>
              <w:t>A3</w:t>
            </w:r>
          </w:p>
        </w:tc>
        <w:tc>
          <w:tcPr>
            <w:tcW w:w="20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20,505</w:t>
            </w:r>
          </w:p>
        </w:tc>
        <w:tc>
          <w:tcPr>
            <w:tcW w:w="1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(1,700)</w:t>
            </w:r>
          </w:p>
        </w:tc>
        <w:tc>
          <w:tcPr>
            <w:tcW w:w="16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18,805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line="202" w:lineRule="exact"/>
              <w:rPr>
                <w:sz w:val="20"/>
                <w:szCs w:val="20"/>
                <w:color w:val="auto"/>
              </w:rPr>
            </w:pPr>
            <w:r>
              <w:rPr>
                <w:rFonts w:ascii="Arial" w:cs="Arial" w:eastAsia="Arial" w:hAnsi="Arial"/>
                <w:sz w:val="18"/>
                <w:szCs w:val="18"/>
                <w:color w:val="auto"/>
              </w:rPr>
              <w:t>Other reserves</w:t>
            </w:r>
          </w:p>
        </w:tc>
        <w:tc>
          <w:tcPr>
            <w:tcW w:w="2140" w:type="dxa"/>
            <w:vAlign w:val="bottom"/>
          </w:tcPr>
          <w:p>
            <w:pPr>
              <w:spacing w:after="0"/>
              <w:rPr>
                <w:sz w:val="17"/>
                <w:szCs w:val="17"/>
                <w:color w:val="auto"/>
              </w:rPr>
            </w:pPr>
          </w:p>
        </w:tc>
        <w:tc>
          <w:tcPr>
            <w:tcW w:w="2160" w:type="dxa"/>
            <w:vAlign w:val="bottom"/>
          </w:tcPr>
          <w:p>
            <w:pPr>
              <w:jc w:val="center"/>
              <w:ind w:left="1010"/>
              <w:spacing w:after="0" w:line="202" w:lineRule="exact"/>
              <w:rPr>
                <w:sz w:val="20"/>
                <w:szCs w:val="20"/>
                <w:color w:val="auto"/>
              </w:rPr>
            </w:pPr>
            <w:r>
              <w:rPr>
                <w:rFonts w:ascii="Arial" w:cs="Arial" w:eastAsia="Arial" w:hAnsi="Arial"/>
                <w:sz w:val="18"/>
                <w:szCs w:val="18"/>
                <w:b w:val="1"/>
                <w:bCs w:val="1"/>
                <w:color w:val="auto"/>
                <w:w w:val="96"/>
              </w:rPr>
              <w:t>A3, A4</w:t>
            </w:r>
          </w:p>
        </w:tc>
        <w:tc>
          <w:tcPr>
            <w:tcW w:w="20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1,594</w:t>
            </w:r>
          </w:p>
        </w:tc>
        <w:tc>
          <w:tcPr>
            <w:tcW w:w="16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160" w:type="dxa"/>
            <w:vAlign w:val="bottom"/>
            <w:shd w:val="clear" w:color="auto" w:fill="CCEEFF"/>
          </w:tcPr>
          <w:p>
            <w:pPr>
              <w:jc w:val="center"/>
              <w:ind w:left="1010"/>
              <w:spacing w:after="0" w:line="202" w:lineRule="exact"/>
              <w:rPr>
                <w:sz w:val="20"/>
                <w:szCs w:val="20"/>
                <w:color w:val="auto"/>
              </w:rPr>
            </w:pPr>
            <w:r>
              <w:rPr>
                <w:rFonts w:ascii="Arial" w:cs="Arial" w:eastAsia="Arial" w:hAnsi="Arial"/>
                <w:sz w:val="18"/>
                <w:szCs w:val="18"/>
                <w:b w:val="1"/>
                <w:bCs w:val="1"/>
                <w:color w:val="auto"/>
                <w:w w:val="95"/>
              </w:rPr>
              <w:t>A4</w:t>
            </w:r>
          </w:p>
        </w:tc>
        <w:tc>
          <w:tcPr>
            <w:tcW w:w="20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(129)</w:t>
            </w:r>
          </w:p>
        </w:tc>
        <w:tc>
          <w:tcPr>
            <w:tcW w:w="1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w:t>
            </w:r>
          </w:p>
        </w:tc>
        <w:tc>
          <w:tcPr>
            <w:tcW w:w="16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Accumulated other</w:t>
            </w:r>
          </w:p>
        </w:tc>
        <w:tc>
          <w:tcPr>
            <w:tcW w:w="2160" w:type="dxa"/>
            <w:vAlign w:val="bottom"/>
            <w:vMerge w:val="restart"/>
          </w:tcPr>
          <w:p>
            <w:pPr>
              <w:jc w:val="center"/>
              <w:ind w:left="1010"/>
              <w:spacing w:after="0"/>
              <w:rPr>
                <w:sz w:val="20"/>
                <w:szCs w:val="20"/>
                <w:color w:val="auto"/>
              </w:rPr>
            </w:pPr>
            <w:r>
              <w:rPr>
                <w:rFonts w:ascii="Arial" w:cs="Arial" w:eastAsia="Arial" w:hAnsi="Arial"/>
                <w:sz w:val="18"/>
                <w:szCs w:val="18"/>
                <w:b w:val="1"/>
                <w:bCs w:val="1"/>
                <w:color w:val="auto"/>
                <w:w w:val="95"/>
              </w:rPr>
              <w:t>A3</w:t>
            </w:r>
          </w:p>
        </w:tc>
        <w:tc>
          <w:tcPr>
            <w:tcW w:w="2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comprehensive loss</w:t>
            </w:r>
          </w:p>
        </w:tc>
        <w:tc>
          <w:tcPr>
            <w:tcW w:w="2160" w:type="dxa"/>
            <w:vAlign w:val="bottom"/>
            <w:tcBorders>
              <w:bottom w:val="single" w:sz="8" w:color="CCEEFF"/>
            </w:tcBorders>
            <w:vMerge w:val="continue"/>
          </w:tcPr>
          <w:p>
            <w:pPr>
              <w:spacing w:after="0"/>
              <w:rPr>
                <w:sz w:val="18"/>
                <w:szCs w:val="18"/>
                <w:color w:val="auto"/>
              </w:rPr>
            </w:pPr>
          </w:p>
        </w:tc>
        <w:tc>
          <w:tcPr>
            <w:tcW w:w="2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(91)</w:t>
            </w:r>
          </w:p>
        </w:tc>
        <w:tc>
          <w:tcPr>
            <w:tcW w:w="1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91</w:t>
            </w: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20,285</w:t>
            </w:r>
          </w:p>
        </w:tc>
        <w:tc>
          <w:tcPr>
            <w:tcW w:w="186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(17)</w:t>
            </w:r>
          </w:p>
        </w:tc>
        <w:tc>
          <w:tcPr>
            <w:tcW w:w="16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Non-controlling interests</w:t>
            </w:r>
          </w:p>
        </w:tc>
        <w:tc>
          <w:tcPr>
            <w:tcW w:w="216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2,901</w:t>
            </w:r>
          </w:p>
        </w:tc>
        <w:tc>
          <w:tcPr>
            <w:tcW w:w="1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equity</w:t>
            </w:r>
          </w:p>
        </w:tc>
        <w:tc>
          <w:tcPr>
            <w:tcW w:w="21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23,186</w:t>
            </w:r>
          </w:p>
        </w:tc>
        <w:tc>
          <w:tcPr>
            <w:tcW w:w="186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(17)</w:t>
            </w:r>
          </w:p>
        </w:tc>
        <w:tc>
          <w:tcPr>
            <w:tcW w:w="16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23,169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ind w:left="760"/>
              <w:spacing w:after="0"/>
              <w:rPr>
                <w:sz w:val="20"/>
                <w:szCs w:val="20"/>
                <w:color w:val="auto"/>
              </w:rPr>
            </w:pPr>
            <w:r>
              <w:rPr>
                <w:rFonts w:ascii="Arial" w:cs="Arial" w:eastAsia="Arial" w:hAnsi="Arial"/>
                <w:sz w:val="18"/>
                <w:szCs w:val="18"/>
                <w:color w:val="auto"/>
              </w:rPr>
              <w:t>A1</w:t>
            </w:r>
          </w:p>
        </w:tc>
        <w:tc>
          <w:tcPr>
            <w:tcW w:w="6300" w:type="dxa"/>
            <w:vAlign w:val="bottom"/>
            <w:gridSpan w:val="3"/>
          </w:tcPr>
          <w:p>
            <w:pPr>
              <w:jc w:val="right"/>
              <w:ind w:right="910"/>
              <w:spacing w:after="0"/>
              <w:rPr>
                <w:sz w:val="20"/>
                <w:szCs w:val="20"/>
                <w:color w:val="auto"/>
              </w:rPr>
            </w:pPr>
            <w:r>
              <w:rPr>
                <w:rFonts w:ascii="Arial" w:cs="Arial" w:eastAsia="Arial" w:hAnsi="Arial"/>
                <w:sz w:val="18"/>
                <w:szCs w:val="18"/>
                <w:color w:val="auto"/>
              </w:rPr>
              <w:t>Presentation of assets of disposal group classified as held for sale</w:t>
            </w:r>
          </w:p>
        </w:tc>
        <w:tc>
          <w:tcPr>
            <w:tcW w:w="1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520" w:right="20"/>
        <w:spacing w:after="0"/>
        <w:rPr>
          <w:sz w:val="20"/>
          <w:szCs w:val="20"/>
          <w:color w:val="auto"/>
        </w:rPr>
      </w:pPr>
      <w:r>
        <w:rPr>
          <w:rFonts w:ascii="Arial" w:cs="Arial" w:eastAsia="Arial" w:hAnsi="Arial"/>
          <w:sz w:val="18"/>
          <w:szCs w:val="18"/>
          <w:color w:val="auto"/>
        </w:rPr>
        <w:t>The Group has changed the presentation of certain amounts under “Other current assets” in the balance sheet to meet the presentation requirements under FRS 1 and FRS 105. Under FRS 1, the balance sheet shall present “Assets of disposal group classified as held-for-sale”, which was not presented on the balance sheet under the previous GAAP.</w:t>
      </w:r>
    </w:p>
    <w:p>
      <w:pPr>
        <w:spacing w:after="0" w:line="230" w:lineRule="exact"/>
        <w:rPr>
          <w:sz w:val="20"/>
          <w:szCs w:val="20"/>
          <w:color w:val="auto"/>
        </w:rPr>
      </w:pPr>
    </w:p>
    <w:p>
      <w:pPr>
        <w:jc w:val="both"/>
        <w:ind w:left="1520" w:right="20"/>
        <w:spacing w:after="0" w:line="246" w:lineRule="auto"/>
        <w:rPr>
          <w:sz w:val="20"/>
          <w:szCs w:val="20"/>
          <w:color w:val="auto"/>
        </w:rPr>
      </w:pPr>
      <w:r>
        <w:rPr>
          <w:rFonts w:ascii="Arial" w:cs="Arial" w:eastAsia="Arial" w:hAnsi="Arial"/>
          <w:sz w:val="18"/>
          <w:szCs w:val="18"/>
          <w:color w:val="auto"/>
        </w:rPr>
        <w:t>US$13 million of “Other current assets” under the previous GAAP are reclassified to be presented as “Assets of disposal group classified as held-for-sale” in the balance sheet presented as at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A-121</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Reconciliation to FRS </w:t>
      </w:r>
      <w:r>
        <w:rPr>
          <w:rFonts w:ascii="Arial" w:cs="Arial" w:eastAsia="Arial" w:hAnsi="Arial"/>
          <w:sz w:val="18"/>
          <w:szCs w:val="18"/>
          <w:color w:val="auto"/>
        </w:rPr>
        <w:t>(continued)</w:t>
      </w:r>
    </w:p>
    <w:p>
      <w:pPr>
        <w:spacing w:after="0" w:line="166" w:lineRule="exact"/>
        <w:rPr>
          <w:sz w:val="20"/>
          <w:szCs w:val="20"/>
          <w:color w:val="auto"/>
        </w:rPr>
      </w:pPr>
    </w:p>
    <w:p>
      <w:pPr>
        <w:ind w:left="980" w:right="320" w:hanging="776"/>
        <w:spacing w:after="0" w:line="418" w:lineRule="auto"/>
        <w:tabs>
          <w:tab w:leader="none" w:pos="9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Reconciliation of the Group’s consolidated balance sheet reported in accordance with the previous GAAP to FRS (continued) A2 Presentation of deferred income tax assets, current income tax liabilities and deferred income tax liabilities</w:t>
      </w:r>
    </w:p>
    <w:p>
      <w:pPr>
        <w:spacing w:after="0" w:line="76" w:lineRule="exact"/>
        <w:rPr>
          <w:sz w:val="20"/>
          <w:szCs w:val="20"/>
          <w:color w:val="auto"/>
        </w:rPr>
      </w:pPr>
    </w:p>
    <w:p>
      <w:pPr>
        <w:jc w:val="both"/>
        <w:ind w:left="1520"/>
        <w:spacing w:after="0" w:line="239" w:lineRule="auto"/>
        <w:rPr>
          <w:sz w:val="20"/>
          <w:szCs w:val="20"/>
          <w:color w:val="auto"/>
        </w:rPr>
      </w:pPr>
      <w:r>
        <w:rPr>
          <w:rFonts w:ascii="Arial" w:cs="Arial" w:eastAsia="Arial" w:hAnsi="Arial"/>
          <w:sz w:val="18"/>
          <w:szCs w:val="18"/>
          <w:color w:val="auto"/>
        </w:rPr>
        <w:t>The Group has changed the presentation of certain amounts under “Other current liabilities”, “Other long-term assets” and “Other long-term liabilities” in the balance sheet to meet the presentation requirements under FRS 1 and FRS 12. Under FRS 1, the balance sheet shall present “Deferred income tax assets”, “Current income tax liabilities” and “Deferred income tax liabilities”, which were not required to be presented on the balance sheet under the previous GAAP.</w:t>
      </w:r>
    </w:p>
    <w:p>
      <w:pPr>
        <w:spacing w:after="0" w:line="229" w:lineRule="exact"/>
        <w:rPr>
          <w:sz w:val="20"/>
          <w:szCs w:val="20"/>
          <w:color w:val="auto"/>
        </w:rPr>
      </w:pPr>
    </w:p>
    <w:p>
      <w:pPr>
        <w:ind w:left="1940" w:hanging="426"/>
        <w:spacing w:after="0" w:line="246" w:lineRule="auto"/>
        <w:tabs>
          <w:tab w:leader="none" w:pos="19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US$21 million of “Other long-term assets” under the previous GAAP are reclassified to be presented as “Deferred income tax assets” in the balance sheet presented as at 29 October 2017.</w:t>
      </w:r>
    </w:p>
    <w:p>
      <w:pPr>
        <w:spacing w:after="0" w:line="223" w:lineRule="exact"/>
        <w:rPr>
          <w:rFonts w:ascii="Arial" w:cs="Arial" w:eastAsia="Arial" w:hAnsi="Arial"/>
          <w:sz w:val="18"/>
          <w:szCs w:val="18"/>
          <w:color w:val="auto"/>
        </w:rPr>
      </w:pPr>
    </w:p>
    <w:p>
      <w:pPr>
        <w:jc w:val="both"/>
        <w:ind w:left="1940" w:hanging="426"/>
        <w:spacing w:after="0"/>
        <w:tabs>
          <w:tab w:leader="none" w:pos="19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US$102 million of “Other current liabilities” and US$879 million of “Other long-term liabilities” under the previous GAAP are reclassified to be presented as “Current income tax liabilities” in the balance sheet presented as at 29 October 2017.</w:t>
      </w:r>
    </w:p>
    <w:p>
      <w:pPr>
        <w:spacing w:after="0" w:line="229" w:lineRule="exact"/>
        <w:rPr>
          <w:rFonts w:ascii="Arial" w:cs="Arial" w:eastAsia="Arial" w:hAnsi="Arial"/>
          <w:sz w:val="18"/>
          <w:szCs w:val="18"/>
          <w:color w:val="auto"/>
        </w:rPr>
      </w:pPr>
    </w:p>
    <w:p>
      <w:pPr>
        <w:jc w:val="both"/>
        <w:ind w:left="1940"/>
        <w:spacing w:after="0" w:line="239" w:lineRule="auto"/>
        <w:rPr>
          <w:rFonts w:ascii="Arial" w:cs="Arial" w:eastAsia="Arial" w:hAnsi="Arial"/>
          <w:sz w:val="18"/>
          <w:szCs w:val="18"/>
          <w:color w:val="auto"/>
        </w:rPr>
      </w:pPr>
      <w:r>
        <w:rPr>
          <w:rFonts w:ascii="Arial" w:cs="Arial" w:eastAsia="Arial" w:hAnsi="Arial"/>
          <w:sz w:val="18"/>
          <w:szCs w:val="18"/>
          <w:color w:val="auto"/>
        </w:rPr>
        <w:t>The reclassification of “Other long-term liabilities” to “Current income tax liabilities” as described above pertains to uncertain tax positions that are not expected to be settled within 12 months of the reporting date. Under the previous GAAP, such balances are classified as non-current while under FRS, these balances are presented as current as they pertains to the Group’s probable current tax exposure.</w:t>
      </w:r>
    </w:p>
    <w:p>
      <w:pPr>
        <w:spacing w:after="0" w:line="228" w:lineRule="exact"/>
        <w:rPr>
          <w:rFonts w:ascii="Arial" w:cs="Arial" w:eastAsia="Arial" w:hAnsi="Arial"/>
          <w:sz w:val="18"/>
          <w:szCs w:val="18"/>
          <w:color w:val="auto"/>
        </w:rPr>
      </w:pPr>
    </w:p>
    <w:p>
      <w:pPr>
        <w:ind w:left="1940" w:hanging="426"/>
        <w:spacing w:after="0" w:line="246" w:lineRule="auto"/>
        <w:tabs>
          <w:tab w:leader="none" w:pos="19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US$10,019 million of “Other long-term liabilities” under the previous GAAP are reclassified to be presented as “Deferred income tax liabilities” in the balance sheet presented as at 29 October 2017.</w:t>
      </w:r>
    </w:p>
    <w:p>
      <w:pPr>
        <w:spacing w:after="0" w:line="224"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Classification of other reserves</w:t>
      </w:r>
    </w:p>
    <w:p>
      <w:pPr>
        <w:spacing w:after="0" w:line="212" w:lineRule="exact"/>
        <w:rPr>
          <w:sz w:val="20"/>
          <w:szCs w:val="20"/>
          <w:color w:val="auto"/>
        </w:rPr>
      </w:pPr>
    </w:p>
    <w:p>
      <w:pPr>
        <w:ind w:left="1520"/>
        <w:spacing w:after="0" w:line="246" w:lineRule="auto"/>
        <w:rPr>
          <w:sz w:val="20"/>
          <w:szCs w:val="20"/>
          <w:color w:val="auto"/>
        </w:rPr>
      </w:pPr>
      <w:r>
        <w:rPr>
          <w:rFonts w:ascii="Arial" w:cs="Arial" w:eastAsia="Arial" w:hAnsi="Arial"/>
          <w:sz w:val="18"/>
          <w:szCs w:val="18"/>
          <w:color w:val="auto"/>
        </w:rPr>
        <w:t>The Group has changed the presentation of certain amounts under “Share Capital” to reflect FRS 1 requirement to disclose the ordinary class of share capital and other reserves in equity which is described in detail in Note 32.</w:t>
      </w:r>
    </w:p>
    <w:p>
      <w:pPr>
        <w:spacing w:after="0" w:line="197" w:lineRule="exact"/>
        <w:rPr>
          <w:sz w:val="20"/>
          <w:szCs w:val="20"/>
          <w:color w:val="auto"/>
        </w:rPr>
      </w:pPr>
    </w:p>
    <w:p>
      <w:pPr>
        <w:ind w:left="1520"/>
        <w:spacing w:after="0" w:line="246" w:lineRule="auto"/>
        <w:rPr>
          <w:sz w:val="20"/>
          <w:szCs w:val="20"/>
          <w:color w:val="auto"/>
        </w:rPr>
      </w:pPr>
      <w:r>
        <w:rPr>
          <w:rFonts w:ascii="Arial" w:cs="Arial" w:eastAsia="Arial" w:hAnsi="Arial"/>
          <w:sz w:val="18"/>
          <w:szCs w:val="18"/>
          <w:color w:val="auto"/>
        </w:rPr>
        <w:t>US$1,700 million of “Share Capital” under the previous GAAP are reclassified to be presented as “Other reserves” in the balance sheet presented as at 29 October 2017.</w:t>
      </w:r>
    </w:p>
    <w:p>
      <w:pPr>
        <w:spacing w:after="0" w:line="197" w:lineRule="exact"/>
        <w:rPr>
          <w:sz w:val="20"/>
          <w:szCs w:val="20"/>
          <w:color w:val="auto"/>
        </w:rPr>
      </w:pPr>
    </w:p>
    <w:p>
      <w:pPr>
        <w:ind w:left="1520"/>
        <w:spacing w:after="0" w:line="246" w:lineRule="auto"/>
        <w:rPr>
          <w:sz w:val="20"/>
          <w:szCs w:val="20"/>
          <w:color w:val="auto"/>
        </w:rPr>
      </w:pPr>
      <w:r>
        <w:rPr>
          <w:rFonts w:ascii="Arial" w:cs="Arial" w:eastAsia="Arial" w:hAnsi="Arial"/>
          <w:sz w:val="18"/>
          <w:szCs w:val="18"/>
          <w:color w:val="auto"/>
        </w:rPr>
        <w:t>US$91 million of “Accumulated other comprehensive loss” under the previous GAAP are reclassified to be presented as “Other reserves” in the balance sheet presented as at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A-122</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Reconciliation to FRS </w:t>
      </w:r>
      <w:r>
        <w:rPr>
          <w:rFonts w:ascii="Arial" w:cs="Arial" w:eastAsia="Arial" w:hAnsi="Arial"/>
          <w:sz w:val="18"/>
          <w:szCs w:val="18"/>
          <w:color w:val="auto"/>
        </w:rPr>
        <w:t>(continued)</w:t>
      </w:r>
    </w:p>
    <w:p>
      <w:pPr>
        <w:spacing w:after="0" w:line="166" w:lineRule="exact"/>
        <w:rPr>
          <w:sz w:val="20"/>
          <w:szCs w:val="20"/>
          <w:color w:val="auto"/>
        </w:rPr>
      </w:pPr>
    </w:p>
    <w:p>
      <w:pPr>
        <w:ind w:left="980" w:hanging="776"/>
        <w:spacing w:after="0"/>
        <w:tabs>
          <w:tab w:leader="none" w:pos="9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Reconciliation of the Group’s consolidated balance sheet reported in accordance with the previous GAAP to FRS (continued)</w:t>
      </w:r>
    </w:p>
    <w:p>
      <w:pPr>
        <w:spacing w:after="0" w:line="14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A4</w:t>
      </w:r>
      <w:r>
        <w:rPr>
          <w:rFonts w:ascii="Arial" w:cs="Arial" w:eastAsia="Arial" w:hAnsi="Arial"/>
          <w:sz w:val="17"/>
          <w:szCs w:val="17"/>
          <w:color w:val="auto"/>
        </w:rPr>
        <w:t>Presentation of and recognition of net pension liabilities</w:t>
      </w:r>
    </w:p>
    <w:p>
      <w:pPr>
        <w:spacing w:after="0" w:line="212" w:lineRule="exact"/>
        <w:rPr>
          <w:sz w:val="20"/>
          <w:szCs w:val="20"/>
          <w:color w:val="auto"/>
        </w:rPr>
      </w:pPr>
    </w:p>
    <w:p>
      <w:pPr>
        <w:jc w:val="both"/>
        <w:ind w:left="1640" w:right="20"/>
        <w:spacing w:after="0" w:line="236" w:lineRule="auto"/>
        <w:rPr>
          <w:sz w:val="20"/>
          <w:szCs w:val="20"/>
          <w:color w:val="auto"/>
        </w:rPr>
      </w:pPr>
      <w:r>
        <w:rPr>
          <w:rFonts w:ascii="Arial" w:cs="Arial" w:eastAsia="Arial" w:hAnsi="Arial"/>
          <w:sz w:val="18"/>
          <w:szCs w:val="18"/>
          <w:color w:val="auto"/>
        </w:rPr>
        <w:t>The Post-Employment Benefit plan consists of the US Group Life plan and the Avago Retiree Medical plan. The US Group Life plan is funded by the Agere Systems Inc. Post-retirement Life Insurance Benefit Trust. As the United States’ Internal Revenue Service’s rules effectively prohibit a reversion of any excess assets in the Trust back to the Company, adjustments are made to the respective balances relating to the Group Life plan to recognise an irrevocable surplus under FRS 19. FRS 19 limits the amount of net pension liabilities that can be recognised on the balance sheet whereas the previous GAAP does not have such limitations. The effect of this adjustment on the pension and post-retirement benefit obligations is US$2 million in the consolidated balance sheet presented as at 29 October 2017 and US$2 million on selling, general and administrative expenses in the statement of comprehensive income for the financial year ended 29 October 2017. The cumulative effect of this adjustment on the equity of the Group amounted to US$17 million as at 29 October 2017.</w:t>
      </w:r>
    </w:p>
    <w:p>
      <w:pPr>
        <w:spacing w:after="0" w:line="234" w:lineRule="exact"/>
        <w:rPr>
          <w:sz w:val="20"/>
          <w:szCs w:val="20"/>
          <w:color w:val="auto"/>
        </w:rPr>
      </w:pPr>
    </w:p>
    <w:p>
      <w:pPr>
        <w:ind w:left="980" w:right="20" w:hanging="776"/>
        <w:spacing w:after="0" w:line="246" w:lineRule="auto"/>
        <w:tabs>
          <w:tab w:leader="none" w:pos="9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Reconciliation of the Group’s consolidated statement of comprehensive income reported in accordance with the previous GAAP to FRS</w:t>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540" w:type="dxa"/>
            <w:vAlign w:val="bottom"/>
          </w:tcPr>
          <w:p>
            <w:pPr>
              <w:jc w:val="center"/>
              <w:ind w:left="190"/>
              <w:spacing w:after="0"/>
              <w:rPr>
                <w:sz w:val="20"/>
                <w:szCs w:val="20"/>
                <w:color w:val="auto"/>
              </w:rPr>
            </w:pPr>
            <w:r>
              <w:rPr>
                <w:rFonts w:ascii="Arial" w:cs="Arial" w:eastAsia="Arial" w:hAnsi="Arial"/>
                <w:sz w:val="18"/>
                <w:szCs w:val="18"/>
                <w:b w:val="1"/>
                <w:bCs w:val="1"/>
                <w:color w:val="auto"/>
                <w:w w:val="98"/>
              </w:rPr>
              <w:t>Explanatory</w:t>
            </w:r>
          </w:p>
        </w:tc>
        <w:tc>
          <w:tcPr>
            <w:tcW w:w="22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2017</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9"/>
              </w:rPr>
              <w:t>Reconciliation</w:t>
            </w:r>
          </w:p>
        </w:tc>
        <w:tc>
          <w:tcPr>
            <w:tcW w:w="15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2017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540" w:type="dxa"/>
            <w:vAlign w:val="bottom"/>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Note</w:t>
            </w:r>
          </w:p>
        </w:tc>
        <w:tc>
          <w:tcPr>
            <w:tcW w:w="680" w:type="dxa"/>
            <w:vAlign w:val="bottom"/>
          </w:tcPr>
          <w:p>
            <w:pPr>
              <w:spacing w:after="0"/>
              <w:rPr>
                <w:sz w:val="17"/>
                <w:szCs w:val="17"/>
                <w:color w:val="auto"/>
              </w:rPr>
            </w:pPr>
          </w:p>
        </w:tc>
        <w:tc>
          <w:tcPr>
            <w:tcW w:w="1540" w:type="dxa"/>
            <w:vAlign w:val="bottom"/>
          </w:tcPr>
          <w:p>
            <w:pPr>
              <w:jc w:val="center"/>
              <w:ind w:right="350"/>
              <w:spacing w:after="0" w:line="202" w:lineRule="exact"/>
              <w:rPr>
                <w:sz w:val="20"/>
                <w:szCs w:val="20"/>
                <w:color w:val="auto"/>
              </w:rPr>
            </w:pPr>
            <w:r>
              <w:rPr>
                <w:rFonts w:ascii="Arial" w:cs="Arial" w:eastAsia="Arial" w:hAnsi="Arial"/>
                <w:sz w:val="18"/>
                <w:szCs w:val="18"/>
                <w:b w:val="1"/>
                <w:bCs w:val="1"/>
                <w:color w:val="auto"/>
              </w:rPr>
              <w:t>reported</w:t>
            </w:r>
          </w:p>
        </w:tc>
        <w:tc>
          <w:tcPr>
            <w:tcW w:w="2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 FRS</w:t>
            </w:r>
          </w:p>
        </w:tc>
        <w:tc>
          <w:tcPr>
            <w:tcW w:w="1600" w:type="dxa"/>
            <w:vAlign w:val="bottom"/>
            <w:gridSpan w:val="2"/>
          </w:tcPr>
          <w:p>
            <w:pPr>
              <w:jc w:val="center"/>
              <w:ind w:left="250"/>
              <w:spacing w:after="0" w:line="202" w:lineRule="exact"/>
              <w:rPr>
                <w:sz w:val="20"/>
                <w:szCs w:val="20"/>
                <w:color w:val="auto"/>
              </w:rPr>
            </w:pPr>
            <w:r>
              <w:rPr>
                <w:rFonts w:ascii="Arial" w:cs="Arial" w:eastAsia="Arial" w:hAnsi="Arial"/>
                <w:sz w:val="18"/>
                <w:szCs w:val="18"/>
                <w:b w:val="1"/>
                <w:bCs w:val="1"/>
                <w:color w:val="auto"/>
              </w:rPr>
              <w:t>reported</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jc w:val="center"/>
              <w:ind w:right="350"/>
              <w:spacing w:after="0" w:line="202" w:lineRule="exact"/>
              <w:rPr>
                <w:sz w:val="20"/>
                <w:szCs w:val="20"/>
                <w:color w:val="auto"/>
              </w:rPr>
            </w:pPr>
            <w:r>
              <w:rPr>
                <w:rFonts w:ascii="Arial" w:cs="Arial" w:eastAsia="Arial" w:hAnsi="Arial"/>
                <w:sz w:val="18"/>
                <w:szCs w:val="18"/>
                <w:b w:val="1"/>
                <w:bCs w:val="1"/>
                <w:color w:val="auto"/>
                <w:w w:val="99"/>
              </w:rPr>
              <w:t>under</w:t>
            </w:r>
          </w:p>
        </w:tc>
        <w:tc>
          <w:tcPr>
            <w:tcW w:w="2080" w:type="dxa"/>
            <w:vAlign w:val="bottom"/>
          </w:tcPr>
          <w:p>
            <w:pPr>
              <w:spacing w:after="0"/>
              <w:rPr>
                <w:sz w:val="17"/>
                <w:szCs w:val="17"/>
                <w:color w:val="auto"/>
              </w:rPr>
            </w:pPr>
          </w:p>
        </w:tc>
        <w:tc>
          <w:tcPr>
            <w:tcW w:w="1600" w:type="dxa"/>
            <w:vAlign w:val="bottom"/>
            <w:gridSpan w:val="2"/>
          </w:tcPr>
          <w:p>
            <w:pPr>
              <w:jc w:val="center"/>
              <w:ind w:left="250"/>
              <w:spacing w:after="0" w:line="202" w:lineRule="exact"/>
              <w:rPr>
                <w:sz w:val="20"/>
                <w:szCs w:val="20"/>
                <w:color w:val="auto"/>
              </w:rPr>
            </w:pPr>
            <w:r>
              <w:rPr>
                <w:rFonts w:ascii="Arial" w:cs="Arial" w:eastAsia="Arial" w:hAnsi="Arial"/>
                <w:sz w:val="18"/>
                <w:szCs w:val="18"/>
                <w:b w:val="1"/>
                <w:bCs w:val="1"/>
                <w:color w:val="auto"/>
                <w:w w:val="98"/>
              </w:rPr>
              <w:t>under FRS</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jc w:val="center"/>
              <w:ind w:right="350"/>
              <w:spacing w:after="0" w:line="202" w:lineRule="exact"/>
              <w:rPr>
                <w:sz w:val="20"/>
                <w:szCs w:val="20"/>
                <w:color w:val="auto"/>
              </w:rPr>
            </w:pPr>
            <w:r>
              <w:rPr>
                <w:rFonts w:ascii="Arial" w:cs="Arial" w:eastAsia="Arial" w:hAnsi="Arial"/>
                <w:sz w:val="18"/>
                <w:szCs w:val="18"/>
                <w:b w:val="1"/>
                <w:bCs w:val="1"/>
                <w:color w:val="auto"/>
                <w:w w:val="98"/>
              </w:rPr>
              <w:t>previous</w:t>
            </w:r>
          </w:p>
        </w:tc>
        <w:tc>
          <w:tcPr>
            <w:tcW w:w="2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40" w:type="dxa"/>
            <w:vAlign w:val="bottom"/>
          </w:tcPr>
          <w:p>
            <w:pPr>
              <w:jc w:val="center"/>
              <w:ind w:right="330"/>
              <w:spacing w:after="0"/>
              <w:rPr>
                <w:sz w:val="20"/>
                <w:szCs w:val="20"/>
                <w:color w:val="auto"/>
              </w:rPr>
            </w:pPr>
            <w:r>
              <w:rPr>
                <w:rFonts w:ascii="Arial" w:cs="Arial" w:eastAsia="Arial" w:hAnsi="Arial"/>
                <w:sz w:val="18"/>
                <w:szCs w:val="18"/>
                <w:b w:val="1"/>
                <w:bCs w:val="1"/>
                <w:color w:val="auto"/>
                <w:w w:val="99"/>
              </w:rPr>
              <w:t>GAAP</w:t>
            </w:r>
          </w:p>
        </w:tc>
        <w:tc>
          <w:tcPr>
            <w:tcW w:w="2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(US$ millions)</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(US$ millions)</w:t>
            </w:r>
          </w:p>
        </w:tc>
        <w:tc>
          <w:tcPr>
            <w:tcW w:w="160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(US$ millions)</w:t>
            </w:r>
          </w:p>
        </w:tc>
        <w:tc>
          <w:tcPr>
            <w:tcW w:w="0" w:type="dxa"/>
            <w:vAlign w:val="bottom"/>
          </w:tcPr>
          <w:p>
            <w:pPr>
              <w:spacing w:after="0"/>
              <w:rPr>
                <w:sz w:val="1"/>
                <w:szCs w:val="1"/>
                <w:color w:val="auto"/>
              </w:rPr>
            </w:pPr>
          </w:p>
        </w:tc>
      </w:tr>
      <w:tr>
        <w:trPr>
          <w:trHeight w:val="95"/>
        </w:trPr>
        <w:tc>
          <w:tcPr>
            <w:tcW w:w="78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54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17,636</w:t>
            </w:r>
          </w:p>
        </w:tc>
        <w:tc>
          <w:tcPr>
            <w:tcW w:w="20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54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B, B1</w:t>
            </w:r>
          </w:p>
        </w:tc>
        <w:tc>
          <w:tcPr>
            <w:tcW w:w="222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(6,593)</w:t>
            </w:r>
          </w:p>
        </w:tc>
        <w:tc>
          <w:tcPr>
            <w:tcW w:w="20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(2,534)</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(9,127)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accounting effect on</w:t>
            </w:r>
          </w:p>
        </w:tc>
        <w:tc>
          <w:tcPr>
            <w:tcW w:w="1540" w:type="dxa"/>
            <w:vAlign w:val="bottom"/>
            <w:vMerge w:val="restart"/>
            <w:shd w:val="clear" w:color="auto" w:fill="CCEEFF"/>
          </w:tcPr>
          <w:p>
            <w:pPr>
              <w:jc w:val="center"/>
              <w:ind w:left="190"/>
              <w:spacing w:after="0"/>
              <w:rPr>
                <w:sz w:val="20"/>
                <w:szCs w:val="20"/>
                <w:color w:val="auto"/>
              </w:rPr>
            </w:pPr>
            <w:r>
              <w:rPr>
                <w:rFonts w:ascii="Arial" w:cs="Arial" w:eastAsia="Arial" w:hAnsi="Arial"/>
                <w:sz w:val="18"/>
                <w:szCs w:val="18"/>
                <w:b w:val="1"/>
                <w:bCs w:val="1"/>
                <w:color w:val="auto"/>
                <w:w w:val="99"/>
              </w:rPr>
              <w:t>B, B1</w:t>
            </w:r>
          </w:p>
        </w:tc>
        <w:tc>
          <w:tcPr>
            <w:tcW w:w="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8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inventory</w:t>
            </w:r>
          </w:p>
        </w:tc>
        <w:tc>
          <w:tcPr>
            <w:tcW w:w="1540" w:type="dxa"/>
            <w:vAlign w:val="bottom"/>
            <w:vMerge w:val="continue"/>
            <w:shd w:val="clear" w:color="auto" w:fill="CCEEFF"/>
          </w:tcPr>
          <w:p>
            <w:pPr>
              <w:spacing w:after="0"/>
              <w:rPr>
                <w:sz w:val="17"/>
                <w:szCs w:val="17"/>
                <w:color w:val="auto"/>
              </w:rPr>
            </w:pPr>
          </w:p>
        </w:tc>
        <w:tc>
          <w:tcPr>
            <w:tcW w:w="2220" w:type="dxa"/>
            <w:vAlign w:val="bottom"/>
            <w:gridSpan w:val="2"/>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(4)</w:t>
            </w:r>
          </w:p>
        </w:tc>
        <w:tc>
          <w:tcPr>
            <w:tcW w:w="2080" w:type="dxa"/>
            <w:vAlign w:val="bottom"/>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4</w:t>
            </w:r>
          </w:p>
        </w:tc>
        <w:tc>
          <w:tcPr>
            <w:tcW w:w="1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Amortisation of acquisition-</w:t>
            </w:r>
          </w:p>
        </w:tc>
        <w:tc>
          <w:tcPr>
            <w:tcW w:w="154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9"/>
              </w:rPr>
              <w:t>B, B1</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800" w:type="dxa"/>
            <w:vAlign w:val="bottom"/>
          </w:tcPr>
          <w:p>
            <w:pPr>
              <w:ind w:left="160"/>
              <w:spacing w:after="0" w:line="203" w:lineRule="exact"/>
              <w:rPr>
                <w:sz w:val="20"/>
                <w:szCs w:val="20"/>
                <w:color w:val="auto"/>
              </w:rPr>
            </w:pPr>
            <w:r>
              <w:rPr>
                <w:rFonts w:ascii="Arial" w:cs="Arial" w:eastAsia="Arial" w:hAnsi="Arial"/>
                <w:sz w:val="18"/>
                <w:szCs w:val="18"/>
                <w:color w:val="auto"/>
              </w:rPr>
              <w:t>related intangible assets</w:t>
            </w:r>
          </w:p>
        </w:tc>
        <w:tc>
          <w:tcPr>
            <w:tcW w:w="1540" w:type="dxa"/>
            <w:vAlign w:val="bottom"/>
            <w:vMerge w:val="continue"/>
          </w:tcPr>
          <w:p>
            <w:pPr>
              <w:spacing w:after="0"/>
              <w:rPr>
                <w:sz w:val="17"/>
                <w:szCs w:val="17"/>
                <w:color w:val="auto"/>
              </w:rPr>
            </w:pPr>
          </w:p>
        </w:tc>
        <w:tc>
          <w:tcPr>
            <w:tcW w:w="2220" w:type="dxa"/>
            <w:vAlign w:val="bottom"/>
            <w:gridSpan w:val="2"/>
          </w:tcPr>
          <w:p>
            <w:pPr>
              <w:jc w:val="right"/>
              <w:ind w:right="330"/>
              <w:spacing w:after="0" w:line="203" w:lineRule="exact"/>
              <w:rPr>
                <w:sz w:val="20"/>
                <w:szCs w:val="20"/>
                <w:color w:val="auto"/>
              </w:rPr>
            </w:pPr>
            <w:r>
              <w:rPr>
                <w:rFonts w:ascii="Arial" w:cs="Arial" w:eastAsia="Arial" w:hAnsi="Arial"/>
                <w:sz w:val="18"/>
                <w:szCs w:val="18"/>
                <w:color w:val="auto"/>
              </w:rPr>
              <w:t>(2,511)</w:t>
            </w:r>
          </w:p>
        </w:tc>
        <w:tc>
          <w:tcPr>
            <w:tcW w:w="208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2,511</w:t>
            </w: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1540" w:type="dxa"/>
            <w:vAlign w:val="bottom"/>
            <w:shd w:val="clear" w:color="auto" w:fill="CCEEFF"/>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B, B1</w:t>
            </w:r>
          </w:p>
        </w:tc>
        <w:tc>
          <w:tcPr>
            <w:tcW w:w="222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(19)</w:t>
            </w:r>
          </w:p>
        </w:tc>
        <w:tc>
          <w:tcPr>
            <w:tcW w:w="20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19</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760"/>
              <w:spacing w:after="0"/>
              <w:rPr>
                <w:sz w:val="20"/>
                <w:szCs w:val="20"/>
                <w:color w:val="auto"/>
              </w:rPr>
            </w:pPr>
            <w:r>
              <w:rPr>
                <w:rFonts w:ascii="Arial" w:cs="Arial" w:eastAsia="Arial" w:hAnsi="Arial"/>
                <w:sz w:val="18"/>
                <w:szCs w:val="18"/>
                <w:b w:val="1"/>
                <w:bCs w:val="1"/>
                <w:color w:val="auto"/>
              </w:rPr>
              <w:t>Gross margin</w:t>
            </w:r>
          </w:p>
        </w:tc>
        <w:tc>
          <w:tcPr>
            <w:tcW w:w="1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8,509</w:t>
            </w:r>
          </w:p>
        </w:tc>
        <w:tc>
          <w:tcPr>
            <w:tcW w:w="20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78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2"/>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20" w:type="dxa"/>
            <w:vAlign w:val="bottom"/>
            <w:gridSpan w:val="2"/>
          </w:tcPr>
          <w:p>
            <w:pPr>
              <w:jc w:val="right"/>
              <w:ind w:right="1510"/>
              <w:spacing w:after="0"/>
              <w:rPr>
                <w:sz w:val="20"/>
                <w:szCs w:val="20"/>
                <w:color w:val="auto"/>
              </w:rPr>
            </w:pPr>
            <w:r>
              <w:rPr>
                <w:rFonts w:ascii="Arial" w:cs="Arial" w:eastAsia="Arial" w:hAnsi="Arial"/>
                <w:sz w:val="18"/>
                <w:szCs w:val="18"/>
                <w:color w:val="auto"/>
              </w:rPr>
              <w:t>A-123</w:t>
            </w:r>
          </w:p>
        </w:tc>
        <w:tc>
          <w:tcPr>
            <w:tcW w:w="2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Reconciliation to FRS </w:t>
      </w:r>
      <w:r>
        <w:rPr>
          <w:rFonts w:ascii="Arial" w:cs="Arial" w:eastAsia="Arial" w:hAnsi="Arial"/>
          <w:sz w:val="18"/>
          <w:szCs w:val="18"/>
          <w:color w:val="auto"/>
        </w:rPr>
        <w:t>(continued)</w:t>
      </w:r>
    </w:p>
    <w:p>
      <w:pPr>
        <w:spacing w:after="0" w:line="166" w:lineRule="exact"/>
        <w:rPr>
          <w:sz w:val="20"/>
          <w:szCs w:val="20"/>
          <w:color w:val="auto"/>
        </w:rPr>
      </w:pPr>
    </w:p>
    <w:p>
      <w:pPr>
        <w:ind w:left="980" w:right="20" w:hanging="776"/>
        <w:spacing w:after="0" w:line="246" w:lineRule="auto"/>
        <w:tabs>
          <w:tab w:leader="none" w:pos="9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Reconciliation of the Group’s consolidated statement of comprehensive income reported in accordance with the previous GAAP to FRS (continued)</w:t>
      </w:r>
    </w:p>
    <w:p>
      <w:pPr>
        <w:spacing w:after="0" w:line="10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0" w:type="dxa"/>
            <w:vAlign w:val="bottom"/>
          </w:tcPr>
          <w:p>
            <w:pPr>
              <w:jc w:val="center"/>
              <w:ind w:left="290"/>
              <w:spacing w:after="0"/>
              <w:rPr>
                <w:sz w:val="20"/>
                <w:szCs w:val="20"/>
                <w:color w:val="auto"/>
              </w:rPr>
            </w:pPr>
            <w:r>
              <w:rPr>
                <w:rFonts w:ascii="Arial" w:cs="Arial" w:eastAsia="Arial" w:hAnsi="Arial"/>
                <w:sz w:val="18"/>
                <w:szCs w:val="18"/>
                <w:b w:val="1"/>
                <w:bCs w:val="1"/>
                <w:color w:val="auto"/>
                <w:w w:val="98"/>
              </w:rPr>
              <w:t>Explanatory</w:t>
            </w:r>
          </w:p>
        </w:tc>
        <w:tc>
          <w:tcPr>
            <w:tcW w:w="22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2017</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rPr>
              <w:t>Reconciliation</w:t>
            </w:r>
          </w:p>
        </w:tc>
        <w:tc>
          <w:tcPr>
            <w:tcW w:w="15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2017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0" w:type="dxa"/>
            <w:vAlign w:val="bottom"/>
          </w:tcPr>
          <w:p>
            <w:pPr>
              <w:jc w:val="center"/>
              <w:ind w:left="270"/>
              <w:spacing w:after="0" w:line="202" w:lineRule="exact"/>
              <w:rPr>
                <w:sz w:val="20"/>
                <w:szCs w:val="20"/>
                <w:color w:val="auto"/>
              </w:rPr>
            </w:pPr>
            <w:r>
              <w:rPr>
                <w:rFonts w:ascii="Arial" w:cs="Arial" w:eastAsia="Arial" w:hAnsi="Arial"/>
                <w:sz w:val="18"/>
                <w:szCs w:val="18"/>
                <w:b w:val="1"/>
                <w:bCs w:val="1"/>
                <w:color w:val="auto"/>
                <w:w w:val="99"/>
              </w:rPr>
              <w:t>Note</w:t>
            </w:r>
          </w:p>
        </w:tc>
        <w:tc>
          <w:tcPr>
            <w:tcW w:w="680" w:type="dxa"/>
            <w:vAlign w:val="bottom"/>
          </w:tcPr>
          <w:p>
            <w:pPr>
              <w:spacing w:after="0"/>
              <w:rPr>
                <w:sz w:val="17"/>
                <w:szCs w:val="17"/>
                <w:color w:val="auto"/>
              </w:rPr>
            </w:pPr>
          </w:p>
        </w:tc>
        <w:tc>
          <w:tcPr>
            <w:tcW w:w="1540" w:type="dxa"/>
            <w:vAlign w:val="bottom"/>
          </w:tcPr>
          <w:p>
            <w:pPr>
              <w:jc w:val="center"/>
              <w:ind w:right="330"/>
              <w:spacing w:after="0" w:line="202" w:lineRule="exact"/>
              <w:rPr>
                <w:sz w:val="20"/>
                <w:szCs w:val="20"/>
                <w:color w:val="auto"/>
              </w:rPr>
            </w:pPr>
            <w:r>
              <w:rPr>
                <w:rFonts w:ascii="Arial" w:cs="Arial" w:eastAsia="Arial" w:hAnsi="Arial"/>
                <w:sz w:val="18"/>
                <w:szCs w:val="18"/>
                <w:b w:val="1"/>
                <w:bCs w:val="1"/>
                <w:color w:val="auto"/>
                <w:w w:val="98"/>
              </w:rPr>
              <w:t>reported</w:t>
            </w:r>
          </w:p>
        </w:tc>
        <w:tc>
          <w:tcPr>
            <w:tcW w:w="2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 FRS</w:t>
            </w:r>
          </w:p>
        </w:tc>
        <w:tc>
          <w:tcPr>
            <w:tcW w:w="1600" w:type="dxa"/>
            <w:vAlign w:val="bottom"/>
            <w:gridSpan w:val="2"/>
          </w:tcPr>
          <w:p>
            <w:pPr>
              <w:jc w:val="center"/>
              <w:ind w:left="250"/>
              <w:spacing w:after="0" w:line="202" w:lineRule="exact"/>
              <w:rPr>
                <w:sz w:val="20"/>
                <w:szCs w:val="20"/>
                <w:color w:val="auto"/>
              </w:rPr>
            </w:pPr>
            <w:r>
              <w:rPr>
                <w:rFonts w:ascii="Arial" w:cs="Arial" w:eastAsia="Arial" w:hAnsi="Arial"/>
                <w:sz w:val="18"/>
                <w:szCs w:val="18"/>
                <w:b w:val="1"/>
                <w:bCs w:val="1"/>
                <w:color w:val="auto"/>
              </w:rPr>
              <w:t>reported</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jc w:val="center"/>
              <w:ind w:right="350"/>
              <w:spacing w:after="0" w:line="202" w:lineRule="exact"/>
              <w:rPr>
                <w:sz w:val="20"/>
                <w:szCs w:val="20"/>
                <w:color w:val="auto"/>
              </w:rPr>
            </w:pPr>
            <w:r>
              <w:rPr>
                <w:rFonts w:ascii="Arial" w:cs="Arial" w:eastAsia="Arial" w:hAnsi="Arial"/>
                <w:sz w:val="18"/>
                <w:szCs w:val="18"/>
                <w:b w:val="1"/>
                <w:bCs w:val="1"/>
                <w:color w:val="auto"/>
                <w:w w:val="99"/>
              </w:rPr>
              <w:t>under</w:t>
            </w:r>
          </w:p>
        </w:tc>
        <w:tc>
          <w:tcPr>
            <w:tcW w:w="2060" w:type="dxa"/>
            <w:vAlign w:val="bottom"/>
          </w:tcPr>
          <w:p>
            <w:pPr>
              <w:spacing w:after="0"/>
              <w:rPr>
                <w:sz w:val="17"/>
                <w:szCs w:val="17"/>
                <w:color w:val="auto"/>
              </w:rPr>
            </w:pPr>
          </w:p>
        </w:tc>
        <w:tc>
          <w:tcPr>
            <w:tcW w:w="1600" w:type="dxa"/>
            <w:vAlign w:val="bottom"/>
            <w:gridSpan w:val="2"/>
          </w:tcPr>
          <w:p>
            <w:pPr>
              <w:jc w:val="center"/>
              <w:ind w:left="250"/>
              <w:spacing w:after="0" w:line="202" w:lineRule="exact"/>
              <w:rPr>
                <w:sz w:val="20"/>
                <w:szCs w:val="20"/>
                <w:color w:val="auto"/>
              </w:rPr>
            </w:pPr>
            <w:r>
              <w:rPr>
                <w:rFonts w:ascii="Arial" w:cs="Arial" w:eastAsia="Arial" w:hAnsi="Arial"/>
                <w:sz w:val="18"/>
                <w:szCs w:val="18"/>
                <w:b w:val="1"/>
                <w:bCs w:val="1"/>
                <w:color w:val="auto"/>
                <w:w w:val="98"/>
              </w:rPr>
              <w:t>under FRS</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jc w:val="center"/>
              <w:ind w:right="330"/>
              <w:spacing w:after="0" w:line="202" w:lineRule="exact"/>
              <w:rPr>
                <w:sz w:val="20"/>
                <w:szCs w:val="20"/>
                <w:color w:val="auto"/>
              </w:rPr>
            </w:pPr>
            <w:r>
              <w:rPr>
                <w:rFonts w:ascii="Arial" w:cs="Arial" w:eastAsia="Arial" w:hAnsi="Arial"/>
                <w:sz w:val="18"/>
                <w:szCs w:val="18"/>
                <w:b w:val="1"/>
                <w:bCs w:val="1"/>
                <w:color w:val="auto"/>
              </w:rPr>
              <w:t>previous</w:t>
            </w:r>
          </w:p>
        </w:tc>
        <w:tc>
          <w:tcPr>
            <w:tcW w:w="2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40" w:type="dxa"/>
            <w:vAlign w:val="bottom"/>
          </w:tcPr>
          <w:p>
            <w:pPr>
              <w:jc w:val="center"/>
              <w:ind w:right="330"/>
              <w:spacing w:after="0"/>
              <w:rPr>
                <w:sz w:val="20"/>
                <w:szCs w:val="20"/>
                <w:color w:val="auto"/>
              </w:rPr>
            </w:pPr>
            <w:r>
              <w:rPr>
                <w:rFonts w:ascii="Arial" w:cs="Arial" w:eastAsia="Arial" w:hAnsi="Arial"/>
                <w:sz w:val="18"/>
                <w:szCs w:val="18"/>
                <w:b w:val="1"/>
                <w:bCs w:val="1"/>
                <w:color w:val="auto"/>
                <w:w w:val="99"/>
              </w:rPr>
              <w:t>GAAP</w:t>
            </w:r>
          </w:p>
        </w:tc>
        <w:tc>
          <w:tcPr>
            <w:tcW w:w="2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20" w:type="dxa"/>
            <w:vAlign w:val="bottom"/>
            <w:gridSpan w:val="2"/>
          </w:tcPr>
          <w:p>
            <w:pPr>
              <w:jc w:val="center"/>
              <w:ind w:left="170"/>
              <w:spacing w:after="0" w:line="203" w:lineRule="exact"/>
              <w:rPr>
                <w:sz w:val="20"/>
                <w:szCs w:val="20"/>
                <w:color w:val="auto"/>
              </w:rPr>
            </w:pPr>
            <w:r>
              <w:rPr>
                <w:rFonts w:ascii="Arial" w:cs="Arial" w:eastAsia="Arial" w:hAnsi="Arial"/>
                <w:sz w:val="18"/>
                <w:szCs w:val="18"/>
                <w:color w:val="auto"/>
                <w:w w:val="99"/>
              </w:rPr>
              <w:t>(US$ millions)</w:t>
            </w:r>
          </w:p>
        </w:tc>
        <w:tc>
          <w:tcPr>
            <w:tcW w:w="2060" w:type="dxa"/>
            <w:vAlign w:val="bottom"/>
          </w:tcPr>
          <w:p>
            <w:pPr>
              <w:jc w:val="center"/>
              <w:spacing w:after="0" w:line="203" w:lineRule="exact"/>
              <w:rPr>
                <w:sz w:val="20"/>
                <w:szCs w:val="20"/>
                <w:color w:val="auto"/>
              </w:rPr>
            </w:pPr>
            <w:r>
              <w:rPr>
                <w:rFonts w:ascii="Arial" w:cs="Arial" w:eastAsia="Arial" w:hAnsi="Arial"/>
                <w:sz w:val="18"/>
                <w:szCs w:val="18"/>
                <w:color w:val="auto"/>
                <w:w w:val="99"/>
              </w:rPr>
              <w:t>(US$ millions)</w:t>
            </w:r>
          </w:p>
        </w:tc>
        <w:tc>
          <w:tcPr>
            <w:tcW w:w="1600" w:type="dxa"/>
            <w:vAlign w:val="bottom"/>
            <w:gridSpan w:val="2"/>
          </w:tcPr>
          <w:p>
            <w:pPr>
              <w:jc w:val="center"/>
              <w:ind w:left="230"/>
              <w:spacing w:after="0" w:line="203" w:lineRule="exact"/>
              <w:rPr>
                <w:sz w:val="20"/>
                <w:szCs w:val="20"/>
                <w:color w:val="auto"/>
              </w:rPr>
            </w:pPr>
            <w:r>
              <w:rPr>
                <w:rFonts w:ascii="Arial" w:cs="Arial" w:eastAsia="Arial" w:hAnsi="Arial"/>
                <w:sz w:val="18"/>
                <w:szCs w:val="18"/>
                <w:color w:val="auto"/>
                <w:w w:val="99"/>
              </w:rPr>
              <w:t>(US$ millions)</w:t>
            </w: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1600" w:type="dxa"/>
            <w:vAlign w:val="bottom"/>
          </w:tcPr>
          <w:p>
            <w:pPr>
              <w:spacing w:after="0"/>
              <w:rPr>
                <w:sz w:val="17"/>
                <w:szCs w:val="17"/>
                <w:color w:val="auto"/>
              </w:rPr>
            </w:pPr>
          </w:p>
        </w:tc>
        <w:tc>
          <w:tcPr>
            <w:tcW w:w="222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62</w:t>
            </w:r>
          </w:p>
        </w:tc>
        <w:tc>
          <w:tcPr>
            <w:tcW w:w="20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 Research and development</w:t>
            </w:r>
          </w:p>
        </w:tc>
        <w:tc>
          <w:tcPr>
            <w:tcW w:w="1600" w:type="dxa"/>
            <w:vAlign w:val="bottom"/>
          </w:tcPr>
          <w:p>
            <w:pPr>
              <w:spacing w:after="0"/>
              <w:rPr>
                <w:sz w:val="17"/>
                <w:szCs w:val="17"/>
                <w:color w:val="auto"/>
              </w:rPr>
            </w:pPr>
          </w:p>
        </w:tc>
        <w:tc>
          <w:tcPr>
            <w:tcW w:w="222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(3,292)</w:t>
            </w:r>
          </w:p>
        </w:tc>
        <w:tc>
          <w:tcPr>
            <w:tcW w:w="20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(3,292)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Selling, general and</w:t>
            </w:r>
          </w:p>
        </w:tc>
        <w:tc>
          <w:tcPr>
            <w:tcW w:w="1600" w:type="dxa"/>
            <w:vAlign w:val="bottom"/>
            <w:vMerge w:val="restart"/>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95"/>
              </w:rPr>
              <w:t>A4</w:t>
            </w:r>
          </w:p>
        </w:tc>
        <w:tc>
          <w:tcPr>
            <w:tcW w:w="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administrative</w:t>
            </w:r>
          </w:p>
        </w:tc>
        <w:tc>
          <w:tcPr>
            <w:tcW w:w="1600" w:type="dxa"/>
            <w:vAlign w:val="bottom"/>
            <w:vMerge w:val="continue"/>
            <w:shd w:val="clear" w:color="auto" w:fill="CCEEFF"/>
          </w:tcPr>
          <w:p>
            <w:pPr>
              <w:spacing w:after="0"/>
              <w:rPr>
                <w:sz w:val="17"/>
                <w:szCs w:val="17"/>
                <w:color w:val="auto"/>
              </w:rPr>
            </w:pPr>
          </w:p>
        </w:tc>
        <w:tc>
          <w:tcPr>
            <w:tcW w:w="2220" w:type="dxa"/>
            <w:vAlign w:val="bottom"/>
            <w:gridSpan w:val="2"/>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(787)</w:t>
            </w:r>
          </w:p>
        </w:tc>
        <w:tc>
          <w:tcPr>
            <w:tcW w:w="2060" w:type="dxa"/>
            <w:vAlign w:val="bottom"/>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(2)</w:t>
            </w:r>
          </w:p>
        </w:tc>
        <w:tc>
          <w:tcPr>
            <w:tcW w:w="1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 Amortisation of acquisition-</w:t>
            </w:r>
          </w:p>
        </w:tc>
        <w:tc>
          <w:tcPr>
            <w:tcW w:w="160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9"/>
              </w:rPr>
              <w:t>B, B2</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tcPr>
          <w:p>
            <w:pPr>
              <w:ind w:left="160"/>
              <w:spacing w:after="0" w:line="203" w:lineRule="exact"/>
              <w:rPr>
                <w:sz w:val="20"/>
                <w:szCs w:val="20"/>
                <w:color w:val="auto"/>
              </w:rPr>
            </w:pPr>
            <w:r>
              <w:rPr>
                <w:rFonts w:ascii="Arial" w:cs="Arial" w:eastAsia="Arial" w:hAnsi="Arial"/>
                <w:sz w:val="18"/>
                <w:szCs w:val="18"/>
                <w:color w:val="auto"/>
              </w:rPr>
              <w:t>related intangible assets</w:t>
            </w:r>
          </w:p>
        </w:tc>
        <w:tc>
          <w:tcPr>
            <w:tcW w:w="1600" w:type="dxa"/>
            <w:vAlign w:val="bottom"/>
            <w:vMerge w:val="continue"/>
          </w:tcPr>
          <w:p>
            <w:pPr>
              <w:spacing w:after="0"/>
              <w:rPr>
                <w:sz w:val="17"/>
                <w:szCs w:val="17"/>
                <w:color w:val="auto"/>
              </w:rPr>
            </w:pPr>
          </w:p>
        </w:tc>
        <w:tc>
          <w:tcPr>
            <w:tcW w:w="2220" w:type="dxa"/>
            <w:vAlign w:val="bottom"/>
            <w:gridSpan w:val="2"/>
          </w:tcPr>
          <w:p>
            <w:pPr>
              <w:jc w:val="right"/>
              <w:ind w:right="330"/>
              <w:spacing w:after="0" w:line="203" w:lineRule="exact"/>
              <w:rPr>
                <w:sz w:val="20"/>
                <w:szCs w:val="20"/>
                <w:color w:val="auto"/>
              </w:rPr>
            </w:pPr>
            <w:r>
              <w:rPr>
                <w:rFonts w:ascii="Arial" w:cs="Arial" w:eastAsia="Arial" w:hAnsi="Arial"/>
                <w:sz w:val="18"/>
                <w:szCs w:val="18"/>
                <w:color w:val="auto"/>
              </w:rPr>
              <w:t>(1,764)</w:t>
            </w:r>
          </w:p>
        </w:tc>
        <w:tc>
          <w:tcPr>
            <w:tcW w:w="206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1,764</w:t>
            </w: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Restructuring, impairment</w:t>
            </w:r>
          </w:p>
        </w:tc>
        <w:tc>
          <w:tcPr>
            <w:tcW w:w="1600" w:type="dxa"/>
            <w:vAlign w:val="bottom"/>
            <w:vMerge w:val="restart"/>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99"/>
              </w:rPr>
              <w:t>B, B2</w:t>
            </w:r>
          </w:p>
        </w:tc>
        <w:tc>
          <w:tcPr>
            <w:tcW w:w="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and disposal charges</w:t>
            </w:r>
          </w:p>
        </w:tc>
        <w:tc>
          <w:tcPr>
            <w:tcW w:w="1600" w:type="dxa"/>
            <w:vAlign w:val="bottom"/>
            <w:vMerge w:val="continue"/>
            <w:shd w:val="clear" w:color="auto" w:fill="CCEEFF"/>
          </w:tcPr>
          <w:p>
            <w:pPr>
              <w:spacing w:after="0"/>
              <w:rPr>
                <w:sz w:val="17"/>
                <w:szCs w:val="17"/>
                <w:color w:val="auto"/>
              </w:rPr>
            </w:pPr>
          </w:p>
        </w:tc>
        <w:tc>
          <w:tcPr>
            <w:tcW w:w="2220" w:type="dxa"/>
            <w:vAlign w:val="bottom"/>
            <w:gridSpan w:val="2"/>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(161)</w:t>
            </w:r>
          </w:p>
        </w:tc>
        <w:tc>
          <w:tcPr>
            <w:tcW w:w="2060" w:type="dxa"/>
            <w:vAlign w:val="bottom"/>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161</w:t>
            </w:r>
          </w:p>
        </w:tc>
        <w:tc>
          <w:tcPr>
            <w:tcW w:w="1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 Litigation settlements</w:t>
            </w:r>
          </w:p>
        </w:tc>
        <w:tc>
          <w:tcPr>
            <w:tcW w:w="1600" w:type="dxa"/>
            <w:vAlign w:val="bottom"/>
          </w:tcPr>
          <w:p>
            <w:pPr>
              <w:jc w:val="center"/>
              <w:ind w:left="290"/>
              <w:spacing w:after="0" w:line="202" w:lineRule="exact"/>
              <w:rPr>
                <w:sz w:val="20"/>
                <w:szCs w:val="20"/>
                <w:color w:val="auto"/>
              </w:rPr>
            </w:pPr>
            <w:r>
              <w:rPr>
                <w:rFonts w:ascii="Arial" w:cs="Arial" w:eastAsia="Arial" w:hAnsi="Arial"/>
                <w:sz w:val="18"/>
                <w:szCs w:val="18"/>
                <w:b w:val="1"/>
                <w:bCs w:val="1"/>
                <w:color w:val="auto"/>
                <w:w w:val="99"/>
              </w:rPr>
              <w:t>B, B2</w:t>
            </w:r>
          </w:p>
        </w:tc>
        <w:tc>
          <w:tcPr>
            <w:tcW w:w="222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(122)</w:t>
            </w:r>
          </w:p>
        </w:tc>
        <w:tc>
          <w:tcPr>
            <w:tcW w:w="20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122</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Other expenses</w:t>
            </w:r>
          </w:p>
        </w:tc>
        <w:tc>
          <w:tcPr>
            <w:tcW w:w="1600" w:type="dxa"/>
            <w:vAlign w:val="bottom"/>
            <w:shd w:val="clear" w:color="auto" w:fill="CCEEFF"/>
          </w:tcPr>
          <w:p>
            <w:pPr>
              <w:jc w:val="center"/>
              <w:ind w:left="290"/>
              <w:spacing w:after="0" w:line="202" w:lineRule="exact"/>
              <w:rPr>
                <w:sz w:val="20"/>
                <w:szCs w:val="20"/>
                <w:color w:val="auto"/>
              </w:rPr>
            </w:pPr>
            <w:r>
              <w:rPr>
                <w:rFonts w:ascii="Arial" w:cs="Arial" w:eastAsia="Arial" w:hAnsi="Arial"/>
                <w:sz w:val="18"/>
                <w:szCs w:val="18"/>
                <w:b w:val="1"/>
                <w:bCs w:val="1"/>
                <w:color w:val="auto"/>
                <w:w w:val="99"/>
              </w:rPr>
              <w:t>B, B2</w:t>
            </w:r>
          </w:p>
        </w:tc>
        <w:tc>
          <w:tcPr>
            <w:tcW w:w="222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(2,047)</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ind w:left="760"/>
              <w:spacing w:after="0"/>
              <w:rPr>
                <w:sz w:val="20"/>
                <w:szCs w:val="20"/>
                <w:color w:val="auto"/>
              </w:rPr>
            </w:pPr>
            <w:r>
              <w:rPr>
                <w:rFonts w:ascii="Arial" w:cs="Arial" w:eastAsia="Arial" w:hAnsi="Arial"/>
                <w:sz w:val="18"/>
                <w:szCs w:val="18"/>
                <w:b w:val="1"/>
                <w:bCs w:val="1"/>
                <w:color w:val="auto"/>
              </w:rPr>
              <w:t>Operating profit</w:t>
            </w: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2,445</w:t>
            </w:r>
          </w:p>
        </w:tc>
        <w:tc>
          <w:tcPr>
            <w:tcW w:w="20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0" w:type="dxa"/>
            <w:vAlign w:val="bottom"/>
            <w:shd w:val="clear" w:color="auto" w:fill="CCEEFF"/>
          </w:tcPr>
          <w:p>
            <w:pPr>
              <w:jc w:val="center"/>
              <w:ind w:left="290"/>
              <w:spacing w:after="0" w:line="202" w:lineRule="exact"/>
              <w:rPr>
                <w:sz w:val="20"/>
                <w:szCs w:val="20"/>
                <w:color w:val="auto"/>
              </w:rPr>
            </w:pPr>
            <w:r>
              <w:rPr>
                <w:rFonts w:ascii="Arial" w:cs="Arial" w:eastAsia="Arial" w:hAnsi="Arial"/>
                <w:sz w:val="18"/>
                <w:szCs w:val="18"/>
                <w:b w:val="1"/>
                <w:bCs w:val="1"/>
                <w:color w:val="auto"/>
                <w:w w:val="99"/>
              </w:rPr>
              <w:t>B, B3</w:t>
            </w:r>
          </w:p>
        </w:tc>
        <w:tc>
          <w:tcPr>
            <w:tcW w:w="222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(454)</w:t>
            </w:r>
          </w:p>
        </w:tc>
        <w:tc>
          <w:tcPr>
            <w:tcW w:w="206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454</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Loss on extinguishment of</w:t>
            </w:r>
          </w:p>
        </w:tc>
        <w:tc>
          <w:tcPr>
            <w:tcW w:w="160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9"/>
              </w:rPr>
              <w:t>B, B3</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tcPr>
          <w:p>
            <w:pPr>
              <w:ind w:left="160"/>
              <w:spacing w:after="0" w:line="203" w:lineRule="exact"/>
              <w:rPr>
                <w:sz w:val="20"/>
                <w:szCs w:val="20"/>
                <w:color w:val="auto"/>
              </w:rPr>
            </w:pPr>
            <w:r>
              <w:rPr>
                <w:rFonts w:ascii="Arial" w:cs="Arial" w:eastAsia="Arial" w:hAnsi="Arial"/>
                <w:sz w:val="18"/>
                <w:szCs w:val="18"/>
                <w:color w:val="auto"/>
              </w:rPr>
              <w:t>debt</w:t>
            </w:r>
          </w:p>
        </w:tc>
        <w:tc>
          <w:tcPr>
            <w:tcW w:w="1600" w:type="dxa"/>
            <w:vAlign w:val="bottom"/>
            <w:vMerge w:val="continue"/>
          </w:tcPr>
          <w:p>
            <w:pPr>
              <w:spacing w:after="0"/>
              <w:rPr>
                <w:sz w:val="17"/>
                <w:szCs w:val="17"/>
                <w:color w:val="auto"/>
              </w:rPr>
            </w:pPr>
          </w:p>
        </w:tc>
        <w:tc>
          <w:tcPr>
            <w:tcW w:w="2220" w:type="dxa"/>
            <w:vAlign w:val="bottom"/>
            <w:gridSpan w:val="2"/>
          </w:tcPr>
          <w:p>
            <w:pPr>
              <w:jc w:val="right"/>
              <w:ind w:right="330"/>
              <w:spacing w:after="0" w:line="203" w:lineRule="exact"/>
              <w:rPr>
                <w:sz w:val="20"/>
                <w:szCs w:val="20"/>
                <w:color w:val="auto"/>
              </w:rPr>
            </w:pPr>
            <w:r>
              <w:rPr>
                <w:rFonts w:ascii="Arial" w:cs="Arial" w:eastAsia="Arial" w:hAnsi="Arial"/>
                <w:sz w:val="18"/>
                <w:szCs w:val="18"/>
                <w:color w:val="auto"/>
              </w:rPr>
              <w:t>(166)</w:t>
            </w:r>
          </w:p>
        </w:tc>
        <w:tc>
          <w:tcPr>
            <w:tcW w:w="206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166</w:t>
            </w: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costs</w:t>
            </w:r>
          </w:p>
        </w:tc>
        <w:tc>
          <w:tcPr>
            <w:tcW w:w="1600" w:type="dxa"/>
            <w:vAlign w:val="bottom"/>
            <w:shd w:val="clear" w:color="auto" w:fill="CCEEFF"/>
          </w:tcPr>
          <w:p>
            <w:pPr>
              <w:jc w:val="center"/>
              <w:ind w:left="290"/>
              <w:spacing w:after="0" w:line="202" w:lineRule="exact"/>
              <w:rPr>
                <w:sz w:val="20"/>
                <w:szCs w:val="20"/>
                <w:color w:val="auto"/>
              </w:rPr>
            </w:pPr>
            <w:r>
              <w:rPr>
                <w:rFonts w:ascii="Arial" w:cs="Arial" w:eastAsia="Arial" w:hAnsi="Arial"/>
                <w:sz w:val="18"/>
                <w:szCs w:val="18"/>
                <w:b w:val="1"/>
                <w:bCs w:val="1"/>
                <w:color w:val="auto"/>
                <w:w w:val="99"/>
              </w:rPr>
              <w:t>B, B3</w:t>
            </w:r>
          </w:p>
        </w:tc>
        <w:tc>
          <w:tcPr>
            <w:tcW w:w="222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(620)</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ind w:left="760"/>
              <w:spacing w:after="0"/>
              <w:rPr>
                <w:sz w:val="20"/>
                <w:szCs w:val="20"/>
                <w:color w:val="auto"/>
              </w:rPr>
            </w:pPr>
            <w:r>
              <w:rPr>
                <w:rFonts w:ascii="Arial" w:cs="Arial" w:eastAsia="Arial" w:hAnsi="Arial"/>
                <w:sz w:val="18"/>
                <w:szCs w:val="18"/>
                <w:b w:val="1"/>
                <w:bCs w:val="1"/>
                <w:color w:val="auto"/>
              </w:rPr>
              <w:t>Profit before income taxes</w:t>
            </w: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1,825</w:t>
            </w:r>
          </w:p>
        </w:tc>
        <w:tc>
          <w:tcPr>
            <w:tcW w:w="20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6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(35)</w:t>
            </w:r>
          </w:p>
        </w:tc>
        <w:tc>
          <w:tcPr>
            <w:tcW w:w="206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540" w:type="dxa"/>
            <w:vAlign w:val="bottom"/>
            <w:gridSpan w:val="2"/>
          </w:tcPr>
          <w:p>
            <w:pPr>
              <w:ind w:left="760"/>
              <w:spacing w:after="0" w:line="187" w:lineRule="exact"/>
              <w:rPr>
                <w:sz w:val="20"/>
                <w:szCs w:val="20"/>
                <w:color w:val="auto"/>
              </w:rPr>
            </w:pPr>
            <w:r>
              <w:rPr>
                <w:rFonts w:ascii="Arial" w:cs="Arial" w:eastAsia="Arial" w:hAnsi="Arial"/>
                <w:sz w:val="18"/>
                <w:szCs w:val="18"/>
                <w:b w:val="1"/>
                <w:bCs w:val="1"/>
                <w:color w:val="auto"/>
              </w:rPr>
              <w:t>Profit from continuing</w:t>
            </w:r>
          </w:p>
        </w:tc>
        <w:tc>
          <w:tcPr>
            <w:tcW w:w="1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2760" w:type="dxa"/>
            <w:vAlign w:val="bottom"/>
          </w:tcPr>
          <w:p>
            <w:pPr>
              <w:ind w:left="160"/>
              <w:spacing w:after="0"/>
              <w:rPr>
                <w:sz w:val="20"/>
                <w:szCs w:val="20"/>
                <w:color w:val="auto"/>
              </w:rPr>
            </w:pPr>
            <w:r>
              <w:rPr>
                <w:rFonts w:ascii="Arial" w:cs="Arial" w:eastAsia="Arial" w:hAnsi="Arial"/>
                <w:sz w:val="18"/>
                <w:szCs w:val="18"/>
                <w:b w:val="1"/>
                <w:bCs w:val="1"/>
                <w:color w:val="auto"/>
              </w:rPr>
              <w:t>operations</w:t>
            </w:r>
          </w:p>
        </w:tc>
        <w:tc>
          <w:tcPr>
            <w:tcW w:w="1600" w:type="dxa"/>
            <w:vAlign w:val="bottom"/>
          </w:tcPr>
          <w:p>
            <w:pPr>
              <w:spacing w:after="0"/>
              <w:rPr>
                <w:sz w:val="19"/>
                <w:szCs w:val="19"/>
                <w:color w:val="auto"/>
              </w:rPr>
            </w:pPr>
          </w:p>
        </w:tc>
        <w:tc>
          <w:tcPr>
            <w:tcW w:w="22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1,790</w:t>
            </w:r>
          </w:p>
        </w:tc>
        <w:tc>
          <w:tcPr>
            <w:tcW w:w="206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1,788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from discontinued</w:t>
            </w:r>
          </w:p>
        </w:tc>
        <w:tc>
          <w:tcPr>
            <w:tcW w:w="1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7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operations</w:t>
            </w:r>
          </w:p>
        </w:tc>
        <w:tc>
          <w:tcPr>
            <w:tcW w:w="16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(6)</w:t>
            </w:r>
          </w:p>
        </w:tc>
        <w:tc>
          <w:tcPr>
            <w:tcW w:w="2060" w:type="dxa"/>
            <w:vAlign w:val="bottom"/>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ind w:left="760"/>
              <w:spacing w:after="0"/>
              <w:rPr>
                <w:sz w:val="20"/>
                <w:szCs w:val="20"/>
                <w:color w:val="auto"/>
              </w:rPr>
            </w:pPr>
            <w:r>
              <w:rPr>
                <w:rFonts w:ascii="Arial" w:cs="Arial" w:eastAsia="Arial" w:hAnsi="Arial"/>
                <w:sz w:val="18"/>
                <w:szCs w:val="18"/>
                <w:b w:val="1"/>
                <w:bCs w:val="1"/>
                <w:color w:val="auto"/>
              </w:rPr>
              <w:t>Total profit</w:t>
            </w: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1,784</w:t>
            </w:r>
          </w:p>
        </w:tc>
        <w:tc>
          <w:tcPr>
            <w:tcW w:w="2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20" w:type="dxa"/>
            <w:vAlign w:val="bottom"/>
            <w:gridSpan w:val="2"/>
          </w:tcPr>
          <w:p>
            <w:pPr>
              <w:jc w:val="right"/>
              <w:ind w:right="1530"/>
              <w:spacing w:after="0"/>
              <w:rPr>
                <w:sz w:val="20"/>
                <w:szCs w:val="20"/>
                <w:color w:val="auto"/>
              </w:rPr>
            </w:pPr>
            <w:r>
              <w:rPr>
                <w:rFonts w:ascii="Arial" w:cs="Arial" w:eastAsia="Arial" w:hAnsi="Arial"/>
                <w:sz w:val="18"/>
                <w:szCs w:val="18"/>
                <w:color w:val="auto"/>
              </w:rPr>
              <w:t>A-124</w:t>
            </w: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980" w:hanging="776"/>
        <w:spacing w:after="0"/>
        <w:tabs>
          <w:tab w:leader="none" w:pos="98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Reconciliation to FRS </w:t>
      </w:r>
      <w:r>
        <w:rPr>
          <w:rFonts w:ascii="Arial" w:cs="Arial" w:eastAsia="Arial" w:hAnsi="Arial"/>
          <w:sz w:val="18"/>
          <w:szCs w:val="18"/>
          <w:color w:val="auto"/>
        </w:rPr>
        <w:t>(continued)</w:t>
      </w:r>
    </w:p>
    <w:p>
      <w:pPr>
        <w:spacing w:after="0" w:line="166" w:lineRule="exact"/>
        <w:rPr>
          <w:sz w:val="20"/>
          <w:szCs w:val="20"/>
          <w:color w:val="auto"/>
        </w:rPr>
      </w:pPr>
    </w:p>
    <w:p>
      <w:pPr>
        <w:ind w:left="980" w:right="20" w:hanging="776"/>
        <w:spacing w:after="0" w:line="246" w:lineRule="auto"/>
        <w:tabs>
          <w:tab w:leader="none" w:pos="9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Reconciliation of the Group’s consolidated statement of comprehensive income reported in accordance with the previous GAAP to FRS (continued)</w:t>
      </w:r>
    </w:p>
    <w:p>
      <w:pPr>
        <w:spacing w:after="0" w:line="34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120" w:type="dxa"/>
            <w:vAlign w:val="bottom"/>
          </w:tcPr>
          <w:p>
            <w:pPr>
              <w:ind w:left="3020"/>
              <w:spacing w:after="0"/>
              <w:rPr>
                <w:sz w:val="20"/>
                <w:szCs w:val="20"/>
                <w:color w:val="auto"/>
              </w:rPr>
            </w:pPr>
            <w:r>
              <w:rPr>
                <w:rFonts w:ascii="Arial" w:cs="Arial" w:eastAsia="Arial" w:hAnsi="Arial"/>
                <w:sz w:val="18"/>
                <w:szCs w:val="18"/>
                <w:b w:val="1"/>
                <w:bCs w:val="1"/>
                <w:color w:val="auto"/>
              </w:rPr>
              <w:t>Explanatory</w:t>
            </w:r>
          </w:p>
        </w:tc>
        <w:tc>
          <w:tcPr>
            <w:tcW w:w="2320" w:type="dxa"/>
            <w:vAlign w:val="bottom"/>
          </w:tcPr>
          <w:p>
            <w:pPr>
              <w:jc w:val="center"/>
              <w:ind w:left="250"/>
              <w:spacing w:after="0"/>
              <w:rPr>
                <w:sz w:val="20"/>
                <w:szCs w:val="20"/>
                <w:color w:val="auto"/>
              </w:rPr>
            </w:pPr>
            <w:r>
              <w:rPr>
                <w:rFonts w:ascii="Arial" w:cs="Arial" w:eastAsia="Arial" w:hAnsi="Arial"/>
                <w:sz w:val="18"/>
                <w:szCs w:val="18"/>
                <w:b w:val="1"/>
                <w:bCs w:val="1"/>
                <w:color w:val="auto"/>
              </w:rPr>
              <w:t>2017</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9"/>
              </w:rPr>
              <w:t>Reconciliation</w:t>
            </w: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120" w:type="dxa"/>
            <w:vAlign w:val="bottom"/>
          </w:tcPr>
          <w:p>
            <w:pPr>
              <w:ind w:left="3340"/>
              <w:spacing w:after="0" w:line="202" w:lineRule="exact"/>
              <w:rPr>
                <w:sz w:val="20"/>
                <w:szCs w:val="20"/>
                <w:color w:val="auto"/>
              </w:rPr>
            </w:pPr>
            <w:r>
              <w:rPr>
                <w:rFonts w:ascii="Arial" w:cs="Arial" w:eastAsia="Arial" w:hAnsi="Arial"/>
                <w:sz w:val="18"/>
                <w:szCs w:val="18"/>
                <w:b w:val="1"/>
                <w:bCs w:val="1"/>
                <w:color w:val="auto"/>
              </w:rPr>
              <w:t>Note</w:t>
            </w:r>
          </w:p>
        </w:tc>
        <w:tc>
          <w:tcPr>
            <w:tcW w:w="2320" w:type="dxa"/>
            <w:vAlign w:val="bottom"/>
          </w:tcPr>
          <w:p>
            <w:pPr>
              <w:jc w:val="center"/>
              <w:ind w:left="250"/>
              <w:spacing w:after="0" w:line="202" w:lineRule="exact"/>
              <w:rPr>
                <w:sz w:val="20"/>
                <w:szCs w:val="20"/>
                <w:color w:val="auto"/>
              </w:rPr>
            </w:pPr>
            <w:r>
              <w:rPr>
                <w:rFonts w:ascii="Arial" w:cs="Arial" w:eastAsia="Arial" w:hAnsi="Arial"/>
                <w:sz w:val="18"/>
                <w:szCs w:val="18"/>
                <w:b w:val="1"/>
                <w:bCs w:val="1"/>
                <w:color w:val="auto"/>
              </w:rPr>
              <w:t>reported</w:t>
            </w:r>
          </w:p>
        </w:tc>
        <w:tc>
          <w:tcPr>
            <w:tcW w:w="2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 FRS</w:t>
            </w:r>
          </w:p>
        </w:tc>
        <w:tc>
          <w:tcPr>
            <w:tcW w:w="17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reported</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320" w:type="dxa"/>
            <w:vAlign w:val="bottom"/>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under</w:t>
            </w:r>
          </w:p>
        </w:tc>
        <w:tc>
          <w:tcPr>
            <w:tcW w:w="2080" w:type="dxa"/>
            <w:vAlign w:val="bottom"/>
          </w:tcPr>
          <w:p>
            <w:pPr>
              <w:spacing w:after="0"/>
              <w:rPr>
                <w:sz w:val="17"/>
                <w:szCs w:val="17"/>
                <w:color w:val="auto"/>
              </w:rPr>
            </w:pP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under FRS</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320" w:type="dxa"/>
            <w:vAlign w:val="bottom"/>
          </w:tcPr>
          <w:p>
            <w:pPr>
              <w:jc w:val="center"/>
              <w:ind w:left="250"/>
              <w:spacing w:after="0" w:line="202" w:lineRule="exact"/>
              <w:rPr>
                <w:sz w:val="20"/>
                <w:szCs w:val="20"/>
                <w:color w:val="auto"/>
              </w:rPr>
            </w:pPr>
            <w:r>
              <w:rPr>
                <w:rFonts w:ascii="Arial" w:cs="Arial" w:eastAsia="Arial" w:hAnsi="Arial"/>
                <w:sz w:val="18"/>
                <w:szCs w:val="18"/>
                <w:b w:val="1"/>
                <w:bCs w:val="1"/>
                <w:color w:val="auto"/>
                <w:w w:val="98"/>
              </w:rPr>
              <w:t>previous</w:t>
            </w:r>
          </w:p>
        </w:tc>
        <w:tc>
          <w:tcPr>
            <w:tcW w:w="20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32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GAAP</w:t>
            </w:r>
          </w:p>
        </w:tc>
        <w:tc>
          <w:tcPr>
            <w:tcW w:w="2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320" w:type="dxa"/>
            <w:vAlign w:val="bottom"/>
          </w:tcPr>
          <w:p>
            <w:pPr>
              <w:jc w:val="center"/>
              <w:ind w:left="270"/>
              <w:spacing w:after="0"/>
              <w:rPr>
                <w:sz w:val="20"/>
                <w:szCs w:val="20"/>
                <w:color w:val="auto"/>
              </w:rPr>
            </w:pPr>
            <w:r>
              <w:rPr>
                <w:rFonts w:ascii="Arial" w:cs="Arial" w:eastAsia="Arial" w:hAnsi="Arial"/>
                <w:sz w:val="18"/>
                <w:szCs w:val="18"/>
                <w:color w:val="auto"/>
                <w:w w:val="99"/>
              </w:rPr>
              <w:t>(US$ millions)</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(US$ millions)</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(US$ millions)</w:t>
            </w:r>
          </w:p>
        </w:tc>
        <w:tc>
          <w:tcPr>
            <w:tcW w:w="0" w:type="dxa"/>
            <w:vAlign w:val="bottom"/>
          </w:tcPr>
          <w:p>
            <w:pPr>
              <w:spacing w:after="0"/>
              <w:rPr>
                <w:sz w:val="1"/>
                <w:szCs w:val="1"/>
                <w:color w:val="auto"/>
              </w:rPr>
            </w:pPr>
          </w:p>
        </w:tc>
      </w:tr>
      <w:tr>
        <w:trPr>
          <w:trHeight w:val="189"/>
        </w:trPr>
        <w:tc>
          <w:tcPr>
            <w:tcW w:w="780" w:type="dxa"/>
            <w:vAlign w:val="bottom"/>
            <w:vMerge w:val="restart"/>
          </w:tcPr>
          <w:p>
            <w:pPr>
              <w:spacing w:after="0"/>
              <w:rPr>
                <w:sz w:val="16"/>
                <w:szCs w:val="16"/>
                <w:color w:val="auto"/>
              </w:rPr>
            </w:pPr>
          </w:p>
        </w:tc>
        <w:tc>
          <w:tcPr>
            <w:tcW w:w="4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0" w:type="dxa"/>
            <w:vAlign w:val="bottom"/>
            <w:vMerge w:val="continue"/>
          </w:tcPr>
          <w:p>
            <w:pPr>
              <w:spacing w:after="0"/>
              <w:rPr>
                <w:sz w:val="15"/>
                <w:szCs w:val="15"/>
                <w:color w:val="auto"/>
              </w:rPr>
            </w:pPr>
          </w:p>
        </w:tc>
        <w:tc>
          <w:tcPr>
            <w:tcW w:w="412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Other comprehensive</w:t>
            </w:r>
          </w:p>
        </w:tc>
        <w:tc>
          <w:tcPr>
            <w:tcW w:w="23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income:</w:t>
            </w:r>
          </w:p>
        </w:tc>
        <w:tc>
          <w:tcPr>
            <w:tcW w:w="2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Items that may be</w:t>
            </w:r>
          </w:p>
        </w:tc>
        <w:tc>
          <w:tcPr>
            <w:tcW w:w="2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120" w:type="dxa"/>
            <w:vAlign w:val="bottom"/>
          </w:tcPr>
          <w:p>
            <w:pPr>
              <w:ind w:left="160"/>
              <w:spacing w:after="0" w:line="202" w:lineRule="exact"/>
              <w:rPr>
                <w:sz w:val="20"/>
                <w:szCs w:val="20"/>
                <w:color w:val="auto"/>
              </w:rPr>
            </w:pPr>
            <w:r>
              <w:rPr>
                <w:rFonts w:ascii="Arial" w:cs="Arial" w:eastAsia="Arial" w:hAnsi="Arial"/>
                <w:sz w:val="18"/>
                <w:szCs w:val="18"/>
                <w:color w:val="auto"/>
              </w:rPr>
              <w:t>reclassified subsequently</w:t>
            </w:r>
          </w:p>
        </w:tc>
        <w:tc>
          <w:tcPr>
            <w:tcW w:w="2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120" w:type="dxa"/>
            <w:vAlign w:val="bottom"/>
          </w:tcPr>
          <w:p>
            <w:pPr>
              <w:ind w:left="160"/>
              <w:spacing w:after="0" w:line="203" w:lineRule="exact"/>
              <w:rPr>
                <w:sz w:val="20"/>
                <w:szCs w:val="20"/>
                <w:color w:val="auto"/>
              </w:rPr>
            </w:pPr>
            <w:r>
              <w:rPr>
                <w:rFonts w:ascii="Arial" w:cs="Arial" w:eastAsia="Arial" w:hAnsi="Arial"/>
                <w:sz w:val="18"/>
                <w:szCs w:val="18"/>
                <w:color w:val="auto"/>
              </w:rPr>
              <w:t>to profit or loss:</w:t>
            </w:r>
          </w:p>
        </w:tc>
        <w:tc>
          <w:tcPr>
            <w:tcW w:w="2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Unrealised profit on defined</w:t>
            </w:r>
          </w:p>
        </w:tc>
        <w:tc>
          <w:tcPr>
            <w:tcW w:w="23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benefit pension plans and</w:t>
            </w:r>
          </w:p>
        </w:tc>
        <w:tc>
          <w:tcPr>
            <w:tcW w:w="23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post-retirement benefit</w:t>
            </w:r>
          </w:p>
        </w:tc>
        <w:tc>
          <w:tcPr>
            <w:tcW w:w="23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1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plans</w:t>
            </w:r>
          </w:p>
        </w:tc>
        <w:tc>
          <w:tcPr>
            <w:tcW w:w="2320" w:type="dxa"/>
            <w:vAlign w:val="bottom"/>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42</w:t>
            </w:r>
          </w:p>
        </w:tc>
        <w:tc>
          <w:tcPr>
            <w:tcW w:w="2080" w:type="dxa"/>
            <w:vAlign w:val="bottom"/>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Reclassification of net</w:t>
            </w:r>
          </w:p>
        </w:tc>
        <w:tc>
          <w:tcPr>
            <w:tcW w:w="2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4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w:t>
            </w:r>
          </w:p>
        </w:tc>
        <w:tc>
          <w:tcPr>
            <w:tcW w:w="2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2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4120" w:type="dxa"/>
            <w:vAlign w:val="bottom"/>
            <w:shd w:val="clear" w:color="auto" w:fill="CCEEFF"/>
          </w:tcPr>
          <w:p>
            <w:pPr>
              <w:spacing w:after="0" w:line="160" w:lineRule="exact"/>
              <w:rPr>
                <w:sz w:val="20"/>
                <w:szCs w:val="20"/>
                <w:color w:val="auto"/>
              </w:rPr>
            </w:pPr>
            <w:r>
              <w:rPr>
                <w:rFonts w:ascii="Arial" w:cs="Arial" w:eastAsia="Arial" w:hAnsi="Arial"/>
                <w:sz w:val="18"/>
                <w:szCs w:val="18"/>
                <w:b w:val="1"/>
                <w:bCs w:val="1"/>
                <w:color w:val="auto"/>
              </w:rPr>
              <w:t>Other comprehensive</w:t>
            </w:r>
          </w:p>
        </w:tc>
        <w:tc>
          <w:tcPr>
            <w:tcW w:w="232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profit, net of tax</w:t>
            </w:r>
          </w:p>
        </w:tc>
        <w:tc>
          <w:tcPr>
            <w:tcW w:w="23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43</w:t>
            </w:r>
          </w:p>
        </w:tc>
        <w:tc>
          <w:tcPr>
            <w:tcW w:w="208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120" w:type="dxa"/>
            <w:vAlign w:val="bottom"/>
            <w:vMerge w:val="restart"/>
          </w:tcPr>
          <w:p>
            <w:pPr>
              <w:spacing w:after="0" w:line="194" w:lineRule="exact"/>
              <w:rPr>
                <w:sz w:val="20"/>
                <w:szCs w:val="20"/>
                <w:color w:val="auto"/>
              </w:rPr>
            </w:pPr>
            <w:r>
              <w:rPr>
                <w:rFonts w:ascii="Arial" w:cs="Arial" w:eastAsia="Arial" w:hAnsi="Arial"/>
                <w:sz w:val="18"/>
                <w:szCs w:val="18"/>
                <w:b w:val="1"/>
                <w:bCs w:val="1"/>
                <w:color w:val="auto"/>
              </w:rPr>
              <w:t>Total comprehensive</w:t>
            </w:r>
          </w:p>
        </w:tc>
        <w:tc>
          <w:tcPr>
            <w:tcW w:w="2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23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780" w:type="dxa"/>
            <w:vAlign w:val="bottom"/>
          </w:tcPr>
          <w:p>
            <w:pPr>
              <w:spacing w:after="0"/>
              <w:rPr>
                <w:sz w:val="21"/>
                <w:szCs w:val="21"/>
                <w:color w:val="auto"/>
              </w:rPr>
            </w:pPr>
          </w:p>
        </w:tc>
        <w:tc>
          <w:tcPr>
            <w:tcW w:w="4120" w:type="dxa"/>
            <w:vAlign w:val="bottom"/>
          </w:tcPr>
          <w:p>
            <w:pPr>
              <w:ind w:left="160"/>
              <w:spacing w:after="0"/>
              <w:rPr>
                <w:sz w:val="20"/>
                <w:szCs w:val="20"/>
                <w:color w:val="auto"/>
              </w:rPr>
            </w:pPr>
            <w:r>
              <w:rPr>
                <w:rFonts w:ascii="Arial" w:cs="Arial" w:eastAsia="Arial" w:hAnsi="Arial"/>
                <w:sz w:val="18"/>
                <w:szCs w:val="18"/>
                <w:b w:val="1"/>
                <w:bCs w:val="1"/>
                <w:color w:val="auto"/>
              </w:rPr>
              <w:t>profit</w:t>
            </w:r>
          </w:p>
        </w:tc>
        <w:tc>
          <w:tcPr>
            <w:tcW w:w="2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1,827</w:t>
            </w:r>
          </w:p>
        </w:tc>
        <w:tc>
          <w:tcPr>
            <w:tcW w:w="2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1,825</w:t>
            </w:r>
          </w:p>
        </w:tc>
        <w:tc>
          <w:tcPr>
            <w:tcW w:w="0" w:type="dxa"/>
            <w:vAlign w:val="bottom"/>
          </w:tcPr>
          <w:p>
            <w:pPr>
              <w:spacing w:after="0"/>
              <w:rPr>
                <w:sz w:val="1"/>
                <w:szCs w:val="1"/>
                <w:color w:val="auto"/>
              </w:rPr>
            </w:pPr>
          </w:p>
        </w:tc>
      </w:tr>
      <w:tr>
        <w:trPr>
          <w:trHeight w:val="311"/>
        </w:trPr>
        <w:tc>
          <w:tcPr>
            <w:tcW w:w="780" w:type="dxa"/>
            <w:vAlign w:val="bottom"/>
            <w:vMerge w:val="restart"/>
          </w:tcPr>
          <w:p>
            <w:pPr>
              <w:spacing w:after="0"/>
              <w:rPr>
                <w:sz w:val="24"/>
                <w:szCs w:val="24"/>
                <w:color w:val="auto"/>
              </w:rPr>
            </w:pPr>
          </w:p>
        </w:tc>
        <w:tc>
          <w:tcPr>
            <w:tcW w:w="4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Profit attributable to:</w:t>
            </w:r>
          </w:p>
        </w:tc>
        <w:tc>
          <w:tcPr>
            <w:tcW w:w="23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Equity holders of the</w:t>
            </w:r>
          </w:p>
        </w:tc>
        <w:tc>
          <w:tcPr>
            <w:tcW w:w="2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120" w:type="dxa"/>
            <w:vAlign w:val="bottom"/>
          </w:tcPr>
          <w:p>
            <w:pPr>
              <w:ind w:left="160"/>
              <w:spacing w:after="0" w:line="203" w:lineRule="exact"/>
              <w:rPr>
                <w:sz w:val="20"/>
                <w:szCs w:val="20"/>
                <w:color w:val="auto"/>
              </w:rPr>
            </w:pPr>
            <w:r>
              <w:rPr>
                <w:rFonts w:ascii="Arial" w:cs="Arial" w:eastAsia="Arial" w:hAnsi="Arial"/>
                <w:sz w:val="18"/>
                <w:szCs w:val="18"/>
                <w:color w:val="auto"/>
              </w:rPr>
              <w:t>Company</w:t>
            </w:r>
          </w:p>
        </w:tc>
        <w:tc>
          <w:tcPr>
            <w:tcW w:w="232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1,692</w:t>
            </w:r>
          </w:p>
        </w:tc>
        <w:tc>
          <w:tcPr>
            <w:tcW w:w="208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(2)</w:t>
            </w:r>
          </w:p>
        </w:tc>
        <w:tc>
          <w:tcPr>
            <w:tcW w:w="1720" w:type="dxa"/>
            <w:vAlign w:val="bottom"/>
          </w:tcPr>
          <w:p>
            <w:pPr>
              <w:jc w:val="right"/>
              <w:ind w:right="70"/>
              <w:spacing w:after="0" w:line="203" w:lineRule="exact"/>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interests</w:t>
            </w:r>
          </w:p>
        </w:tc>
        <w:tc>
          <w:tcPr>
            <w:tcW w:w="23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92</w:t>
            </w:r>
          </w:p>
        </w:tc>
        <w:tc>
          <w:tcPr>
            <w:tcW w:w="20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3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1,784</w:t>
            </w:r>
          </w:p>
        </w:tc>
        <w:tc>
          <w:tcPr>
            <w:tcW w:w="208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w:t>
            </w:r>
          </w:p>
        </w:tc>
        <w:tc>
          <w:tcPr>
            <w:tcW w:w="17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80" w:type="dxa"/>
            <w:vAlign w:val="bottom"/>
            <w:vMerge w:val="continue"/>
          </w:tcPr>
          <w:p>
            <w:pPr>
              <w:spacing w:after="0"/>
              <w:rPr>
                <w:sz w:val="15"/>
                <w:szCs w:val="15"/>
                <w:color w:val="auto"/>
              </w:rPr>
            </w:pPr>
          </w:p>
        </w:tc>
        <w:tc>
          <w:tcPr>
            <w:tcW w:w="412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Total comprehensive</w:t>
            </w:r>
          </w:p>
        </w:tc>
        <w:tc>
          <w:tcPr>
            <w:tcW w:w="23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profit attributable to:</w:t>
            </w:r>
          </w:p>
        </w:tc>
        <w:tc>
          <w:tcPr>
            <w:tcW w:w="2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Equity holders of the</w:t>
            </w:r>
          </w:p>
        </w:tc>
        <w:tc>
          <w:tcPr>
            <w:tcW w:w="2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120" w:type="dxa"/>
            <w:vAlign w:val="bottom"/>
          </w:tcPr>
          <w:p>
            <w:pPr>
              <w:ind w:left="160"/>
              <w:spacing w:after="0" w:line="203" w:lineRule="exact"/>
              <w:rPr>
                <w:sz w:val="20"/>
                <w:szCs w:val="20"/>
                <w:color w:val="auto"/>
              </w:rPr>
            </w:pPr>
            <w:r>
              <w:rPr>
                <w:rFonts w:ascii="Arial" w:cs="Arial" w:eastAsia="Arial" w:hAnsi="Arial"/>
                <w:sz w:val="18"/>
                <w:szCs w:val="18"/>
                <w:color w:val="auto"/>
              </w:rPr>
              <w:t>Company</w:t>
            </w:r>
          </w:p>
        </w:tc>
        <w:tc>
          <w:tcPr>
            <w:tcW w:w="232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1,735</w:t>
            </w:r>
          </w:p>
        </w:tc>
        <w:tc>
          <w:tcPr>
            <w:tcW w:w="208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(2)</w:t>
            </w:r>
          </w:p>
        </w:tc>
        <w:tc>
          <w:tcPr>
            <w:tcW w:w="1720" w:type="dxa"/>
            <w:vAlign w:val="bottom"/>
          </w:tcPr>
          <w:p>
            <w:pPr>
              <w:jc w:val="right"/>
              <w:ind w:right="70"/>
              <w:spacing w:after="0" w:line="203" w:lineRule="exact"/>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interests</w:t>
            </w:r>
          </w:p>
        </w:tc>
        <w:tc>
          <w:tcPr>
            <w:tcW w:w="23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92</w:t>
            </w:r>
          </w:p>
        </w:tc>
        <w:tc>
          <w:tcPr>
            <w:tcW w:w="20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3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1,827</w:t>
            </w:r>
          </w:p>
        </w:tc>
        <w:tc>
          <w:tcPr>
            <w:tcW w:w="208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w:t>
            </w:r>
          </w:p>
        </w:tc>
        <w:tc>
          <w:tcPr>
            <w:tcW w:w="17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156"/>
        </w:trPr>
        <w:tc>
          <w:tcPr>
            <w:tcW w:w="780" w:type="dxa"/>
            <w:vAlign w:val="bottom"/>
            <w:tcBorders>
              <w:bottom w:val="single" w:sz="8" w:color="auto"/>
            </w:tcBorders>
          </w:tcPr>
          <w:p>
            <w:pPr>
              <w:spacing w:after="0"/>
              <w:rPr>
                <w:sz w:val="13"/>
                <w:szCs w:val="13"/>
                <w:color w:val="auto"/>
              </w:rPr>
            </w:pPr>
          </w:p>
        </w:tc>
        <w:tc>
          <w:tcPr>
            <w:tcW w:w="41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320" w:type="dxa"/>
            <w:vAlign w:val="bottom"/>
          </w:tcPr>
          <w:p>
            <w:pPr>
              <w:jc w:val="right"/>
              <w:ind w:right="1390"/>
              <w:spacing w:after="0"/>
              <w:rPr>
                <w:sz w:val="20"/>
                <w:szCs w:val="20"/>
                <w:color w:val="auto"/>
              </w:rPr>
            </w:pPr>
            <w:r>
              <w:rPr>
                <w:rFonts w:ascii="Arial" w:cs="Arial" w:eastAsia="Arial" w:hAnsi="Arial"/>
                <w:sz w:val="18"/>
                <w:szCs w:val="18"/>
                <w:color w:val="auto"/>
              </w:rPr>
              <w:t>A-125</w:t>
            </w:r>
          </w:p>
        </w:tc>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BROADCOM LIMITED AND ITS SUBSIDIARIES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the financial year ended 29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36</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 xml:space="preserve">Reconciliation to FRS </w:t>
      </w:r>
      <w:r>
        <w:rPr>
          <w:rFonts w:ascii="Arial" w:cs="Arial" w:eastAsia="Arial" w:hAnsi="Arial"/>
          <w:sz w:val="17"/>
          <w:szCs w:val="17"/>
          <w:color w:val="auto"/>
        </w:rPr>
        <w:t>(continued)</w:t>
      </w:r>
    </w:p>
    <w:p>
      <w:pPr>
        <w:spacing w:after="0" w:line="166" w:lineRule="exact"/>
        <w:rPr>
          <w:sz w:val="20"/>
          <w:szCs w:val="20"/>
          <w:color w:val="auto"/>
        </w:rPr>
      </w:pPr>
    </w:p>
    <w:p>
      <w:pPr>
        <w:ind w:left="980" w:hanging="776"/>
        <w:spacing w:after="0" w:line="246" w:lineRule="auto"/>
        <w:tabs>
          <w:tab w:leader="none" w:pos="9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Reconciliation of the Group’s consolidated statement of comprehensive income reported in accordance with the previous GAAP to FRS (continued)</w:t>
      </w:r>
    </w:p>
    <w:p>
      <w:pPr>
        <w:spacing w:after="0" w:line="129" w:lineRule="exact"/>
        <w:rPr>
          <w:sz w:val="20"/>
          <w:szCs w:val="20"/>
          <w:color w:val="auto"/>
        </w:rPr>
      </w:pPr>
    </w:p>
    <w:p>
      <w:pPr>
        <w:ind w:left="1620" w:hanging="538"/>
        <w:spacing w:after="0"/>
        <w:tabs>
          <w:tab w:leader="none" w:pos="16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Presentation of Expenses</w:t>
      </w:r>
    </w:p>
    <w:p>
      <w:pPr>
        <w:spacing w:after="0" w:line="211" w:lineRule="exact"/>
        <w:rPr>
          <w:rFonts w:ascii="Arial" w:cs="Arial" w:eastAsia="Arial" w:hAnsi="Arial"/>
          <w:sz w:val="18"/>
          <w:szCs w:val="18"/>
          <w:color w:val="auto"/>
        </w:rPr>
      </w:pPr>
    </w:p>
    <w:p>
      <w:pPr>
        <w:jc w:val="both"/>
        <w:ind w:left="1640"/>
        <w:spacing w:after="0" w:line="239" w:lineRule="auto"/>
        <w:rPr>
          <w:rFonts w:ascii="Arial" w:cs="Arial" w:eastAsia="Arial" w:hAnsi="Arial"/>
          <w:sz w:val="18"/>
          <w:szCs w:val="18"/>
          <w:color w:val="auto"/>
        </w:rPr>
      </w:pPr>
      <w:r>
        <w:rPr>
          <w:rFonts w:ascii="Arial" w:cs="Arial" w:eastAsia="Arial" w:hAnsi="Arial"/>
          <w:sz w:val="18"/>
          <w:szCs w:val="18"/>
          <w:color w:val="auto"/>
        </w:rPr>
        <w:t>Under the previous GAAP, expenses are presented in a multiple-step format. Under FRS, the Group has reclassified expenses into their functional groups. Expenses based on nature are disclosed in Note 5 of this FRS financial statements. The following explanatory notes reconcile the difference between expenses reported under FRS to those reported under the previous GAAP.</w:t>
      </w:r>
    </w:p>
    <w:p>
      <w:pPr>
        <w:spacing w:after="0" w:line="229"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8"/>
          <w:szCs w:val="18"/>
          <w:color w:val="auto"/>
        </w:rPr>
        <w:t>Classification of Cost of sales</w:t>
      </w:r>
    </w:p>
    <w:p>
      <w:pPr>
        <w:spacing w:after="0" w:line="212" w:lineRule="exact"/>
        <w:rPr>
          <w:sz w:val="20"/>
          <w:szCs w:val="20"/>
          <w:color w:val="auto"/>
        </w:rPr>
      </w:pPr>
    </w:p>
    <w:p>
      <w:pPr>
        <w:jc w:val="both"/>
        <w:ind w:left="1640"/>
        <w:spacing w:after="0"/>
        <w:rPr>
          <w:sz w:val="20"/>
          <w:szCs w:val="20"/>
          <w:color w:val="auto"/>
        </w:rPr>
      </w:pPr>
      <w:r>
        <w:rPr>
          <w:rFonts w:ascii="Arial" w:cs="Arial" w:eastAsia="Arial" w:hAnsi="Arial"/>
          <w:sz w:val="18"/>
          <w:szCs w:val="18"/>
          <w:color w:val="auto"/>
        </w:rPr>
        <w:t>Cost of sales amounting to US$ 9,127 million for the financial year ended 29 October 2017 under FRS represents the aggregated line items under the previous GAAP of “Cost of products sold”, ‘Purchase accounting effect on inventory”, “Amortisation of acquisition-related intangible assets” and “Restructuring charges” in their respective financial years.</w:t>
      </w:r>
    </w:p>
    <w:p>
      <w:pPr>
        <w:spacing w:after="0" w:line="230"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B2</w:t>
      </w:r>
      <w:r>
        <w:rPr>
          <w:sz w:val="20"/>
          <w:szCs w:val="20"/>
          <w:color w:val="auto"/>
        </w:rPr>
        <w:tab/>
      </w:r>
      <w:r>
        <w:rPr>
          <w:rFonts w:ascii="Arial" w:cs="Arial" w:eastAsia="Arial" w:hAnsi="Arial"/>
          <w:sz w:val="18"/>
          <w:szCs w:val="18"/>
          <w:color w:val="auto"/>
        </w:rPr>
        <w:t>Classification of Other expenses</w:t>
      </w:r>
    </w:p>
    <w:p>
      <w:pPr>
        <w:spacing w:after="0" w:line="212" w:lineRule="exact"/>
        <w:rPr>
          <w:sz w:val="20"/>
          <w:szCs w:val="20"/>
          <w:color w:val="auto"/>
        </w:rPr>
      </w:pPr>
    </w:p>
    <w:p>
      <w:pPr>
        <w:jc w:val="both"/>
        <w:ind w:left="1640"/>
        <w:spacing w:after="0"/>
        <w:rPr>
          <w:sz w:val="20"/>
          <w:szCs w:val="20"/>
          <w:color w:val="auto"/>
        </w:rPr>
      </w:pPr>
      <w:r>
        <w:rPr>
          <w:rFonts w:ascii="Arial" w:cs="Arial" w:eastAsia="Arial" w:hAnsi="Arial"/>
          <w:sz w:val="18"/>
          <w:szCs w:val="18"/>
          <w:color w:val="auto"/>
        </w:rPr>
        <w:t>Other expenses amounting to US$2,047 million for the financial year ended 29 October 2017 under FRS represent the aggregated line items under the previous GAAP of “Amortisation of acquisition-related intangible assets”, “Restructuring, impairment and disposal charges” and “Litigation settlements” in their respective financial years.</w:t>
      </w:r>
    </w:p>
    <w:p>
      <w:pPr>
        <w:spacing w:after="0" w:line="230"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B3</w:t>
      </w:r>
      <w:r>
        <w:rPr>
          <w:sz w:val="20"/>
          <w:szCs w:val="20"/>
          <w:color w:val="auto"/>
        </w:rPr>
        <w:tab/>
      </w:r>
      <w:r>
        <w:rPr>
          <w:rFonts w:ascii="Arial" w:cs="Arial" w:eastAsia="Arial" w:hAnsi="Arial"/>
          <w:sz w:val="18"/>
          <w:szCs w:val="18"/>
          <w:color w:val="auto"/>
        </w:rPr>
        <w:t>Classification of Finance costs</w:t>
      </w:r>
    </w:p>
    <w:p>
      <w:pPr>
        <w:spacing w:after="0" w:line="212" w:lineRule="exact"/>
        <w:rPr>
          <w:sz w:val="20"/>
          <w:szCs w:val="20"/>
          <w:color w:val="auto"/>
        </w:rPr>
      </w:pPr>
    </w:p>
    <w:p>
      <w:pPr>
        <w:jc w:val="both"/>
        <w:ind w:left="1640"/>
        <w:spacing w:after="0"/>
        <w:rPr>
          <w:sz w:val="20"/>
          <w:szCs w:val="20"/>
          <w:color w:val="auto"/>
        </w:rPr>
      </w:pPr>
      <w:r>
        <w:rPr>
          <w:rFonts w:ascii="Arial" w:cs="Arial" w:eastAsia="Arial" w:hAnsi="Arial"/>
          <w:sz w:val="18"/>
          <w:szCs w:val="18"/>
          <w:color w:val="auto"/>
        </w:rPr>
        <w:t>Finance costs amounting to US$620 million for the financial year ended 29 October 2017 under FRS represent the aggregated line items under the previous GAAP of “Interest expense” and “Loss on extinguishment of debt” in their respective financial years.</w:t>
      </w:r>
    </w:p>
    <w:p>
      <w:pPr>
        <w:spacing w:after="0" w:line="208" w:lineRule="exact"/>
        <w:rPr>
          <w:sz w:val="20"/>
          <w:szCs w:val="20"/>
          <w:color w:val="auto"/>
        </w:rPr>
      </w:pPr>
    </w:p>
    <w:p>
      <w:pPr>
        <w:ind w:left="980" w:hanging="776"/>
        <w:spacing w:after="0"/>
        <w:tabs>
          <w:tab w:leader="none" w:pos="98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Authorisation of financial statements</w:t>
      </w:r>
    </w:p>
    <w:p>
      <w:pPr>
        <w:spacing w:after="0" w:line="233" w:lineRule="exact"/>
        <w:rPr>
          <w:rFonts w:ascii="Arial" w:cs="Arial" w:eastAsia="Arial" w:hAnsi="Arial"/>
          <w:sz w:val="18"/>
          <w:szCs w:val="18"/>
          <w:b w:val="1"/>
          <w:bCs w:val="1"/>
          <w:color w:val="auto"/>
        </w:rPr>
      </w:pPr>
    </w:p>
    <w:p>
      <w:pPr>
        <w:ind w:left="9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These financial statements were authorised for issue in accordance with a resolution of the Board of Directors of Broadcom Limited on 9 February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A-126</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2020"/>
        <w:spacing w:after="0"/>
        <w:rPr>
          <w:sz w:val="20"/>
          <w:szCs w:val="20"/>
          <w:color w:val="auto"/>
        </w:rPr>
      </w:pPr>
      <w:r>
        <w:rPr>
          <w:rFonts w:ascii="Arial" w:cs="Arial" w:eastAsia="Arial" w:hAnsi="Arial"/>
          <w:sz w:val="18"/>
          <w:szCs w:val="18"/>
          <w:b w:val="1"/>
          <w:bCs w:val="1"/>
          <w:color w:val="auto"/>
        </w:rPr>
        <w:t>DIRECTIONS TO BROADCOM LIMITED</w:t>
      </w:r>
    </w:p>
    <w:p>
      <w:pPr>
        <w:spacing w:after="0" w:line="18" w:lineRule="exact"/>
        <w:rPr>
          <w:sz w:val="20"/>
          <w:szCs w:val="20"/>
          <w:color w:val="auto"/>
        </w:rPr>
      </w:pPr>
    </w:p>
    <w:p>
      <w:pPr>
        <w:jc w:val="center"/>
        <w:ind w:left="2020"/>
        <w:spacing w:after="0"/>
        <w:rPr>
          <w:sz w:val="20"/>
          <w:szCs w:val="20"/>
          <w:color w:val="auto"/>
        </w:rPr>
      </w:pPr>
      <w:r>
        <w:rPr>
          <w:rFonts w:ascii="Arial" w:cs="Arial" w:eastAsia="Arial" w:hAnsi="Arial"/>
          <w:sz w:val="18"/>
          <w:szCs w:val="18"/>
          <w:b w:val="1"/>
          <w:bCs w:val="1"/>
          <w:color w:val="auto"/>
        </w:rPr>
        <w:t>2018 ANNUAL GENERAL MEETING</w:t>
      </w:r>
    </w:p>
    <w:p>
      <w:pPr>
        <w:spacing w:after="0" w:line="82" w:lineRule="exact"/>
        <w:rPr>
          <w:sz w:val="20"/>
          <w:szCs w:val="20"/>
          <w:color w:val="auto"/>
        </w:rPr>
      </w:pPr>
    </w:p>
    <w:p>
      <w:pPr>
        <w:jc w:val="center"/>
        <w:ind w:left="2020"/>
        <w:spacing w:after="0"/>
        <w:rPr>
          <w:sz w:val="20"/>
          <w:szCs w:val="20"/>
          <w:color w:val="auto"/>
        </w:rPr>
      </w:pPr>
      <w:r>
        <w:rPr>
          <w:rFonts w:ascii="Arial" w:cs="Arial" w:eastAsia="Arial" w:hAnsi="Arial"/>
          <w:sz w:val="18"/>
          <w:szCs w:val="18"/>
          <w:b w:val="1"/>
          <w:bCs w:val="1"/>
          <w:color w:val="auto"/>
        </w:rPr>
        <w:t>Our offices located at</w:t>
      </w:r>
    </w:p>
    <w:p>
      <w:pPr>
        <w:spacing w:after="0" w:line="18" w:lineRule="exact"/>
        <w:rPr>
          <w:sz w:val="20"/>
          <w:szCs w:val="20"/>
          <w:color w:val="auto"/>
        </w:rPr>
      </w:pPr>
    </w:p>
    <w:p>
      <w:pPr>
        <w:jc w:val="center"/>
        <w:ind w:left="2020"/>
        <w:spacing w:after="0"/>
        <w:rPr>
          <w:sz w:val="20"/>
          <w:szCs w:val="20"/>
          <w:color w:val="auto"/>
        </w:rPr>
      </w:pPr>
      <w:r>
        <w:rPr>
          <w:rFonts w:ascii="Arial" w:cs="Arial" w:eastAsia="Arial" w:hAnsi="Arial"/>
          <w:sz w:val="18"/>
          <w:szCs w:val="18"/>
          <w:b w:val="1"/>
          <w:bCs w:val="1"/>
          <w:color w:val="auto"/>
        </w:rPr>
        <w:t>1320 Ridder Park Drive, San Jose, California</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Coming North on US-880:</w:t>
      </w:r>
    </w:p>
    <w:p>
      <w:pPr>
        <w:spacing w:after="0" w:line="117" w:lineRule="exact"/>
        <w:rPr>
          <w:sz w:val="20"/>
          <w:szCs w:val="20"/>
          <w:color w:val="auto"/>
        </w:rPr>
      </w:pPr>
    </w:p>
    <w:p>
      <w:pPr>
        <w:ind w:left="740" w:hanging="536"/>
        <w:spacing w:after="0"/>
        <w:tabs>
          <w:tab w:leader="none" w:pos="7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Take </w:t>
      </w:r>
      <w:r>
        <w:rPr>
          <w:rFonts w:ascii="Arial" w:cs="Arial" w:eastAsia="Arial" w:hAnsi="Arial"/>
          <w:sz w:val="18"/>
          <w:szCs w:val="18"/>
          <w:b w:val="1"/>
          <w:bCs w:val="1"/>
          <w:color w:val="auto"/>
        </w:rPr>
        <w:t>Brokaw Road</w:t>
      </w:r>
      <w:r>
        <w:rPr>
          <w:rFonts w:ascii="Arial" w:cs="Arial" w:eastAsia="Arial" w:hAnsi="Arial"/>
          <w:sz w:val="18"/>
          <w:szCs w:val="18"/>
          <w:color w:val="auto"/>
        </w:rPr>
        <w:t xml:space="preserve"> exit and turn right onto </w:t>
      </w:r>
      <w:r>
        <w:rPr>
          <w:rFonts w:ascii="Arial" w:cs="Arial" w:eastAsia="Arial" w:hAnsi="Arial"/>
          <w:sz w:val="18"/>
          <w:szCs w:val="18"/>
          <w:b w:val="1"/>
          <w:bCs w:val="1"/>
          <w:color w:val="auto"/>
        </w:rPr>
        <w:t>Brokaw Road</w:t>
      </w:r>
      <w:r>
        <w:rPr>
          <w:rFonts w:ascii="Arial" w:cs="Arial" w:eastAsia="Arial" w:hAnsi="Arial"/>
          <w:sz w:val="18"/>
          <w:szCs w:val="18"/>
          <w:color w:val="auto"/>
        </w:rPr>
        <w:t xml:space="preserve"> and move into the left lane</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740" w:hanging="536"/>
        <w:spacing w:after="0"/>
        <w:tabs>
          <w:tab w:leader="none" w:pos="7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Turn left onto </w:t>
      </w:r>
      <w:r>
        <w:rPr>
          <w:rFonts w:ascii="Arial" w:cs="Arial" w:eastAsia="Arial" w:hAnsi="Arial"/>
          <w:sz w:val="18"/>
          <w:szCs w:val="18"/>
          <w:b w:val="1"/>
          <w:bCs w:val="1"/>
          <w:color w:val="auto"/>
        </w:rPr>
        <w:t>Ridder Park Drive.</w:t>
      </w:r>
    </w:p>
    <w:p>
      <w:pPr>
        <w:spacing w:after="0" w:line="117" w:lineRule="exact"/>
        <w:rPr>
          <w:rFonts w:ascii="Arial" w:cs="Arial" w:eastAsia="Arial" w:hAnsi="Arial"/>
          <w:sz w:val="18"/>
          <w:szCs w:val="18"/>
          <w:color w:val="auto"/>
        </w:rPr>
      </w:pPr>
    </w:p>
    <w:p>
      <w:pPr>
        <w:ind w:left="740" w:hanging="536"/>
        <w:spacing w:after="0"/>
        <w:tabs>
          <w:tab w:leader="none" w:pos="74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Turn into the </w:t>
      </w:r>
      <w:r>
        <w:rPr>
          <w:rFonts w:ascii="Arial" w:cs="Arial" w:eastAsia="Arial" w:hAnsi="Arial"/>
          <w:sz w:val="17"/>
          <w:szCs w:val="17"/>
          <w:b w:val="1"/>
          <w:bCs w:val="1"/>
          <w:color w:val="auto"/>
        </w:rPr>
        <w:t>Broadcom campus</w:t>
      </w:r>
      <w:r>
        <w:rPr>
          <w:rFonts w:ascii="Arial" w:cs="Arial" w:eastAsia="Arial" w:hAnsi="Arial"/>
          <w:sz w:val="17"/>
          <w:szCs w:val="17"/>
          <w:color w:val="auto"/>
        </w:rPr>
        <w:t>, which is the second building on the right, at the main entrance sign.</w:t>
      </w:r>
    </w:p>
    <w:p>
      <w:pPr>
        <w:spacing w:after="0" w:line="115"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b w:val="1"/>
          <w:bCs w:val="1"/>
          <w:color w:val="auto"/>
        </w:rPr>
        <w:t>Coming South on US-101:</w:t>
      </w:r>
    </w:p>
    <w:p>
      <w:pPr>
        <w:spacing w:after="0" w:line="117" w:lineRule="exact"/>
        <w:rPr>
          <w:sz w:val="20"/>
          <w:szCs w:val="20"/>
          <w:color w:val="auto"/>
        </w:rPr>
      </w:pPr>
    </w:p>
    <w:p>
      <w:pPr>
        <w:ind w:left="740" w:hanging="536"/>
        <w:spacing w:after="0"/>
        <w:tabs>
          <w:tab w:leader="none" w:pos="7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Exit onto </w:t>
      </w:r>
      <w:r>
        <w:rPr>
          <w:rFonts w:ascii="Arial" w:cs="Arial" w:eastAsia="Arial" w:hAnsi="Arial"/>
          <w:sz w:val="18"/>
          <w:szCs w:val="18"/>
          <w:b w:val="1"/>
          <w:bCs w:val="1"/>
          <w:color w:val="auto"/>
        </w:rPr>
        <w:t>US-880 North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40" w:hanging="536"/>
        <w:spacing w:after="0"/>
        <w:tabs>
          <w:tab w:leader="none" w:pos="7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Take </w:t>
      </w:r>
      <w:r>
        <w:rPr>
          <w:rFonts w:ascii="Arial" w:cs="Arial" w:eastAsia="Arial" w:hAnsi="Arial"/>
          <w:sz w:val="18"/>
          <w:szCs w:val="18"/>
          <w:b w:val="1"/>
          <w:bCs w:val="1"/>
          <w:color w:val="auto"/>
        </w:rPr>
        <w:t>Brokaw Road</w:t>
      </w:r>
      <w:r>
        <w:rPr>
          <w:rFonts w:ascii="Arial" w:cs="Arial" w:eastAsia="Arial" w:hAnsi="Arial"/>
          <w:sz w:val="18"/>
          <w:szCs w:val="18"/>
          <w:color w:val="auto"/>
        </w:rPr>
        <w:t xml:space="preserve"> exit and turn right onto </w:t>
      </w:r>
      <w:r>
        <w:rPr>
          <w:rFonts w:ascii="Arial" w:cs="Arial" w:eastAsia="Arial" w:hAnsi="Arial"/>
          <w:sz w:val="18"/>
          <w:szCs w:val="18"/>
          <w:b w:val="1"/>
          <w:bCs w:val="1"/>
          <w:color w:val="auto"/>
        </w:rPr>
        <w:t>Brokaw Road</w:t>
      </w:r>
      <w:r>
        <w:rPr>
          <w:rFonts w:ascii="Arial" w:cs="Arial" w:eastAsia="Arial" w:hAnsi="Arial"/>
          <w:sz w:val="18"/>
          <w:szCs w:val="18"/>
          <w:color w:val="auto"/>
        </w:rPr>
        <w:t xml:space="preserve"> and move into the left lane</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740" w:hanging="536"/>
        <w:spacing w:after="0"/>
        <w:tabs>
          <w:tab w:leader="none" w:pos="7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Turn left onto </w:t>
      </w:r>
      <w:r>
        <w:rPr>
          <w:rFonts w:ascii="Arial" w:cs="Arial" w:eastAsia="Arial" w:hAnsi="Arial"/>
          <w:sz w:val="18"/>
          <w:szCs w:val="18"/>
          <w:b w:val="1"/>
          <w:bCs w:val="1"/>
          <w:color w:val="auto"/>
        </w:rPr>
        <w:t>Ridder Park Drive.</w:t>
      </w:r>
    </w:p>
    <w:p>
      <w:pPr>
        <w:spacing w:after="0" w:line="117" w:lineRule="exact"/>
        <w:rPr>
          <w:rFonts w:ascii="Arial" w:cs="Arial" w:eastAsia="Arial" w:hAnsi="Arial"/>
          <w:sz w:val="18"/>
          <w:szCs w:val="18"/>
          <w:color w:val="auto"/>
        </w:rPr>
      </w:pPr>
    </w:p>
    <w:p>
      <w:pPr>
        <w:ind w:left="740" w:hanging="536"/>
        <w:spacing w:after="0"/>
        <w:tabs>
          <w:tab w:leader="none" w:pos="7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 xml:space="preserve">Turn into the </w:t>
      </w:r>
      <w:r>
        <w:rPr>
          <w:rFonts w:ascii="Arial" w:cs="Arial" w:eastAsia="Arial" w:hAnsi="Arial"/>
          <w:sz w:val="17"/>
          <w:szCs w:val="17"/>
          <w:b w:val="1"/>
          <w:bCs w:val="1"/>
          <w:color w:val="auto"/>
        </w:rPr>
        <w:t>Broadcom campus</w:t>
      </w:r>
      <w:r>
        <w:rPr>
          <w:rFonts w:ascii="Arial" w:cs="Arial" w:eastAsia="Arial" w:hAnsi="Arial"/>
          <w:sz w:val="17"/>
          <w:szCs w:val="17"/>
          <w:color w:val="auto"/>
        </w:rPr>
        <w:t>, which is the second building on the right, at the main entrance sign.</w:t>
      </w:r>
    </w:p>
    <w:p>
      <w:pPr>
        <w:spacing w:after="0" w:line="115"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b w:val="1"/>
          <w:bCs w:val="1"/>
          <w:color w:val="auto"/>
        </w:rPr>
        <w:t>Coming South on I-880:</w:t>
      </w:r>
    </w:p>
    <w:p>
      <w:pPr>
        <w:spacing w:after="0" w:line="117" w:lineRule="exact"/>
        <w:rPr>
          <w:sz w:val="20"/>
          <w:szCs w:val="20"/>
          <w:color w:val="auto"/>
        </w:rPr>
      </w:pPr>
    </w:p>
    <w:p>
      <w:pPr>
        <w:ind w:left="740" w:hanging="536"/>
        <w:spacing w:after="0"/>
        <w:tabs>
          <w:tab w:leader="none" w:pos="7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Take </w:t>
      </w:r>
      <w:r>
        <w:rPr>
          <w:rFonts w:ascii="Arial" w:cs="Arial" w:eastAsia="Arial" w:hAnsi="Arial"/>
          <w:sz w:val="18"/>
          <w:szCs w:val="18"/>
          <w:b w:val="1"/>
          <w:bCs w:val="1"/>
          <w:color w:val="auto"/>
        </w:rPr>
        <w:t>Brokaw Road</w:t>
      </w:r>
      <w:r>
        <w:rPr>
          <w:rFonts w:ascii="Arial" w:cs="Arial" w:eastAsia="Arial" w:hAnsi="Arial"/>
          <w:sz w:val="18"/>
          <w:szCs w:val="18"/>
          <w:color w:val="auto"/>
        </w:rPr>
        <w:t xml:space="preserve"> exit and turn right onto </w:t>
      </w:r>
      <w:r>
        <w:rPr>
          <w:rFonts w:ascii="Arial" w:cs="Arial" w:eastAsia="Arial" w:hAnsi="Arial"/>
          <w:sz w:val="18"/>
          <w:szCs w:val="18"/>
          <w:b w:val="1"/>
          <w:bCs w:val="1"/>
          <w:color w:val="auto"/>
        </w:rPr>
        <w:t>Brokaw Road</w:t>
      </w:r>
      <w:r>
        <w:rPr>
          <w:rFonts w:ascii="Arial" w:cs="Arial" w:eastAsia="Arial" w:hAnsi="Arial"/>
          <w:sz w:val="18"/>
          <w:szCs w:val="18"/>
          <w:color w:val="auto"/>
        </w:rPr>
        <w:t xml:space="preserve"> and move into the left lane</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740" w:hanging="536"/>
        <w:spacing w:after="0"/>
        <w:tabs>
          <w:tab w:leader="none" w:pos="7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Turn left onto </w:t>
      </w:r>
      <w:r>
        <w:rPr>
          <w:rFonts w:ascii="Arial" w:cs="Arial" w:eastAsia="Arial" w:hAnsi="Arial"/>
          <w:sz w:val="18"/>
          <w:szCs w:val="18"/>
          <w:b w:val="1"/>
          <w:bCs w:val="1"/>
          <w:color w:val="auto"/>
        </w:rPr>
        <w:t>Ridder Park Drive.</w:t>
      </w:r>
    </w:p>
    <w:p>
      <w:pPr>
        <w:spacing w:after="0" w:line="117" w:lineRule="exact"/>
        <w:rPr>
          <w:rFonts w:ascii="Arial" w:cs="Arial" w:eastAsia="Arial" w:hAnsi="Arial"/>
          <w:sz w:val="18"/>
          <w:szCs w:val="18"/>
          <w:color w:val="auto"/>
        </w:rPr>
      </w:pPr>
    </w:p>
    <w:p>
      <w:pPr>
        <w:ind w:left="740" w:hanging="536"/>
        <w:spacing w:after="0"/>
        <w:tabs>
          <w:tab w:leader="none" w:pos="74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Turn into the </w:t>
      </w:r>
      <w:r>
        <w:rPr>
          <w:rFonts w:ascii="Arial" w:cs="Arial" w:eastAsia="Arial" w:hAnsi="Arial"/>
          <w:sz w:val="17"/>
          <w:szCs w:val="17"/>
          <w:b w:val="1"/>
          <w:bCs w:val="1"/>
          <w:color w:val="auto"/>
        </w:rPr>
        <w:t>Broadcom campus</w:t>
      </w:r>
      <w:r>
        <w:rPr>
          <w:rFonts w:ascii="Arial" w:cs="Arial" w:eastAsia="Arial" w:hAnsi="Arial"/>
          <w:sz w:val="17"/>
          <w:szCs w:val="17"/>
          <w:color w:val="auto"/>
        </w:rPr>
        <w:t>, which is the second building on the right, at the main entrance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173355</wp:posOffset>
            </wp:positionV>
            <wp:extent cx="3876040" cy="36531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76040"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APPENDIX B</w:t>
      </w:r>
    </w:p>
    <w:p>
      <w:pPr>
        <w:sectPr>
          <w:pgSz w:w="11900" w:h="16838" w:orient="portrait"/>
          <w:cols w:equalWidth="0" w:num="2">
            <w:col w:w="9400" w:space="720"/>
            <w:col w:w="110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795905" cy="3771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7959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448"/>
        </w:trPr>
        <w:tc>
          <w:tcPr>
            <w:tcW w:w="5680" w:type="dxa"/>
            <w:vAlign w:val="bottom"/>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X as shown in this example. Please do not</w:t>
            </w:r>
          </w:p>
        </w:tc>
        <w:tc>
          <w:tcPr>
            <w:tcW w:w="660" w:type="dxa"/>
            <w:vAlign w:val="bottom"/>
            <w:vMerge w:val="restart"/>
          </w:tcPr>
          <w:p>
            <w:pPr>
              <w:ind w:left="280"/>
              <w:spacing w:after="0" w:line="431" w:lineRule="exact"/>
              <w:rPr>
                <w:sz w:val="20"/>
                <w:szCs w:val="20"/>
                <w:color w:val="auto"/>
              </w:rPr>
            </w:pPr>
            <w:r>
              <w:rPr>
                <w:rFonts w:ascii="MS PGothic" w:cs="MS PGothic" w:eastAsia="MS PGothic" w:hAnsi="MS PGothic"/>
                <w:sz w:val="43"/>
                <w:szCs w:val="43"/>
                <w:color w:val="auto"/>
                <w:w w:val="83"/>
              </w:rPr>
              <w:t>☒</w:t>
            </w:r>
          </w:p>
        </w:tc>
        <w:tc>
          <w:tcPr>
            <w:tcW w:w="0" w:type="dxa"/>
            <w:vAlign w:val="bottom"/>
          </w:tcPr>
          <w:p>
            <w:pPr>
              <w:spacing w:after="0"/>
              <w:rPr>
                <w:sz w:val="1"/>
                <w:szCs w:val="1"/>
                <w:color w:val="auto"/>
              </w:rPr>
            </w:pPr>
          </w:p>
        </w:tc>
      </w:tr>
      <w:tr>
        <w:trPr>
          <w:trHeight w:val="233"/>
        </w:trPr>
        <w:tc>
          <w:tcPr>
            <w:tcW w:w="5680" w:type="dxa"/>
            <w:vAlign w:val="bottom"/>
          </w:tcPr>
          <w:p>
            <w:pPr>
              <w:spacing w:after="0"/>
              <w:rPr>
                <w:sz w:val="20"/>
                <w:szCs w:val="20"/>
                <w:color w:val="auto"/>
              </w:rPr>
            </w:pPr>
            <w:r>
              <w:rPr>
                <w:rFonts w:ascii="Arial" w:cs="Arial" w:eastAsia="Arial" w:hAnsi="Arial"/>
                <w:sz w:val="14"/>
                <w:szCs w:val="14"/>
                <w:color w:val="auto"/>
              </w:rPr>
              <w:t>write outside the designated areas.</w:t>
            </w: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Annual Meeting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71755</wp:posOffset>
            </wp:positionV>
            <wp:extent cx="6997700" cy="260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PLEASE FOLD ALONG THE PERFORATION, DETACH AND RETURN THE BOTTOM PORTION IN THE ENCLOSED ENVELOPE.</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[REVERSE SIDE]</w:t>
      </w:r>
    </w:p>
    <w:p>
      <w:pPr>
        <w:spacing w:after="0" w:line="190" w:lineRule="exact"/>
        <w:rPr>
          <w:sz w:val="20"/>
          <w:szCs w:val="20"/>
          <w:color w:val="auto"/>
        </w:rPr>
      </w:pPr>
    </w:p>
    <w:p>
      <w:pPr>
        <w:ind w:left="420" w:right="40"/>
        <w:spacing w:after="0" w:line="271" w:lineRule="auto"/>
        <w:rPr>
          <w:sz w:val="20"/>
          <w:szCs w:val="20"/>
          <w:color w:val="auto"/>
        </w:rPr>
      </w:pPr>
      <w:r>
        <w:rPr>
          <w:rFonts w:ascii="Arial" w:cs="Arial" w:eastAsia="Arial" w:hAnsi="Arial"/>
          <w:sz w:val="18"/>
          <w:szCs w:val="18"/>
          <w:b w:val="1"/>
          <w:bCs w:val="1"/>
          <w:color w:val="auto"/>
        </w:rPr>
        <w:t>The board of directors of Broadcom Limited unanimously recommends a vote “FOR” each of the director nominees (Proposal Nos. 1(a) through 1(j)) and “FOR” Proposals No. 2, 3 and 4.</w:t>
      </w:r>
    </w:p>
    <w:p>
      <w:pPr>
        <w:sectPr>
          <w:pgSz w:w="11900" w:h="16838" w:orient="portrait"/>
          <w:cols w:equalWidth="0" w:num="1">
            <w:col w:w="11220"/>
          </w:cols>
          <w:pgMar w:left="240" w:top="460" w:right="439" w:bottom="1440" w:gutter="0" w:footer="0" w:header="0"/>
        </w:sect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  Election of Directors:</w:t>
      </w:r>
    </w:p>
    <w:p>
      <w:pPr>
        <w:spacing w:after="0" w:line="55"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Mr. Hock E. Tan</w:t>
      </w:r>
    </w:p>
    <w:p>
      <w:pPr>
        <w:spacing w:after="0" w:line="55"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2"/>
          <w:szCs w:val="12"/>
          <w:color w:val="auto"/>
        </w:rPr>
        <w:t>Mr. James V. Diller</w:t>
      </w:r>
    </w:p>
    <w:p>
      <w:pPr>
        <w:spacing w:after="0" w:line="55"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2"/>
          <w:szCs w:val="12"/>
          <w:color w:val="auto"/>
        </w:rPr>
        <w:t>Ms. Gayla J. Delly</w:t>
      </w:r>
    </w:p>
    <w:p>
      <w:pPr>
        <w:spacing w:after="0" w:line="55"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4"/>
          <w:szCs w:val="14"/>
          <w:color w:val="auto"/>
        </w:rPr>
        <w:t>(d)</w:t>
      </w:r>
      <w:r>
        <w:rPr>
          <w:sz w:val="20"/>
          <w:szCs w:val="20"/>
          <w:color w:val="auto"/>
        </w:rPr>
        <w:tab/>
      </w:r>
      <w:r>
        <w:rPr>
          <w:rFonts w:ascii="Arial" w:cs="Arial" w:eastAsia="Arial" w:hAnsi="Arial"/>
          <w:sz w:val="12"/>
          <w:szCs w:val="12"/>
          <w:color w:val="auto"/>
        </w:rPr>
        <w:t>Mr. Lewis C. Eggebrecht</w:t>
      </w:r>
    </w:p>
    <w:p>
      <w:pPr>
        <w:spacing w:after="0" w:line="55"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4"/>
          <w:szCs w:val="14"/>
          <w:color w:val="auto"/>
        </w:rPr>
        <w:t>(e)</w:t>
      </w:r>
      <w:r>
        <w:rPr>
          <w:sz w:val="20"/>
          <w:szCs w:val="20"/>
          <w:color w:val="auto"/>
        </w:rPr>
        <w:tab/>
      </w:r>
      <w:r>
        <w:rPr>
          <w:rFonts w:ascii="Arial" w:cs="Arial" w:eastAsia="Arial" w:hAnsi="Arial"/>
          <w:sz w:val="12"/>
          <w:szCs w:val="12"/>
          <w:color w:val="auto"/>
        </w:rPr>
        <w:t>Mr. Kenneth Y. Hao</w:t>
      </w:r>
    </w:p>
    <w:p>
      <w:pPr>
        <w:spacing w:after="0" w:line="55"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4"/>
          <w:szCs w:val="14"/>
          <w:color w:val="auto"/>
        </w:rPr>
        <w:t>(f)</w:t>
        <w:tab/>
        <w:t>Mr. Eddy W. Hartenstein</w:t>
      </w:r>
    </w:p>
    <w:p>
      <w:pPr>
        <w:spacing w:after="0" w:line="55"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4"/>
          <w:szCs w:val="14"/>
          <w:color w:val="auto"/>
        </w:rPr>
        <w:t>(g)</w:t>
      </w:r>
      <w:r>
        <w:rPr>
          <w:sz w:val="20"/>
          <w:szCs w:val="20"/>
          <w:color w:val="auto"/>
        </w:rPr>
        <w:tab/>
      </w:r>
      <w:r>
        <w:rPr>
          <w:rFonts w:ascii="Arial" w:cs="Arial" w:eastAsia="Arial" w:hAnsi="Arial"/>
          <w:sz w:val="12"/>
          <w:szCs w:val="12"/>
          <w:color w:val="auto"/>
        </w:rPr>
        <w:t>Mr. Check Kian Low</w:t>
      </w:r>
    </w:p>
    <w:p>
      <w:pPr>
        <w:spacing w:after="0" w:line="55"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4"/>
          <w:szCs w:val="14"/>
          <w:color w:val="auto"/>
        </w:rPr>
        <w:t>(h)</w:t>
      </w:r>
      <w:r>
        <w:rPr>
          <w:sz w:val="20"/>
          <w:szCs w:val="20"/>
          <w:color w:val="auto"/>
        </w:rPr>
        <w:tab/>
      </w:r>
      <w:r>
        <w:rPr>
          <w:rFonts w:ascii="Arial" w:cs="Arial" w:eastAsia="Arial" w:hAnsi="Arial"/>
          <w:sz w:val="12"/>
          <w:szCs w:val="12"/>
          <w:color w:val="auto"/>
        </w:rPr>
        <w:t>Mr. Donald Macleod</w:t>
      </w:r>
    </w:p>
    <w:p>
      <w:pPr>
        <w:spacing w:after="0" w:line="55"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4"/>
          <w:szCs w:val="14"/>
          <w:color w:val="auto"/>
        </w:rPr>
        <w:t>(i)</w:t>
        <w:tab/>
        <w:t>Mr. Peter J. Marks</w:t>
      </w:r>
    </w:p>
    <w:p>
      <w:pPr>
        <w:spacing w:after="0" w:line="55"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4"/>
          <w:szCs w:val="14"/>
          <w:color w:val="auto"/>
        </w:rPr>
        <w:t>(j)</w:t>
        <w:tab/>
        <w:t>Dr. Henry Samueli</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  To approve the re-appointment of</w:t>
      </w:r>
    </w:p>
    <w:p>
      <w:pPr>
        <w:ind w:left="420"/>
        <w:spacing w:after="0" w:line="221" w:lineRule="auto"/>
        <w:rPr>
          <w:sz w:val="20"/>
          <w:szCs w:val="20"/>
          <w:color w:val="auto"/>
        </w:rPr>
      </w:pPr>
      <w:r>
        <w:rPr>
          <w:rFonts w:ascii="Arial" w:cs="Arial" w:eastAsia="Arial" w:hAnsi="Arial"/>
          <w:sz w:val="14"/>
          <w:szCs w:val="14"/>
          <w:color w:val="auto"/>
        </w:rPr>
        <w:t>PricewaterhouseCoopers LLP as Broadcom’s</w:t>
      </w:r>
    </w:p>
    <w:p>
      <w:pPr>
        <w:ind w:left="420"/>
        <w:spacing w:after="0" w:line="221" w:lineRule="auto"/>
        <w:rPr>
          <w:sz w:val="20"/>
          <w:szCs w:val="20"/>
          <w:color w:val="auto"/>
        </w:rPr>
      </w:pPr>
      <w:r>
        <w:rPr>
          <w:rFonts w:ascii="Arial" w:cs="Arial" w:eastAsia="Arial" w:hAnsi="Arial"/>
          <w:sz w:val="14"/>
          <w:szCs w:val="14"/>
          <w:color w:val="auto"/>
        </w:rPr>
        <w:t>independent registered public accounting firm and</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independent Singapore auditor for the fiscal year ending</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November 4, 2018 and to authorize the Audit Committee</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to fix its remuneration, as set forth in Broadcom’s notice</w:t>
      </w:r>
    </w:p>
    <w:p>
      <w:pPr>
        <w:ind w:left="420"/>
        <w:spacing w:after="0" w:line="237" w:lineRule="auto"/>
        <w:rPr>
          <w:sz w:val="20"/>
          <w:szCs w:val="20"/>
          <w:color w:val="auto"/>
        </w:rPr>
      </w:pPr>
      <w:r>
        <w:rPr>
          <w:rFonts w:ascii="Arial" w:cs="Arial" w:eastAsia="Arial" w:hAnsi="Arial"/>
          <w:sz w:val="14"/>
          <w:szCs w:val="14"/>
          <w:color w:val="auto"/>
        </w:rPr>
        <w:t>of, and proxy statement relating to, its 2018 Annual</w:t>
      </w:r>
    </w:p>
    <w:p>
      <w:pPr>
        <w:ind w:left="420"/>
        <w:spacing w:after="0"/>
        <w:rPr>
          <w:sz w:val="20"/>
          <w:szCs w:val="20"/>
          <w:color w:val="auto"/>
        </w:rPr>
      </w:pPr>
      <w:r>
        <w:rPr>
          <w:rFonts w:ascii="Arial" w:cs="Arial" w:eastAsia="Arial" w:hAnsi="Arial"/>
          <w:sz w:val="14"/>
          <w:szCs w:val="14"/>
          <w:color w:val="auto"/>
        </w:rPr>
        <w:t>General Meeting.</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Against Abstain</w:t>
            </w:r>
          </w:p>
        </w:tc>
      </w:tr>
      <w:tr>
        <w:trPr>
          <w:trHeight w:val="196"/>
        </w:trPr>
        <w:tc>
          <w:tcPr>
            <w:tcW w:w="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156"/>
        </w:trPr>
        <w:tc>
          <w:tcPr>
            <w:tcW w:w="340" w:type="dxa"/>
            <w:vAlign w:val="bottom"/>
          </w:tcPr>
          <w:p>
            <w:pPr>
              <w:spacing w:after="0" w:line="155" w:lineRule="exact"/>
              <w:rPr>
                <w:sz w:val="20"/>
                <w:szCs w:val="20"/>
                <w:color w:val="auto"/>
              </w:rPr>
            </w:pPr>
            <w:r>
              <w:rPr>
                <w:rFonts w:ascii="Arial" w:cs="Arial" w:eastAsia="Arial" w:hAnsi="Arial"/>
                <w:sz w:val="14"/>
                <w:szCs w:val="14"/>
                <w:b w:val="1"/>
                <w:bCs w:val="1"/>
                <w:color w:val="auto"/>
              </w:rPr>
              <w:t>For</w:t>
            </w:r>
          </w:p>
        </w:tc>
        <w:tc>
          <w:tcPr>
            <w:tcW w:w="12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Against Abstain</w:t>
            </w:r>
          </w:p>
        </w:tc>
      </w:tr>
      <w:tr>
        <w:trPr>
          <w:trHeight w:val="283"/>
        </w:trPr>
        <w:tc>
          <w:tcPr>
            <w:tcW w:w="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r>
      <w:tr>
        <w:trPr>
          <w:trHeight w:val="175"/>
        </w:trPr>
        <w:tc>
          <w:tcPr>
            <w:tcW w:w="3500" w:type="dxa"/>
            <w:vAlign w:val="bottom"/>
          </w:tcPr>
          <w:p>
            <w:pPr>
              <w:spacing w:after="0"/>
              <w:rPr>
                <w:sz w:val="20"/>
                <w:szCs w:val="20"/>
                <w:color w:val="auto"/>
              </w:rPr>
            </w:pPr>
            <w:r>
              <w:rPr>
                <w:rFonts w:ascii="Arial" w:cs="Arial" w:eastAsia="Arial" w:hAnsi="Arial"/>
                <w:sz w:val="14"/>
                <w:szCs w:val="14"/>
                <w:color w:val="auto"/>
              </w:rPr>
              <w:t>4.  NON-BINDING, ADVISORY VOTE</w:t>
            </w:r>
          </w:p>
        </w:tc>
        <w:tc>
          <w:tcPr>
            <w:tcW w:w="520" w:type="dxa"/>
            <w:vAlign w:val="bottom"/>
          </w:tcPr>
          <w:p>
            <w:pPr>
              <w:jc w:val="center"/>
              <w:spacing w:after="0" w:line="175" w:lineRule="exact"/>
              <w:rPr>
                <w:sz w:val="20"/>
                <w:szCs w:val="20"/>
                <w:color w:val="auto"/>
              </w:rPr>
            </w:pPr>
            <w:r>
              <w:rPr>
                <w:rFonts w:ascii="MS PGothic" w:cs="MS PGothic" w:eastAsia="MS PGothic" w:hAnsi="MS PGothic"/>
                <w:sz w:val="18"/>
                <w:szCs w:val="18"/>
                <w:color w:val="auto"/>
                <w:w w:val="99"/>
              </w:rPr>
              <w:t>☐</w:t>
            </w:r>
          </w:p>
        </w:tc>
        <w:tc>
          <w:tcPr>
            <w:tcW w:w="740" w:type="dxa"/>
            <w:vAlign w:val="bottom"/>
          </w:tcPr>
          <w:p>
            <w:pPr>
              <w:jc w:val="center"/>
              <w:spacing w:after="0" w:line="175" w:lineRule="exact"/>
              <w:rPr>
                <w:sz w:val="20"/>
                <w:szCs w:val="20"/>
                <w:color w:val="auto"/>
              </w:rPr>
            </w:pPr>
            <w:r>
              <w:rPr>
                <w:rFonts w:ascii="MS PGothic" w:cs="MS PGothic" w:eastAsia="MS PGothic" w:hAnsi="MS PGothic"/>
                <w:sz w:val="18"/>
                <w:szCs w:val="18"/>
                <w:color w:val="auto"/>
                <w:w w:val="88"/>
              </w:rPr>
              <w:t>☐</w:t>
            </w:r>
          </w:p>
        </w:tc>
        <w:tc>
          <w:tcPr>
            <w:tcW w:w="600" w:type="dxa"/>
            <w:vAlign w:val="bottom"/>
          </w:tcPr>
          <w:p>
            <w:pPr>
              <w:jc w:val="center"/>
              <w:spacing w:after="0" w:line="175" w:lineRule="exact"/>
              <w:rPr>
                <w:sz w:val="20"/>
                <w:szCs w:val="20"/>
                <w:color w:val="auto"/>
              </w:rPr>
            </w:pPr>
            <w:r>
              <w:rPr>
                <w:rFonts w:ascii="MS PGothic" w:cs="MS PGothic" w:eastAsia="MS PGothic" w:hAnsi="MS PGothic"/>
                <w:sz w:val="18"/>
                <w:szCs w:val="18"/>
                <w:color w:val="auto"/>
                <w:w w:val="88"/>
              </w:rPr>
              <w:t>☐</w:t>
            </w:r>
          </w:p>
        </w:tc>
      </w:tr>
      <w:tr>
        <w:trPr>
          <w:trHeight w:val="149"/>
        </w:trPr>
        <w:tc>
          <w:tcPr>
            <w:tcW w:w="3500" w:type="dxa"/>
            <w:vAlign w:val="bottom"/>
          </w:tcPr>
          <w:p>
            <w:pPr>
              <w:ind w:left="240"/>
              <w:spacing w:after="0" w:line="149" w:lineRule="exact"/>
              <w:rPr>
                <w:sz w:val="20"/>
                <w:szCs w:val="20"/>
                <w:color w:val="auto"/>
              </w:rPr>
            </w:pPr>
            <w:r>
              <w:rPr>
                <w:rFonts w:ascii="Arial" w:cs="Arial" w:eastAsia="Arial" w:hAnsi="Arial"/>
                <w:sz w:val="14"/>
                <w:szCs w:val="14"/>
                <w:color w:val="auto"/>
                <w:w w:val="99"/>
              </w:rPr>
              <w:t>To approve the compensation of Broadcom’s named</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3500" w:type="dxa"/>
            <w:vAlign w:val="bottom"/>
          </w:tcPr>
          <w:p>
            <w:pPr>
              <w:ind w:left="240"/>
              <w:spacing w:after="0" w:line="149" w:lineRule="exact"/>
              <w:rPr>
                <w:sz w:val="20"/>
                <w:szCs w:val="20"/>
                <w:color w:val="auto"/>
              </w:rPr>
            </w:pPr>
            <w:r>
              <w:rPr>
                <w:rFonts w:ascii="Arial" w:cs="Arial" w:eastAsia="Arial" w:hAnsi="Arial"/>
                <w:sz w:val="14"/>
                <w:szCs w:val="14"/>
                <w:color w:val="auto"/>
              </w:rPr>
              <w:t>executive officers, as disclosed in “Compensation</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3500" w:type="dxa"/>
            <w:vAlign w:val="bottom"/>
          </w:tcPr>
          <w:p>
            <w:pPr>
              <w:ind w:left="240"/>
              <w:spacing w:after="0" w:line="149" w:lineRule="exact"/>
              <w:rPr>
                <w:sz w:val="20"/>
                <w:szCs w:val="20"/>
                <w:color w:val="auto"/>
              </w:rPr>
            </w:pPr>
            <w:r>
              <w:rPr>
                <w:rFonts w:ascii="Arial" w:cs="Arial" w:eastAsia="Arial" w:hAnsi="Arial"/>
                <w:sz w:val="14"/>
                <w:szCs w:val="14"/>
                <w:color w:val="auto"/>
              </w:rPr>
              <w:t>Discussion and Analysis” and in the compensation</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3500" w:type="dxa"/>
            <w:vAlign w:val="bottom"/>
          </w:tcPr>
          <w:p>
            <w:pPr>
              <w:ind w:left="240"/>
              <w:spacing w:after="0" w:line="149" w:lineRule="exact"/>
              <w:rPr>
                <w:sz w:val="20"/>
                <w:szCs w:val="20"/>
                <w:color w:val="auto"/>
              </w:rPr>
            </w:pPr>
            <w:r>
              <w:rPr>
                <w:rFonts w:ascii="Arial" w:cs="Arial" w:eastAsia="Arial" w:hAnsi="Arial"/>
                <w:sz w:val="14"/>
                <w:szCs w:val="14"/>
                <w:color w:val="auto"/>
              </w:rPr>
              <w:t>tables and accompanying narrative disclosure under</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3500" w:type="dxa"/>
            <w:vAlign w:val="bottom"/>
          </w:tcPr>
          <w:p>
            <w:pPr>
              <w:ind w:left="240"/>
              <w:spacing w:after="0" w:line="149" w:lineRule="exact"/>
              <w:rPr>
                <w:sz w:val="20"/>
                <w:szCs w:val="20"/>
                <w:color w:val="auto"/>
              </w:rPr>
            </w:pPr>
            <w:r>
              <w:rPr>
                <w:rFonts w:ascii="Arial" w:cs="Arial" w:eastAsia="Arial" w:hAnsi="Arial"/>
                <w:sz w:val="14"/>
                <w:szCs w:val="14"/>
                <w:color w:val="auto"/>
              </w:rPr>
              <w:t>“Executive Compensation” in Broadcom’s proxy</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3500" w:type="dxa"/>
            <w:vAlign w:val="bottom"/>
          </w:tcPr>
          <w:p>
            <w:pPr>
              <w:ind w:left="240"/>
              <w:spacing w:after="0" w:line="149" w:lineRule="exact"/>
              <w:rPr>
                <w:sz w:val="20"/>
                <w:szCs w:val="20"/>
                <w:color w:val="auto"/>
              </w:rPr>
            </w:pPr>
            <w:r>
              <w:rPr>
                <w:rFonts w:ascii="Arial" w:cs="Arial" w:eastAsia="Arial" w:hAnsi="Arial"/>
                <w:sz w:val="14"/>
                <w:szCs w:val="14"/>
                <w:color w:val="auto"/>
              </w:rPr>
              <w:t>statement relating to its 2018 Annual General</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2"/>
        </w:trPr>
        <w:tc>
          <w:tcPr>
            <w:tcW w:w="3500" w:type="dxa"/>
            <w:vAlign w:val="bottom"/>
          </w:tcPr>
          <w:p>
            <w:pPr>
              <w:ind w:left="240"/>
              <w:spacing w:after="0"/>
              <w:rPr>
                <w:sz w:val="20"/>
                <w:szCs w:val="20"/>
                <w:color w:val="auto"/>
              </w:rPr>
            </w:pPr>
            <w:r>
              <w:rPr>
                <w:rFonts w:ascii="Arial" w:cs="Arial" w:eastAsia="Arial" w:hAnsi="Arial"/>
                <w:sz w:val="14"/>
                <w:szCs w:val="14"/>
                <w:color w:val="auto"/>
              </w:rPr>
              <w:t>Meeting.</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40" w:right="80"/>
        <w:spacing w:after="0" w:line="228" w:lineRule="auto"/>
        <w:rPr>
          <w:sz w:val="20"/>
          <w:szCs w:val="20"/>
          <w:color w:val="auto"/>
        </w:rPr>
      </w:pPr>
      <w:r>
        <w:rPr>
          <w:rFonts w:ascii="Arial" w:cs="Arial" w:eastAsia="Arial" w:hAnsi="Arial"/>
          <w:sz w:val="14"/>
          <w:szCs w:val="14"/>
          <w:color w:val="auto"/>
        </w:rPr>
        <w:t>In their discretion, the Proxies, and each of them acting alone, are authorized to vote on such other business as may properly come before the meeting and any adjournment or postponement of the meeting.</w:t>
      </w:r>
    </w:p>
    <w:p>
      <w:pPr>
        <w:spacing w:after="0" w:line="849" w:lineRule="exact"/>
        <w:rPr>
          <w:sz w:val="20"/>
          <w:szCs w:val="20"/>
          <w:color w:val="auto"/>
        </w:rPr>
      </w:pPr>
    </w:p>
    <w:p>
      <w:pPr>
        <w:sectPr>
          <w:pgSz w:w="11900" w:h="16838" w:orient="portrait"/>
          <w:cols w:equalWidth="0" w:num="3">
            <w:col w:w="3800" w:space="380"/>
            <w:col w:w="1560" w:space="120"/>
            <w:col w:w="5360"/>
          </w:cols>
          <w:pgMar w:left="240" w:top="460" w:right="439" w:bottom="1440" w:gutter="0" w:footer="0" w:header="0"/>
          <w:type w:val="continuous"/>
        </w:sectPr>
      </w:pPr>
    </w:p>
    <w:p>
      <w:pPr>
        <w:spacing w:after="0" w:line="19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3.  To approve the general authorization for the directors of</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Broadcom to allot and issue shares in its capital, as set</w:t>
      </w:r>
    </w:p>
    <w:p>
      <w:pPr>
        <w:ind w:left="420"/>
        <w:spacing w:after="0" w:line="237" w:lineRule="auto"/>
        <w:rPr>
          <w:sz w:val="20"/>
          <w:szCs w:val="20"/>
          <w:color w:val="auto"/>
        </w:rPr>
      </w:pPr>
      <w:r>
        <w:rPr>
          <w:rFonts w:ascii="Arial" w:cs="Arial" w:eastAsia="Arial" w:hAnsi="Arial"/>
          <w:sz w:val="14"/>
          <w:szCs w:val="14"/>
          <w:color w:val="auto"/>
        </w:rPr>
        <w:t>forth in Broadcom’s notice of, and proxy statement</w:t>
      </w:r>
    </w:p>
    <w:p>
      <w:pPr>
        <w:ind w:left="420"/>
        <w:spacing w:after="0"/>
        <w:rPr>
          <w:sz w:val="20"/>
          <w:szCs w:val="20"/>
          <w:color w:val="auto"/>
        </w:rPr>
      </w:pPr>
      <w:r>
        <w:rPr>
          <w:rFonts w:ascii="Arial" w:cs="Arial" w:eastAsia="Arial" w:hAnsi="Arial"/>
          <w:sz w:val="14"/>
          <w:szCs w:val="14"/>
          <w:color w:val="auto"/>
        </w:rPr>
        <w:t>relating to, its 2018 Annual General Meeting.</w:t>
      </w:r>
    </w:p>
    <w:p>
      <w:pPr>
        <w:spacing w:after="0" w:line="20" w:lineRule="exact"/>
        <w:rPr>
          <w:sz w:val="20"/>
          <w:szCs w:val="20"/>
          <w:color w:val="auto"/>
        </w:rPr>
      </w:pPr>
      <w:r>
        <w:rPr>
          <w:sz w:val="20"/>
          <w:szCs w:val="20"/>
          <w:color w:val="auto"/>
        </w:rPr>
        <w:br w:type="column"/>
      </w:r>
    </w:p>
    <w:p>
      <w:pPr>
        <w:spacing w:after="0"/>
        <w:tabs>
          <w:tab w:leader="none" w:pos="420" w:val="left"/>
          <w:tab w:leader="none" w:pos="1900" w:val="left"/>
          <w:tab w:leader="none" w:pos="5960" w:val="left"/>
          <w:tab w:leader="none" w:pos="6660" w:val="left"/>
        </w:tabs>
        <w:rPr>
          <w:sz w:val="20"/>
          <w:szCs w:val="20"/>
          <w:color w:val="auto"/>
        </w:rPr>
      </w:pPr>
      <w:r>
        <w:rPr>
          <w:rFonts w:ascii="Arial" w:cs="Arial" w:eastAsia="Arial" w:hAnsi="Arial"/>
          <w:sz w:val="14"/>
          <w:szCs w:val="14"/>
          <w:b w:val="1"/>
          <w:bCs w:val="1"/>
          <w:color w:val="auto"/>
        </w:rPr>
        <w:t>For</w:t>
        <w:tab/>
        <w:t>Against Abstain</w:t>
      </w:r>
      <w:r>
        <w:rPr>
          <w:sz w:val="20"/>
          <w:szCs w:val="20"/>
          <w:color w:val="auto"/>
        </w:rPr>
        <w:tab/>
      </w:r>
      <w:r>
        <w:rPr>
          <w:rFonts w:ascii="Arial" w:cs="Arial" w:eastAsia="Arial" w:hAnsi="Arial"/>
          <w:sz w:val="14"/>
          <w:szCs w:val="14"/>
          <w:color w:val="auto"/>
        </w:rPr>
        <w:t>Meeting Attendance</w:t>
      </w:r>
      <w:r>
        <w:rPr>
          <w:sz w:val="20"/>
          <w:szCs w:val="20"/>
          <w:color w:val="auto"/>
        </w:rPr>
        <w:tab/>
      </w:r>
      <w:r>
        <w:rPr>
          <w:rFonts w:ascii="Arial" w:cs="Arial" w:eastAsia="Arial" w:hAnsi="Arial"/>
          <w:sz w:val="14"/>
          <w:szCs w:val="14"/>
          <w:b w:val="1"/>
          <w:bCs w:val="1"/>
          <w:color w:val="auto"/>
        </w:rPr>
        <w:t>Yes</w:t>
      </w:r>
      <w:r>
        <w:rPr>
          <w:sz w:val="20"/>
          <w:szCs w:val="20"/>
          <w:color w:val="auto"/>
        </w:rPr>
        <w:tab/>
      </w:r>
      <w:r>
        <w:rPr>
          <w:rFonts w:ascii="Arial" w:cs="Arial" w:eastAsia="Arial" w:hAnsi="Arial"/>
          <w:sz w:val="13"/>
          <w:szCs w:val="13"/>
          <w:b w:val="1"/>
          <w:bCs w:val="1"/>
          <w:color w:val="auto"/>
        </w:rPr>
        <w:t>No</w:t>
      </w:r>
    </w:p>
    <w:p>
      <w:pPr>
        <w:spacing w:after="0" w:line="9" w:lineRule="exact"/>
        <w:rPr>
          <w:sz w:val="20"/>
          <w:szCs w:val="20"/>
          <w:color w:val="auto"/>
        </w:rPr>
      </w:pPr>
    </w:p>
    <w:p>
      <w:pPr>
        <w:ind w:left="20"/>
        <w:spacing w:after="0" w:line="207" w:lineRule="exact"/>
        <w:tabs>
          <w:tab w:leader="none" w:pos="600" w:val="left"/>
          <w:tab w:leader="none" w:pos="1200" w:val="left"/>
          <w:tab w:leader="none" w:pos="1900" w:val="left"/>
          <w:tab w:leader="none" w:pos="6000" w:val="left"/>
          <w:tab w:leader="none" w:pos="66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Please indicate if you plan to attend the meeting</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401320</wp:posOffset>
            </wp:positionV>
            <wp:extent cx="7002145" cy="4584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002145" cy="45847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3740" w:space="440"/>
            <w:col w:w="7040"/>
          </w:cols>
          <w:pgMar w:left="240" w:top="460" w:right="439" w:bottom="1440" w:gutter="0" w:footer="0" w:header="0"/>
          <w:type w:val="continuous"/>
        </w:sectPr>
      </w:pPr>
    </w:p>
    <w:p>
      <w:pPr>
        <w:spacing w:after="0" w:line="49" w:lineRule="exact"/>
        <w:rPr>
          <w:sz w:val="20"/>
          <w:szCs w:val="20"/>
          <w:color w:val="auto"/>
        </w:rPr>
      </w:pPr>
    </w:p>
    <w:p>
      <w:pPr>
        <w:ind w:left="320" w:right="240"/>
        <w:spacing w:after="0" w:line="253"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2018 Annual General Meeting of Shareholders: </w:t>
      </w:r>
      <w:r>
        <w:rPr>
          <w:rFonts w:ascii="Arial" w:cs="Arial" w:eastAsia="Arial" w:hAnsi="Arial"/>
          <w:sz w:val="18"/>
          <w:szCs w:val="18"/>
          <w:color w:val="auto"/>
        </w:rPr>
        <w:t>The notice, proxy statement and annual report to shareholders are available at http://investors.broadcom.com/phoenix.zhtml? c=203541&amp;p=proxy.</w:t>
      </w:r>
    </w:p>
    <w:p>
      <w:pPr>
        <w:spacing w:after="0" w:line="259" w:lineRule="exact"/>
        <w:rPr>
          <w:sz w:val="20"/>
          <w:szCs w:val="20"/>
          <w:color w:val="auto"/>
        </w:rPr>
      </w:pPr>
    </w:p>
    <w:p>
      <w:pPr>
        <w:jc w:val="both"/>
        <w:ind w:left="200" w:right="620"/>
        <w:spacing w:after="0" w:line="239" w:lineRule="auto"/>
        <w:rPr>
          <w:sz w:val="20"/>
          <w:szCs w:val="20"/>
          <w:color w:val="auto"/>
        </w:rPr>
      </w:pPr>
      <w:r>
        <w:rPr>
          <w:rFonts w:ascii="Arial" w:cs="Arial" w:eastAsia="Arial" w:hAnsi="Arial"/>
          <w:sz w:val="18"/>
          <w:szCs w:val="18"/>
          <w:color w:val="auto"/>
        </w:rPr>
        <w:t>If you would like to reduce the costs incurred by Broadcom in mailing proxy materials, you can consent to receiving all future proxy statements, proxy cards and annual reports electronically via email or the Internet. To sign up for electronic delivery, please contact Broadcom’s transfer agent, Computershare Investor Services at 1-877-373-6374 within the U.S., U.S. Territories and Canada, or at +1-781-575-3100 outside the U.S., U.S. Territories and Canada.</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PLEASE FOLD ALONG THE PERFORATION, DETACH AND RETURN THE BOTTOM PORTION IN THE</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ENCLOSED ENVELOPE.</w:t>
      </w:r>
    </w:p>
    <w:p>
      <w:pPr>
        <w:sectPr>
          <w:pgSz w:w="11900" w:h="16838" w:orient="portrait"/>
          <w:cols w:equalWidth="0" w:num="1">
            <w:col w:w="11220"/>
          </w:cols>
          <w:pgMar w:left="240" w:top="460" w:right="43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BROADCOM LIMITED</w:t>
      </w:r>
    </w:p>
    <w:p>
      <w:pPr>
        <w:spacing w:after="0" w:line="12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(Incorporated in the Republic of Singapore)</w:t>
      </w:r>
    </w:p>
    <w:p>
      <w:pPr>
        <w:jc w:val="center"/>
        <w:ind w:right="-19"/>
        <w:spacing w:after="0"/>
        <w:rPr>
          <w:sz w:val="20"/>
          <w:szCs w:val="20"/>
          <w:color w:val="auto"/>
        </w:rPr>
      </w:pPr>
      <w:r>
        <w:rPr>
          <w:rFonts w:ascii="Arial" w:cs="Arial" w:eastAsia="Arial" w:hAnsi="Arial"/>
          <w:sz w:val="18"/>
          <w:szCs w:val="18"/>
          <w:color w:val="auto"/>
        </w:rPr>
        <w:t>(Company Registration Number 201505572G)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undersigned, being a member of Broadcom Limited (“</w:t>
      </w:r>
      <w:r>
        <w:rPr>
          <w:rFonts w:ascii="Arial" w:cs="Arial" w:eastAsia="Arial" w:hAnsi="Arial"/>
          <w:sz w:val="18"/>
          <w:szCs w:val="18"/>
          <w:u w:val="single" w:color="auto"/>
          <w:color w:val="auto"/>
        </w:rPr>
        <w:t>Broadcom</w:t>
      </w:r>
      <w:r>
        <w:rPr>
          <w:rFonts w:ascii="Arial" w:cs="Arial" w:eastAsia="Arial" w:hAnsi="Arial"/>
          <w:sz w:val="18"/>
          <w:szCs w:val="18"/>
          <w:color w:val="auto"/>
        </w:rPr>
        <w:t>”), hereby appoints Hock E. Tan, Thomas H. Krause, Jr. and Mark D. Brazeal, or each of them acting alone, with full powers of substitution, as proxies (the “</w:t>
      </w:r>
      <w:r>
        <w:rPr>
          <w:rFonts w:ascii="Arial" w:cs="Arial" w:eastAsia="Arial" w:hAnsi="Arial"/>
          <w:sz w:val="18"/>
          <w:szCs w:val="18"/>
          <w:u w:val="single" w:color="auto"/>
          <w:color w:val="auto"/>
        </w:rPr>
        <w:t>Proxies</w:t>
      </w:r>
      <w:r>
        <w:rPr>
          <w:rFonts w:ascii="Arial" w:cs="Arial" w:eastAsia="Arial" w:hAnsi="Arial"/>
          <w:sz w:val="18"/>
          <w:szCs w:val="18"/>
          <w:color w:val="auto"/>
        </w:rPr>
        <w:t>”) of the undersigned and hereby authorizes the Proxies to represent and to vote, as designated on the reverse side, all of the ordinary shares or Special Voting Shares of Broadcom owned by the undersigned entitled to vote at the 2018 Annual General Meeting of Shareholders of Broadcom to be held at 11:00 a.m. Pacific Time on April 4, 2018, at 1320 Ridder Park Drive, San Jose, California 95131, U.S.A., and at any adjournment or postponement thereof.</w:t>
      </w:r>
    </w:p>
    <w:p>
      <w:pPr>
        <w:spacing w:after="0" w:line="20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 xml:space="preserve">This Proxy Card, when properly executed and returned in a timely manner, will be voted at the 2018 Annual General Meeting of Shareholders and any adjournment or postponement thereof in the manner described herein. </w:t>
      </w:r>
      <w:r>
        <w:rPr>
          <w:rFonts w:ascii="Arial" w:cs="Arial" w:eastAsia="Arial" w:hAnsi="Arial"/>
          <w:sz w:val="18"/>
          <w:szCs w:val="18"/>
          <w:b w:val="1"/>
          <w:bCs w:val="1"/>
          <w:color w:val="auto"/>
        </w:rPr>
        <w:t>If no contrary indication is made, this Proxy Card will be</w:t>
      </w:r>
      <w:r>
        <w:rPr>
          <w:rFonts w:ascii="Arial" w:cs="Arial" w:eastAsia="Arial" w:hAnsi="Arial"/>
          <w:sz w:val="18"/>
          <w:szCs w:val="18"/>
          <w:color w:val="auto"/>
        </w:rPr>
        <w:t xml:space="preserve"> </w:t>
      </w:r>
      <w:r>
        <w:rPr>
          <w:rFonts w:ascii="Arial" w:cs="Arial" w:eastAsia="Arial" w:hAnsi="Arial"/>
          <w:sz w:val="18"/>
          <w:szCs w:val="18"/>
          <w:b w:val="1"/>
          <w:bCs w:val="1"/>
          <w:color w:val="auto"/>
        </w:rPr>
        <w:t>voted “FOR” each of the Board nominees (Proposal Nos. 1(a) through 1(j)) and “FOR” Proposals No. 2, 3 and 4, and in accordance with the judgment of the persons named as Proxies herein on any other matters that may properly be put before the 2018 Annual General Meeting of Shareholders.</w:t>
      </w:r>
    </w:p>
    <w:p>
      <w:pPr>
        <w:spacing w:after="0" w:line="2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undersigned hereby acknowledges receipt of the Notice of the 2018 Annual General Meeting of Shareholders and the accompanying proxy statement.</w:t>
      </w:r>
    </w:p>
    <w:p>
      <w:pPr>
        <w:spacing w:after="0" w:line="197"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WHETHER OR NOT YOU EXPECT TO ATTEND THE MEETING, PLEASE COMPLETE, DATE AND SIGN THIS PROXY CARD AND RETURN IT IN THE ENCLOSED ENVELOPE, TO ARRIVE NO LATER THAN 9:00AM PACIFIC TIME ON APRIL 2, 2018.</w:t>
      </w:r>
    </w:p>
    <w:p>
      <w:pPr>
        <w:spacing w:after="0" w:line="1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This Proxy Card must be signed exactly as your name appears hereon. If more than one name appears, all persons so designated should sign. Attorneys, executors, administrators, trustees and guardians should indicate their capacities. If the signatory is a corporation, please print full corporate name and indicate capacity of duly authorized officer executing on behalf of the corporation. If the signatory is a partnership, please print full partnership name and indicate capacity of duly authorized person executing on behalf of the partnership.</w:t>
      </w:r>
    </w:p>
    <w:p>
      <w:pPr>
        <w:spacing w:after="0" w:line="229" w:lineRule="exact"/>
        <w:rPr>
          <w:sz w:val="20"/>
          <w:szCs w:val="20"/>
          <w:color w:val="auto"/>
        </w:rPr>
      </w:pPr>
    </w:p>
    <w:p>
      <w:pPr>
        <w:ind w:left="80"/>
        <w:spacing w:after="0"/>
        <w:tabs>
          <w:tab w:leader="none" w:pos="4380" w:val="left"/>
          <w:tab w:leader="none" w:pos="812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54875" cy="3346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4875" cy="334645"/>
                    </a:xfrm>
                    <a:prstGeom prst="rect">
                      <a:avLst/>
                    </a:prstGeom>
                    <a:noFill/>
                  </pic:spPr>
                </pic:pic>
              </a:graphicData>
            </a:graphic>
          </wp:anchor>
        </w:drawing>
      </w:r>
    </w:p>
    <w:p>
      <w:pPr>
        <w:ind w:left="640"/>
        <w:spacing w:after="0"/>
        <w:tabs>
          <w:tab w:leader="none" w:pos="170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CARD IS VALID ONLY WHEN SIGNED</w:t>
      </w:r>
    </w:p>
    <w:sectPr>
      <w:pgSz w:w="11900" w:h="16838" w:orient="portrait"/>
      <w:cols w:equalWidth="0" w:num="1">
        <w:col w:w="11420"/>
      </w:cols>
      <w:pgMar w:left="240" w:top="4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934699"/>
    <w:multiLevelType w:val="hybridMultilevel"/>
    <w:lvl w:ilvl="0">
      <w:lvlJc w:val="left"/>
      <w:lvlText w:val="☐"/>
      <w:numFmt w:val="bullet"/>
      <w:start w:val="1"/>
    </w:lvl>
  </w:abstractNum>
  <w:abstractNum w:abstractNumId="1">
    <w:nsid w:val="77485850"/>
    <w:multiLevelType w:val="hybridMultilevel"/>
    <w:lvl w:ilvl="0">
      <w:lvlJc w:val="left"/>
      <w:lvlText w:val="☒"/>
      <w:numFmt w:val="bullet"/>
      <w:start w:val="1"/>
    </w:lvl>
  </w:abstractNum>
  <w:abstractNum w:abstractNumId="2">
    <w:nsid w:val="744939A3"/>
    <w:multiLevelType w:val="hybridMultilevel"/>
    <w:lvl w:ilvl="0">
      <w:lvlJc w:val="left"/>
      <w:lvlText w:val="☐"/>
      <w:numFmt w:val="bullet"/>
      <w:start w:val="1"/>
    </w:lvl>
    <w:lvl w:ilvl="1">
      <w:lvlJc w:val="left"/>
      <w:lvlText w:val="(%2)"/>
      <w:numFmt w:val="decimal"/>
      <w:start w:val="1"/>
    </w:lvl>
  </w:abstractNum>
  <w:abstractNum w:abstractNumId="3">
    <w:nsid w:val="4FA0D2E3"/>
    <w:multiLevelType w:val="hybridMultilevel"/>
    <w:lvl w:ilvl="0">
      <w:lvlJc w:val="left"/>
      <w:lvlText w:val="%1."/>
      <w:numFmt w:val="decimal"/>
      <w:start w:val="1"/>
    </w:lvl>
    <w:lvl w:ilvl="1">
      <w:lvlJc w:val="left"/>
      <w:lvlText w:val="(%2)"/>
      <w:numFmt w:val="lowerLetter"/>
      <w:start w:val="1"/>
    </w:lvl>
  </w:abstractNum>
  <w:abstractNum w:abstractNumId="4">
    <w:nsid w:val="6B1D2C14"/>
    <w:multiLevelType w:val="hybridMultilevel"/>
    <w:lvl w:ilvl="0">
      <w:lvlJc w:val="left"/>
      <w:lvlText w:val="%1."/>
      <w:numFmt w:val="decimal"/>
      <w:start w:val="3"/>
    </w:lvl>
  </w:abstractNum>
  <w:abstractNum w:abstractNumId="5">
    <w:nsid w:val="68B867D3"/>
    <w:multiLevelType w:val="hybridMultilevel"/>
    <w:lvl w:ilvl="0">
      <w:lvlJc w:val="left"/>
      <w:lvlText w:val="(%1)"/>
      <w:numFmt w:val="lowerRoman"/>
      <w:start w:val="1"/>
    </w:lvl>
  </w:abstractNum>
  <w:abstractNum w:abstractNumId="6">
    <w:nsid w:val="3F7F5DD9"/>
    <w:multiLevelType w:val="hybridMultilevel"/>
    <w:lvl w:ilvl="0">
      <w:lvlJc w:val="left"/>
      <w:lvlText w:val="(%1)"/>
      <w:numFmt w:val="lowerRoman"/>
      <w:start w:val="3"/>
    </w:lvl>
  </w:abstractNum>
  <w:abstractNum w:abstractNumId="7">
    <w:nsid w:val="2AE05A34"/>
    <w:multiLevelType w:val="hybridMultilevel"/>
    <w:lvl w:ilvl="0">
      <w:lvlJc w:val="left"/>
      <w:lvlText w:val="(%1)"/>
      <w:numFmt w:val="lowerLetter"/>
      <w:start w:val="2"/>
    </w:lvl>
  </w:abstractNum>
  <w:abstractNum w:abstractNumId="8">
    <w:nsid w:val="32794FF7"/>
    <w:multiLevelType w:val="hybridMultilevel"/>
    <w:lvl w:ilvl="0">
      <w:lvlJc w:val="left"/>
      <w:lvlText w:val="%1."/>
      <w:numFmt w:val="decimal"/>
      <w:start w:val="4"/>
    </w:lvl>
  </w:abstractNum>
  <w:abstractNum w:abstractNumId="9">
    <w:nsid w:val="5454945E"/>
    <w:multiLevelType w:val="hybridMultilevel"/>
    <w:lvl w:ilvl="0">
      <w:lvlJc w:val="left"/>
      <w:lvlText w:val="%1."/>
      <w:numFmt w:val="decimal"/>
      <w:start w:val="5"/>
    </w:lvl>
  </w:abstractNum>
  <w:abstractNum w:abstractNumId="10">
    <w:nsid w:val="4DEFDFA0"/>
    <w:multiLevelType w:val="hybridMultilevel"/>
    <w:lvl w:ilvl="0">
      <w:lvlJc w:val="left"/>
      <w:lvlText w:val="%1."/>
      <w:numFmt w:val="decimal"/>
      <w:start w:val="1"/>
    </w:lvl>
  </w:abstractNum>
  <w:abstractNum w:abstractNumId="11">
    <w:nsid w:val="2123D5F2"/>
    <w:multiLevelType w:val="hybridMultilevel"/>
    <w:lvl w:ilvl="0">
      <w:lvlJc w:val="left"/>
      <w:lvlText w:val="(%1)"/>
      <w:numFmt w:val="lowerRoman"/>
      <w:start w:val="1"/>
    </w:lvl>
  </w:abstractNum>
  <w:abstractNum w:abstractNumId="12">
    <w:nsid w:val="135B8110"/>
    <w:multiLevelType w:val="hybridMultilevel"/>
    <w:lvl w:ilvl="0">
      <w:lvlJc w:val="left"/>
      <w:lvlText w:val="•"/>
      <w:numFmt w:val="bullet"/>
      <w:start w:val="1"/>
    </w:lvl>
  </w:abstractNum>
  <w:abstractNum w:abstractNumId="13">
    <w:nsid w:val="94927A8"/>
    <w:multiLevelType w:val="hybridMultilevel"/>
    <w:lvl w:ilvl="0">
      <w:lvlJc w:val="left"/>
      <w:lvlText w:val="(%1)"/>
      <w:numFmt w:val="decimal"/>
      <w:start w:val="1"/>
    </w:lvl>
  </w:abstractNum>
  <w:abstractNum w:abstractNumId="14">
    <w:nsid w:val="DCDF8F6"/>
    <w:multiLevelType w:val="hybridMultilevel"/>
    <w:lvl w:ilvl="0">
      <w:lvlJc w:val="left"/>
      <w:lvlText w:val="•"/>
      <w:numFmt w:val="bullet"/>
      <w:start w:val="1"/>
    </w:lvl>
  </w:abstractNum>
  <w:abstractNum w:abstractNumId="15">
    <w:nsid w:val="52D7B105"/>
    <w:multiLevelType w:val="hybridMultilevel"/>
    <w:lvl w:ilvl="0">
      <w:lvlJc w:val="left"/>
      <w:lvlText w:val="(%1)"/>
      <w:numFmt w:val="upperLetter"/>
      <w:start w:val="3"/>
    </w:lvl>
  </w:abstractNum>
  <w:abstractNum w:abstractNumId="16">
    <w:nsid w:val="2E8A6394"/>
    <w:multiLevelType w:val="hybridMultilevel"/>
    <w:lvl w:ilvl="0">
      <w:lvlJc w:val="left"/>
      <w:lvlText w:val="(%1)"/>
      <w:numFmt w:val="decimal"/>
      <w:start w:val="1"/>
    </w:lvl>
  </w:abstractNum>
  <w:abstractNum w:abstractNumId="17">
    <w:nsid w:val="24E60401"/>
    <w:multiLevelType w:val="hybridMultilevel"/>
    <w:lvl w:ilvl="0">
      <w:lvlJc w:val="left"/>
      <w:lvlText w:val="•"/>
      <w:numFmt w:val="bullet"/>
      <w:start w:val="1"/>
    </w:lvl>
  </w:abstractNum>
  <w:abstractNum w:abstractNumId="18">
    <w:nsid w:val="2A6AD9BE"/>
    <w:multiLevelType w:val="hybridMultilevel"/>
    <w:lvl w:ilvl="0">
      <w:lvlJc w:val="left"/>
      <w:lvlText w:val="•"/>
      <w:numFmt w:val="bullet"/>
      <w:start w:val="1"/>
    </w:lvl>
  </w:abstractNum>
  <w:abstractNum w:abstractNumId="19">
    <w:nsid w:val="BAAC1B4"/>
    <w:multiLevelType w:val="hybridMultilevel"/>
    <w:lvl w:ilvl="0">
      <w:lvlJc w:val="left"/>
      <w:lvlText w:val="•"/>
      <w:numFmt w:val="bullet"/>
      <w:start w:val="1"/>
    </w:lvl>
  </w:abstractNum>
  <w:abstractNum w:abstractNumId="20">
    <w:nsid w:val="36B2ACBC"/>
    <w:multiLevelType w:val="hybridMultilevel"/>
    <w:lvl w:ilvl="0">
      <w:lvlJc w:val="left"/>
      <w:lvlText w:val="•"/>
      <w:numFmt w:val="bullet"/>
      <w:start w:val="1"/>
    </w:lvl>
  </w:abstractNum>
  <w:abstractNum w:abstractNumId="21">
    <w:nsid w:val="779D8544"/>
    <w:multiLevelType w:val="hybridMultilevel"/>
    <w:lvl w:ilvl="0">
      <w:lvlJc w:val="left"/>
      <w:lvlText w:val="•"/>
      <w:numFmt w:val="bullet"/>
      <w:start w:val="1"/>
    </w:lvl>
  </w:abstractNum>
  <w:abstractNum w:abstractNumId="22">
    <w:nsid w:val="4AB26E78"/>
    <w:multiLevelType w:val="hybridMultilevel"/>
    <w:lvl w:ilvl="0">
      <w:lvlJc w:val="left"/>
      <w:lvlText w:val="•"/>
      <w:numFmt w:val="bullet"/>
      <w:start w:val="1"/>
    </w:lvl>
  </w:abstractNum>
  <w:abstractNum w:abstractNumId="23">
    <w:nsid w:val="21FAA2FA"/>
    <w:multiLevelType w:val="hybridMultilevel"/>
    <w:lvl w:ilvl="0">
      <w:lvlJc w:val="left"/>
      <w:lvlText w:val="•"/>
      <w:numFmt w:val="bullet"/>
      <w:start w:val="1"/>
    </w:lvl>
  </w:abstractNum>
  <w:abstractNum w:abstractNumId="24">
    <w:nsid w:val="5451CF49"/>
    <w:multiLevelType w:val="hybridMultilevel"/>
    <w:lvl w:ilvl="0">
      <w:lvlJc w:val="left"/>
      <w:lvlText w:val="•"/>
      <w:numFmt w:val="bullet"/>
      <w:start w:val="1"/>
    </w:lvl>
  </w:abstractNum>
  <w:abstractNum w:abstractNumId="25">
    <w:nsid w:val="6181EF69"/>
    <w:multiLevelType w:val="hybridMultilevel"/>
    <w:lvl w:ilvl="0">
      <w:lvlJc w:val="left"/>
      <w:lvlText w:val="(%1)"/>
      <w:numFmt w:val="decimal"/>
      <w:start w:val="1"/>
    </w:lvl>
  </w:abstractNum>
  <w:abstractNum w:abstractNumId="26">
    <w:nsid w:val="3E6400E6"/>
    <w:multiLevelType w:val="hybridMultilevel"/>
    <w:lvl w:ilvl="0">
      <w:lvlJc w:val="left"/>
      <w:lvlText w:val="(%1)"/>
      <w:numFmt w:val="decimal"/>
      <w:start w:val="2"/>
    </w:lvl>
  </w:abstractNum>
  <w:abstractNum w:abstractNumId="27">
    <w:nsid w:val="14217E23"/>
    <w:multiLevelType w:val="hybridMultilevel"/>
    <w:lvl w:ilvl="0">
      <w:lvlJc w:val="left"/>
      <w:lvlText w:val="(%1)"/>
      <w:numFmt w:val="lowerRoman"/>
      <w:start w:val="1"/>
    </w:lvl>
  </w:abstractNum>
  <w:abstractNum w:abstractNumId="28">
    <w:nsid w:val="710757D0"/>
    <w:multiLevelType w:val="hybridMultilevel"/>
    <w:lvl w:ilvl="0">
      <w:lvlJc w:val="left"/>
      <w:lvlText w:val="•"/>
      <w:numFmt w:val="bullet"/>
      <w:start w:val="1"/>
    </w:lvl>
  </w:abstractNum>
  <w:abstractNum w:abstractNumId="29">
    <w:nsid w:val="5015CD1A"/>
    <w:multiLevelType w:val="hybridMultilevel"/>
    <w:lvl w:ilvl="0">
      <w:lvlJc w:val="left"/>
      <w:lvlText w:val="%1"/>
      <w:numFmt w:val="upperLetter"/>
      <w:start w:val="1"/>
    </w:lvl>
    <w:lvl w:ilvl="1">
      <w:lvlJc w:val="left"/>
      <w:lvlText w:val="•"/>
      <w:numFmt w:val="bullet"/>
      <w:start w:val="1"/>
    </w:lvl>
  </w:abstractNum>
  <w:abstractNum w:abstractNumId="30">
    <w:nsid w:val="424479DA"/>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31">
    <w:nsid w:val="1A9A9E69"/>
    <w:multiLevelType w:val="hybridMultilevel"/>
    <w:lvl w:ilvl="0">
      <w:lvlJc w:val="left"/>
      <w:lvlText w:val="•"/>
      <w:numFmt w:val="bullet"/>
      <w:start w:val="1"/>
    </w:lvl>
  </w:abstractNum>
  <w:abstractNum w:abstractNumId="32">
    <w:nsid w:val="475E256A"/>
    <w:multiLevelType w:val="hybridMultilevel"/>
    <w:lvl w:ilvl="0">
      <w:lvlJc w:val="left"/>
      <w:lvlText w:val="•"/>
      <w:numFmt w:val="bullet"/>
      <w:start w:val="1"/>
    </w:lvl>
  </w:abstractNum>
  <w:abstractNum w:abstractNumId="33">
    <w:nsid w:val="368DB37E"/>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34">
    <w:nsid w:val="6A3B714C"/>
    <w:multiLevelType w:val="hybridMultilevel"/>
    <w:lvl w:ilvl="0">
      <w:lvlJc w:val="left"/>
      <w:lvlText w:val="•"/>
      <w:numFmt w:val="bullet"/>
      <w:start w:val="1"/>
    </w:lvl>
    <w:lvl w:ilvl="1">
      <w:lvlJc w:val="left"/>
      <w:lvlText w:val="\endash "/>
      <w:numFmt w:val="bullet"/>
      <w:start w:val="1"/>
    </w:lvl>
  </w:abstractNum>
  <w:abstractNum w:abstractNumId="35">
    <w:nsid w:val="327B517E"/>
    <w:multiLevelType w:val="hybridMultilevel"/>
    <w:lvl w:ilvl="0">
      <w:lvlJc w:val="left"/>
      <w:lvlText w:val="➣"/>
      <w:numFmt w:val="bullet"/>
      <w:start w:val="1"/>
    </w:lvl>
  </w:abstractNum>
  <w:abstractNum w:abstractNumId="36">
    <w:nsid w:val="1F461B51"/>
    <w:multiLevelType w:val="hybridMultilevel"/>
    <w:lvl w:ilvl="0">
      <w:lvlJc w:val="left"/>
      <w:lvlText w:val="➣"/>
      <w:numFmt w:val="bullet"/>
      <w:start w:val="1"/>
    </w:lvl>
    <w:lvl w:ilvl="1">
      <w:lvlJc w:val="left"/>
      <w:lvlText w:val="•"/>
      <w:numFmt w:val="bullet"/>
      <w:start w:val="1"/>
    </w:lvl>
  </w:abstractNum>
  <w:abstractNum w:abstractNumId="37">
    <w:nsid w:val="29BACF25"/>
    <w:multiLevelType w:val="hybridMultilevel"/>
    <w:lvl w:ilvl="0">
      <w:lvlJc w:val="left"/>
      <w:lvlText w:val="➣"/>
      <w:numFmt w:val="bullet"/>
      <w:start w:val="1"/>
    </w:lvl>
    <w:lvl w:ilvl="1">
      <w:lvlJc w:val="left"/>
      <w:lvlText w:val="•"/>
      <w:numFmt w:val="bullet"/>
      <w:start w:val="1"/>
    </w:lvl>
  </w:abstractNum>
  <w:abstractNum w:abstractNumId="38">
    <w:nsid w:val="5D5BABB3"/>
    <w:multiLevelType w:val="hybridMultilevel"/>
    <w:lvl w:ilvl="0">
      <w:lvlJc w:val="left"/>
      <w:lvlText w:val="•"/>
      <w:numFmt w:val="bullet"/>
      <w:start w:val="1"/>
    </w:lvl>
    <w:lvl w:ilvl="1">
      <w:lvlJc w:val="left"/>
      <w:lvlText w:val="\endash "/>
      <w:numFmt w:val="bullet"/>
      <w:start w:val="1"/>
    </w:lvl>
  </w:abstractNum>
  <w:abstractNum w:abstractNumId="39">
    <w:nsid w:val="51BF6B48"/>
    <w:multiLevelType w:val="hybridMultilevel"/>
    <w:lvl w:ilvl="0">
      <w:lvlJc w:val="left"/>
      <w:lvlText w:val="•"/>
      <w:numFmt w:val="bullet"/>
      <w:start w:val="1"/>
    </w:lvl>
    <w:lvl w:ilvl="1">
      <w:lvlJc w:val="left"/>
      <w:lvlText w:val="\endash "/>
      <w:numFmt w:val="bullet"/>
      <w:start w:val="1"/>
    </w:lvl>
  </w:abstractNum>
  <w:abstractNum w:abstractNumId="40">
    <w:nsid w:val="7E0F6384"/>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41">
    <w:nsid w:val="2B4B8B53"/>
    <w:multiLevelType w:val="hybridMultilevel"/>
    <w:lvl w:ilvl="0">
      <w:lvlJc w:val="left"/>
      <w:lvlText w:val="✓"/>
      <w:numFmt w:val="bullet"/>
      <w:start w:val="1"/>
    </w:lvl>
    <w:lvl w:ilvl="1">
      <w:lvlJc w:val="left"/>
      <w:lvlText w:val="\endash "/>
      <w:numFmt w:val="bullet"/>
      <w:start w:val="1"/>
    </w:lvl>
  </w:abstractNum>
  <w:abstractNum w:abstractNumId="42">
    <w:nsid w:val="72E3413A"/>
    <w:multiLevelType w:val="hybridMultilevel"/>
    <w:lvl w:ilvl="0">
      <w:lvlJc w:val="left"/>
      <w:lvlText w:val="✓"/>
      <w:numFmt w:val="bullet"/>
      <w:start w:val="1"/>
    </w:lvl>
  </w:abstractNum>
  <w:abstractNum w:abstractNumId="43">
    <w:nsid w:val="116AE494"/>
    <w:multiLevelType w:val="hybridMultilevel"/>
    <w:lvl w:ilvl="0">
      <w:lvlJc w:val="left"/>
      <w:lvlText w:val="•"/>
      <w:numFmt w:val="bullet"/>
      <w:start w:val="1"/>
    </w:lvl>
  </w:abstractNum>
  <w:abstractNum w:abstractNumId="44">
    <w:nsid w:val="3494B2FB"/>
    <w:multiLevelType w:val="hybridMultilevel"/>
    <w:lvl w:ilvl="0">
      <w:lvlJc w:val="left"/>
      <w:lvlText w:val="•"/>
      <w:numFmt w:val="bullet"/>
      <w:start w:val="1"/>
    </w:lvl>
  </w:abstractNum>
  <w:abstractNum w:abstractNumId="45">
    <w:nsid w:val="B13A31"/>
    <w:multiLevelType w:val="hybridMultilevel"/>
    <w:lvl w:ilvl="0">
      <w:lvlJc w:val="left"/>
      <w:lvlText w:val="%1."/>
      <w:numFmt w:val="upperLetter"/>
      <w:start w:val="61"/>
    </w:lvl>
  </w:abstractNum>
  <w:abstractNum w:abstractNumId="46">
    <w:nsid w:val="64429599"/>
    <w:multiLevelType w:val="hybridMultilevel"/>
    <w:lvl w:ilvl="0">
      <w:lvlJc w:val="left"/>
      <w:lvlText w:val="•"/>
      <w:numFmt w:val="bullet"/>
      <w:start w:val="1"/>
    </w:lvl>
  </w:abstractNum>
  <w:abstractNum w:abstractNumId="47">
    <w:nsid w:val="631F1690"/>
    <w:multiLevelType w:val="hybridMultilevel"/>
    <w:lvl w:ilvl="0">
      <w:lvlJc w:val="left"/>
      <w:lvlText w:val="•"/>
      <w:numFmt w:val="bullet"/>
      <w:start w:val="1"/>
    </w:lvl>
  </w:abstractNum>
  <w:abstractNum w:abstractNumId="48">
    <w:nsid w:val="25973E32"/>
    <w:multiLevelType w:val="hybridMultilevel"/>
    <w:lvl w:ilvl="0">
      <w:lvlJc w:val="left"/>
      <w:lvlText w:val="(%1)"/>
      <w:numFmt w:val="decimal"/>
      <w:start w:val="1"/>
    </w:lvl>
  </w:abstractNum>
  <w:abstractNum w:abstractNumId="49">
    <w:nsid w:val="EAD6F57"/>
    <w:multiLevelType w:val="hybridMultilevel"/>
    <w:lvl w:ilvl="0">
      <w:lvlJc w:val="left"/>
      <w:lvlText w:val="•"/>
      <w:numFmt w:val="bullet"/>
      <w:start w:val="1"/>
    </w:lvl>
  </w:abstractNum>
  <w:abstractNum w:abstractNumId="50">
    <w:nsid w:val="6EC9D844"/>
    <w:multiLevelType w:val="hybridMultilevel"/>
    <w:lvl w:ilvl="0">
      <w:lvlJc w:val="left"/>
      <w:lvlText w:val="•"/>
      <w:numFmt w:val="bullet"/>
      <w:start w:val="1"/>
    </w:lvl>
  </w:abstractNum>
  <w:abstractNum w:abstractNumId="51">
    <w:nsid w:val="5C49EAEE"/>
    <w:multiLevelType w:val="hybridMultilevel"/>
    <w:lvl w:ilvl="0">
      <w:lvlJc w:val="left"/>
      <w:lvlText w:val="•"/>
      <w:numFmt w:val="bullet"/>
      <w:start w:val="1"/>
    </w:lvl>
  </w:abstractNum>
  <w:abstractNum w:abstractNumId="52">
    <w:nsid w:val="64AF49B"/>
    <w:multiLevelType w:val="hybridMultilevel"/>
    <w:lvl w:ilvl="0">
      <w:lvlJc w:val="left"/>
      <w:lvlText w:val="(%1)"/>
      <w:numFmt w:val="decimal"/>
      <w:start w:val="1"/>
    </w:lvl>
  </w:abstractNum>
  <w:abstractNum w:abstractNumId="53">
    <w:nsid w:val="397C46BC"/>
    <w:multiLevelType w:val="hybridMultilevel"/>
    <w:lvl w:ilvl="0">
      <w:lvlJc w:val="left"/>
      <w:lvlText w:val="(%1)"/>
      <w:numFmt w:val="decimal"/>
      <w:start w:val="1"/>
    </w:lvl>
  </w:abstractNum>
  <w:abstractNum w:abstractNumId="54">
    <w:nsid w:val="7E448DE9"/>
    <w:multiLevelType w:val="hybridMultilevel"/>
    <w:lvl w:ilvl="0">
      <w:lvlJc w:val="left"/>
      <w:lvlText w:val="•"/>
      <w:numFmt w:val="bullet"/>
      <w:start w:val="1"/>
    </w:lvl>
  </w:abstractNum>
  <w:abstractNum w:abstractNumId="55">
    <w:nsid w:val="5A9CC3E5"/>
    <w:multiLevelType w:val="hybridMultilevel"/>
    <w:lvl w:ilvl="0">
      <w:lvlJc w:val="left"/>
      <w:lvlText w:val="(%1)"/>
      <w:numFmt w:val="decimal"/>
      <w:start w:val="1"/>
    </w:lvl>
  </w:abstractNum>
  <w:abstractNum w:abstractNumId="56">
    <w:nsid w:val="1AFE3625"/>
    <w:multiLevelType w:val="hybridMultilevel"/>
    <w:lvl w:ilvl="0">
      <w:lvlJc w:val="left"/>
      <w:lvlText w:val="(%1)"/>
      <w:numFmt w:val="decimal"/>
      <w:start w:val="1"/>
    </w:lvl>
  </w:abstractNum>
  <w:abstractNum w:abstractNumId="57">
    <w:nsid w:val="3CA88ECF"/>
    <w:multiLevelType w:val="hybridMultilevel"/>
    <w:lvl w:ilvl="0">
      <w:lvlJc w:val="left"/>
      <w:lvlText w:val="(%1)"/>
      <w:numFmt w:val="decimal"/>
      <w:start w:val="1"/>
    </w:lvl>
  </w:abstractNum>
  <w:abstractNum w:abstractNumId="58">
    <w:nsid w:val="6EBE4208"/>
    <w:multiLevelType w:val="hybridMultilevel"/>
    <w:lvl w:ilvl="0">
      <w:lvlJc w:val="left"/>
      <w:lvlText w:val="(%1)"/>
      <w:numFmt w:val="decimal"/>
      <w:start w:val="1"/>
    </w:lvl>
  </w:abstractNum>
  <w:abstractNum w:abstractNumId="59">
    <w:nsid w:val="C058DF5"/>
    <w:multiLevelType w:val="hybridMultilevel"/>
    <w:lvl w:ilvl="0">
      <w:lvlJc w:val="left"/>
      <w:lvlText w:val="•"/>
      <w:numFmt w:val="bullet"/>
      <w:start w:val="1"/>
    </w:lvl>
  </w:abstractNum>
  <w:abstractNum w:abstractNumId="60">
    <w:nsid w:val="CBE5BE9"/>
    <w:multiLevelType w:val="hybridMultilevel"/>
    <w:lvl w:ilvl="0">
      <w:lvlJc w:val="left"/>
      <w:lvlText w:val="•"/>
      <w:numFmt w:val="bullet"/>
      <w:start w:val="1"/>
    </w:lvl>
  </w:abstractNum>
  <w:abstractNum w:abstractNumId="61">
    <w:nsid w:val="3102BBE2"/>
    <w:multiLevelType w:val="hybridMultilevel"/>
    <w:lvl w:ilvl="0">
      <w:lvlJc w:val="left"/>
      <w:lvlText w:val="•"/>
      <w:numFmt w:val="bullet"/>
      <w:start w:val="1"/>
    </w:lvl>
  </w:abstractNum>
  <w:abstractNum w:abstractNumId="62">
    <w:nsid w:val="26A02C5E"/>
    <w:multiLevelType w:val="hybridMultilevel"/>
    <w:lvl w:ilvl="0">
      <w:lvlJc w:val="left"/>
      <w:lvlText w:val="(%1)"/>
      <w:numFmt w:val="decimal"/>
      <w:start w:val="1"/>
    </w:lvl>
  </w:abstractNum>
  <w:abstractNum w:abstractNumId="63">
    <w:nsid w:val="541C8153"/>
    <w:multiLevelType w:val="hybridMultilevel"/>
    <w:lvl w:ilvl="0">
      <w:lvlJc w:val="left"/>
      <w:lvlText w:val="(%1)"/>
      <w:numFmt w:val="decimal"/>
      <w:start w:val="1"/>
    </w:lvl>
  </w:abstractNum>
  <w:abstractNum w:abstractNumId="64">
    <w:nsid w:val="67906F60"/>
    <w:multiLevelType w:val="hybridMultilevel"/>
    <w:lvl w:ilvl="0">
      <w:lvlJc w:val="left"/>
      <w:lvlText w:val="(%1)"/>
      <w:numFmt w:val="decimal"/>
      <w:start w:val="6"/>
    </w:lvl>
  </w:abstractNum>
  <w:abstractNum w:abstractNumId="65">
    <w:nsid w:val="10DB9DAA"/>
    <w:multiLevelType w:val="hybridMultilevel"/>
    <w:lvl w:ilvl="0">
      <w:lvlJc w:val="left"/>
      <w:lvlText w:val="(%1)"/>
      <w:numFmt w:val="decimal"/>
      <w:start w:val="1"/>
    </w:lvl>
  </w:abstractNum>
  <w:abstractNum w:abstractNumId="66">
    <w:nsid w:val="697D2D2"/>
    <w:multiLevelType w:val="hybridMultilevel"/>
    <w:lvl w:ilvl="0">
      <w:lvlJc w:val="left"/>
      <w:lvlText w:val="(%1)"/>
      <w:numFmt w:val="decimal"/>
      <w:start w:val="7"/>
    </w:lvl>
  </w:abstractNum>
  <w:abstractNum w:abstractNumId="67">
    <w:nsid w:val="6D68AB2"/>
    <w:multiLevelType w:val="hybridMultilevel"/>
    <w:lvl w:ilvl="0">
      <w:lvlJc w:val="left"/>
      <w:lvlText w:val="(%1)"/>
      <w:numFmt w:val="decimal"/>
      <w:start w:val="1"/>
    </w:lvl>
  </w:abstractNum>
  <w:abstractNum w:abstractNumId="68">
    <w:nsid w:val="3A966CD0"/>
    <w:multiLevelType w:val="hybridMultilevel"/>
    <w:lvl w:ilvl="0">
      <w:lvlJc w:val="left"/>
      <w:lvlText w:val="(%1)"/>
      <w:numFmt w:val="decimal"/>
      <w:start w:val="1"/>
    </w:lvl>
  </w:abstractNum>
  <w:abstractNum w:abstractNumId="69">
    <w:nsid w:val="63F37E85"/>
    <w:multiLevelType w:val="hybridMultilevel"/>
    <w:lvl w:ilvl="0">
      <w:lvlJc w:val="left"/>
      <w:lvlText w:val="(%1)"/>
      <w:numFmt w:val="decimal"/>
      <w:start w:val="1"/>
    </w:lvl>
  </w:abstractNum>
  <w:abstractNum w:abstractNumId="70">
    <w:nsid w:val="5895F5FA"/>
    <w:multiLevelType w:val="hybridMultilevel"/>
    <w:lvl w:ilvl="0">
      <w:lvlJc w:val="left"/>
      <w:lvlText w:val="(%1)"/>
      <w:numFmt w:val="decimal"/>
      <w:start w:val="1"/>
    </w:lvl>
  </w:abstractNum>
  <w:abstractNum w:abstractNumId="71">
    <w:nsid w:val="38A5D054"/>
    <w:multiLevelType w:val="hybridMultilevel"/>
    <w:lvl w:ilvl="0">
      <w:lvlJc w:val="left"/>
      <w:lvlText w:val="(%1)"/>
      <w:numFmt w:val="decimal"/>
      <w:start w:val="1"/>
    </w:lvl>
  </w:abstractNum>
  <w:abstractNum w:abstractNumId="72">
    <w:nsid w:val="F3F09D8"/>
    <w:multiLevelType w:val="hybridMultilevel"/>
    <w:lvl w:ilvl="0">
      <w:lvlJc w:val="left"/>
      <w:lvlText w:val="(%1)"/>
      <w:numFmt w:val="decimal"/>
      <w:start w:val="1"/>
    </w:lvl>
  </w:abstractNum>
  <w:abstractNum w:abstractNumId="73">
    <w:nsid w:val="4B793735"/>
    <w:multiLevelType w:val="hybridMultilevel"/>
    <w:lvl w:ilvl="0">
      <w:lvlJc w:val="left"/>
      <w:lvlText w:val="(%1)"/>
      <w:numFmt w:val="decimal"/>
      <w:start w:val="1"/>
    </w:lvl>
  </w:abstractNum>
  <w:abstractNum w:abstractNumId="74">
    <w:nsid w:val="4A10B4E8"/>
    <w:multiLevelType w:val="hybridMultilevel"/>
    <w:lvl w:ilvl="0">
      <w:lvlJc w:val="left"/>
      <w:lvlText w:val="(%1)"/>
      <w:numFmt w:val="decimal"/>
      <w:start w:val="6"/>
    </w:lvl>
  </w:abstractNum>
  <w:abstractNum w:abstractNumId="75">
    <w:nsid w:val="43D3BCD4"/>
    <w:multiLevelType w:val="hybridMultilevel"/>
    <w:lvl w:ilvl="0">
      <w:lvlJc w:val="left"/>
      <w:lvlText w:val="•"/>
      <w:numFmt w:val="bullet"/>
      <w:start w:val="1"/>
    </w:lvl>
  </w:abstractNum>
  <w:abstractNum w:abstractNumId="76">
    <w:nsid w:val="4C2A7166"/>
    <w:multiLevelType w:val="hybridMultilevel"/>
    <w:lvl w:ilvl="0">
      <w:lvlJc w:val="left"/>
      <w:lvlText w:val="(%1)"/>
      <w:numFmt w:val="decimal"/>
      <w:start w:val="1"/>
    </w:lvl>
  </w:abstractNum>
  <w:abstractNum w:abstractNumId="77">
    <w:nsid w:val="2E534A82"/>
    <w:multiLevelType w:val="hybridMultilevel"/>
    <w:lvl w:ilvl="0">
      <w:lvlJc w:val="left"/>
      <w:lvlText w:val="•"/>
      <w:numFmt w:val="bullet"/>
      <w:start w:val="1"/>
    </w:lvl>
  </w:abstractNum>
  <w:abstractNum w:abstractNumId="78">
    <w:nsid w:val="26F2D364"/>
    <w:multiLevelType w:val="hybridMultilevel"/>
    <w:lvl w:ilvl="0">
      <w:lvlJc w:val="left"/>
      <w:lvlText w:val="*"/>
      <w:numFmt w:val="bullet"/>
      <w:start w:val="1"/>
    </w:lvl>
  </w:abstractNum>
  <w:abstractNum w:abstractNumId="79">
    <w:nsid w:val="71C1AF98"/>
    <w:multiLevelType w:val="hybridMultilevel"/>
    <w:lvl w:ilvl="0">
      <w:lvlJc w:val="left"/>
      <w:lvlText w:val="(%1)"/>
      <w:numFmt w:val="decimal"/>
      <w:start w:val="1"/>
    </w:lvl>
  </w:abstractNum>
  <w:abstractNum w:abstractNumId="80">
    <w:nsid w:val="3D00B9D9"/>
    <w:multiLevelType w:val="hybridMultilevel"/>
    <w:lvl w:ilvl="0">
      <w:lvlJc w:val="left"/>
      <w:lvlText w:val="(%1)"/>
      <w:numFmt w:val="decimal"/>
      <w:start w:val="3"/>
    </w:lvl>
  </w:abstractNum>
  <w:abstractNum w:abstractNumId="81">
    <w:nsid w:val="15BCABA8"/>
    <w:multiLevelType w:val="hybridMultilevel"/>
    <w:lvl w:ilvl="0">
      <w:lvlJc w:val="left"/>
      <w:lvlText w:val="(%1)"/>
      <w:numFmt w:val="decimal"/>
      <w:start w:val="8"/>
    </w:lvl>
  </w:abstractNum>
  <w:abstractNum w:abstractNumId="82">
    <w:nsid w:val="4E0B9A87"/>
    <w:multiLevelType w:val="hybridMultilevel"/>
    <w:lvl w:ilvl="0">
      <w:lvlJc w:val="left"/>
      <w:lvlText w:val="(%1)"/>
      <w:numFmt w:val="decimal"/>
      <w:start w:val="12"/>
    </w:lvl>
  </w:abstractNum>
  <w:abstractNum w:abstractNumId="83">
    <w:nsid w:val="434BAE75"/>
    <w:multiLevelType w:val="hybridMultilevel"/>
    <w:lvl w:ilvl="0">
      <w:lvlJc w:val="left"/>
      <w:lvlText w:val="•"/>
      <w:numFmt w:val="bullet"/>
      <w:start w:val="1"/>
    </w:lvl>
  </w:abstractNum>
  <w:abstractNum w:abstractNumId="84">
    <w:nsid w:val="4F38F265"/>
    <w:multiLevelType w:val="hybridMultilevel"/>
    <w:lvl w:ilvl="0">
      <w:lvlJc w:val="left"/>
      <w:lvlText w:val="•"/>
      <w:numFmt w:val="bullet"/>
      <w:start w:val="1"/>
    </w:lvl>
    <w:lvl w:ilvl="1">
      <w:lvlJc w:val="left"/>
      <w:lvlText w:val="•"/>
      <w:numFmt w:val="bullet"/>
      <w:start w:val="1"/>
    </w:lvl>
  </w:abstractNum>
  <w:abstractNum w:abstractNumId="85">
    <w:nsid w:val="4C502870"/>
    <w:multiLevelType w:val="hybridMultilevel"/>
    <w:lvl w:ilvl="0">
      <w:lvlJc w:val="left"/>
      <w:lvlText w:val="•"/>
      <w:numFmt w:val="bullet"/>
      <w:start w:val="1"/>
    </w:lvl>
  </w:abstractNum>
  <w:abstractNum w:abstractNumId="86">
    <w:nsid w:val="1DE8725A"/>
    <w:multiLevelType w:val="hybridMultilevel"/>
    <w:lvl w:ilvl="0">
      <w:lvlJc w:val="left"/>
      <w:lvlText w:val="(%1)"/>
      <w:numFmt w:val="lowerLetter"/>
      <w:start w:val="1"/>
    </w:lvl>
  </w:abstractNum>
  <w:abstractNum w:abstractNumId="87">
    <w:nsid w:val="6A37288A"/>
    <w:multiLevelType w:val="hybridMultilevel"/>
    <w:lvl w:ilvl="0">
      <w:lvlJc w:val="left"/>
      <w:lvlText w:val="(%1)"/>
      <w:numFmt w:val="lowerLetter"/>
      <w:start w:val="1"/>
    </w:lvl>
  </w:abstractNum>
  <w:abstractNum w:abstractNumId="88">
    <w:nsid w:val="8F8B73F"/>
    <w:multiLevelType w:val="hybridMultilevel"/>
    <w:lvl w:ilvl="0">
      <w:lvlJc w:val="left"/>
      <w:lvlText w:val="*"/>
      <w:numFmt w:val="bullet"/>
      <w:start w:val="1"/>
    </w:lvl>
    <w:lvl w:ilvl="1">
      <w:lvlJc w:val="left"/>
      <w:lvlText w:val="(%2)"/>
      <w:numFmt w:val="decimal"/>
      <w:start w:val="1"/>
    </w:lvl>
  </w:abstractNum>
  <w:abstractNum w:abstractNumId="89">
    <w:nsid w:val="CA6B462"/>
    <w:multiLevelType w:val="hybridMultilevel"/>
    <w:lvl w:ilvl="0">
      <w:lvlJc w:val="left"/>
      <w:lvlText w:val="(%1)"/>
      <w:numFmt w:val="lowerLetter"/>
      <w:start w:val="1"/>
    </w:lvl>
    <w:lvl w:ilvl="1">
      <w:lvlJc w:val="left"/>
      <w:lvlText w:val="(%2)"/>
      <w:numFmt w:val="decimal"/>
      <w:start w:val="4"/>
    </w:lvl>
    <w:lvl w:ilvl="2">
      <w:lvlJc w:val="left"/>
      <w:lvlText w:val="(%3)"/>
      <w:numFmt w:val="decimal"/>
      <w:start w:val="3"/>
    </w:lvl>
    <w:lvl w:ilvl="3">
      <w:lvlJc w:val="left"/>
      <w:lvlText w:val="(%4)"/>
      <w:numFmt w:val="lowerLetter"/>
      <w:start w:val="35"/>
    </w:lvl>
  </w:abstractNum>
  <w:abstractNum w:abstractNumId="90">
    <w:nsid w:val="763CB680"/>
    <w:multiLevelType w:val="hybridMultilevel"/>
    <w:lvl w:ilvl="0">
      <w:lvlJc w:val="left"/>
      <w:lvlText w:val="(%1)"/>
      <w:numFmt w:val="lowerRoman"/>
      <w:start w:val="2"/>
    </w:lvl>
  </w:abstractNum>
  <w:abstractNum w:abstractNumId="91">
    <w:nsid w:val="15B71329"/>
    <w:multiLevelType w:val="hybridMultilevel"/>
    <w:lvl w:ilvl="0">
      <w:lvlJc w:val="left"/>
      <w:lvlText w:val="(%1)"/>
      <w:numFmt w:val="lowerLetter"/>
      <w:start w:val="1"/>
    </w:lvl>
    <w:lvl w:ilvl="1">
      <w:lvlJc w:val="left"/>
      <w:lvlText w:val="(%2)"/>
      <w:numFmt w:val="decimal"/>
      <w:start w:val="11"/>
    </w:lvl>
  </w:abstractNum>
  <w:abstractNum w:abstractNumId="92">
    <w:nsid w:val="3DA97044"/>
    <w:multiLevelType w:val="hybridMultilevel"/>
    <w:lvl w:ilvl="0">
      <w:lvlJc w:val="left"/>
      <w:lvlText w:val="(%1)"/>
      <w:numFmt w:val="decimal"/>
      <w:start w:val="1"/>
    </w:lvl>
  </w:abstractNum>
  <w:abstractNum w:abstractNumId="93">
    <w:nsid w:val="1CDCE2DE"/>
    <w:multiLevelType w:val="hybridMultilevel"/>
    <w:lvl w:ilvl="0">
      <w:lvlJc w:val="left"/>
      <w:lvlText w:val="(%1)"/>
      <w:numFmt w:val="lowerLetter"/>
      <w:start w:val="2"/>
    </w:lvl>
    <w:lvl w:ilvl="1">
      <w:lvlJc w:val="left"/>
      <w:lvlText w:val="(%2)"/>
      <w:numFmt w:val="decimal"/>
      <w:start w:val="7"/>
    </w:lvl>
  </w:abstractNum>
  <w:abstractNum w:abstractNumId="94">
    <w:nsid w:val="69D3947C"/>
    <w:multiLevelType w:val="hybridMultilevel"/>
    <w:lvl w:ilvl="0">
      <w:lvlJc w:val="left"/>
      <w:lvlText w:val="•"/>
      <w:numFmt w:val="bullet"/>
      <w:start w:val="1"/>
    </w:lvl>
  </w:abstractNum>
  <w:abstractNum w:abstractNumId="95">
    <w:nsid w:val="2539DFA5"/>
    <w:multiLevelType w:val="hybridMultilevel"/>
    <w:lvl w:ilvl="0">
      <w:lvlJc w:val="left"/>
      <w:lvlText w:val="•"/>
      <w:numFmt w:val="bullet"/>
      <w:start w:val="1"/>
    </w:lvl>
  </w:abstractNum>
  <w:abstractNum w:abstractNumId="96">
    <w:nsid w:val="2DB88089"/>
    <w:multiLevelType w:val="hybridMultilevel"/>
    <w:lvl w:ilvl="0">
      <w:lvlJc w:val="left"/>
      <w:lvlText w:val="*"/>
      <w:numFmt w:val="bullet"/>
      <w:start w:val="1"/>
    </w:lvl>
  </w:abstractNum>
  <w:abstractNum w:abstractNumId="97">
    <w:nsid w:val="706B674E"/>
    <w:multiLevelType w:val="hybridMultilevel"/>
    <w:lvl w:ilvl="0">
      <w:lvlJc w:val="left"/>
      <w:lvlText w:val="*"/>
      <w:numFmt w:val="bullet"/>
      <w:start w:val="1"/>
    </w:lvl>
  </w:abstractNum>
  <w:abstractNum w:abstractNumId="98">
    <w:nsid w:val="2C106A57"/>
    <w:multiLevelType w:val="hybridMultilevel"/>
    <w:lvl w:ilvl="0">
      <w:lvlJc w:val="left"/>
      <w:lvlText w:val="%1."/>
      <w:numFmt w:val="decimal"/>
      <w:start w:val="1"/>
    </w:lvl>
  </w:abstractNum>
  <w:abstractNum w:abstractNumId="99">
    <w:nsid w:val="684EED59"/>
    <w:multiLevelType w:val="hybridMultilevel"/>
    <w:lvl w:ilvl="0">
      <w:lvlJc w:val="left"/>
      <w:lvlText w:val="%1."/>
      <w:numFmt w:val="decimal"/>
      <w:start w:val="2"/>
    </w:lvl>
  </w:abstractNum>
  <w:abstractNum w:abstractNumId="100">
    <w:nsid w:val="545EE5D3"/>
    <w:multiLevelType w:val="hybridMultilevel"/>
    <w:lvl w:ilvl="0">
      <w:lvlJc w:val="left"/>
      <w:lvlText w:val="(%1)"/>
      <w:numFmt w:val="lowerLetter"/>
      <w:start w:val="1"/>
    </w:lvl>
    <w:lvl w:ilvl="1">
      <w:lvlJc w:val="left"/>
      <w:lvlText w:val="(%2)"/>
      <w:numFmt w:val="lowerLetter"/>
      <w:start w:val="9"/>
    </w:lvl>
  </w:abstractNum>
  <w:abstractNum w:abstractNumId="101">
    <w:nsid w:val="4A66051"/>
    <w:multiLevelType w:val="hybridMultilevel"/>
    <w:lvl w:ilvl="0">
      <w:lvlJc w:val="left"/>
      <w:lvlText w:val="%1."/>
      <w:numFmt w:val="decimal"/>
      <w:start w:val="2"/>
    </w:lvl>
  </w:abstractNum>
  <w:abstractNum w:abstractNumId="102">
    <w:nsid w:val="20F4BDAD"/>
    <w:multiLevelType w:val="hybridMultilevel"/>
    <w:lvl w:ilvl="0">
      <w:lvlJc w:val="left"/>
      <w:lvlText w:val="(%1)"/>
      <w:numFmt w:val="lowerLetter"/>
      <w:start w:val="1"/>
    </w:lvl>
    <w:lvl w:ilvl="1">
      <w:lvlJc w:val="left"/>
      <w:lvlText w:val="(%2)"/>
      <w:numFmt w:val="lowerLetter"/>
      <w:start w:val="35"/>
    </w:lvl>
  </w:abstractNum>
  <w:abstractNum w:abstractNumId="103">
    <w:nsid w:val="639DEFAC"/>
    <w:multiLevelType w:val="hybridMultilevel"/>
    <w:lvl w:ilvl="0">
      <w:lvlJc w:val="left"/>
      <w:lvlText w:val="(%1)"/>
      <w:numFmt w:val="lowerRoman"/>
      <w:start w:val="3"/>
    </w:lvl>
  </w:abstractNum>
  <w:abstractNum w:abstractNumId="104">
    <w:nsid w:val="501F9786"/>
    <w:multiLevelType w:val="hybridMultilevel"/>
    <w:lvl w:ilvl="0">
      <w:lvlJc w:val="left"/>
      <w:lvlText w:val="%1."/>
      <w:numFmt w:val="decimal"/>
      <w:start w:val="2"/>
    </w:lvl>
  </w:abstractNum>
  <w:abstractNum w:abstractNumId="105">
    <w:nsid w:val="6B057295"/>
    <w:multiLevelType w:val="hybridMultilevel"/>
    <w:lvl w:ilvl="0">
      <w:lvlJc w:val="left"/>
      <w:lvlText w:val="(%1)"/>
      <w:numFmt w:val="lowerLetter"/>
      <w:start w:val="2"/>
    </w:lvl>
  </w:abstractNum>
  <w:abstractNum w:abstractNumId="106">
    <w:nsid w:val="2771AC80"/>
    <w:multiLevelType w:val="hybridMultilevel"/>
    <w:lvl w:ilvl="0">
      <w:lvlJc w:val="left"/>
      <w:lvlText w:val="(%1)"/>
      <w:numFmt w:val="lowerRoman"/>
      <w:start w:val="1"/>
    </w:lvl>
  </w:abstractNum>
  <w:abstractNum w:abstractNumId="107">
    <w:nsid w:val="1C4A08EC"/>
    <w:multiLevelType w:val="hybridMultilevel"/>
    <w:lvl w:ilvl="0">
      <w:lvlJc w:val="left"/>
      <w:lvlText w:val="%1."/>
      <w:numFmt w:val="decimal"/>
      <w:start w:val="2"/>
    </w:lvl>
  </w:abstractNum>
  <w:abstractNum w:abstractNumId="108">
    <w:nsid w:val="1958BD17"/>
    <w:multiLevelType w:val="hybridMultilevel"/>
    <w:lvl w:ilvl="0">
      <w:lvlJc w:val="left"/>
      <w:lvlText w:val="(%1)"/>
      <w:numFmt w:val="lowerLetter"/>
      <w:start w:val="2"/>
    </w:lvl>
    <w:lvl w:ilvl="1">
      <w:lvlJc w:val="left"/>
      <w:lvlText w:val="(%2)"/>
      <w:numFmt w:val="lowerLetter"/>
      <w:start w:val="9"/>
    </w:lvl>
  </w:abstractNum>
  <w:abstractNum w:abstractNumId="109">
    <w:nsid w:val="4E647FE4"/>
    <w:multiLevelType w:val="hybridMultilevel"/>
    <w:lvl w:ilvl="0">
      <w:lvlJc w:val="left"/>
      <w:lvlText w:val="%1."/>
      <w:numFmt w:val="decimal"/>
      <w:start w:val="2"/>
    </w:lvl>
  </w:abstractNum>
  <w:abstractNum w:abstractNumId="110">
    <w:nsid w:val="E0BB885"/>
    <w:multiLevelType w:val="hybridMultilevel"/>
    <w:lvl w:ilvl="0">
      <w:lvlJc w:val="left"/>
      <w:lvlText w:val="(%1)"/>
      <w:numFmt w:val="lowerLetter"/>
      <w:start w:val="2"/>
    </w:lvl>
    <w:lvl w:ilvl="1">
      <w:lvlJc w:val="left"/>
      <w:lvlText w:val="(%2)"/>
      <w:numFmt w:val="lowerLetter"/>
      <w:start w:val="9"/>
    </w:lvl>
  </w:abstractNum>
  <w:abstractNum w:abstractNumId="111">
    <w:nsid w:val="565976F1"/>
    <w:multiLevelType w:val="hybridMultilevel"/>
    <w:lvl w:ilvl="0">
      <w:lvlJc w:val="left"/>
      <w:lvlText w:val="%1."/>
      <w:numFmt w:val="decimal"/>
      <w:start w:val="2"/>
    </w:lvl>
  </w:abstractNum>
  <w:abstractNum w:abstractNumId="112">
    <w:nsid w:val="64212B8C"/>
    <w:multiLevelType w:val="hybridMultilevel"/>
    <w:lvl w:ilvl="0">
      <w:lvlJc w:val="left"/>
      <w:lvlText w:val="(%1)"/>
      <w:numFmt w:val="lowerLetter"/>
      <w:start w:val="2"/>
    </w:lvl>
    <w:lvl w:ilvl="1">
      <w:lvlJc w:val="left"/>
      <w:lvlText w:val="(%2)"/>
      <w:numFmt w:val="lowerLetter"/>
      <w:start w:val="9"/>
    </w:lvl>
  </w:abstractNum>
  <w:abstractNum w:abstractNumId="113">
    <w:nsid w:val="5C17530C"/>
    <w:multiLevelType w:val="hybridMultilevel"/>
    <w:lvl w:ilvl="0">
      <w:lvlJc w:val="left"/>
      <w:lvlText w:val="(%1)"/>
      <w:numFmt w:val="lowerRoman"/>
      <w:start w:val="1"/>
    </w:lvl>
  </w:abstractNum>
  <w:abstractNum w:abstractNumId="114">
    <w:nsid w:val="19A52566"/>
    <w:multiLevelType w:val="hybridMultilevel"/>
    <w:lvl w:ilvl="0">
      <w:lvlJc w:val="left"/>
      <w:lvlText w:val="%1."/>
      <w:numFmt w:val="decimal"/>
      <w:start w:val="2"/>
    </w:lvl>
  </w:abstractNum>
  <w:abstractNum w:abstractNumId="115">
    <w:nsid w:val="335A1DF1"/>
    <w:multiLevelType w:val="hybridMultilevel"/>
    <w:lvl w:ilvl="0">
      <w:lvlJc w:val="left"/>
      <w:lvlText w:val="(%1)"/>
      <w:numFmt w:val="lowerLetter"/>
      <w:start w:val="2"/>
    </w:lvl>
  </w:abstractNum>
  <w:abstractNum w:abstractNumId="116">
    <w:nsid w:val="28677B7C"/>
    <w:multiLevelType w:val="hybridMultilevel"/>
    <w:lvl w:ilvl="0">
      <w:lvlJc w:val="left"/>
      <w:lvlText w:val="(%1)"/>
      <w:numFmt w:val="lowerRoman"/>
      <w:start w:val="1"/>
    </w:lvl>
  </w:abstractNum>
  <w:abstractNum w:abstractNumId="117">
    <w:nsid w:val="378D97C0"/>
    <w:multiLevelType w:val="hybridMultilevel"/>
    <w:lvl w:ilvl="0">
      <w:lvlJc w:val="left"/>
      <w:lvlText w:val="(%1)"/>
      <w:numFmt w:val="lowerRoman"/>
      <w:start w:val="5"/>
    </w:lvl>
  </w:abstractNum>
  <w:abstractNum w:abstractNumId="118">
    <w:nsid w:val="1D91467C"/>
    <w:multiLevelType w:val="hybridMultilevel"/>
    <w:lvl w:ilvl="0">
      <w:lvlJc w:val="left"/>
      <w:lvlText w:val="%1."/>
      <w:numFmt w:val="decimal"/>
      <w:start w:val="2"/>
    </w:lvl>
  </w:abstractNum>
  <w:abstractNum w:abstractNumId="119">
    <w:nsid w:val="316032BB"/>
    <w:multiLevelType w:val="hybridMultilevel"/>
    <w:lvl w:ilvl="0">
      <w:lvlJc w:val="left"/>
      <w:lvlText w:val="(%1)"/>
      <w:numFmt w:val="lowerLetter"/>
      <w:start w:val="2"/>
    </w:lvl>
    <w:lvl w:ilvl="1">
      <w:lvlJc w:val="left"/>
      <w:lvlText w:val="(%2)"/>
      <w:numFmt w:val="lowerLetter"/>
      <w:start w:val="9"/>
    </w:lvl>
  </w:abstractNum>
  <w:abstractNum w:abstractNumId="120">
    <w:nsid w:val="44344C22"/>
    <w:multiLevelType w:val="hybridMultilevel"/>
    <w:lvl w:ilvl="0">
      <w:lvlJc w:val="left"/>
      <w:lvlText w:val="(%1)"/>
      <w:numFmt w:val="lowerRoman"/>
      <w:start w:val="2"/>
    </w:lvl>
  </w:abstractNum>
  <w:abstractNum w:abstractNumId="121">
    <w:nsid w:val="13CDFCFC"/>
    <w:multiLevelType w:val="hybridMultilevel"/>
    <w:lvl w:ilvl="0">
      <w:lvlJc w:val="left"/>
      <w:lvlText w:val="%1."/>
      <w:numFmt w:val="decimal"/>
      <w:start w:val="2"/>
    </w:lvl>
  </w:abstractNum>
  <w:abstractNum w:abstractNumId="122">
    <w:nsid w:val="471745E4"/>
    <w:multiLevelType w:val="hybridMultilevel"/>
    <w:lvl w:ilvl="0">
      <w:lvlJc w:val="left"/>
      <w:lvlText w:val="(%1)"/>
      <w:numFmt w:val="lowerLetter"/>
      <w:start w:val="2"/>
    </w:lvl>
    <w:lvl w:ilvl="1">
      <w:lvlJc w:val="left"/>
      <w:lvlText w:val="(%2)"/>
      <w:numFmt w:val="lowerRoman"/>
      <w:start w:val="2"/>
    </w:lvl>
  </w:abstractNum>
  <w:abstractNum w:abstractNumId="123">
    <w:nsid w:val="1DDBC66"/>
    <w:multiLevelType w:val="hybridMultilevel"/>
    <w:lvl w:ilvl="0">
      <w:lvlJc w:val="left"/>
      <w:lvlText w:val="%1."/>
      <w:numFmt w:val="decimal"/>
      <w:start w:val="2"/>
    </w:lvl>
  </w:abstractNum>
  <w:abstractNum w:abstractNumId="124">
    <w:nsid w:val="30AADFDA"/>
    <w:multiLevelType w:val="hybridMultilevel"/>
    <w:lvl w:ilvl="0">
      <w:lvlJc w:val="left"/>
      <w:lvlText w:val="(%1)"/>
      <w:numFmt w:val="lowerLetter"/>
      <w:start w:val="2"/>
    </w:lvl>
    <w:lvl w:ilvl="1">
      <w:lvlJc w:val="left"/>
      <w:lvlText w:val="(%2)"/>
      <w:numFmt w:val="lowerRoman"/>
      <w:start w:val="2"/>
    </w:lvl>
  </w:abstractNum>
  <w:abstractNum w:abstractNumId="125">
    <w:nsid w:val="30EADA61"/>
    <w:multiLevelType w:val="hybridMultilevel"/>
    <w:lvl w:ilvl="0">
      <w:lvlJc w:val="left"/>
      <w:lvlText w:val="B"/>
      <w:numFmt w:val="bullet"/>
      <w:start w:val="1"/>
    </w:lvl>
  </w:abstractNum>
  <w:abstractNum w:abstractNumId="126">
    <w:nsid w:val="27179C0B"/>
    <w:multiLevelType w:val="hybridMultilevel"/>
    <w:lvl w:ilvl="0">
      <w:lvlJc w:val="left"/>
      <w:lvlText w:val="%1."/>
      <w:numFmt w:val="decimal"/>
      <w:start w:val="2"/>
    </w:lvl>
  </w:abstractNum>
  <w:abstractNum w:abstractNumId="127">
    <w:nsid w:val="5E636063"/>
    <w:multiLevelType w:val="hybridMultilevel"/>
    <w:lvl w:ilvl="0">
      <w:lvlJc w:val="left"/>
      <w:lvlText w:val="(%1)"/>
      <w:numFmt w:val="lowerLetter"/>
      <w:start w:val="2"/>
    </w:lvl>
    <w:lvl w:ilvl="1">
      <w:lvlJc w:val="left"/>
      <w:lvlText w:val="(%2)"/>
      <w:numFmt w:val="lowerLetter"/>
      <w:start w:val="61"/>
    </w:lvl>
  </w:abstractNum>
  <w:abstractNum w:abstractNumId="128">
    <w:nsid w:val="215641AF"/>
    <w:multiLevelType w:val="hybridMultilevel"/>
    <w:lvl w:ilvl="0">
      <w:lvlJc w:val="left"/>
      <w:lvlText w:val="*"/>
      <w:numFmt w:val="bullet"/>
      <w:start w:val="1"/>
    </w:lvl>
  </w:abstractNum>
  <w:abstractNum w:abstractNumId="129">
    <w:nsid w:val="53280662"/>
    <w:multiLevelType w:val="hybridMultilevel"/>
    <w:lvl w:ilvl="0">
      <w:lvlJc w:val="left"/>
      <w:lvlText w:val="%1."/>
      <w:numFmt w:val="decimal"/>
      <w:start w:val="2"/>
    </w:lvl>
  </w:abstractNum>
  <w:abstractNum w:abstractNumId="130">
    <w:nsid w:val="46B24DBC"/>
    <w:multiLevelType w:val="hybridMultilevel"/>
    <w:lvl w:ilvl="0">
      <w:lvlJc w:val="left"/>
      <w:lvlText w:val="(%1)"/>
      <w:numFmt w:val="lowerLetter"/>
      <w:start w:val="2"/>
    </w:lvl>
    <w:lvl w:ilvl="1">
      <w:lvlJc w:val="left"/>
      <w:lvlText w:val="(%2)"/>
      <w:numFmt w:val="lowerLetter"/>
      <w:start w:val="61"/>
    </w:lvl>
  </w:abstractNum>
  <w:abstractNum w:abstractNumId="131">
    <w:nsid w:val="75B52783"/>
    <w:multiLevelType w:val="hybridMultilevel"/>
    <w:lvl w:ilvl="0">
      <w:lvlJc w:val="left"/>
      <w:lvlText w:val="(%1)"/>
      <w:numFmt w:val="lowerLetter"/>
      <w:start w:val="1"/>
    </w:lvl>
    <w:lvl w:ilvl="1">
      <w:lvlJc w:val="left"/>
      <w:lvlText w:val="(%2)"/>
      <w:numFmt w:val="lowerLetter"/>
      <w:start w:val="9"/>
    </w:lvl>
  </w:abstractNum>
  <w:abstractNum w:abstractNumId="132">
    <w:nsid w:val="57CE66B4"/>
    <w:multiLevelType w:val="hybridMultilevel"/>
    <w:lvl w:ilvl="0">
      <w:lvlJc w:val="left"/>
      <w:lvlText w:val="%1"/>
      <w:numFmt w:val="lowerLetter"/>
      <w:start w:val="1"/>
    </w:lvl>
    <w:lvl w:ilvl="1">
      <w:lvlJc w:val="left"/>
      <w:lvlText w:val="(%2)"/>
      <w:numFmt w:val="lowerLetter"/>
      <w:start w:val="61"/>
    </w:lvl>
  </w:abstractNum>
  <w:abstractNum w:abstractNumId="133">
    <w:nsid w:val="67A70B69"/>
    <w:multiLevelType w:val="hybridMultilevel"/>
    <w:lvl w:ilvl="0">
      <w:lvlJc w:val="left"/>
      <w:lvlText w:val="%1."/>
      <w:numFmt w:val="decimal"/>
      <w:start w:val="2"/>
    </w:lvl>
  </w:abstractNum>
  <w:abstractNum w:abstractNumId="134">
    <w:nsid w:val="5953172F"/>
    <w:multiLevelType w:val="hybridMultilevel"/>
    <w:lvl w:ilvl="0">
      <w:lvlJc w:val="left"/>
      <w:lvlText w:val="(%1)"/>
      <w:numFmt w:val="lowerLetter"/>
      <w:start w:val="1"/>
    </w:lvl>
  </w:abstractNum>
  <w:abstractNum w:abstractNumId="135">
    <w:nsid w:val="27EDFE3A"/>
    <w:multiLevelType w:val="hybridMultilevel"/>
    <w:lvl w:ilvl="0">
      <w:lvlJc w:val="left"/>
      <w:lvlText w:val="%1."/>
      <w:numFmt w:val="decimal"/>
      <w:start w:val="2"/>
    </w:lvl>
  </w:abstractNum>
  <w:abstractNum w:abstractNumId="136">
    <w:nsid w:val="52AC7DFF"/>
    <w:multiLevelType w:val="hybridMultilevel"/>
    <w:lvl w:ilvl="0">
      <w:lvlJc w:val="left"/>
      <w:lvlText w:val="(%1)"/>
      <w:numFmt w:val="lowerLetter"/>
      <w:start w:val="1"/>
    </w:lvl>
    <w:lvl w:ilvl="1">
      <w:lvlJc w:val="left"/>
      <w:lvlText w:val="(%2)"/>
      <w:numFmt w:val="lowerRoman"/>
      <w:start w:val="1"/>
    </w:lvl>
  </w:abstractNum>
  <w:abstractNum w:abstractNumId="137">
    <w:nsid w:val="C4C3AF"/>
    <w:multiLevelType w:val="hybridMultilevel"/>
    <w:lvl w:ilvl="0">
      <w:lvlJc w:val="left"/>
      <w:lvlText w:val="%1."/>
      <w:numFmt w:val="decimal"/>
      <w:start w:val="2"/>
    </w:lvl>
  </w:abstractNum>
  <w:abstractNum w:abstractNumId="138">
    <w:nsid w:val="4438072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39">
    <w:nsid w:val="6C053B16"/>
    <w:multiLevelType w:val="hybridMultilevel"/>
    <w:lvl w:ilvl="0">
      <w:lvlJc w:val="left"/>
      <w:lvlText w:val="(%1)"/>
      <w:numFmt w:val="lowerLetter"/>
      <w:start w:val="1"/>
    </w:lvl>
    <w:lvl w:ilvl="1">
      <w:lvlJc w:val="left"/>
      <w:lvlText w:val="(%2)"/>
      <w:numFmt w:val="lowerRoman"/>
      <w:start w:val="1"/>
    </w:lvl>
  </w:abstractNum>
  <w:abstractNum w:abstractNumId="140">
    <w:nsid w:val="4F294393"/>
    <w:multiLevelType w:val="hybridMultilevel"/>
    <w:lvl w:ilvl="0">
      <w:lvlJc w:val="left"/>
      <w:lvlText w:val="%1."/>
      <w:numFmt w:val="decimal"/>
      <w:start w:val="2"/>
    </w:lvl>
  </w:abstractNum>
  <w:abstractNum w:abstractNumId="141">
    <w:nsid w:val="5243BFAC"/>
    <w:multiLevelType w:val="hybridMultilevel"/>
    <w:lvl w:ilvl="0">
      <w:lvlJc w:val="left"/>
      <w:lvlText w:val="(%1)"/>
      <w:numFmt w:val="lowerLetter"/>
      <w:start w:val="1"/>
    </w:lvl>
    <w:lvl w:ilvl="1">
      <w:lvlJc w:val="left"/>
      <w:lvlText w:val="(%2)"/>
      <w:numFmt w:val="lowerLetter"/>
      <w:start w:val="61"/>
    </w:lvl>
  </w:abstractNum>
  <w:abstractNum w:abstractNumId="142">
    <w:nsid w:val="425EB207"/>
    <w:multiLevelType w:val="hybridMultilevel"/>
    <w:lvl w:ilvl="0">
      <w:lvlJc w:val="left"/>
      <w:lvlText w:val="(%1)"/>
      <w:numFmt w:val="lowerLetter"/>
      <w:start w:val="3"/>
    </w:lvl>
  </w:abstractNum>
  <w:abstractNum w:abstractNumId="143">
    <w:nsid w:val="334A6F1F"/>
    <w:multiLevelType w:val="hybridMultilevel"/>
    <w:lvl w:ilvl="0">
      <w:lvlJc w:val="left"/>
      <w:lvlText w:val="(%1)"/>
      <w:numFmt w:val="lowerLetter"/>
      <w:start w:val="1"/>
    </w:lvl>
  </w:abstractNum>
  <w:abstractNum w:abstractNumId="144">
    <w:nsid w:val="2E5B12B8"/>
    <w:multiLevelType w:val="hybridMultilevel"/>
    <w:lvl w:ilvl="0">
      <w:lvlJc w:val="left"/>
      <w:lvlText w:val="%1."/>
      <w:numFmt w:val="decimal"/>
      <w:start w:val="2"/>
    </w:lvl>
  </w:abstractNum>
  <w:abstractNum w:abstractNumId="145">
    <w:nsid w:val="5C03D76D"/>
    <w:multiLevelType w:val="hybridMultilevel"/>
    <w:lvl w:ilvl="0">
      <w:lvlJc w:val="left"/>
      <w:lvlText w:val="(%1)"/>
      <w:numFmt w:val="lowerLetter"/>
      <w:start w:val="1"/>
    </w:lvl>
  </w:abstractNum>
  <w:abstractNum w:abstractNumId="146">
    <w:nsid w:val="66A48D11"/>
    <w:multiLevelType w:val="hybridMultilevel"/>
    <w:lvl w:ilvl="0">
      <w:lvlJc w:val="left"/>
      <w:lvlText w:val="%1."/>
      <w:numFmt w:val="decimal"/>
      <w:start w:val="2"/>
    </w:lvl>
  </w:abstractNum>
  <w:abstractNum w:abstractNumId="147">
    <w:nsid w:val="56C28E34"/>
    <w:multiLevelType w:val="hybridMultilevel"/>
    <w:lvl w:ilvl="0">
      <w:lvlJc w:val="left"/>
      <w:lvlText w:val="(%1)"/>
      <w:numFmt w:val="lowerLetter"/>
      <w:start w:val="1"/>
    </w:lvl>
  </w:abstractNum>
  <w:abstractNum w:abstractNumId="148">
    <w:nsid w:val="13916F2D"/>
    <w:multiLevelType w:val="hybridMultilevel"/>
    <w:lvl w:ilvl="0">
      <w:lvlJc w:val="left"/>
      <w:lvlText w:val="%1."/>
      <w:numFmt w:val="decimal"/>
      <w:start w:val="2"/>
    </w:lvl>
  </w:abstractNum>
  <w:abstractNum w:abstractNumId="149">
    <w:nsid w:val="435D38D"/>
    <w:multiLevelType w:val="hybridMultilevel"/>
    <w:lvl w:ilvl="0">
      <w:lvlJc w:val="left"/>
      <w:lvlText w:val="(%1)"/>
      <w:numFmt w:val="lowerLetter"/>
      <w:start w:val="2"/>
    </w:lvl>
  </w:abstractNum>
  <w:abstractNum w:abstractNumId="150">
    <w:nsid w:val="822C0EF"/>
    <w:multiLevelType w:val="hybridMultilevel"/>
    <w:lvl w:ilvl="0">
      <w:lvlJc w:val="left"/>
      <w:lvlText w:val="(%1)"/>
      <w:numFmt w:val="lowerLetter"/>
      <w:start w:val="1"/>
    </w:lvl>
  </w:abstractNum>
  <w:abstractNum w:abstractNumId="151">
    <w:nsid w:val="57C5BB4F"/>
    <w:multiLevelType w:val="hybridMultilevel"/>
    <w:lvl w:ilvl="0">
      <w:lvlJc w:val="left"/>
      <w:lvlText w:val="%1."/>
      <w:numFmt w:val="decimal"/>
      <w:start w:val="2"/>
    </w:lvl>
  </w:abstractNum>
  <w:abstractNum w:abstractNumId="152">
    <w:nsid w:val="1803D089"/>
    <w:multiLevelType w:val="hybridMultilevel"/>
    <w:lvl w:ilvl="0">
      <w:lvlJc w:val="left"/>
      <w:lvlText w:val="(%1)"/>
      <w:numFmt w:val="lowerLetter"/>
      <w:start w:val="2"/>
    </w:lvl>
    <w:lvl w:ilvl="1">
      <w:lvlJc w:val="left"/>
      <w:lvlText w:val="(%2)"/>
      <w:numFmt w:val="lowerLetter"/>
      <w:start w:val="9"/>
    </w:lvl>
  </w:abstractNum>
  <w:abstractNum w:abstractNumId="153">
    <w:nsid w:val="4F3A06D4"/>
    <w:multiLevelType w:val="hybridMultilevel"/>
    <w:lvl w:ilvl="0">
      <w:lvlJc w:val="left"/>
      <w:lvlText w:val="%1."/>
      <w:numFmt w:val="decimal"/>
      <w:start w:val="2"/>
    </w:lvl>
  </w:abstractNum>
  <w:abstractNum w:abstractNumId="154">
    <w:nsid w:val="59A377B6"/>
    <w:multiLevelType w:val="hybridMultilevel"/>
    <w:lvl w:ilvl="0">
      <w:lvlJc w:val="left"/>
      <w:lvlText w:val="%1."/>
      <w:numFmt w:val="decimal"/>
      <w:start w:val="2"/>
    </w:lvl>
  </w:abstractNum>
  <w:abstractNum w:abstractNumId="155">
    <w:nsid w:val="48AEB063"/>
    <w:multiLevelType w:val="hybridMultilevel"/>
    <w:lvl w:ilvl="0">
      <w:lvlJc w:val="left"/>
      <w:lvlText w:val="(%1)"/>
      <w:numFmt w:val="lowerLetter"/>
      <w:start w:val="1"/>
    </w:lvl>
    <w:lvl w:ilvl="1">
      <w:lvlJc w:val="left"/>
      <w:lvlText w:val="(%2)"/>
      <w:numFmt w:val="lowerRoman"/>
      <w:start w:val="1"/>
    </w:lvl>
  </w:abstractNum>
  <w:abstractNum w:abstractNumId="156">
    <w:nsid w:val="24E135"/>
    <w:multiLevelType w:val="hybridMultilevel"/>
    <w:lvl w:ilvl="0">
      <w:lvlJc w:val="left"/>
      <w:lvlText w:val="%1."/>
      <w:numFmt w:val="decimal"/>
      <w:start w:val="2"/>
    </w:lvl>
  </w:abstractNum>
  <w:abstractNum w:abstractNumId="157">
    <w:nsid w:val="BB13C1"/>
    <w:multiLevelType w:val="hybridMultilevel"/>
    <w:lvl w:ilvl="0">
      <w:lvlJc w:val="left"/>
      <w:lvlText w:val="(%1)"/>
      <w:numFmt w:val="lowerRoman"/>
      <w:start w:val="1"/>
    </w:lvl>
  </w:abstractNum>
  <w:abstractNum w:abstractNumId="158">
    <w:nsid w:val="271210C7"/>
    <w:multiLevelType w:val="hybridMultilevel"/>
    <w:lvl w:ilvl="0">
      <w:lvlJc w:val="left"/>
      <w:lvlText w:val="%1."/>
      <w:numFmt w:val="decimal"/>
      <w:start w:val="2"/>
    </w:lvl>
  </w:abstractNum>
  <w:abstractNum w:abstractNumId="159">
    <w:nsid w:val="217B22E4"/>
    <w:multiLevelType w:val="hybridMultilevel"/>
    <w:lvl w:ilvl="0">
      <w:lvlJc w:val="left"/>
      <w:lvlText w:val="(%1)"/>
      <w:numFmt w:val="lowerLetter"/>
      <w:start w:val="1"/>
    </w:lvl>
  </w:abstractNum>
  <w:abstractNum w:abstractNumId="160">
    <w:nsid w:val="53E31A24"/>
    <w:multiLevelType w:val="hybridMultilevel"/>
    <w:lvl w:ilvl="0">
      <w:lvlJc w:val="left"/>
      <w:lvlText w:val="%1."/>
      <w:numFmt w:val="decimal"/>
      <w:start w:val="2"/>
    </w:lvl>
  </w:abstractNum>
  <w:abstractNum w:abstractNumId="161">
    <w:nsid w:val="6DC45E83"/>
    <w:multiLevelType w:val="hybridMultilevel"/>
    <w:lvl w:ilvl="0">
      <w:lvlJc w:val="left"/>
      <w:lvlText w:val="(%1)"/>
      <w:numFmt w:val="lowerLetter"/>
      <w:start w:val="4"/>
    </w:lvl>
    <w:lvl w:ilvl="1">
      <w:lvlJc w:val="left"/>
      <w:lvlText w:val="(%2)"/>
      <w:numFmt w:val="lowerRoman"/>
      <w:start w:val="1"/>
    </w:lvl>
  </w:abstractNum>
  <w:abstractNum w:abstractNumId="162">
    <w:nsid w:val="17304A67"/>
    <w:multiLevelType w:val="hybridMultilevel"/>
    <w:lvl w:ilvl="0">
      <w:lvlJc w:val="left"/>
      <w:lvlText w:val="%1."/>
      <w:numFmt w:val="decimal"/>
      <w:start w:val="2"/>
    </w:lvl>
  </w:abstractNum>
  <w:abstractNum w:abstractNumId="163">
    <w:nsid w:val="2BB180D8"/>
    <w:multiLevelType w:val="hybridMultilevel"/>
    <w:lvl w:ilvl="0">
      <w:lvlJc w:val="left"/>
      <w:lvlText w:val="(%1)"/>
      <w:numFmt w:val="lowerLetter"/>
      <w:start w:val="4"/>
    </w:lvl>
    <w:lvl w:ilvl="1">
      <w:lvlJc w:val="left"/>
      <w:lvlText w:val="(%2)"/>
      <w:numFmt w:val="lowerLetter"/>
      <w:start w:val="35"/>
    </w:lvl>
  </w:abstractNum>
  <w:abstractNum w:abstractNumId="164">
    <w:nsid w:val="556B69ED"/>
    <w:multiLevelType w:val="hybridMultilevel"/>
    <w:lvl w:ilvl="0">
      <w:lvlJc w:val="left"/>
      <w:lvlText w:val="(%1)"/>
      <w:numFmt w:val="lowerLetter"/>
      <w:start w:val="1"/>
    </w:lvl>
  </w:abstractNum>
  <w:abstractNum w:abstractNumId="165">
    <w:nsid w:val="70836196"/>
    <w:multiLevelType w:val="hybridMultilevel"/>
    <w:lvl w:ilvl="0">
      <w:lvlJc w:val="left"/>
      <w:lvlText w:val="%1."/>
      <w:numFmt w:val="decimal"/>
      <w:start w:val="2"/>
    </w:lvl>
  </w:abstractNum>
  <w:abstractNum w:abstractNumId="166">
    <w:nsid w:val="539F7F12"/>
    <w:multiLevelType w:val="hybridMultilevel"/>
    <w:lvl w:ilvl="0">
      <w:lvlJc w:val="left"/>
      <w:lvlText w:val="(%1)"/>
      <w:numFmt w:val="lowerLetter"/>
      <w:start w:val="2"/>
    </w:lvl>
    <w:lvl w:ilvl="1">
      <w:lvlJc w:val="left"/>
      <w:lvlText w:val="(%2)"/>
      <w:numFmt w:val="lowerRoman"/>
      <w:start w:val="1"/>
    </w:lvl>
  </w:abstractNum>
  <w:abstractNum w:abstractNumId="167">
    <w:nsid w:val="2817E7EC"/>
    <w:multiLevelType w:val="hybridMultilevel"/>
    <w:lvl w:ilvl="0">
      <w:lvlJc w:val="left"/>
      <w:lvlText w:val="%1."/>
      <w:numFmt w:val="decimal"/>
      <w:start w:val="2"/>
    </w:lvl>
  </w:abstractNum>
  <w:abstractNum w:abstractNumId="168">
    <w:nsid w:val="71482545"/>
    <w:multiLevelType w:val="hybridMultilevel"/>
    <w:lvl w:ilvl="0">
      <w:lvlJc w:val="left"/>
      <w:lvlText w:val="(%1)"/>
      <w:numFmt w:val="lowerRoman"/>
      <w:start w:val="1"/>
    </w:lvl>
  </w:abstractNum>
  <w:abstractNum w:abstractNumId="169">
    <w:nsid w:val="17D78639"/>
    <w:multiLevelType w:val="hybridMultilevel"/>
    <w:lvl w:ilvl="0">
      <w:lvlJc w:val="left"/>
      <w:lvlText w:val="%1."/>
      <w:numFmt w:val="decimal"/>
      <w:start w:val="3"/>
    </w:lvl>
    <w:lvl w:ilvl="1">
      <w:lvlJc w:val="left"/>
      <w:lvlText w:val="(%2)"/>
      <w:numFmt w:val="lowerLetter"/>
      <w:start w:val="1"/>
    </w:lvl>
  </w:abstractNum>
  <w:abstractNum w:abstractNumId="170">
    <w:nsid w:val="141D2302"/>
    <w:multiLevelType w:val="hybridMultilevel"/>
    <w:lvl w:ilvl="0">
      <w:lvlJc w:val="left"/>
      <w:lvlText w:val="%1."/>
      <w:numFmt w:val="decimal"/>
      <w:start w:val="3"/>
    </w:lvl>
    <w:lvl w:ilvl="1">
      <w:lvlJc w:val="left"/>
      <w:lvlText w:val="(%2)"/>
      <w:numFmt w:val="lowerLetter"/>
      <w:start w:val="3"/>
    </w:lvl>
  </w:abstractNum>
  <w:abstractNum w:abstractNumId="171">
    <w:nsid w:val="407168D8"/>
    <w:multiLevelType w:val="hybridMultilevel"/>
    <w:lvl w:ilvl="0">
      <w:lvlJc w:val="left"/>
      <w:lvlText w:val="%1."/>
      <w:numFmt w:val="decimal"/>
      <w:start w:val="3"/>
    </w:lvl>
  </w:abstractNum>
  <w:abstractNum w:abstractNumId="172">
    <w:nsid w:val="6A1B45E5"/>
    <w:multiLevelType w:val="hybridMultilevel"/>
    <w:lvl w:ilvl="0">
      <w:lvlJc w:val="left"/>
      <w:lvlText w:val="(%1)"/>
      <w:numFmt w:val="lowerLetter"/>
      <w:start w:val="4"/>
    </w:lvl>
  </w:abstractNum>
  <w:abstractNum w:abstractNumId="173">
    <w:nsid w:val="567BD50A"/>
    <w:multiLevelType w:val="hybridMultilevel"/>
    <w:lvl w:ilvl="0">
      <w:lvlJc w:val="left"/>
      <w:lvlText w:val="%1."/>
      <w:numFmt w:val="decimal"/>
      <w:start w:val="5"/>
    </w:lvl>
  </w:abstractNum>
  <w:abstractNum w:abstractNumId="174">
    <w:nsid w:val="73BBD7F8"/>
    <w:multiLevelType w:val="hybridMultilevel"/>
    <w:lvl w:ilvl="0">
      <w:lvlJc w:val="left"/>
      <w:lvlText w:val="%1."/>
      <w:numFmt w:val="decimal"/>
      <w:start w:val="7"/>
    </w:lvl>
  </w:abstractNum>
  <w:abstractNum w:abstractNumId="175">
    <w:nsid w:val="1876589D"/>
    <w:multiLevelType w:val="hybridMultilevel"/>
    <w:lvl w:ilvl="0">
      <w:lvlJc w:val="left"/>
      <w:lvlText w:val="%1."/>
      <w:numFmt w:val="decimal"/>
      <w:start w:val="7"/>
    </w:lvl>
  </w:abstractNum>
  <w:abstractNum w:abstractNumId="176">
    <w:nsid w:val="327FAC77"/>
    <w:multiLevelType w:val="hybridMultilevel"/>
    <w:lvl w:ilvl="0">
      <w:lvlJc w:val="left"/>
      <w:lvlText w:val="%1."/>
      <w:numFmt w:val="decimal"/>
      <w:start w:val="7"/>
    </w:lvl>
  </w:abstractNum>
  <w:abstractNum w:abstractNumId="177">
    <w:nsid w:val="5A606509"/>
    <w:multiLevelType w:val="hybridMultilevel"/>
    <w:lvl w:ilvl="0">
      <w:lvlJc w:val="left"/>
      <w:lvlText w:val="%1."/>
      <w:numFmt w:val="decimal"/>
      <w:start w:val="7"/>
    </w:lvl>
  </w:abstractNum>
  <w:abstractNum w:abstractNumId="178">
    <w:nsid w:val="6F38E6D1"/>
    <w:multiLevelType w:val="hybridMultilevel"/>
    <w:lvl w:ilvl="0">
      <w:lvlJc w:val="left"/>
      <w:lvlText w:val="%1."/>
      <w:numFmt w:val="decimal"/>
      <w:start w:val="7"/>
    </w:lvl>
  </w:abstractNum>
  <w:abstractNum w:abstractNumId="179">
    <w:nsid w:val="46111BA5"/>
    <w:multiLevelType w:val="hybridMultilevel"/>
    <w:lvl w:ilvl="0">
      <w:lvlJc w:val="left"/>
      <w:lvlText w:val="%1."/>
      <w:numFmt w:val="decimal"/>
      <w:start w:val="7"/>
    </w:lvl>
  </w:abstractNum>
  <w:abstractNum w:abstractNumId="180">
    <w:nsid w:val="5E963896"/>
    <w:multiLevelType w:val="hybridMultilevel"/>
    <w:lvl w:ilvl="0">
      <w:lvlJc w:val="left"/>
      <w:lvlText w:val="a"/>
      <w:numFmt w:val="bullet"/>
      <w:start w:val="1"/>
    </w:lvl>
  </w:abstractNum>
  <w:abstractNum w:abstractNumId="181">
    <w:nsid w:val="775BA7C1"/>
    <w:multiLevelType w:val="hybridMultilevel"/>
    <w:lvl w:ilvl="0">
      <w:lvlJc w:val="left"/>
      <w:lvlText w:val="b"/>
      <w:numFmt w:val="bullet"/>
      <w:start w:val="1"/>
    </w:lvl>
  </w:abstractNum>
  <w:abstractNum w:abstractNumId="182">
    <w:nsid w:val="1DD6D6F4"/>
    <w:multiLevelType w:val="hybridMultilevel"/>
    <w:lvl w:ilvl="0">
      <w:lvlJc w:val="left"/>
      <w:lvlText w:val="c"/>
      <w:numFmt w:val="bullet"/>
      <w:start w:val="1"/>
    </w:lvl>
  </w:abstractNum>
  <w:abstractNum w:abstractNumId="183">
    <w:nsid w:val="769A091F"/>
    <w:multiLevelType w:val="hybridMultilevel"/>
    <w:lvl w:ilvl="0">
      <w:lvlJc w:val="left"/>
      <w:lvlText w:val="d"/>
      <w:numFmt w:val="bullet"/>
      <w:start w:val="1"/>
    </w:lvl>
  </w:abstractNum>
  <w:abstractNum w:abstractNumId="184">
    <w:nsid w:val="4695AE95"/>
    <w:multiLevelType w:val="hybridMultilevel"/>
    <w:lvl w:ilvl="0">
      <w:lvlJc w:val="left"/>
      <w:lvlText w:val="e"/>
      <w:numFmt w:val="bullet"/>
      <w:start w:val="1"/>
    </w:lvl>
  </w:abstractNum>
  <w:abstractNum w:abstractNumId="185">
    <w:nsid w:val="777A4EAA"/>
    <w:multiLevelType w:val="hybridMultilevel"/>
    <w:lvl w:ilvl="0">
      <w:lvlJc w:val="left"/>
      <w:lvlText w:val="%1."/>
      <w:numFmt w:val="decimal"/>
      <w:start w:val="7"/>
    </w:lvl>
  </w:abstractNum>
  <w:abstractNum w:abstractNumId="186">
    <w:nsid w:val="3F48B982"/>
    <w:multiLevelType w:val="hybridMultilevel"/>
    <w:lvl w:ilvl="0">
      <w:lvlJc w:val="left"/>
      <w:lvlText w:val="%1."/>
      <w:numFmt w:val="decimal"/>
      <w:start w:val="7"/>
    </w:lvl>
  </w:abstractNum>
  <w:abstractNum w:abstractNumId="187">
    <w:nsid w:val="46BA8FCA"/>
    <w:multiLevelType w:val="hybridMultilevel"/>
    <w:lvl w:ilvl="0">
      <w:lvlJc w:val="left"/>
      <w:lvlText w:val="%1."/>
      <w:numFmt w:val="decimal"/>
      <w:start w:val="7"/>
    </w:lvl>
  </w:abstractNum>
  <w:abstractNum w:abstractNumId="188">
    <w:nsid w:val="7835626C"/>
    <w:multiLevelType w:val="hybridMultilevel"/>
    <w:lvl w:ilvl="0">
      <w:lvlJc w:val="left"/>
      <w:lvlText w:val="%1."/>
      <w:numFmt w:val="decimal"/>
      <w:start w:val="9"/>
    </w:lvl>
  </w:abstractNum>
  <w:abstractNum w:abstractNumId="189">
    <w:nsid w:val="665ACA49"/>
    <w:multiLevelType w:val="hybridMultilevel"/>
    <w:lvl w:ilvl="0">
      <w:lvlJc w:val="left"/>
      <w:lvlText w:val="%1."/>
      <w:numFmt w:val="decimal"/>
      <w:start w:val="10"/>
    </w:lvl>
  </w:abstractNum>
  <w:abstractNum w:abstractNumId="190">
    <w:nsid w:val="6835B2AE"/>
    <w:multiLevelType w:val="hybridMultilevel"/>
    <w:lvl w:ilvl="0">
      <w:lvlJc w:val="left"/>
      <w:lvlText w:val="(%1)"/>
      <w:numFmt w:val="lowerLetter"/>
      <w:start w:val="1"/>
    </w:lvl>
  </w:abstractNum>
  <w:abstractNum w:abstractNumId="191">
    <w:nsid w:val="4C187C90"/>
    <w:multiLevelType w:val="hybridMultilevel"/>
    <w:lvl w:ilvl="0">
      <w:lvlJc w:val="left"/>
      <w:lvlText w:val="%1."/>
      <w:numFmt w:val="decimal"/>
      <w:start w:val="10"/>
    </w:lvl>
  </w:abstractNum>
  <w:abstractNum w:abstractNumId="192">
    <w:nsid w:val="541F28CD"/>
    <w:multiLevelType w:val="hybridMultilevel"/>
    <w:lvl w:ilvl="0">
      <w:lvlJc w:val="left"/>
      <w:lvlText w:val="(%1)"/>
      <w:numFmt w:val="lowerLetter"/>
      <w:start w:val="2"/>
    </w:lvl>
  </w:abstractNum>
  <w:abstractNum w:abstractNumId="193">
    <w:nsid w:val="7F65FD16"/>
    <w:multiLevelType w:val="hybridMultilevel"/>
    <w:lvl w:ilvl="0">
      <w:lvlJc w:val="left"/>
      <w:lvlText w:val="(%1)"/>
      <w:numFmt w:val="lowerLetter"/>
      <w:start w:val="3"/>
    </w:lvl>
  </w:abstractNum>
  <w:abstractNum w:abstractNumId="194">
    <w:nsid w:val="77C9FD68"/>
    <w:multiLevelType w:val="hybridMultilevel"/>
    <w:lvl w:ilvl="0">
      <w:lvlJc w:val="left"/>
      <w:lvlText w:val="%1."/>
      <w:numFmt w:val="decimal"/>
      <w:start w:val="11"/>
    </w:lvl>
  </w:abstractNum>
  <w:abstractNum w:abstractNumId="195">
    <w:nsid w:val="298A92BA"/>
    <w:multiLevelType w:val="hybridMultilevel"/>
    <w:lvl w:ilvl="0">
      <w:lvlJc w:val="left"/>
      <w:lvlText w:val="(%1)"/>
      <w:numFmt w:val="lowerLetter"/>
      <w:start w:val="1"/>
    </w:lvl>
  </w:abstractNum>
  <w:abstractNum w:abstractNumId="196">
    <w:nsid w:val="6FE95EAC"/>
    <w:multiLevelType w:val="hybridMultilevel"/>
    <w:lvl w:ilvl="0">
      <w:lvlJc w:val="left"/>
      <w:lvlText w:val="(%1)"/>
      <w:numFmt w:val="lowerLetter"/>
      <w:start w:val="2"/>
    </w:lvl>
  </w:abstractNum>
  <w:abstractNum w:abstractNumId="197">
    <w:nsid w:val="4B697C7A"/>
    <w:multiLevelType w:val="hybridMultilevel"/>
    <w:lvl w:ilvl="0">
      <w:lvlJc w:val="left"/>
      <w:lvlText w:val="%1."/>
      <w:numFmt w:val="decimal"/>
      <w:start w:val="11"/>
    </w:lvl>
  </w:abstractNum>
  <w:abstractNum w:abstractNumId="198">
    <w:nsid w:val="51A27AA6"/>
    <w:multiLevelType w:val="hybridMultilevel"/>
    <w:lvl w:ilvl="0">
      <w:lvlJc w:val="left"/>
      <w:lvlText w:val="(%1)"/>
      <w:numFmt w:val="lowerLetter"/>
      <w:start w:val="2"/>
    </w:lvl>
  </w:abstractNum>
  <w:abstractNum w:abstractNumId="199">
    <w:nsid w:val="613183F2"/>
    <w:multiLevelType w:val="hybridMultilevel"/>
    <w:lvl w:ilvl="0">
      <w:lvlJc w:val="left"/>
      <w:lvlText w:val="%1."/>
      <w:numFmt w:val="decimal"/>
      <w:start w:val="12"/>
    </w:lvl>
  </w:abstractNum>
  <w:abstractNum w:abstractNumId="200">
    <w:nsid w:val="634102B4"/>
    <w:multiLevelType w:val="hybridMultilevel"/>
    <w:lvl w:ilvl="0">
      <w:lvlJc w:val="left"/>
      <w:lvlText w:val="%1."/>
      <w:numFmt w:val="decimal"/>
      <w:start w:val="12"/>
    </w:lvl>
  </w:abstractNum>
  <w:abstractNum w:abstractNumId="201">
    <w:nsid w:val="65BF9DA8"/>
    <w:multiLevelType w:val="hybridMultilevel"/>
    <w:lvl w:ilvl="0">
      <w:lvlJc w:val="left"/>
      <w:lvlText w:val="%1."/>
      <w:numFmt w:val="decimal"/>
      <w:start w:val="13"/>
    </w:lvl>
  </w:abstractNum>
  <w:abstractNum w:abstractNumId="202">
    <w:nsid w:val="21A2ECCA"/>
    <w:multiLevelType w:val="hybridMultilevel"/>
    <w:lvl w:ilvl="0">
      <w:lvlJc w:val="left"/>
      <w:lvlText w:val="%1."/>
      <w:numFmt w:val="decimal"/>
      <w:start w:val="15"/>
    </w:lvl>
  </w:abstractNum>
  <w:abstractNum w:abstractNumId="203">
    <w:nsid w:val="4D5C4899"/>
    <w:multiLevelType w:val="hybridMultilevel"/>
    <w:lvl w:ilvl="0">
      <w:lvlJc w:val="left"/>
      <w:lvlText w:val="%1."/>
      <w:numFmt w:val="decimal"/>
      <w:start w:val="15"/>
    </w:lvl>
  </w:abstractNum>
  <w:abstractNum w:abstractNumId="204">
    <w:nsid w:val="3C3B72B2"/>
    <w:multiLevelType w:val="hybridMultilevel"/>
    <w:lvl w:ilvl="0">
      <w:lvlJc w:val="left"/>
      <w:lvlText w:val="%1."/>
      <w:numFmt w:val="decimal"/>
      <w:start w:val="15"/>
    </w:lvl>
  </w:abstractNum>
  <w:abstractNum w:abstractNumId="205">
    <w:nsid w:val="155EC4C2"/>
    <w:multiLevelType w:val="hybridMultilevel"/>
    <w:lvl w:ilvl="0">
      <w:lvlJc w:val="left"/>
      <w:lvlText w:val="%1."/>
      <w:numFmt w:val="decimal"/>
      <w:start w:val="16"/>
    </w:lvl>
  </w:abstractNum>
  <w:abstractNum w:abstractNumId="206">
    <w:nsid w:val="65D2A137"/>
    <w:multiLevelType w:val="hybridMultilevel"/>
    <w:lvl w:ilvl="0">
      <w:lvlJc w:val="left"/>
      <w:lvlText w:val="%1."/>
      <w:numFmt w:val="decimal"/>
      <w:start w:val="17"/>
    </w:lvl>
  </w:abstractNum>
  <w:abstractNum w:abstractNumId="207">
    <w:nsid w:val="6EBB1F2A"/>
    <w:multiLevelType w:val="hybridMultilevel"/>
    <w:lvl w:ilvl="0">
      <w:lvlJc w:val="left"/>
      <w:lvlText w:val="%1."/>
      <w:numFmt w:val="decimal"/>
      <w:start w:val="18"/>
    </w:lvl>
  </w:abstractNum>
  <w:abstractNum w:abstractNumId="208">
    <w:nsid w:val="6FBF29CB"/>
    <w:multiLevelType w:val="hybridMultilevel"/>
    <w:lvl w:ilvl="0">
      <w:lvlJc w:val="left"/>
      <w:lvlText w:val="(%1)"/>
      <w:numFmt w:val="lowerLetter"/>
      <w:start w:val="1"/>
    </w:lvl>
  </w:abstractNum>
  <w:abstractNum w:abstractNumId="209">
    <w:nsid w:val="550B8808"/>
    <w:multiLevelType w:val="hybridMultilevel"/>
    <w:lvl w:ilvl="0">
      <w:lvlJc w:val="left"/>
      <w:lvlText w:val="%1."/>
      <w:numFmt w:val="decimal"/>
      <w:start w:val="18"/>
    </w:lvl>
  </w:abstractNum>
  <w:abstractNum w:abstractNumId="210">
    <w:nsid w:val="34CC3ACF"/>
    <w:multiLevelType w:val="hybridMultilevel"/>
    <w:lvl w:ilvl="0">
      <w:lvlJc w:val="left"/>
      <w:lvlText w:val="(%1)"/>
      <w:numFmt w:val="lowerLetter"/>
      <w:start w:val="2"/>
    </w:lvl>
  </w:abstractNum>
  <w:abstractNum w:abstractNumId="211">
    <w:nsid w:val="4E556261"/>
    <w:multiLevelType w:val="hybridMultilevel"/>
    <w:lvl w:ilvl="0">
      <w:lvlJc w:val="left"/>
      <w:lvlText w:val="%1."/>
      <w:numFmt w:val="decimal"/>
      <w:start w:val="18"/>
    </w:lvl>
  </w:abstractNum>
  <w:abstractNum w:abstractNumId="212">
    <w:nsid w:val="4C672FC9"/>
    <w:multiLevelType w:val="hybridMultilevel"/>
    <w:lvl w:ilvl="0">
      <w:lvlJc w:val="left"/>
      <w:lvlText w:val="(%1)"/>
      <w:numFmt w:val="lowerLetter"/>
      <w:start w:val="3"/>
    </w:lvl>
  </w:abstractNum>
  <w:abstractNum w:abstractNumId="213">
    <w:nsid w:val="52A311C3"/>
    <w:multiLevelType w:val="hybridMultilevel"/>
    <w:lvl w:ilvl="0">
      <w:lvlJc w:val="left"/>
      <w:lvlText w:val="%1."/>
      <w:numFmt w:val="decimal"/>
      <w:start w:val="19"/>
    </w:lvl>
  </w:abstractNum>
  <w:abstractNum w:abstractNumId="214">
    <w:nsid w:val="44EF6B80"/>
    <w:multiLevelType w:val="hybridMultilevel"/>
    <w:lvl w:ilvl="0">
      <w:lvlJc w:val="left"/>
      <w:lvlText w:val="†"/>
      <w:numFmt w:val="bullet"/>
      <w:start w:val="1"/>
    </w:lvl>
  </w:abstractNum>
  <w:abstractNum w:abstractNumId="215">
    <w:nsid w:val="12FCDE5E"/>
    <w:multiLevelType w:val="hybridMultilevel"/>
    <w:lvl w:ilvl="0">
      <w:lvlJc w:val="left"/>
      <w:lvlText w:val="(%1)"/>
      <w:numFmt w:val="lowerLetter"/>
      <w:start w:val="1"/>
    </w:lvl>
  </w:abstractNum>
  <w:abstractNum w:abstractNumId="216">
    <w:nsid w:val="4A1D606E"/>
    <w:multiLevelType w:val="hybridMultilevel"/>
    <w:lvl w:ilvl="0">
      <w:lvlJc w:val="left"/>
      <w:lvlText w:val="%1."/>
      <w:numFmt w:val="decimal"/>
      <w:start w:val="20"/>
    </w:lvl>
  </w:abstractNum>
  <w:abstractNum w:abstractNumId="217">
    <w:nsid w:val="4382503"/>
    <w:multiLevelType w:val="hybridMultilevel"/>
    <w:lvl w:ilvl="0">
      <w:lvlJc w:val="left"/>
      <w:lvlText w:val="(%1)"/>
      <w:numFmt w:val="lowerLetter"/>
      <w:start w:val="1"/>
    </w:lvl>
  </w:abstractNum>
  <w:abstractNum w:abstractNumId="218">
    <w:nsid w:val="59B76E28"/>
    <w:multiLevelType w:val="hybridMultilevel"/>
    <w:lvl w:ilvl="0">
      <w:lvlJc w:val="left"/>
      <w:lvlText w:val="%1."/>
      <w:numFmt w:val="decimal"/>
      <w:start w:val="21"/>
    </w:lvl>
  </w:abstractNum>
  <w:abstractNum w:abstractNumId="219">
    <w:nsid w:val="4252C2DA"/>
    <w:multiLevelType w:val="hybridMultilevel"/>
    <w:lvl w:ilvl="0">
      <w:lvlJc w:val="left"/>
      <w:lvlText w:val="(%1)"/>
      <w:numFmt w:val="lowerLetter"/>
      <w:start w:val="2"/>
    </w:lvl>
  </w:abstractNum>
  <w:abstractNum w:abstractNumId="220">
    <w:nsid w:val="6A92EF4C"/>
    <w:multiLevelType w:val="hybridMultilevel"/>
    <w:lvl w:ilvl="0">
      <w:lvlJc w:val="left"/>
      <w:lvlText w:val="%1."/>
      <w:numFmt w:val="decimal"/>
      <w:start w:val="21"/>
    </w:lvl>
  </w:abstractNum>
  <w:abstractNum w:abstractNumId="221">
    <w:nsid w:val="41ED20D7"/>
    <w:multiLevelType w:val="hybridMultilevel"/>
    <w:lvl w:ilvl="0">
      <w:lvlJc w:val="left"/>
      <w:lvlText w:val="(%1)"/>
      <w:numFmt w:val="lowerLetter"/>
      <w:start w:val="3"/>
    </w:lvl>
  </w:abstractNum>
  <w:abstractNum w:abstractNumId="222">
    <w:nsid w:val="E6B3F6A"/>
    <w:multiLevelType w:val="hybridMultilevel"/>
    <w:lvl w:ilvl="0">
      <w:lvlJc w:val="left"/>
      <w:lvlText w:val="%1."/>
      <w:numFmt w:val="decimal"/>
      <w:start w:val="22"/>
    </w:lvl>
  </w:abstractNum>
  <w:abstractNum w:abstractNumId="223">
    <w:nsid w:val="3EB21819"/>
    <w:multiLevelType w:val="hybridMultilevel"/>
    <w:lvl w:ilvl="0">
      <w:lvlJc w:val="left"/>
      <w:lvlText w:val="-"/>
      <w:numFmt w:val="bullet"/>
      <w:start w:val="1"/>
    </w:lvl>
  </w:abstractNum>
  <w:abstractNum w:abstractNumId="224">
    <w:nsid w:val="41531DED"/>
    <w:multiLevelType w:val="hybridMultilevel"/>
    <w:lvl w:ilvl="0">
      <w:lvlJc w:val="left"/>
      <w:lvlText w:val="-"/>
      <w:numFmt w:val="bullet"/>
      <w:start w:val="1"/>
    </w:lvl>
  </w:abstractNum>
  <w:abstractNum w:abstractNumId="225">
    <w:nsid w:val="6353CD2"/>
    <w:multiLevelType w:val="hybridMultilevel"/>
    <w:lvl w:ilvl="0">
      <w:lvlJc w:val="left"/>
      <w:lvlText w:val="%1."/>
      <w:numFmt w:val="decimal"/>
      <w:start w:val="22"/>
    </w:lvl>
  </w:abstractNum>
  <w:abstractNum w:abstractNumId="226">
    <w:nsid w:val="683CAAD3"/>
    <w:multiLevelType w:val="hybridMultilevel"/>
    <w:lvl w:ilvl="0">
      <w:lvlJc w:val="left"/>
      <w:lvlText w:val="*"/>
      <w:numFmt w:val="bullet"/>
      <w:start w:val="1"/>
    </w:lvl>
  </w:abstractNum>
  <w:abstractNum w:abstractNumId="227">
    <w:nsid w:val="313C7C99"/>
    <w:multiLevelType w:val="hybridMultilevel"/>
    <w:lvl w:ilvl="0">
      <w:lvlJc w:val="left"/>
      <w:lvlText w:val="%1."/>
      <w:numFmt w:val="decimal"/>
      <w:start w:val="23"/>
    </w:lvl>
  </w:abstractNum>
  <w:abstractNum w:abstractNumId="228">
    <w:nsid w:val="519EB94C"/>
    <w:multiLevelType w:val="hybridMultilevel"/>
    <w:lvl w:ilvl="0">
      <w:lvlJc w:val="left"/>
      <w:lvlText w:val="%1."/>
      <w:numFmt w:val="decimal"/>
      <w:start w:val="23"/>
    </w:lvl>
  </w:abstractNum>
  <w:abstractNum w:abstractNumId="229">
    <w:nsid w:val="39DF2579"/>
    <w:multiLevelType w:val="hybridMultilevel"/>
    <w:lvl w:ilvl="0">
      <w:lvlJc w:val="left"/>
      <w:lvlText w:val="%1."/>
      <w:numFmt w:val="decimal"/>
      <w:start w:val="23"/>
    </w:lvl>
  </w:abstractNum>
  <w:abstractNum w:abstractNumId="230">
    <w:nsid w:val="126E008B"/>
    <w:multiLevelType w:val="hybridMultilevel"/>
    <w:lvl w:ilvl="0">
      <w:lvlJc w:val="left"/>
      <w:lvlText w:val="(%1)"/>
      <w:numFmt w:val="lowerLetter"/>
      <w:start w:val="1"/>
    </w:lvl>
  </w:abstractNum>
  <w:abstractNum w:abstractNumId="231">
    <w:nsid w:val="34DFBC00"/>
    <w:multiLevelType w:val="hybridMultilevel"/>
    <w:lvl w:ilvl="0">
      <w:lvlJc w:val="left"/>
      <w:lvlText w:val="%1."/>
      <w:numFmt w:val="decimal"/>
      <w:start w:val="23"/>
    </w:lvl>
  </w:abstractNum>
  <w:abstractNum w:abstractNumId="232">
    <w:nsid w:val="1F9EC322"/>
    <w:multiLevelType w:val="hybridMultilevel"/>
    <w:lvl w:ilvl="0">
      <w:lvlJc w:val="left"/>
      <w:lvlText w:val="(%1)"/>
      <w:numFmt w:val="lowerLetter"/>
      <w:start w:val="1"/>
    </w:lvl>
  </w:abstractNum>
  <w:abstractNum w:abstractNumId="233">
    <w:nsid w:val="3410ED56"/>
    <w:multiLevelType w:val="hybridMultilevel"/>
    <w:lvl w:ilvl="0">
      <w:lvlJc w:val="left"/>
      <w:lvlText w:val="(%1)"/>
      <w:numFmt w:val="lowerLetter"/>
      <w:start w:val="2"/>
    </w:lvl>
  </w:abstractNum>
  <w:abstractNum w:abstractNumId="234">
    <w:nsid w:val="23C049A"/>
    <w:multiLevelType w:val="hybridMultilevel"/>
    <w:lvl w:ilvl="0">
      <w:lvlJc w:val="left"/>
      <w:lvlText w:val="%1."/>
      <w:numFmt w:val="decimal"/>
      <w:start w:val="23"/>
    </w:lvl>
  </w:abstractNum>
  <w:abstractNum w:abstractNumId="235">
    <w:nsid w:val="5BDA35D4"/>
    <w:multiLevelType w:val="hybridMultilevel"/>
    <w:lvl w:ilvl="0">
      <w:lvlJc w:val="left"/>
      <w:lvlText w:val="(%1)"/>
      <w:numFmt w:val="lowerLetter"/>
      <w:start w:val="2"/>
    </w:lvl>
  </w:abstractNum>
  <w:abstractNum w:abstractNumId="236">
    <w:nsid w:val="496FB218"/>
    <w:multiLevelType w:val="hybridMultilevel"/>
    <w:lvl w:ilvl="0">
      <w:lvlJc w:val="left"/>
      <w:lvlText w:val="(%1)"/>
      <w:numFmt w:val="lowerLetter"/>
      <w:start w:val="3"/>
    </w:lvl>
  </w:abstractNum>
  <w:abstractNum w:abstractNumId="237">
    <w:nsid w:val="680EA5D1"/>
    <w:multiLevelType w:val="hybridMultilevel"/>
    <w:lvl w:ilvl="0">
      <w:lvlJc w:val="left"/>
      <w:lvlText w:val="%1."/>
      <w:numFmt w:val="decimal"/>
      <w:start w:val="24"/>
    </w:lvl>
  </w:abstractNum>
  <w:abstractNum w:abstractNumId="238">
    <w:nsid w:val="4A9554FE"/>
    <w:multiLevelType w:val="hybridMultilevel"/>
    <w:lvl w:ilvl="0">
      <w:lvlJc w:val="left"/>
      <w:lvlText w:val="%1."/>
      <w:numFmt w:val="decimal"/>
      <w:start w:val="26"/>
    </w:lvl>
  </w:abstractNum>
  <w:abstractNum w:abstractNumId="239">
    <w:nsid w:val="392EDBE4"/>
    <w:multiLevelType w:val="hybridMultilevel"/>
    <w:lvl w:ilvl="0">
      <w:lvlJc w:val="left"/>
      <w:lvlText w:val="%1."/>
      <w:numFmt w:val="decimal"/>
      <w:start w:val="27"/>
    </w:lvl>
  </w:abstractNum>
  <w:abstractNum w:abstractNumId="240">
    <w:nsid w:val="3D1A2DD9"/>
    <w:multiLevelType w:val="hybridMultilevel"/>
    <w:lvl w:ilvl="0">
      <w:lvlJc w:val="left"/>
      <w:lvlText w:val="(%1)"/>
      <w:numFmt w:val="lowerLetter"/>
      <w:start w:val="1"/>
    </w:lvl>
  </w:abstractNum>
  <w:abstractNum w:abstractNumId="241">
    <w:nsid w:val="7F618FCD"/>
    <w:multiLevelType w:val="hybridMultilevel"/>
    <w:lvl w:ilvl="0">
      <w:lvlJc w:val="left"/>
      <w:lvlText w:val="(%1)"/>
      <w:numFmt w:val="lowerLetter"/>
      <w:start w:val="2"/>
    </w:lvl>
  </w:abstractNum>
  <w:abstractNum w:abstractNumId="242">
    <w:nsid w:val="7843E45"/>
    <w:multiLevelType w:val="hybridMultilevel"/>
    <w:lvl w:ilvl="0">
      <w:lvlJc w:val="left"/>
      <w:lvlText w:val="%1."/>
      <w:numFmt w:val="decimal"/>
      <w:start w:val="28"/>
    </w:lvl>
  </w:abstractNum>
  <w:abstractNum w:abstractNumId="243">
    <w:nsid w:val="9815DA3"/>
    <w:multiLevelType w:val="hybridMultilevel"/>
    <w:lvl w:ilvl="0">
      <w:lvlJc w:val="left"/>
      <w:lvlText w:val="(%1)"/>
      <w:numFmt w:val="lowerLetter"/>
      <w:start w:val="1"/>
    </w:lvl>
    <w:lvl w:ilvl="1">
      <w:lvlJc w:val="left"/>
      <w:lvlText w:val="(%2)"/>
      <w:numFmt w:val="lowerLetter"/>
      <w:start w:val="9"/>
    </w:lvl>
  </w:abstractNum>
  <w:abstractNum w:abstractNumId="244">
    <w:nsid w:val="5204A191"/>
    <w:multiLevelType w:val="hybridMultilevel"/>
    <w:lvl w:ilvl="0">
      <w:lvlJc w:val="left"/>
      <w:lvlText w:val="%1."/>
      <w:numFmt w:val="decimal"/>
      <w:start w:val="28"/>
    </w:lvl>
  </w:abstractNum>
  <w:abstractNum w:abstractNumId="245">
    <w:nsid w:val="4C73A9C6"/>
    <w:multiLevelType w:val="hybridMultilevel"/>
    <w:lvl w:ilvl="0">
      <w:lvlJc w:val="left"/>
      <w:lvlText w:val="(%1)"/>
      <w:numFmt w:val="lowerLetter"/>
      <w:start w:val="1"/>
    </w:lvl>
    <w:lvl w:ilvl="1">
      <w:lvlJc w:val="left"/>
      <w:lvlText w:val="(%2)"/>
      <w:numFmt w:val="lowerLetter"/>
      <w:start w:val="9"/>
    </w:lvl>
  </w:abstractNum>
  <w:abstractNum w:abstractNumId="246">
    <w:nsid w:val="1C7E3C01"/>
    <w:multiLevelType w:val="hybridMultilevel"/>
    <w:lvl w:ilvl="0">
      <w:lvlJc w:val="left"/>
      <w:lvlText w:val="%1."/>
      <w:numFmt w:val="decimal"/>
      <w:start w:val="28"/>
    </w:lvl>
  </w:abstractNum>
  <w:abstractNum w:abstractNumId="247">
    <w:nsid w:val="1C2201FF"/>
    <w:multiLevelType w:val="hybridMultilevel"/>
    <w:lvl w:ilvl="0">
      <w:lvlJc w:val="left"/>
      <w:lvlText w:val="(%1)"/>
      <w:numFmt w:val="lowerLetter"/>
      <w:start w:val="1"/>
    </w:lvl>
    <w:lvl w:ilvl="1">
      <w:lvlJc w:val="left"/>
      <w:lvlText w:val="(%2)"/>
      <w:numFmt w:val="lowerLetter"/>
      <w:start w:val="9"/>
    </w:lvl>
  </w:abstractNum>
  <w:abstractNum w:abstractNumId="248">
    <w:nsid w:val="50ABCEC9"/>
    <w:multiLevelType w:val="hybridMultilevel"/>
    <w:lvl w:ilvl="0">
      <w:lvlJc w:val="left"/>
      <w:lvlText w:val="(%1)"/>
      <w:numFmt w:val="lowerRoman"/>
      <w:start w:val="2"/>
    </w:lvl>
  </w:abstractNum>
  <w:abstractNum w:abstractNumId="249">
    <w:nsid w:val="7635AA2A"/>
    <w:multiLevelType w:val="hybridMultilevel"/>
    <w:lvl w:ilvl="0">
      <w:lvlJc w:val="left"/>
      <w:lvlText w:val="%1."/>
      <w:numFmt w:val="decimal"/>
      <w:start w:val="28"/>
    </w:lvl>
  </w:abstractNum>
  <w:abstractNum w:abstractNumId="250">
    <w:nsid w:val="5E74C4D9"/>
    <w:multiLevelType w:val="hybridMultilevel"/>
    <w:lvl w:ilvl="0">
      <w:lvlJc w:val="left"/>
      <w:lvlText w:val="(%1)"/>
      <w:numFmt w:val="lowerLetter"/>
      <w:start w:val="1"/>
    </w:lvl>
    <w:lvl w:ilvl="1">
      <w:lvlJc w:val="left"/>
      <w:lvlText w:val="(%2)"/>
      <w:numFmt w:val="lowerLetter"/>
      <w:start w:val="61"/>
    </w:lvl>
  </w:abstractNum>
  <w:abstractNum w:abstractNumId="251">
    <w:nsid w:val="3B3EBE15"/>
    <w:multiLevelType w:val="hybridMultilevel"/>
    <w:lvl w:ilvl="0">
      <w:lvlJc w:val="left"/>
      <w:lvlText w:val="%1"/>
      <w:numFmt w:val="lowerLetter"/>
      <w:start w:val="1"/>
    </w:lvl>
    <w:lvl w:ilvl="1">
      <w:lvlJc w:val="left"/>
      <w:lvlText w:val="(%2)"/>
      <w:numFmt w:val="lowerLetter"/>
      <w:start w:val="9"/>
    </w:lvl>
  </w:abstractNum>
  <w:abstractNum w:abstractNumId="252">
    <w:nsid w:val="3822CB01"/>
    <w:multiLevelType w:val="hybridMultilevel"/>
    <w:lvl w:ilvl="0">
      <w:lvlJc w:val="left"/>
      <w:lvlText w:val="%1."/>
      <w:numFmt w:val="decimal"/>
      <w:start w:val="28"/>
    </w:lvl>
  </w:abstractNum>
  <w:abstractNum w:abstractNumId="253">
    <w:nsid w:val="6CE00443"/>
    <w:multiLevelType w:val="hybridMultilevel"/>
    <w:lvl w:ilvl="0">
      <w:lvlJc w:val="left"/>
      <w:lvlText w:val="(%1)"/>
      <w:numFmt w:val="lowerLetter"/>
      <w:start w:val="2"/>
    </w:lvl>
    <w:lvl w:ilvl="1">
      <w:lvlJc w:val="left"/>
      <w:lvlText w:val="(%2)"/>
      <w:numFmt w:val="lowerLetter"/>
      <w:start w:val="35"/>
    </w:lvl>
  </w:abstractNum>
  <w:abstractNum w:abstractNumId="254">
    <w:nsid w:val="79F0D62F"/>
    <w:multiLevelType w:val="hybridMultilevel"/>
    <w:lvl w:ilvl="0">
      <w:lvlJc w:val="left"/>
      <w:lvlText w:val="(%1)"/>
      <w:numFmt w:val="lowerLetter"/>
      <w:start w:val="3"/>
    </w:lvl>
  </w:abstractNum>
  <w:abstractNum w:abstractNumId="255">
    <w:nsid w:val="7975E8EE"/>
    <w:multiLevelType w:val="hybridMultilevel"/>
    <w:lvl w:ilvl="0">
      <w:lvlJc w:val="left"/>
      <w:lvlText w:val="%1."/>
      <w:numFmt w:val="decimal"/>
      <w:start w:val="28"/>
    </w:lvl>
  </w:abstractNum>
  <w:abstractNum w:abstractNumId="256">
    <w:nsid w:val="73154115"/>
    <w:multiLevelType w:val="hybridMultilevel"/>
    <w:lvl w:ilvl="0">
      <w:lvlJc w:val="left"/>
      <w:lvlText w:val="(%1)"/>
      <w:numFmt w:val="lowerLetter"/>
      <w:start w:val="3"/>
    </w:lvl>
  </w:abstractNum>
  <w:abstractNum w:abstractNumId="257">
    <w:nsid w:val="622D8102"/>
    <w:multiLevelType w:val="hybridMultilevel"/>
    <w:lvl w:ilvl="0">
      <w:lvlJc w:val="left"/>
      <w:lvlText w:val="%1."/>
      <w:numFmt w:val="decimal"/>
      <w:start w:val="28"/>
    </w:lvl>
  </w:abstractNum>
  <w:abstractNum w:abstractNumId="258">
    <w:nsid w:val="2AB26587"/>
    <w:multiLevelType w:val="hybridMultilevel"/>
    <w:lvl w:ilvl="0">
      <w:lvlJc w:val="left"/>
      <w:lvlText w:val="(%1)"/>
      <w:numFmt w:val="lowerLetter"/>
      <w:start w:val="4"/>
    </w:lvl>
  </w:abstractNum>
  <w:abstractNum w:abstractNumId="259">
    <w:nsid w:val="44B3FA61"/>
    <w:multiLevelType w:val="hybridMultilevel"/>
    <w:lvl w:ilvl="0">
      <w:lvlJc w:val="left"/>
      <w:lvlText w:val="(%1)"/>
      <w:numFmt w:val="lowerLetter"/>
      <w:start w:val="5"/>
    </w:lvl>
  </w:abstractNum>
  <w:abstractNum w:abstractNumId="260">
    <w:nsid w:val="1C0CA67C"/>
    <w:multiLevelType w:val="hybridMultilevel"/>
    <w:lvl w:ilvl="0">
      <w:lvlJc w:val="left"/>
      <w:lvlText w:val="%1."/>
      <w:numFmt w:val="decimal"/>
      <w:start w:val="28"/>
    </w:lvl>
  </w:abstractNum>
  <w:abstractNum w:abstractNumId="261">
    <w:nsid w:val="3D206613"/>
    <w:multiLevelType w:val="hybridMultilevel"/>
    <w:lvl w:ilvl="0">
      <w:lvlJc w:val="left"/>
      <w:lvlText w:val="(%1)"/>
      <w:numFmt w:val="lowerLetter"/>
      <w:start w:val="5"/>
    </w:lvl>
    <w:lvl w:ilvl="1">
      <w:lvlJc w:val="left"/>
      <w:lvlText w:val="(%2)"/>
      <w:numFmt w:val="lowerRoman"/>
      <w:start w:val="1"/>
    </w:lvl>
  </w:abstractNum>
  <w:abstractNum w:abstractNumId="262">
    <w:nsid w:val="7993B662"/>
    <w:multiLevelType w:val="hybridMultilevel"/>
    <w:lvl w:ilvl="0">
      <w:lvlJc w:val="left"/>
      <w:lvlText w:val="%1."/>
      <w:numFmt w:val="decimal"/>
      <w:start w:val="28"/>
    </w:lvl>
  </w:abstractNum>
  <w:abstractNum w:abstractNumId="263">
    <w:nsid w:val="3BAB699E"/>
    <w:multiLevelType w:val="hybridMultilevel"/>
    <w:lvl w:ilvl="0">
      <w:lvlJc w:val="left"/>
      <w:lvlText w:val="(%1)"/>
      <w:numFmt w:val="lowerLetter"/>
      <w:start w:val="6"/>
    </w:lvl>
  </w:abstractNum>
  <w:abstractNum w:abstractNumId="264">
    <w:nsid w:val="71315369"/>
    <w:multiLevelType w:val="hybridMultilevel"/>
    <w:lvl w:ilvl="0">
      <w:lvlJc w:val="left"/>
      <w:lvlText w:val="%1."/>
      <w:numFmt w:val="decimal"/>
      <w:start w:val="29"/>
    </w:lvl>
  </w:abstractNum>
  <w:abstractNum w:abstractNumId="265">
    <w:nsid w:val="7BCFBAFC"/>
    <w:multiLevelType w:val="hybridMultilevel"/>
    <w:lvl w:ilvl="0">
      <w:lvlJc w:val="left"/>
      <w:lvlText w:val="%1."/>
      <w:numFmt w:val="decimal"/>
      <w:start w:val="29"/>
    </w:lvl>
  </w:abstractNum>
  <w:abstractNum w:abstractNumId="266">
    <w:nsid w:val="17859F72"/>
    <w:multiLevelType w:val="hybridMultilevel"/>
    <w:lvl w:ilvl="0">
      <w:lvlJc w:val="left"/>
      <w:lvlText w:val="(%1)"/>
      <w:numFmt w:val="lowerLetter"/>
      <w:start w:val="2"/>
    </w:lvl>
  </w:abstractNum>
  <w:abstractNum w:abstractNumId="267">
    <w:nsid w:val="3AA10581"/>
    <w:multiLevelType w:val="hybridMultilevel"/>
    <w:lvl w:ilvl="0">
      <w:lvlJc w:val="left"/>
      <w:lvlText w:val="%1."/>
      <w:numFmt w:val="decimal"/>
      <w:start w:val="30"/>
    </w:lvl>
  </w:abstractNum>
  <w:abstractNum w:abstractNumId="268">
    <w:nsid w:val="63DE60CD"/>
    <w:multiLevelType w:val="hybridMultilevel"/>
    <w:lvl w:ilvl="0">
      <w:lvlJc w:val="left"/>
      <w:lvlText w:val="%1."/>
      <w:numFmt w:val="decimal"/>
      <w:start w:val="30"/>
    </w:lvl>
  </w:abstractNum>
  <w:abstractNum w:abstractNumId="269">
    <w:nsid w:val="621AF471"/>
    <w:multiLevelType w:val="hybridMultilevel"/>
    <w:lvl w:ilvl="0">
      <w:lvlJc w:val="left"/>
      <w:lvlText w:val="%1."/>
      <w:numFmt w:val="decimal"/>
      <w:start w:val="30"/>
    </w:lvl>
  </w:abstractNum>
  <w:abstractNum w:abstractNumId="270">
    <w:nsid w:val="73CFE165"/>
    <w:multiLevelType w:val="hybridMultilevel"/>
    <w:lvl w:ilvl="0">
      <w:lvlJc w:val="left"/>
      <w:lvlText w:val="%1."/>
      <w:numFmt w:val="decimal"/>
      <w:start w:val="31"/>
    </w:lvl>
  </w:abstractNum>
  <w:abstractNum w:abstractNumId="271">
    <w:nsid w:val="20F88EA6"/>
    <w:multiLevelType w:val="hybridMultilevel"/>
    <w:lvl w:ilvl="0">
      <w:lvlJc w:val="left"/>
      <w:lvlText w:val="(%1)"/>
      <w:numFmt w:val="lowerLetter"/>
      <w:start w:val="1"/>
    </w:lvl>
  </w:abstractNum>
  <w:abstractNum w:abstractNumId="272">
    <w:nsid w:val="617C843E"/>
    <w:multiLevelType w:val="hybridMultilevel"/>
    <w:lvl w:ilvl="0">
      <w:lvlJc w:val="left"/>
      <w:lvlText w:val="%1."/>
      <w:numFmt w:val="decimal"/>
      <w:start w:val="31"/>
    </w:lvl>
  </w:abstractNum>
  <w:abstractNum w:abstractNumId="273">
    <w:nsid w:val="7B541FAB"/>
    <w:multiLevelType w:val="hybridMultilevel"/>
    <w:lvl w:ilvl="0">
      <w:lvlJc w:val="left"/>
      <w:lvlText w:val="(%1)"/>
      <w:numFmt w:val="lowerLetter"/>
      <w:start w:val="1"/>
    </w:lvl>
  </w:abstractNum>
  <w:abstractNum w:abstractNumId="274">
    <w:nsid w:val="2A79EC49"/>
    <w:multiLevelType w:val="hybridMultilevel"/>
    <w:lvl w:ilvl="0">
      <w:lvlJc w:val="left"/>
      <w:lvlText w:val="%1."/>
      <w:numFmt w:val="decimal"/>
      <w:start w:val="31"/>
    </w:lvl>
  </w:abstractNum>
  <w:abstractNum w:abstractNumId="275">
    <w:nsid w:val="338125CF"/>
    <w:multiLevelType w:val="hybridMultilevel"/>
    <w:lvl w:ilvl="0">
      <w:lvlJc w:val="left"/>
      <w:lvlText w:val="(%1)"/>
      <w:numFmt w:val="lowerLetter"/>
      <w:start w:val="1"/>
    </w:lvl>
    <w:lvl w:ilvl="1">
      <w:lvlJc w:val="left"/>
      <w:lvlText w:val="(%2)"/>
      <w:numFmt w:val="lowerLetter"/>
      <w:start w:val="9"/>
    </w:lvl>
  </w:abstractNum>
  <w:abstractNum w:abstractNumId="276">
    <w:nsid w:val="47C7C971"/>
    <w:multiLevelType w:val="hybridMultilevel"/>
    <w:lvl w:ilvl="0">
      <w:lvlJc w:val="left"/>
      <w:lvlText w:val="%1."/>
      <w:numFmt w:val="decimal"/>
      <w:start w:val="31"/>
    </w:lvl>
  </w:abstractNum>
  <w:abstractNum w:abstractNumId="277">
    <w:nsid w:val="46F8284B"/>
    <w:multiLevelType w:val="hybridMultilevel"/>
    <w:lvl w:ilvl="0">
      <w:lvlJc w:val="left"/>
      <w:lvlText w:val="(%1)"/>
      <w:numFmt w:val="lowerLetter"/>
      <w:start w:val="1"/>
    </w:lvl>
    <w:lvl w:ilvl="1">
      <w:lvlJc w:val="left"/>
      <w:lvlText w:val="(%2)"/>
      <w:numFmt w:val="lowerLetter"/>
      <w:start w:val="61"/>
    </w:lvl>
  </w:abstractNum>
  <w:abstractNum w:abstractNumId="278">
    <w:nsid w:val="4FA327CE"/>
    <w:multiLevelType w:val="hybridMultilevel"/>
    <w:lvl w:ilvl="0">
      <w:lvlJc w:val="left"/>
      <w:lvlText w:val="(%1)"/>
      <w:numFmt w:val="lowerRoman"/>
      <w:start w:val="4"/>
    </w:lvl>
  </w:abstractNum>
  <w:abstractNum w:abstractNumId="279">
    <w:nsid w:val="1873983A"/>
    <w:multiLevelType w:val="hybridMultilevel"/>
    <w:lvl w:ilvl="0">
      <w:lvlJc w:val="left"/>
      <w:lvlText w:val="%1."/>
      <w:numFmt w:val="decimal"/>
      <w:start w:val="31"/>
    </w:lvl>
  </w:abstractNum>
  <w:abstractNum w:abstractNumId="280">
    <w:nsid w:val="3D2DD275"/>
    <w:multiLevelType w:val="hybridMultilevel"/>
    <w:lvl w:ilvl="0">
      <w:lvlJc w:val="left"/>
      <w:lvlText w:val="(%1)"/>
      <w:numFmt w:val="lowerLetter"/>
      <w:start w:val="1"/>
    </w:lvl>
    <w:lvl w:ilvl="1">
      <w:lvlJc w:val="left"/>
      <w:lvlText w:val="(%2)"/>
      <w:numFmt w:val="lowerRoman"/>
      <w:start w:val="4"/>
    </w:lvl>
  </w:abstractNum>
  <w:abstractNum w:abstractNumId="281">
    <w:nsid w:val="2E17ECA7"/>
    <w:multiLevelType w:val="hybridMultilevel"/>
    <w:lvl w:ilvl="0">
      <w:lvlJc w:val="left"/>
      <w:lvlText w:val="%1."/>
      <w:numFmt w:val="decimal"/>
      <w:start w:val="31"/>
    </w:lvl>
  </w:abstractNum>
  <w:abstractNum w:abstractNumId="282">
    <w:nsid w:val="53B2564F"/>
    <w:multiLevelType w:val="hybridMultilevel"/>
    <w:lvl w:ilvl="0">
      <w:lvlJc w:val="left"/>
      <w:lvlText w:val="(%1)"/>
      <w:numFmt w:val="lowerLetter"/>
      <w:start w:val="1"/>
    </w:lvl>
    <w:lvl w:ilvl="1">
      <w:lvlJc w:val="left"/>
      <w:lvlText w:val="(%2)"/>
      <w:numFmt w:val="lowerRoman"/>
      <w:start w:val="6"/>
    </w:lvl>
  </w:abstractNum>
  <w:abstractNum w:abstractNumId="283">
    <w:nsid w:val="75509D76"/>
    <w:multiLevelType w:val="hybridMultilevel"/>
    <w:lvl w:ilvl="0">
      <w:lvlJc w:val="left"/>
      <w:lvlText w:val="%1."/>
      <w:numFmt w:val="decimal"/>
      <w:start w:val="31"/>
    </w:lvl>
  </w:abstractNum>
  <w:abstractNum w:abstractNumId="284">
    <w:nsid w:val="1AF7F0EA"/>
    <w:multiLevelType w:val="hybridMultilevel"/>
    <w:lvl w:ilvl="0">
      <w:lvlJc w:val="left"/>
      <w:lvlText w:val="(%1)"/>
      <w:numFmt w:val="lowerLetter"/>
      <w:start w:val="1"/>
    </w:lvl>
  </w:abstractNum>
  <w:abstractNum w:abstractNumId="285">
    <w:nsid w:val="4DA32C7E"/>
    <w:multiLevelType w:val="hybridMultilevel"/>
    <w:lvl w:ilvl="0">
      <w:lvlJc w:val="left"/>
      <w:lvlText w:val="(%1)"/>
      <w:numFmt w:val="lowerRoman"/>
      <w:start w:val="6"/>
    </w:lvl>
  </w:abstractNum>
  <w:abstractNum w:abstractNumId="286">
    <w:nsid w:val="6EC68664"/>
    <w:multiLevelType w:val="hybridMultilevel"/>
    <w:lvl w:ilvl="0">
      <w:lvlJc w:val="left"/>
      <w:lvlText w:val="(%1)"/>
      <w:numFmt w:val="lowerRoman"/>
      <w:start w:val="7"/>
    </w:lvl>
  </w:abstractNum>
  <w:abstractNum w:abstractNumId="287">
    <w:nsid w:val="E0D31FF"/>
    <w:multiLevelType w:val="hybridMultilevel"/>
    <w:lvl w:ilvl="0">
      <w:lvlJc w:val="left"/>
      <w:lvlText w:val="%1."/>
      <w:numFmt w:val="decimal"/>
      <w:start w:val="33"/>
    </w:lvl>
  </w:abstractNum>
  <w:abstractNum w:abstractNumId="288">
    <w:nsid w:val="2FD0AD81"/>
    <w:multiLevelType w:val="hybridMultilevel"/>
    <w:lvl w:ilvl="0">
      <w:lvlJc w:val="left"/>
      <w:lvlText w:val="(%1)"/>
      <w:numFmt w:val="lowerLetter"/>
      <w:start w:val="1"/>
    </w:lvl>
  </w:abstractNum>
  <w:abstractNum w:abstractNumId="289">
    <w:nsid w:val="1978EBEB"/>
    <w:multiLevelType w:val="hybridMultilevel"/>
    <w:lvl w:ilvl="0">
      <w:lvlJc w:val="left"/>
      <w:lvlText w:val="%1."/>
      <w:numFmt w:val="decimal"/>
      <w:start w:val="33"/>
    </w:lvl>
  </w:abstractNum>
  <w:abstractNum w:abstractNumId="290">
    <w:nsid w:val="52C12C61"/>
    <w:multiLevelType w:val="hybridMultilevel"/>
    <w:lvl w:ilvl="0">
      <w:lvlJc w:val="left"/>
      <w:lvlText w:val="(%1)"/>
      <w:numFmt w:val="lowerLetter"/>
      <w:start w:val="1"/>
    </w:lvl>
  </w:abstractNum>
  <w:abstractNum w:abstractNumId="291">
    <w:nsid w:val="4BDD53FD"/>
    <w:multiLevelType w:val="hybridMultilevel"/>
    <w:lvl w:ilvl="0">
      <w:lvlJc w:val="left"/>
      <w:lvlText w:val="(%1)"/>
      <w:numFmt w:val="lowerLetter"/>
      <w:start w:val="2"/>
    </w:lvl>
  </w:abstractNum>
  <w:abstractNum w:abstractNumId="292">
    <w:nsid w:val="569951FE"/>
    <w:multiLevelType w:val="hybridMultilevel"/>
    <w:lvl w:ilvl="0">
      <w:lvlJc w:val="left"/>
      <w:lvlText w:val="%1."/>
      <w:numFmt w:val="decimal"/>
      <w:start w:val="33"/>
    </w:lvl>
  </w:abstractNum>
  <w:abstractNum w:abstractNumId="293">
    <w:nsid w:val="4C54E2C3"/>
    <w:multiLevelType w:val="hybridMultilevel"/>
    <w:lvl w:ilvl="0">
      <w:lvlJc w:val="left"/>
      <w:lvlText w:val="(%1)"/>
      <w:numFmt w:val="lowerLetter"/>
      <w:start w:val="4"/>
    </w:lvl>
    <w:lvl w:ilvl="1">
      <w:lvlJc w:val="left"/>
      <w:lvlText w:val="•"/>
      <w:numFmt w:val="bullet"/>
      <w:start w:val="1"/>
    </w:lvl>
  </w:abstractNum>
  <w:abstractNum w:abstractNumId="294">
    <w:nsid w:val="788BD9B"/>
    <w:multiLevelType w:val="hybridMultilevel"/>
    <w:lvl w:ilvl="0">
      <w:lvlJc w:val="left"/>
      <w:lvlText w:val="%1."/>
      <w:numFmt w:val="decimal"/>
      <w:start w:val="33"/>
    </w:lvl>
  </w:abstractNum>
  <w:abstractNum w:abstractNumId="295">
    <w:nsid w:val="47CAA567"/>
    <w:multiLevelType w:val="hybridMultilevel"/>
    <w:lvl w:ilvl="0">
      <w:lvlJc w:val="left"/>
      <w:lvlText w:val="(%1)"/>
      <w:numFmt w:val="lowerLetter"/>
      <w:start w:val="4"/>
    </w:lvl>
    <w:lvl w:ilvl="1">
      <w:lvlJc w:val="left"/>
      <w:lvlText w:val="•"/>
      <w:numFmt w:val="bullet"/>
      <w:start w:val="1"/>
    </w:lvl>
  </w:abstractNum>
  <w:abstractNum w:abstractNumId="296">
    <w:nsid w:val="48249DBF"/>
    <w:multiLevelType w:val="hybridMultilevel"/>
    <w:lvl w:ilvl="0">
      <w:lvlJc w:val="left"/>
      <w:lvlText w:val="(%1)"/>
      <w:numFmt w:val="lowerLetter"/>
      <w:start w:val="4"/>
    </w:lvl>
    <w:lvl w:ilvl="1">
      <w:lvlJc w:val="left"/>
      <w:lvlText w:val="•"/>
      <w:numFmt w:val="bullet"/>
      <w:start w:val="1"/>
    </w:lvl>
  </w:abstractNum>
  <w:abstractNum w:abstractNumId="297">
    <w:nsid w:val="1F0E5D0D"/>
    <w:multiLevelType w:val="hybridMultilevel"/>
    <w:lvl w:ilvl="0">
      <w:lvlJc w:val="left"/>
      <w:lvlText w:val="%1."/>
      <w:numFmt w:val="decimal"/>
      <w:start w:val="33"/>
    </w:lvl>
  </w:abstractNum>
  <w:abstractNum w:abstractNumId="298">
    <w:nsid w:val="26BAAE9"/>
    <w:multiLevelType w:val="hybridMultilevel"/>
    <w:lvl w:ilvl="0">
      <w:lvlJc w:val="left"/>
      <w:lvlText w:val="(%1)"/>
      <w:numFmt w:val="lowerLetter"/>
      <w:start w:val="6"/>
    </w:lvl>
  </w:abstractNum>
  <w:abstractNum w:abstractNumId="299">
    <w:nsid w:val="2C02FE8C"/>
    <w:multiLevelType w:val="hybridMultilevel"/>
    <w:lvl w:ilvl="0">
      <w:lvlJc w:val="left"/>
      <w:lvlText w:val="%1."/>
      <w:numFmt w:val="decimal"/>
      <w:start w:val="33"/>
    </w:lvl>
  </w:abstractNum>
  <w:abstractNum w:abstractNumId="300">
    <w:nsid w:val="129517E"/>
    <w:multiLevelType w:val="hybridMultilevel"/>
    <w:lvl w:ilvl="0">
      <w:lvlJc w:val="left"/>
      <w:lvlText w:val="(%1)"/>
      <w:numFmt w:val="lowerLetter"/>
      <w:start w:val="7"/>
    </w:lvl>
  </w:abstractNum>
  <w:abstractNum w:abstractNumId="301">
    <w:nsid w:val="763B8C4E"/>
    <w:multiLevelType w:val="hybridMultilevel"/>
    <w:lvl w:ilvl="0">
      <w:lvlJc w:val="left"/>
      <w:lvlText w:val="%1."/>
      <w:numFmt w:val="decimal"/>
      <w:start w:val="34"/>
    </w:lvl>
    <w:lvl w:ilvl="1">
      <w:lvlJc w:val="left"/>
      <w:lvlText w:val="•"/>
      <w:numFmt w:val="bullet"/>
      <w:start w:val="1"/>
    </w:lvl>
    <w:lvl w:ilvl="2">
      <w:lvlJc w:val="left"/>
      <w:lvlText w:val="•"/>
      <w:numFmt w:val="bullet"/>
      <w:start w:val="1"/>
    </w:lvl>
  </w:abstractNum>
  <w:abstractNum w:abstractNumId="302">
    <w:nsid w:val="4CFB8D32"/>
    <w:multiLevelType w:val="hybridMultilevel"/>
    <w:lvl w:ilvl="0">
      <w:lvlJc w:val="left"/>
      <w:lvlText w:val="%1."/>
      <w:numFmt w:val="decimal"/>
      <w:start w:val="34"/>
    </w:lvl>
    <w:lvl w:ilvl="1">
      <w:lvlJc w:val="left"/>
      <w:lvlText w:val="•"/>
      <w:numFmt w:val="bullet"/>
      <w:start w:val="1"/>
    </w:lvl>
    <w:lvl w:ilvl="2">
      <w:lvlJc w:val="left"/>
      <w:lvlText w:val="(%3)"/>
      <w:numFmt w:val="lowerRoman"/>
      <w:start w:val="1"/>
    </w:lvl>
  </w:abstractNum>
  <w:abstractNum w:abstractNumId="303">
    <w:nsid w:val="62A5D5BD"/>
    <w:multiLevelType w:val="hybridMultilevel"/>
    <w:lvl w:ilvl="0">
      <w:lvlJc w:val="left"/>
      <w:lvlText w:val="•"/>
      <w:numFmt w:val="bullet"/>
      <w:start w:val="1"/>
    </w:lvl>
    <w:lvl w:ilvl="1">
      <w:lvlJc w:val="left"/>
      <w:lvlText w:val="•"/>
      <w:numFmt w:val="bullet"/>
      <w:start w:val="1"/>
    </w:lvl>
  </w:abstractNum>
  <w:abstractNum w:abstractNumId="304">
    <w:nsid w:val="718FABF9"/>
    <w:multiLevelType w:val="hybridMultilevel"/>
    <w:lvl w:ilvl="0">
      <w:lvlJc w:val="left"/>
      <w:lvlText w:val="%1."/>
      <w:numFmt w:val="decimal"/>
      <w:start w:val="34"/>
    </w:lvl>
    <w:lvl w:ilvl="1">
      <w:lvlJc w:val="left"/>
      <w:lvlText w:val="•"/>
      <w:numFmt w:val="bullet"/>
      <w:start w:val="1"/>
    </w:lvl>
  </w:abstractNum>
  <w:abstractNum w:abstractNumId="305">
    <w:nsid w:val="7775797C"/>
    <w:multiLevelType w:val="hybridMultilevel"/>
    <w:lvl w:ilvl="0">
      <w:lvlJc w:val="left"/>
      <w:lvlText w:val="%1."/>
      <w:numFmt w:val="decimal"/>
      <w:start w:val="35"/>
    </w:lvl>
  </w:abstractNum>
  <w:abstractNum w:abstractNumId="306">
    <w:nsid w:val="1626FB8C"/>
    <w:multiLevelType w:val="hybridMultilevel"/>
    <w:lvl w:ilvl="0">
      <w:lvlJc w:val="left"/>
      <w:lvlText w:val="%1."/>
      <w:numFmt w:val="decimal"/>
      <w:start w:val="35"/>
    </w:lvl>
  </w:abstractNum>
  <w:abstractNum w:abstractNumId="307">
    <w:nsid w:val="3957756A"/>
    <w:multiLevelType w:val="hybridMultilevel"/>
    <w:lvl w:ilvl="0">
      <w:lvlJc w:val="left"/>
      <w:lvlText w:val="%1."/>
      <w:numFmt w:val="decimal"/>
      <w:start w:val="36"/>
    </w:lvl>
  </w:abstractNum>
  <w:abstractNum w:abstractNumId="308">
    <w:nsid w:val="3E6DA1C7"/>
    <w:multiLevelType w:val="hybridMultilevel"/>
    <w:lvl w:ilvl="0">
      <w:lvlJc w:val="left"/>
      <w:lvlText w:val="%1."/>
      <w:numFmt w:val="decimal"/>
      <w:start w:val="36"/>
    </w:lvl>
  </w:abstractNum>
  <w:abstractNum w:abstractNumId="309">
    <w:nsid w:val="65CA235B"/>
    <w:multiLevelType w:val="hybridMultilevel"/>
    <w:lvl w:ilvl="0">
      <w:lvlJc w:val="left"/>
      <w:lvlText w:val="(%1)"/>
      <w:numFmt w:val="lowerLetter"/>
      <w:start w:val="1"/>
    </w:lvl>
  </w:abstractNum>
  <w:abstractNum w:abstractNumId="310">
    <w:nsid w:val="51CB0DA4"/>
    <w:multiLevelType w:val="hybridMultilevel"/>
    <w:lvl w:ilvl="0">
      <w:lvlJc w:val="left"/>
      <w:lvlText w:val="%1."/>
      <w:numFmt w:val="decimal"/>
      <w:start w:val="36"/>
    </w:lvl>
  </w:abstractNum>
  <w:abstractNum w:abstractNumId="311">
    <w:nsid w:val="7B9B743C"/>
    <w:multiLevelType w:val="hybridMultilevel"/>
    <w:lvl w:ilvl="0">
      <w:lvlJc w:val="left"/>
      <w:lvlText w:val="(%1)"/>
      <w:numFmt w:val="lowerLetter"/>
      <w:start w:val="1"/>
    </w:lvl>
  </w:abstractNum>
  <w:abstractNum w:abstractNumId="312">
    <w:nsid w:val="13E21002"/>
    <w:multiLevelType w:val="hybridMultilevel"/>
    <w:lvl w:ilvl="0">
      <w:lvlJc w:val="left"/>
      <w:lvlText w:val="%1."/>
      <w:numFmt w:val="decimal"/>
      <w:start w:val="36"/>
    </w:lvl>
  </w:abstractNum>
  <w:abstractNum w:abstractNumId="313">
    <w:nsid w:val="257D63F4"/>
    <w:multiLevelType w:val="hybridMultilevel"/>
    <w:lvl w:ilvl="0">
      <w:lvlJc w:val="left"/>
      <w:lvlText w:val="(%1)"/>
      <w:numFmt w:val="lowerLetter"/>
      <w:start w:val="1"/>
    </w:lvl>
  </w:abstractNum>
  <w:abstractNum w:abstractNumId="314">
    <w:nsid w:val="70EC11B2"/>
    <w:multiLevelType w:val="hybridMultilevel"/>
    <w:lvl w:ilvl="0">
      <w:lvlJc w:val="left"/>
      <w:lvlText w:val="(%1)"/>
      <w:numFmt w:val="lowerRoman"/>
      <w:start w:val="1"/>
    </w:lvl>
  </w:abstractNum>
  <w:abstractNum w:abstractNumId="315">
    <w:nsid w:val="2EDA00ED"/>
    <w:multiLevelType w:val="hybridMultilevel"/>
    <w:lvl w:ilvl="0">
      <w:lvlJc w:val="left"/>
      <w:lvlText w:val="%1."/>
      <w:numFmt w:val="decimal"/>
      <w:start w:val="36"/>
    </w:lvl>
  </w:abstractNum>
  <w:abstractNum w:abstractNumId="316">
    <w:nsid w:val="73209072"/>
    <w:multiLevelType w:val="hybridMultilevel"/>
    <w:lvl w:ilvl="0">
      <w:lvlJc w:val="left"/>
      <w:lvlText w:val="(%1)"/>
      <w:numFmt w:val="lowerLetter"/>
      <w:start w:val="1"/>
    </w:lvl>
  </w:abstractNum>
  <w:abstractNum w:abstractNumId="317">
    <w:nsid w:val="5FB29816"/>
    <w:multiLevelType w:val="hybridMultilevel"/>
    <w:lvl w:ilvl="0">
      <w:lvlJc w:val="left"/>
      <w:lvlText w:val="(%1)"/>
      <w:numFmt w:val="lowerLetter"/>
      <w:start w:val="2"/>
    </w:lvl>
  </w:abstractNum>
  <w:abstractNum w:abstractNumId="318">
    <w:nsid w:val="3CE732EC"/>
    <w:multiLevelType w:val="hybridMultilevel"/>
    <w:lvl w:ilvl="0">
      <w:lvlJc w:val="left"/>
      <w:lvlText w:val="%1."/>
      <w:numFmt w:val="decimal"/>
      <w:start w:val="36"/>
    </w:lvl>
  </w:abstractNum>
  <w:abstractNum w:abstractNumId="319">
    <w:nsid w:val="22F13DF3"/>
    <w:multiLevelType w:val="hybridMultilevel"/>
    <w:lvl w:ilvl="0">
      <w:lvlJc w:val="left"/>
      <w:lvlText w:val="(%1)"/>
      <w:numFmt w:val="lowerLetter"/>
      <w:start w:val="2"/>
    </w:lvl>
  </w:abstractNum>
  <w:abstractNum w:abstractNumId="320">
    <w:nsid w:val="792B8401"/>
    <w:multiLevelType w:val="hybridMultilevel"/>
    <w:lvl w:ilvl="0">
      <w:lvlJc w:val="left"/>
      <w:lvlText w:val="%1."/>
      <w:numFmt w:val="decimal"/>
      <w:start w:val="36"/>
    </w:lvl>
  </w:abstractNum>
  <w:abstractNum w:abstractNumId="321">
    <w:nsid w:val="FA85F4D"/>
    <w:multiLevelType w:val="hybridMultilevel"/>
    <w:lvl w:ilvl="0">
      <w:lvlJc w:val="left"/>
      <w:lvlText w:val="(%1)"/>
      <w:numFmt w:val="lowerLetter"/>
      <w:start w:val="2"/>
    </w:lvl>
  </w:abstractNum>
  <w:abstractNum w:abstractNumId="322">
    <w:nsid w:val="6ECE91F0"/>
    <w:multiLevelType w:val="hybridMultilevel"/>
    <w:lvl w:ilvl="0">
      <w:lvlJc w:val="left"/>
      <w:lvlText w:val="(%1)"/>
      <w:numFmt w:val="lowerLetter"/>
      <w:start w:val="2"/>
    </w:lvl>
  </w:abstractNum>
  <w:abstractNum w:abstractNumId="323">
    <w:nsid w:val="4FC4D600"/>
    <w:multiLevelType w:val="hybridMultilevel"/>
    <w:lvl w:ilvl="0">
      <w:lvlJc w:val="left"/>
      <w:lvlText w:val="B"/>
      <w:numFmt w:val="bullet"/>
      <w:start w:val="1"/>
    </w:lvl>
  </w:abstractNum>
  <w:abstractNum w:abstractNumId="324">
    <w:nsid w:val="5BFD4210"/>
    <w:multiLevelType w:val="hybridMultilevel"/>
    <w:lvl w:ilvl="0">
      <w:lvlJc w:val="left"/>
      <w:lvlText w:val="%1."/>
      <w:numFmt w:val="decimal"/>
      <w:start w:val="37"/>
    </w:lvl>
  </w:abstractNum>
  <w:abstractNum w:abstractNumId="325">
    <w:nsid w:val="76574F8B"/>
    <w:multiLevelType w:val="hybridMultilevel"/>
    <w:lvl w:ilvl="0">
      <w:lvlJc w:val="left"/>
      <w:lvlText w:val="%1."/>
      <w:numFmt w:val="decimal"/>
      <w:start w:val="1"/>
    </w:lvl>
  </w:abstractNum>
  <w:abstractNum w:abstractNumId="326">
    <w:nsid w:val="178F7B67"/>
    <w:multiLevelType w:val="hybridMultilevel"/>
    <w:lvl w:ilvl="0">
      <w:lvlJc w:val="left"/>
      <w:lvlText w:val="%1."/>
      <w:numFmt w:val="decimal"/>
      <w:start w:val="1"/>
    </w:lvl>
  </w:abstractNum>
  <w:abstractNum w:abstractNumId="327">
    <w:nsid w:val="2421DFC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2019-12-08T13:53:27Z</dcterms:created>
  <dcterms:modified xsi:type="dcterms:W3CDTF">2019-12-08T13:53:27Z</dcterms:modified>
</cp:coreProperties>
</file>