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154803ds4.htm"/>
        <w:bookmarkStart w:id="1" w:name="ksd154803ds4"/>
        <w:bookmarkEnd w:id="0"/>
        <w:bookmarkEnd w:id="1"/>
        <w:r>
          <w:rPr>
            <w:rStyle w:val="InternetLink"/>
            <w:b/>
            <w:sz w:val="20"/>
          </w:rPr>
          <w:t>Table of Contents</w:t>
        </w:r>
      </w:hyperlink>
    </w:p>
    <w:p>
      <w:pPr>
        <w:pStyle w:val="TextBody"/>
        <w:bidi w:val="0"/>
        <w:spacing w:before="0" w:after="0"/>
        <w:jc w:val="center"/>
        <w:rPr>
          <w:rFonts w:ascii="Times New Roman" w:hAnsi="Times New Roman"/>
          <w:b/>
          <w:sz w:val="16"/>
        </w:rPr>
      </w:pPr>
      <w:r>
        <w:rPr>
          <w:rFonts w:ascii="Times New Roman" w:hAnsi="Times New Roman"/>
          <w:b/>
          <w:sz w:val="16"/>
        </w:rPr>
        <w:t xml:space="preserve">As filed with the Securities and Exchange Commission on September 10, 2026 </w:t>
      </w:r>
    </w:p>
    <w:p>
      <w:pPr>
        <w:pStyle w:val="TextBody"/>
        <w:bidi w:val="0"/>
        <w:spacing w:before="0" w:after="0"/>
        <w:jc w:val="right"/>
        <w:rPr>
          <w:rFonts w:ascii="Times New Roman" w:hAnsi="Times New Roman"/>
          <w:b/>
          <w:sz w:val="16"/>
        </w:rPr>
      </w:pPr>
      <w:r>
        <w:rPr>
          <w:rFonts w:ascii="Times New Roman" w:hAnsi="Times New Roman"/>
          <w:b/>
          <w:sz w:val="16"/>
        </w:rPr>
        <w:t xml:space="preserve">Registration No. 333-   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2"/>
        </w:rPr>
      </w:pPr>
      <w:r>
        <w:rPr>
          <w:rFonts w:ascii="Times New Roman" w:hAnsi="Times New Roman"/>
          <w:b/>
          <w:sz w:val="32"/>
        </w:rPr>
        <w:t xml:space="preserve">UNITED STATES </w:t>
      </w:r>
    </w:p>
    <w:p>
      <w:pPr>
        <w:pStyle w:val="TextBody"/>
        <w:bidi w:val="0"/>
        <w:spacing w:before="0" w:after="0"/>
        <w:jc w:val="center"/>
        <w:rPr>
          <w:rFonts w:ascii="Times New Roman" w:hAnsi="Times New Roman"/>
          <w:b/>
          <w:sz w:val="32"/>
        </w:rPr>
      </w:pPr>
      <w:r>
        <w:rPr>
          <w:rFonts w:ascii="Times New Roman" w:hAnsi="Times New Roman"/>
          <w:b/>
          <w:sz w:val="32"/>
        </w:rPr>
        <w:t xml:space="preserve">SECURITIES AND EXCHANGE COMMISSION </w:t>
      </w:r>
    </w:p>
    <w:p>
      <w:pPr>
        <w:pStyle w:val="TextBody"/>
        <w:bidi w:val="0"/>
        <w:spacing w:before="0" w:after="0"/>
        <w:jc w:val="center"/>
        <w:rPr>
          <w:rFonts w:ascii="Times New Roman" w:hAnsi="Times New Roman"/>
          <w:b/>
          <w:sz w:val="20"/>
        </w:rPr>
      </w:pPr>
      <w:r>
        <w:rPr>
          <w:rFonts w:ascii="Times New Roman" w:hAnsi="Times New Roman"/>
          <w:b/>
          <w:sz w:val="20"/>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2"/>
        </w:rPr>
      </w:pPr>
      <w:r>
        <w:rPr>
          <w:rFonts w:ascii="Times New Roman" w:hAnsi="Times New Roman"/>
          <w:b/>
          <w:sz w:val="32"/>
        </w:rPr>
        <w:t xml:space="preserve">FORM S-4 </w:t>
      </w:r>
    </w:p>
    <w:p>
      <w:pPr>
        <w:pStyle w:val="TextBody"/>
        <w:bidi w:val="0"/>
        <w:spacing w:before="0" w:after="0"/>
        <w:jc w:val="center"/>
        <w:rPr>
          <w:rFonts w:ascii="Times New Roman" w:hAnsi="Times New Roman"/>
          <w:b/>
          <w:sz w:val="32"/>
        </w:rPr>
      </w:pPr>
      <w:r>
        <w:rPr>
          <w:rFonts w:ascii="Times New Roman" w:hAnsi="Times New Roman"/>
          <w:b/>
          <w:sz w:val="32"/>
        </w:rPr>
        <w:t xml:space="preserve">REGISTRATION STATEMENT </w:t>
      </w:r>
    </w:p>
    <w:p>
      <w:pPr>
        <w:pStyle w:val="TextBody"/>
        <w:bidi w:val="0"/>
        <w:spacing w:before="0" w:after="0"/>
        <w:jc w:val="center"/>
        <w:rPr>
          <w:rFonts w:ascii="Times New Roman" w:hAnsi="Times New Roman"/>
          <w:b/>
          <w:i/>
          <w:sz w:val="20"/>
        </w:rPr>
      </w:pPr>
      <w:r>
        <w:rPr>
          <w:rFonts w:ascii="Times New Roman" w:hAnsi="Times New Roman"/>
          <w:b/>
          <w:i/>
          <w:sz w:val="20"/>
        </w:rPr>
        <w:t xml:space="preserve">UNDER </w:t>
      </w:r>
    </w:p>
    <w:p>
      <w:pPr>
        <w:pStyle w:val="TextBody"/>
        <w:bidi w:val="0"/>
        <w:spacing w:before="0" w:after="0"/>
        <w:jc w:val="center"/>
        <w:rPr>
          <w:rFonts w:ascii="Times New Roman" w:hAnsi="Times New Roman"/>
          <w:b/>
          <w:i/>
          <w:sz w:val="20"/>
        </w:rPr>
      </w:pPr>
      <w:r>
        <w:rPr>
          <w:rFonts w:ascii="Times New Roman" w:hAnsi="Times New Roman"/>
          <w:b/>
          <w:i/>
          <w:sz w:val="20"/>
        </w:rPr>
        <w:t xml:space="preserve">THE SECURITIES ACT OF 1933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0"/>
        </w:rPr>
      </w:pPr>
      <w:r>
        <w:rPr>
          <w:rFonts w:ascii="Times New Roman" w:hAnsi="Times New Roman"/>
          <w:b/>
          <w:sz w:val="40"/>
        </w:rPr>
        <w:t xml:space="preserve">BROADCOM INC. </w:t>
      </w:r>
    </w:p>
    <w:p>
      <w:pPr>
        <w:pStyle w:val="TextBody"/>
        <w:bidi w:val="0"/>
        <w:spacing w:before="0" w:after="0"/>
        <w:jc w:val="center"/>
        <w:rPr>
          <w:rFonts w:ascii="Times New Roman" w:hAnsi="Times New Roman"/>
          <w:b/>
          <w:sz w:val="16"/>
        </w:rPr>
      </w:pPr>
      <w:r>
        <w:rPr>
          <w:rFonts w:ascii="Times New Roman" w:hAnsi="Times New Roman"/>
          <w:b/>
          <w:sz w:val="16"/>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69"/>
        <w:gridCol w:w="102"/>
        <w:gridCol w:w="3266"/>
        <w:gridCol w:w="102"/>
        <w:gridCol w:w="3266"/>
      </w:tblGrid>
      <w:tr>
        <w:trPr/>
        <w:tc>
          <w:tcPr>
            <w:tcW w:w="3469"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r>
      <w:tr>
        <w:trPr/>
        <w:tc>
          <w:tcPr>
            <w:tcW w:w="3469" w:type="dxa"/>
            <w:tcBorders/>
          </w:tcPr>
          <w:p>
            <w:pPr>
              <w:pStyle w:val="TableContents"/>
              <w:bidi w:val="0"/>
              <w:spacing w:before="0" w:after="20"/>
              <w:jc w:val="center"/>
              <w:rPr>
                <w:rFonts w:ascii="Times New Roman" w:hAnsi="Times New Roman"/>
                <w:b/>
                <w:sz w:val="16"/>
              </w:rPr>
            </w:pPr>
            <w:r>
              <w:rPr>
                <w:rFonts w:ascii="Times New Roman" w:hAnsi="Times New Roman"/>
                <w:b/>
                <w:sz w:val="16"/>
              </w:rPr>
              <w:t>Delaware</w:t>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0"/>
              <w:jc w:val="center"/>
              <w:rPr>
                <w:rFonts w:ascii="Times New Roman" w:hAnsi="Times New Roman"/>
                <w:b/>
                <w:sz w:val="16"/>
              </w:rPr>
            </w:pPr>
            <w:r>
              <w:rPr>
                <w:rFonts w:ascii="Times New Roman" w:hAnsi="Times New Roman"/>
                <w:b/>
                <w:sz w:val="16"/>
              </w:rPr>
              <w:t>3674</w:t>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0"/>
              <w:jc w:val="center"/>
              <w:rPr>
                <w:rFonts w:ascii="Times New Roman" w:hAnsi="Times New Roman"/>
                <w:b/>
                <w:sz w:val="16"/>
              </w:rPr>
            </w:pPr>
            <w:r>
              <w:rPr>
                <w:rFonts w:ascii="Times New Roman" w:hAnsi="Times New Roman"/>
                <w:b/>
                <w:sz w:val="16"/>
              </w:rPr>
              <w:t>35-2617337</w:t>
            </w:r>
          </w:p>
        </w:tc>
      </w:tr>
      <w:tr>
        <w:trPr/>
        <w:tc>
          <w:tcPr>
            <w:tcW w:w="3469" w:type="dxa"/>
            <w:tcBorders/>
          </w:tcPr>
          <w:p>
            <w:pPr>
              <w:pStyle w:val="TableContents"/>
              <w:bidi w:val="0"/>
              <w:spacing w:before="0" w:after="283"/>
              <w:jc w:val="center"/>
              <w:rPr>
                <w:b/>
              </w:rPr>
            </w:pPr>
            <w:r>
              <w:rPr>
                <w:b/>
              </w:rPr>
              <w:t>(State or Other Jurisdiction of</w:t>
              <w:br/>
              <w:t>Incorporation or Organization)</w:t>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b/>
              </w:rPr>
            </w:pPr>
            <w:r>
              <w:rPr>
                <w:b/>
              </w:rPr>
              <w:t>(Primary Standard Industrial</w:t>
              <w:br/>
              <w:t>Classification Code Number)</w:t>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0"/>
              <w:jc w:val="center"/>
              <w:rPr>
                <w:rFonts w:ascii="Times New Roman" w:hAnsi="Times New Roman"/>
                <w:b/>
                <w:sz w:val="14"/>
              </w:rPr>
            </w:pPr>
            <w:r>
              <w:rPr>
                <w:rFonts w:ascii="Times New Roman" w:hAnsi="Times New Roman"/>
                <w:b/>
                <w:sz w:val="14"/>
              </w:rPr>
              <w:t>(I.R.S. Employer</w:t>
            </w:r>
          </w:p>
          <w:p>
            <w:pPr>
              <w:pStyle w:val="TableContents"/>
              <w:bidi w:val="0"/>
              <w:spacing w:before="0" w:after="20"/>
              <w:jc w:val="center"/>
              <w:rPr>
                <w:rFonts w:ascii="Times New Roman" w:hAnsi="Times New Roman"/>
                <w:b/>
                <w:sz w:val="14"/>
              </w:rPr>
            </w:pPr>
            <w:r>
              <w:rPr>
                <w:rFonts w:ascii="Times New Roman" w:hAnsi="Times New Roman"/>
                <w:b/>
                <w:sz w:val="14"/>
              </w:rPr>
              <w:t>Identification Number)</w:t>
            </w:r>
          </w:p>
        </w:tc>
      </w:tr>
    </w:tbl>
    <w:p>
      <w:pPr>
        <w:pStyle w:val="TextBody"/>
        <w:bidi w:val="0"/>
        <w:spacing w:before="240" w:after="0"/>
        <w:jc w:val="center"/>
        <w:rPr>
          <w:rFonts w:ascii="Times New Roman" w:hAnsi="Times New Roman"/>
          <w:b/>
          <w:sz w:val="16"/>
        </w:rPr>
      </w:pPr>
      <w:r>
        <w:rPr>
          <w:rFonts w:ascii="Times New Roman" w:hAnsi="Times New Roman"/>
          <w:b/>
          <w:sz w:val="16"/>
        </w:rPr>
        <w:t xml:space="preserve">3421 Hillview Avenue </w:t>
      </w:r>
    </w:p>
    <w:p>
      <w:pPr>
        <w:pStyle w:val="TextBody"/>
        <w:bidi w:val="0"/>
        <w:spacing w:before="0" w:after="0"/>
        <w:jc w:val="center"/>
        <w:rPr>
          <w:rFonts w:ascii="Times New Roman" w:hAnsi="Times New Roman"/>
          <w:b/>
          <w:sz w:val="16"/>
        </w:rPr>
      </w:pPr>
      <w:r>
        <w:rPr>
          <w:rFonts w:ascii="Times New Roman" w:hAnsi="Times New Roman"/>
          <w:b/>
          <w:sz w:val="16"/>
        </w:rPr>
        <w:t xml:space="preserve">Palo Alto, California 94304 </w:t>
      </w:r>
    </w:p>
    <w:p>
      <w:pPr>
        <w:pStyle w:val="TextBody"/>
        <w:bidi w:val="0"/>
        <w:spacing w:before="0" w:after="0"/>
        <w:jc w:val="center"/>
        <w:rPr>
          <w:rFonts w:ascii="Times New Roman" w:hAnsi="Times New Roman"/>
          <w:b/>
          <w:sz w:val="16"/>
        </w:rPr>
      </w:pPr>
      <w:r>
        <w:rPr>
          <w:rFonts w:ascii="Times New Roman" w:hAnsi="Times New Roman"/>
          <w:b/>
          <w:sz w:val="16"/>
        </w:rPr>
        <w:t xml:space="preserve">(650) 427-6000 </w:t>
      </w:r>
    </w:p>
    <w:p>
      <w:pPr>
        <w:pStyle w:val="TextBody"/>
        <w:bidi w:val="0"/>
        <w:spacing w:before="0" w:after="0"/>
        <w:jc w:val="center"/>
        <w:rPr>
          <w:rFonts w:ascii="Times New Roman" w:hAnsi="Times New Roman"/>
          <w:b/>
          <w:sz w:val="14"/>
        </w:rPr>
      </w:pPr>
      <w:r>
        <w:rPr>
          <w:rFonts w:ascii="Times New Roman" w:hAnsi="Times New Roman"/>
          <w:b/>
          <w:sz w:val="14"/>
        </w:rPr>
        <w:t xml:space="preserve">(Address, including zip code, and telephone number, including area code, of registrant’s principal executive offices)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16"/>
        </w:rPr>
      </w:pPr>
      <w:r>
        <w:rPr>
          <w:rFonts w:ascii="Times New Roman" w:hAnsi="Times New Roman"/>
          <w:b/>
          <w:sz w:val="16"/>
        </w:rPr>
        <w:t xml:space="preserve">Mark Brazeal </w:t>
      </w:r>
    </w:p>
    <w:p>
      <w:pPr>
        <w:pStyle w:val="TextBody"/>
        <w:bidi w:val="0"/>
        <w:spacing w:before="0" w:after="0"/>
        <w:jc w:val="center"/>
        <w:rPr>
          <w:rFonts w:ascii="Times New Roman" w:hAnsi="Times New Roman"/>
          <w:b/>
          <w:sz w:val="16"/>
        </w:rPr>
      </w:pPr>
      <w:r>
        <w:rPr>
          <w:rFonts w:ascii="Times New Roman" w:hAnsi="Times New Roman"/>
          <w:b/>
          <w:sz w:val="16"/>
        </w:rPr>
        <w:t xml:space="preserve">Chief Legal and Corporate Affairs Officer </w:t>
      </w:r>
    </w:p>
    <w:p>
      <w:pPr>
        <w:pStyle w:val="TextBody"/>
        <w:bidi w:val="0"/>
        <w:spacing w:before="0" w:after="0"/>
        <w:jc w:val="center"/>
        <w:rPr>
          <w:rFonts w:ascii="Times New Roman" w:hAnsi="Times New Roman"/>
          <w:b/>
          <w:sz w:val="16"/>
        </w:rPr>
      </w:pPr>
      <w:r>
        <w:rPr>
          <w:rFonts w:ascii="Times New Roman" w:hAnsi="Times New Roman"/>
          <w:b/>
          <w:sz w:val="16"/>
        </w:rPr>
        <w:t xml:space="preserve">Broadcom Inc. </w:t>
      </w:r>
    </w:p>
    <w:p>
      <w:pPr>
        <w:pStyle w:val="TextBody"/>
        <w:bidi w:val="0"/>
        <w:spacing w:before="0" w:after="0"/>
        <w:jc w:val="center"/>
        <w:rPr>
          <w:rFonts w:ascii="Times New Roman" w:hAnsi="Times New Roman"/>
          <w:b/>
          <w:sz w:val="16"/>
        </w:rPr>
      </w:pPr>
      <w:r>
        <w:rPr>
          <w:rFonts w:ascii="Times New Roman" w:hAnsi="Times New Roman"/>
          <w:b/>
          <w:sz w:val="16"/>
        </w:rPr>
        <w:t xml:space="preserve">3421 Hillview Avenue </w:t>
      </w:r>
    </w:p>
    <w:p>
      <w:pPr>
        <w:pStyle w:val="TextBody"/>
        <w:bidi w:val="0"/>
        <w:spacing w:before="0" w:after="0"/>
        <w:jc w:val="center"/>
        <w:rPr>
          <w:rFonts w:ascii="Times New Roman" w:hAnsi="Times New Roman"/>
          <w:b/>
          <w:sz w:val="16"/>
        </w:rPr>
      </w:pPr>
      <w:r>
        <w:rPr>
          <w:rFonts w:ascii="Times New Roman" w:hAnsi="Times New Roman"/>
          <w:b/>
          <w:sz w:val="16"/>
        </w:rPr>
        <w:t xml:space="preserve">Palo Alto, California 94304 </w:t>
      </w:r>
    </w:p>
    <w:p>
      <w:pPr>
        <w:pStyle w:val="TextBody"/>
        <w:bidi w:val="0"/>
        <w:spacing w:before="0" w:after="0"/>
        <w:jc w:val="center"/>
        <w:rPr>
          <w:rFonts w:ascii="Times New Roman" w:hAnsi="Times New Roman"/>
          <w:b/>
          <w:sz w:val="16"/>
        </w:rPr>
      </w:pPr>
      <w:r>
        <w:rPr>
          <w:rFonts w:ascii="Times New Roman" w:hAnsi="Times New Roman"/>
          <w:b/>
          <w:sz w:val="16"/>
        </w:rPr>
        <w:t xml:space="preserve">(650) 427-6000 </w:t>
      </w:r>
    </w:p>
    <w:p>
      <w:pPr>
        <w:pStyle w:val="TextBody"/>
        <w:bidi w:val="0"/>
        <w:spacing w:before="0" w:after="0"/>
        <w:jc w:val="center"/>
        <w:rPr>
          <w:rFonts w:ascii="Times New Roman" w:hAnsi="Times New Roman"/>
          <w:b/>
          <w:sz w:val="14"/>
        </w:rPr>
      </w:pPr>
      <w:r>
        <w:rPr>
          <w:rFonts w:ascii="Times New Roman" w:hAnsi="Times New Roman"/>
          <w:b/>
          <w:sz w:val="14"/>
        </w:rPr>
        <w:t xml:space="preserve">(Name, address, including zip code, and telephone number, including area code, of agent for service)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i/>
          <w:sz w:val="16"/>
        </w:rPr>
      </w:pPr>
      <w:r>
        <w:rPr>
          <w:rFonts w:ascii="Times New Roman" w:hAnsi="Times New Roman"/>
          <w:b/>
          <w:i/>
          <w:sz w:val="16"/>
        </w:rPr>
        <w:t xml:space="preserve">Copies to: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4"/>
        <w:gridCol w:w="103"/>
        <w:gridCol w:w="4948"/>
      </w:tblGrid>
      <w:tr>
        <w:trPr/>
        <w:tc>
          <w:tcPr>
            <w:tcW w:w="5154"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948" w:type="dxa"/>
            <w:tcBorders/>
            <w:vAlign w:val="center"/>
          </w:tcPr>
          <w:p>
            <w:pPr>
              <w:pStyle w:val="TableContents"/>
              <w:bidi w:val="0"/>
              <w:spacing w:before="0" w:after="283"/>
              <w:jc w:val="left"/>
              <w:rPr>
                <w:sz w:val="4"/>
                <w:szCs w:val="4"/>
              </w:rPr>
            </w:pPr>
            <w:r>
              <w:rPr>
                <w:sz w:val="4"/>
                <w:szCs w:val="4"/>
              </w:rPr>
            </w:r>
          </w:p>
        </w:tc>
      </w:tr>
      <w:tr>
        <w:trPr/>
        <w:tc>
          <w:tcPr>
            <w:tcW w:w="5154" w:type="dxa"/>
            <w:tcBorders/>
          </w:tcPr>
          <w:p>
            <w:pPr>
              <w:pStyle w:val="TableContents"/>
              <w:bidi w:val="0"/>
              <w:spacing w:before="0" w:after="0"/>
              <w:jc w:val="center"/>
              <w:rPr>
                <w:rFonts w:ascii="Times New Roman" w:hAnsi="Times New Roman"/>
                <w:b/>
                <w:sz w:val="16"/>
              </w:rPr>
            </w:pPr>
            <w:r>
              <w:rPr>
                <w:rFonts w:ascii="Times New Roman" w:hAnsi="Times New Roman"/>
                <w:b/>
                <w:sz w:val="16"/>
              </w:rPr>
              <w:t>Noelle Matteson</w:t>
            </w:r>
          </w:p>
          <w:p>
            <w:pPr>
              <w:pStyle w:val="TableContents"/>
              <w:bidi w:val="0"/>
              <w:spacing w:before="0" w:after="0"/>
              <w:jc w:val="center"/>
              <w:rPr>
                <w:rFonts w:ascii="Times New Roman" w:hAnsi="Times New Roman"/>
                <w:b/>
                <w:sz w:val="16"/>
              </w:rPr>
            </w:pPr>
            <w:r>
              <w:rPr>
                <w:rFonts w:ascii="Times New Roman" w:hAnsi="Times New Roman"/>
                <w:b/>
                <w:sz w:val="16"/>
              </w:rPr>
              <w:t>Emily Sacks-Wilner</w:t>
            </w:r>
          </w:p>
          <w:p>
            <w:pPr>
              <w:pStyle w:val="TableContents"/>
              <w:bidi w:val="0"/>
              <w:spacing w:before="0" w:after="0"/>
              <w:jc w:val="center"/>
              <w:rPr>
                <w:rFonts w:ascii="Times New Roman" w:hAnsi="Times New Roman"/>
                <w:b/>
                <w:sz w:val="16"/>
              </w:rPr>
            </w:pPr>
            <w:r>
              <w:rPr>
                <w:rFonts w:ascii="Times New Roman" w:hAnsi="Times New Roman"/>
                <w:b/>
                <w:sz w:val="16"/>
              </w:rPr>
              <w:t>Michelle Zhang</w:t>
            </w:r>
          </w:p>
          <w:p>
            <w:pPr>
              <w:pStyle w:val="TableContents"/>
              <w:bidi w:val="0"/>
              <w:spacing w:before="0" w:after="0"/>
              <w:jc w:val="center"/>
              <w:rPr>
                <w:rFonts w:ascii="Times New Roman" w:hAnsi="Times New Roman"/>
                <w:b/>
                <w:sz w:val="16"/>
              </w:rPr>
            </w:pPr>
            <w:r>
              <w:rPr>
                <w:rFonts w:ascii="Times New Roman" w:hAnsi="Times New Roman"/>
                <w:b/>
                <w:sz w:val="16"/>
              </w:rPr>
              <w:t>Broadcom Inc.</w:t>
            </w:r>
          </w:p>
          <w:p>
            <w:pPr>
              <w:pStyle w:val="TableContents"/>
              <w:bidi w:val="0"/>
              <w:spacing w:before="0" w:after="0"/>
              <w:jc w:val="center"/>
              <w:rPr>
                <w:rFonts w:ascii="Times New Roman" w:hAnsi="Times New Roman"/>
                <w:b/>
                <w:sz w:val="16"/>
              </w:rPr>
            </w:pPr>
            <w:r>
              <w:rPr>
                <w:rFonts w:ascii="Times New Roman" w:hAnsi="Times New Roman"/>
                <w:b/>
                <w:sz w:val="16"/>
              </w:rPr>
              <w:t>3421 Hillview Avenue</w:t>
            </w:r>
          </w:p>
          <w:p>
            <w:pPr>
              <w:pStyle w:val="TableContents"/>
              <w:bidi w:val="0"/>
              <w:spacing w:before="0" w:after="0"/>
              <w:jc w:val="center"/>
              <w:rPr>
                <w:rFonts w:ascii="Times New Roman" w:hAnsi="Times New Roman"/>
                <w:b/>
                <w:sz w:val="16"/>
              </w:rPr>
            </w:pPr>
            <w:r>
              <w:rPr>
                <w:rFonts w:ascii="Times New Roman" w:hAnsi="Times New Roman"/>
                <w:b/>
                <w:sz w:val="16"/>
              </w:rPr>
              <w:t>Palo Alto, California 94304</w:t>
            </w:r>
          </w:p>
          <w:p>
            <w:pPr>
              <w:pStyle w:val="TableContents"/>
              <w:bidi w:val="0"/>
              <w:spacing w:before="0" w:after="20"/>
              <w:jc w:val="center"/>
              <w:rPr>
                <w:rFonts w:ascii="Times New Roman" w:hAnsi="Times New Roman"/>
                <w:b/>
                <w:sz w:val="16"/>
              </w:rPr>
            </w:pPr>
            <w:r>
              <w:rPr>
                <w:rFonts w:ascii="Times New Roman" w:hAnsi="Times New Roman"/>
                <w:b/>
                <w:sz w:val="16"/>
              </w:rPr>
              <w:t>(650) 427-6000</w:t>
            </w:r>
          </w:p>
        </w:tc>
        <w:tc>
          <w:tcPr>
            <w:tcW w:w="103" w:type="dxa"/>
            <w:tcBorders/>
            <w:vAlign w:val="bottom"/>
          </w:tcPr>
          <w:p>
            <w:pPr>
              <w:pStyle w:val="TableContents"/>
              <w:bidi w:val="0"/>
              <w:spacing w:before="0" w:after="283"/>
              <w:jc w:val="left"/>
              <w:rPr/>
            </w:pPr>
            <w:r>
              <w:rPr/>
              <w:t> </w:t>
            </w:r>
          </w:p>
        </w:tc>
        <w:tc>
          <w:tcPr>
            <w:tcW w:w="4948" w:type="dxa"/>
            <w:tcBorders/>
          </w:tcPr>
          <w:p>
            <w:pPr>
              <w:pStyle w:val="TableContents"/>
              <w:bidi w:val="0"/>
              <w:spacing w:before="0" w:after="0"/>
              <w:jc w:val="center"/>
              <w:rPr>
                <w:rFonts w:ascii="Times New Roman" w:hAnsi="Times New Roman"/>
                <w:b/>
                <w:sz w:val="16"/>
              </w:rPr>
            </w:pPr>
            <w:r>
              <w:rPr>
                <w:rFonts w:ascii="Times New Roman" w:hAnsi="Times New Roman"/>
                <w:b/>
                <w:sz w:val="16"/>
              </w:rPr>
              <w:t>David C. Karp</w:t>
            </w:r>
          </w:p>
          <w:p>
            <w:pPr>
              <w:pStyle w:val="TableContents"/>
              <w:bidi w:val="0"/>
              <w:spacing w:before="0" w:after="0"/>
              <w:jc w:val="center"/>
              <w:rPr>
                <w:rFonts w:ascii="Times New Roman" w:hAnsi="Times New Roman"/>
                <w:b/>
                <w:sz w:val="16"/>
              </w:rPr>
            </w:pPr>
            <w:r>
              <w:rPr>
                <w:rFonts w:ascii="Times New Roman" w:hAnsi="Times New Roman"/>
                <w:b/>
                <w:sz w:val="16"/>
              </w:rPr>
              <w:t>Ronald C. Chen</w:t>
            </w:r>
          </w:p>
          <w:p>
            <w:pPr>
              <w:pStyle w:val="TableContents"/>
              <w:bidi w:val="0"/>
              <w:spacing w:before="0" w:after="0"/>
              <w:jc w:val="center"/>
              <w:rPr>
                <w:rFonts w:ascii="Times New Roman" w:hAnsi="Times New Roman"/>
                <w:b/>
                <w:sz w:val="16"/>
              </w:rPr>
            </w:pPr>
            <w:r>
              <w:rPr>
                <w:rFonts w:ascii="Times New Roman" w:hAnsi="Times New Roman"/>
                <w:b/>
                <w:sz w:val="16"/>
              </w:rPr>
              <w:t>Kyle M. Diamond</w:t>
            </w:r>
          </w:p>
          <w:p>
            <w:pPr>
              <w:pStyle w:val="TableContents"/>
              <w:bidi w:val="0"/>
              <w:spacing w:before="0" w:after="0"/>
              <w:jc w:val="center"/>
              <w:rPr>
                <w:rFonts w:ascii="Times New Roman" w:hAnsi="Times New Roman"/>
                <w:b/>
                <w:sz w:val="16"/>
              </w:rPr>
            </w:pPr>
            <w:r>
              <w:rPr>
                <w:rFonts w:ascii="Times New Roman" w:hAnsi="Times New Roman"/>
                <w:b/>
                <w:sz w:val="16"/>
              </w:rPr>
              <w:t>Wachtell, Lipton, Rosen &amp; Katz</w:t>
            </w:r>
          </w:p>
          <w:p>
            <w:pPr>
              <w:pStyle w:val="TableContents"/>
              <w:bidi w:val="0"/>
              <w:spacing w:before="0" w:after="0"/>
              <w:jc w:val="center"/>
              <w:rPr>
                <w:rFonts w:ascii="Times New Roman" w:hAnsi="Times New Roman"/>
                <w:b/>
                <w:sz w:val="16"/>
              </w:rPr>
            </w:pPr>
            <w:r>
              <w:rPr>
                <w:rFonts w:ascii="Times New Roman" w:hAnsi="Times New Roman"/>
                <w:b/>
                <w:sz w:val="16"/>
              </w:rPr>
              <w:t>51 West 52nd Street</w:t>
            </w:r>
          </w:p>
          <w:p>
            <w:pPr>
              <w:pStyle w:val="TableContents"/>
              <w:bidi w:val="0"/>
              <w:spacing w:before="0" w:after="0"/>
              <w:jc w:val="center"/>
              <w:rPr>
                <w:rFonts w:ascii="Times New Roman" w:hAnsi="Times New Roman"/>
                <w:b/>
                <w:sz w:val="16"/>
              </w:rPr>
            </w:pPr>
            <w:r>
              <w:rPr>
                <w:rFonts w:ascii="Times New Roman" w:hAnsi="Times New Roman"/>
                <w:b/>
                <w:sz w:val="16"/>
              </w:rPr>
              <w:t>New York, New York 10019</w:t>
            </w:r>
          </w:p>
          <w:p>
            <w:pPr>
              <w:pStyle w:val="TableContents"/>
              <w:bidi w:val="0"/>
              <w:spacing w:before="0" w:after="20"/>
              <w:jc w:val="center"/>
              <w:rPr>
                <w:rFonts w:ascii="Times New Roman" w:hAnsi="Times New Roman"/>
                <w:b/>
                <w:sz w:val="16"/>
              </w:rPr>
            </w:pPr>
            <w:r>
              <w:rPr>
                <w:rFonts w:ascii="Times New Roman" w:hAnsi="Times New Roman"/>
                <w:b/>
                <w:sz w:val="16"/>
              </w:rPr>
              <w:t>(212) 403-1000</w:t>
            </w:r>
          </w:p>
        </w:tc>
      </w:tr>
    </w:tbl>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16"/>
        </w:rPr>
      </w:pPr>
      <w:r>
        <w:rPr>
          <w:rFonts w:ascii="Times New Roman" w:hAnsi="Times New Roman"/>
          <w:b/>
          <w:sz w:val="16"/>
        </w:rPr>
        <w:t xml:space="preserve">Approximate date of commencement of proposed sale to the public: </w:t>
      </w:r>
      <w:r>
        <w:rPr>
          <w:rFonts w:ascii="Times New Roman" w:hAnsi="Times New Roman"/>
          <w:sz w:val="16"/>
        </w:rPr>
        <w:t xml:space="preserve">As soon as practicable after this Registration Statement is declared effective. </w:t>
      </w:r>
    </w:p>
    <w:p>
      <w:pPr>
        <w:pStyle w:val="TextBody"/>
        <w:bidi w:val="0"/>
        <w:spacing w:before="240" w:after="0"/>
        <w:jc w:val="left"/>
        <w:rPr>
          <w:rFonts w:ascii="Times New Roman" w:hAnsi="Times New Roman"/>
          <w:sz w:val="16"/>
        </w:rPr>
      </w:pPr>
      <w:r>
        <w:rPr>
          <w:rFonts w:ascii="Times New Roman" w:hAnsi="Times New Roman"/>
          <w:sz w:val="16"/>
        </w:rPr>
        <w:t xml:space="preserve">If the securities being registered on this Form are being offered in connection with the formation of a holding company and there is compliance with General Instruction G, check the following box. ☐ </w:t>
      </w:r>
    </w:p>
    <w:p>
      <w:pPr>
        <w:pStyle w:val="TextBody"/>
        <w:bidi w:val="0"/>
        <w:spacing w:before="240" w:after="0"/>
        <w:jc w:val="left"/>
        <w:rPr>
          <w:rFonts w:ascii="Times New Roman" w:hAnsi="Times New Roman"/>
          <w:sz w:val="16"/>
        </w:rPr>
      </w:pPr>
      <w:r>
        <w:rPr>
          <w:rFonts w:ascii="Times New Roman" w:hAnsi="Times New Roman"/>
          <w:sz w:val="16"/>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 </w:t>
      </w:r>
    </w:p>
    <w:p>
      <w:pPr>
        <w:pStyle w:val="TextBody"/>
        <w:bidi w:val="0"/>
        <w:spacing w:before="240" w:after="0"/>
        <w:jc w:val="left"/>
        <w:rPr>
          <w:rFonts w:ascii="Times New Roman" w:hAnsi="Times New Roman"/>
          <w:sz w:val="16"/>
        </w:rPr>
      </w:pPr>
      <w:r>
        <w:rPr>
          <w:rFonts w:ascii="Times New Roman" w:hAnsi="Times New Roman"/>
          <w:sz w:val="16"/>
        </w:rPr>
        <w:t xml:space="preserve">If this Form is a post-effective amendment filed pursuant to Rule 462(d) under the Securities Act, check the following box and list the Securities Act registration statement number of the earlier effective registration statement for the same offering. ☐ </w:t>
      </w:r>
    </w:p>
    <w:p>
      <w:pPr>
        <w:pStyle w:val="TextBody"/>
        <w:bidi w:val="0"/>
        <w:spacing w:before="240" w:after="0"/>
        <w:jc w:val="left"/>
        <w:rPr>
          <w:rFonts w:ascii="Times New Roman" w:hAnsi="Times New Roman"/>
          <w:sz w:val="16"/>
        </w:rPr>
      </w:pPr>
      <w:r>
        <w:rPr>
          <w:rFonts w:ascii="Times New Roman" w:hAnsi="Times New Roman"/>
          <w:sz w:val="16"/>
        </w:rPr>
        <w:t xml:space="preserve">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46"/>
        <w:gridCol w:w="103"/>
        <w:gridCol w:w="2185"/>
        <w:gridCol w:w="103"/>
        <w:gridCol w:w="3634"/>
        <w:gridCol w:w="130"/>
        <w:gridCol w:w="2639"/>
        <w:gridCol w:w="103"/>
        <w:gridCol w:w="257"/>
        <w:gridCol w:w="103"/>
        <w:gridCol w:w="402"/>
      </w:tblGrid>
      <w:tr>
        <w:trPr/>
        <w:tc>
          <w:tcPr>
            <w:tcW w:w="546"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2185"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3634"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2639"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r>
      <w:tr>
        <w:trPr/>
        <w:tc>
          <w:tcPr>
            <w:tcW w:w="546"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2185" w:type="dxa"/>
            <w:tcBorders/>
            <w:vAlign w:val="bottom"/>
          </w:tcPr>
          <w:p>
            <w:pPr>
              <w:pStyle w:val="TableContents"/>
              <w:bidi w:val="0"/>
              <w:spacing w:before="0" w:after="283"/>
              <w:jc w:val="left"/>
              <w:rPr/>
            </w:pPr>
            <w:r>
              <w:rPr/>
              <w:t>Large accelerated filer</w:t>
            </w:r>
          </w:p>
        </w:tc>
        <w:tc>
          <w:tcPr>
            <w:tcW w:w="103" w:type="dxa"/>
            <w:tcBorders/>
            <w:vAlign w:val="bottom"/>
          </w:tcPr>
          <w:p>
            <w:pPr>
              <w:pStyle w:val="TableContents"/>
              <w:bidi w:val="0"/>
              <w:spacing w:before="0" w:after="283"/>
              <w:jc w:val="left"/>
              <w:rPr/>
            </w:pPr>
            <w:r>
              <w:rPr/>
              <w:t> </w:t>
            </w:r>
          </w:p>
        </w:tc>
        <w:tc>
          <w:tcPr>
            <w:tcW w:w="3634" w:type="dxa"/>
            <w:tcBorders/>
            <w:vAlign w:val="bottom"/>
          </w:tcPr>
          <w:p>
            <w:pPr>
              <w:pStyle w:val="TableContents"/>
              <w:bidi w:val="0"/>
              <w:spacing w:before="0" w:after="283"/>
              <w:jc w:val="left"/>
              <w:rPr/>
            </w:pPr>
            <w:r>
              <w:rPr/>
              <w:t>☒</w:t>
            </w:r>
          </w:p>
        </w:tc>
        <w:tc>
          <w:tcPr>
            <w:tcW w:w="130" w:type="dxa"/>
            <w:tcBorders/>
            <w:vAlign w:val="bottom"/>
          </w:tcPr>
          <w:p>
            <w:pPr>
              <w:pStyle w:val="TableContents"/>
              <w:bidi w:val="0"/>
              <w:spacing w:before="0" w:after="283"/>
              <w:jc w:val="left"/>
              <w:rPr/>
            </w:pPr>
            <w:r>
              <w:rPr/>
              <w:t>  </w:t>
            </w:r>
          </w:p>
        </w:tc>
        <w:tc>
          <w:tcPr>
            <w:tcW w:w="2639" w:type="dxa"/>
            <w:tcBorders/>
            <w:vAlign w:val="bottom"/>
          </w:tcPr>
          <w:p>
            <w:pPr>
              <w:pStyle w:val="TableContents"/>
              <w:bidi w:val="0"/>
              <w:spacing w:before="0" w:after="283"/>
              <w:jc w:val="left"/>
              <w:rPr/>
            </w:pPr>
            <w:r>
              <w:rPr/>
              <w:t>Accelerated filer</w:t>
            </w:r>
          </w:p>
        </w:tc>
        <w:tc>
          <w:tcPr>
            <w:tcW w:w="103"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w:t>
            </w:r>
          </w:p>
        </w:tc>
        <w:tc>
          <w:tcPr>
            <w:tcW w:w="103"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left"/>
              <w:rPr>
                <w:sz w:val="4"/>
                <w:szCs w:val="4"/>
              </w:rPr>
            </w:pPr>
            <w:r>
              <w:rPr>
                <w:sz w:val="4"/>
                <w:szCs w:val="4"/>
              </w:rPr>
            </w:r>
          </w:p>
        </w:tc>
      </w:tr>
      <w:tr>
        <w:trPr>
          <w:trHeight w:val="60" w:hRule="atLeast"/>
        </w:trPr>
        <w:tc>
          <w:tcPr>
            <w:tcW w:w="546" w:type="dxa"/>
            <w:tcBorders/>
            <w:vAlign w:val="center"/>
          </w:tcPr>
          <w:p>
            <w:pPr>
              <w:pStyle w:val="TableContents"/>
              <w:bidi w:val="0"/>
              <w:spacing w:before="0" w:after="283"/>
              <w:jc w:val="left"/>
              <w:rPr>
                <w:sz w:val="4"/>
                <w:szCs w:val="4"/>
              </w:rPr>
            </w:pPr>
            <w:r>
              <w:rPr>
                <w:sz w:val="4"/>
                <w:szCs w:val="4"/>
              </w:rPr>
            </w:r>
          </w:p>
        </w:tc>
        <w:tc>
          <w:tcPr>
            <w:tcW w:w="2288" w:type="dxa"/>
            <w:gridSpan w:val="2"/>
            <w:tcBorders/>
            <w:vAlign w:val="center"/>
          </w:tcPr>
          <w:p>
            <w:pPr>
              <w:pStyle w:val="TableContents"/>
              <w:bidi w:val="0"/>
              <w:spacing w:before="0" w:after="283"/>
              <w:jc w:val="left"/>
              <w:rPr>
                <w:sz w:val="4"/>
                <w:szCs w:val="4"/>
              </w:rPr>
            </w:pPr>
            <w:r>
              <w:rPr>
                <w:sz w:val="4"/>
                <w:szCs w:val="4"/>
              </w:rPr>
            </w:r>
          </w:p>
        </w:tc>
        <w:tc>
          <w:tcPr>
            <w:tcW w:w="3737" w:type="dxa"/>
            <w:gridSpan w:val="2"/>
            <w:tcBorders/>
            <w:vAlign w:val="center"/>
          </w:tcPr>
          <w:p>
            <w:pPr>
              <w:pStyle w:val="TableContents"/>
              <w:bidi w:val="0"/>
              <w:spacing w:before="0" w:after="283"/>
              <w:jc w:val="left"/>
              <w:rPr>
                <w:sz w:val="4"/>
                <w:szCs w:val="4"/>
              </w:rPr>
            </w:pPr>
            <w:r>
              <w:rPr>
                <w:sz w:val="4"/>
                <w:szCs w:val="4"/>
              </w:rPr>
            </w:r>
          </w:p>
        </w:tc>
        <w:tc>
          <w:tcPr>
            <w:tcW w:w="2769" w:type="dxa"/>
            <w:gridSpan w:val="2"/>
            <w:tcBorders/>
            <w:vAlign w:val="center"/>
          </w:tcPr>
          <w:p>
            <w:pPr>
              <w:pStyle w:val="TableContents"/>
              <w:bidi w:val="0"/>
              <w:spacing w:before="0" w:after="283"/>
              <w:jc w:val="left"/>
              <w:rPr>
                <w:sz w:val="4"/>
                <w:szCs w:val="4"/>
              </w:rPr>
            </w:pPr>
            <w:r>
              <w:rPr>
                <w:sz w:val="4"/>
                <w:szCs w:val="4"/>
              </w:rPr>
            </w:r>
          </w:p>
        </w:tc>
        <w:tc>
          <w:tcPr>
            <w:tcW w:w="360" w:type="dxa"/>
            <w:gridSpan w:val="2"/>
            <w:tcBorders/>
            <w:vAlign w:val="center"/>
          </w:tcPr>
          <w:p>
            <w:pPr>
              <w:pStyle w:val="TableContents"/>
              <w:bidi w:val="0"/>
              <w:spacing w:before="0" w:after="283"/>
              <w:jc w:val="left"/>
              <w:rPr>
                <w:sz w:val="4"/>
                <w:szCs w:val="4"/>
              </w:rPr>
            </w:pPr>
            <w:r>
              <w:rPr>
                <w:sz w:val="4"/>
                <w:szCs w:val="4"/>
              </w:rPr>
            </w:r>
          </w:p>
        </w:tc>
        <w:tc>
          <w:tcPr>
            <w:tcW w:w="505" w:type="dxa"/>
            <w:gridSpan w:val="2"/>
            <w:tcBorders/>
            <w:vAlign w:val="center"/>
          </w:tcPr>
          <w:p>
            <w:pPr>
              <w:pStyle w:val="TableContents"/>
              <w:bidi w:val="0"/>
              <w:spacing w:before="0" w:after="283"/>
              <w:jc w:val="left"/>
              <w:rPr>
                <w:sz w:val="4"/>
                <w:szCs w:val="4"/>
              </w:rPr>
            </w:pPr>
            <w:r>
              <w:rPr>
                <w:sz w:val="4"/>
                <w:szCs w:val="4"/>
              </w:rPr>
            </w:r>
          </w:p>
        </w:tc>
      </w:tr>
      <w:tr>
        <w:trPr/>
        <w:tc>
          <w:tcPr>
            <w:tcW w:w="546"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2185" w:type="dxa"/>
            <w:tcBorders/>
            <w:vAlign w:val="bottom"/>
          </w:tcPr>
          <w:p>
            <w:pPr>
              <w:pStyle w:val="TableContents"/>
              <w:bidi w:val="0"/>
              <w:spacing w:before="0" w:after="283"/>
              <w:jc w:val="left"/>
              <w:rPr/>
            </w:pPr>
            <w:r>
              <w:rPr/>
              <w:t>Non-accelerated filer</w:t>
            </w:r>
          </w:p>
        </w:tc>
        <w:tc>
          <w:tcPr>
            <w:tcW w:w="103" w:type="dxa"/>
            <w:tcBorders/>
            <w:vAlign w:val="bottom"/>
          </w:tcPr>
          <w:p>
            <w:pPr>
              <w:pStyle w:val="TableContents"/>
              <w:bidi w:val="0"/>
              <w:spacing w:before="0" w:after="283"/>
              <w:jc w:val="left"/>
              <w:rPr/>
            </w:pPr>
            <w:r>
              <w:rPr/>
              <w:t> </w:t>
            </w:r>
          </w:p>
        </w:tc>
        <w:tc>
          <w:tcPr>
            <w:tcW w:w="3634" w:type="dxa"/>
            <w:tcBorders/>
            <w:vAlign w:val="bottom"/>
          </w:tcPr>
          <w:p>
            <w:pPr>
              <w:pStyle w:val="TableContents"/>
              <w:bidi w:val="0"/>
              <w:spacing w:before="0" w:after="283"/>
              <w:jc w:val="left"/>
              <w:rPr/>
            </w:pPr>
            <w:r>
              <w:rPr/>
              <w:t>☐</w:t>
            </w:r>
          </w:p>
        </w:tc>
        <w:tc>
          <w:tcPr>
            <w:tcW w:w="130" w:type="dxa"/>
            <w:tcBorders/>
            <w:vAlign w:val="bottom"/>
          </w:tcPr>
          <w:p>
            <w:pPr>
              <w:pStyle w:val="TableContents"/>
              <w:bidi w:val="0"/>
              <w:spacing w:before="0" w:after="283"/>
              <w:jc w:val="left"/>
              <w:rPr/>
            </w:pPr>
            <w:r>
              <w:rPr/>
              <w:t>  </w:t>
            </w:r>
          </w:p>
        </w:tc>
        <w:tc>
          <w:tcPr>
            <w:tcW w:w="2639" w:type="dxa"/>
            <w:tcBorders/>
            <w:vAlign w:val="bottom"/>
          </w:tcPr>
          <w:p>
            <w:pPr>
              <w:pStyle w:val="TableContents"/>
              <w:bidi w:val="0"/>
              <w:spacing w:before="0" w:after="283"/>
              <w:jc w:val="left"/>
              <w:rPr/>
            </w:pPr>
            <w:r>
              <w:rPr/>
              <w:t>Smaller reporting company</w:t>
            </w:r>
          </w:p>
        </w:tc>
        <w:tc>
          <w:tcPr>
            <w:tcW w:w="103"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w:t>
            </w:r>
          </w:p>
        </w:tc>
        <w:tc>
          <w:tcPr>
            <w:tcW w:w="103"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left"/>
              <w:rPr>
                <w:sz w:val="4"/>
                <w:szCs w:val="4"/>
              </w:rPr>
            </w:pPr>
            <w:r>
              <w:rPr>
                <w:sz w:val="4"/>
                <w:szCs w:val="4"/>
              </w:rPr>
            </w:r>
          </w:p>
        </w:tc>
      </w:tr>
      <w:tr>
        <w:trPr>
          <w:trHeight w:val="60" w:hRule="atLeast"/>
        </w:trPr>
        <w:tc>
          <w:tcPr>
            <w:tcW w:w="546" w:type="dxa"/>
            <w:tcBorders/>
            <w:vAlign w:val="center"/>
          </w:tcPr>
          <w:p>
            <w:pPr>
              <w:pStyle w:val="TableContents"/>
              <w:bidi w:val="0"/>
              <w:spacing w:before="0" w:after="283"/>
              <w:jc w:val="left"/>
              <w:rPr>
                <w:sz w:val="4"/>
                <w:szCs w:val="4"/>
              </w:rPr>
            </w:pPr>
            <w:r>
              <w:rPr>
                <w:sz w:val="4"/>
                <w:szCs w:val="4"/>
              </w:rPr>
            </w:r>
          </w:p>
        </w:tc>
        <w:tc>
          <w:tcPr>
            <w:tcW w:w="2288" w:type="dxa"/>
            <w:gridSpan w:val="2"/>
            <w:tcBorders/>
            <w:vAlign w:val="center"/>
          </w:tcPr>
          <w:p>
            <w:pPr>
              <w:pStyle w:val="TableContents"/>
              <w:bidi w:val="0"/>
              <w:spacing w:before="0" w:after="283"/>
              <w:jc w:val="left"/>
              <w:rPr>
                <w:sz w:val="4"/>
                <w:szCs w:val="4"/>
              </w:rPr>
            </w:pPr>
            <w:r>
              <w:rPr>
                <w:sz w:val="4"/>
                <w:szCs w:val="4"/>
              </w:rPr>
            </w:r>
          </w:p>
        </w:tc>
        <w:tc>
          <w:tcPr>
            <w:tcW w:w="3737" w:type="dxa"/>
            <w:gridSpan w:val="2"/>
            <w:tcBorders/>
            <w:vAlign w:val="center"/>
          </w:tcPr>
          <w:p>
            <w:pPr>
              <w:pStyle w:val="TableContents"/>
              <w:bidi w:val="0"/>
              <w:spacing w:before="0" w:after="283"/>
              <w:jc w:val="left"/>
              <w:rPr>
                <w:sz w:val="4"/>
                <w:szCs w:val="4"/>
              </w:rPr>
            </w:pPr>
            <w:r>
              <w:rPr>
                <w:sz w:val="4"/>
                <w:szCs w:val="4"/>
              </w:rPr>
            </w:r>
          </w:p>
        </w:tc>
        <w:tc>
          <w:tcPr>
            <w:tcW w:w="2769" w:type="dxa"/>
            <w:gridSpan w:val="2"/>
            <w:tcBorders/>
            <w:vAlign w:val="center"/>
          </w:tcPr>
          <w:p>
            <w:pPr>
              <w:pStyle w:val="TableContents"/>
              <w:bidi w:val="0"/>
              <w:spacing w:before="0" w:after="283"/>
              <w:jc w:val="left"/>
              <w:rPr>
                <w:sz w:val="4"/>
                <w:szCs w:val="4"/>
              </w:rPr>
            </w:pPr>
            <w:r>
              <w:rPr>
                <w:sz w:val="4"/>
                <w:szCs w:val="4"/>
              </w:rPr>
            </w:r>
          </w:p>
        </w:tc>
        <w:tc>
          <w:tcPr>
            <w:tcW w:w="360" w:type="dxa"/>
            <w:gridSpan w:val="2"/>
            <w:tcBorders/>
            <w:vAlign w:val="center"/>
          </w:tcPr>
          <w:p>
            <w:pPr>
              <w:pStyle w:val="TableContents"/>
              <w:bidi w:val="0"/>
              <w:spacing w:before="0" w:after="283"/>
              <w:jc w:val="left"/>
              <w:rPr>
                <w:sz w:val="4"/>
                <w:szCs w:val="4"/>
              </w:rPr>
            </w:pPr>
            <w:r>
              <w:rPr>
                <w:sz w:val="4"/>
                <w:szCs w:val="4"/>
              </w:rPr>
            </w:r>
          </w:p>
        </w:tc>
        <w:tc>
          <w:tcPr>
            <w:tcW w:w="505" w:type="dxa"/>
            <w:gridSpan w:val="2"/>
            <w:tcBorders/>
            <w:vAlign w:val="center"/>
          </w:tcPr>
          <w:p>
            <w:pPr>
              <w:pStyle w:val="TableContents"/>
              <w:bidi w:val="0"/>
              <w:spacing w:before="0" w:after="283"/>
              <w:jc w:val="left"/>
              <w:rPr>
                <w:sz w:val="4"/>
                <w:szCs w:val="4"/>
              </w:rPr>
            </w:pPr>
            <w:r>
              <w:rPr>
                <w:sz w:val="4"/>
                <w:szCs w:val="4"/>
              </w:rPr>
            </w:r>
          </w:p>
        </w:tc>
      </w:tr>
      <w:tr>
        <w:trPr/>
        <w:tc>
          <w:tcPr>
            <w:tcW w:w="546"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2185"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3634" w:type="dxa"/>
            <w:tcBorders/>
            <w:vAlign w:val="bottom"/>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pPr>
            <w:r>
              <w:rPr/>
              <w:t>  </w:t>
            </w:r>
          </w:p>
        </w:tc>
        <w:tc>
          <w:tcPr>
            <w:tcW w:w="2639" w:type="dxa"/>
            <w:tcBorders/>
            <w:vAlign w:val="bottom"/>
          </w:tcPr>
          <w:p>
            <w:pPr>
              <w:pStyle w:val="TableContents"/>
              <w:bidi w:val="0"/>
              <w:spacing w:before="0" w:after="283"/>
              <w:jc w:val="left"/>
              <w:rPr/>
            </w:pPr>
            <w:r>
              <w:rPr/>
              <w:t>Emerging growth company</w:t>
            </w:r>
          </w:p>
        </w:tc>
        <w:tc>
          <w:tcPr>
            <w:tcW w:w="103"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w:t>
            </w:r>
          </w:p>
        </w:tc>
        <w:tc>
          <w:tcPr>
            <w:tcW w:w="103"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16"/>
        </w:rPr>
      </w:pPr>
      <w:r>
        <w:rPr>
          <w:rFonts w:ascii="Times New Roman" w:hAnsi="Times New Roman"/>
          <w:sz w:val="16"/>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240" w:after="0"/>
        <w:jc w:val="left"/>
        <w:rPr>
          <w:rFonts w:ascii="Times New Roman" w:hAnsi="Times New Roman"/>
          <w:sz w:val="16"/>
        </w:rPr>
      </w:pPr>
      <w:r>
        <w:rPr>
          <w:rFonts w:ascii="Times New Roman" w:hAnsi="Times New Roman"/>
          <w:sz w:val="16"/>
        </w:rPr>
        <w:t xml:space="preserve">If applicable, place an X in the box to designate the appropriate rule provision relied upon in conducting this transaction: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7098"/>
        <w:gridCol w:w="421"/>
        <w:gridCol w:w="236"/>
      </w:tblGrid>
      <w:tr>
        <w:trPr/>
        <w:tc>
          <w:tcPr>
            <w:tcW w:w="7098" w:type="dxa"/>
            <w:tcBorders/>
            <w:vAlign w:val="center"/>
          </w:tcPr>
          <w:p>
            <w:pPr>
              <w:pStyle w:val="TableContents"/>
              <w:bidi w:val="0"/>
              <w:spacing w:before="0" w:after="283"/>
              <w:jc w:val="left"/>
              <w:rPr>
                <w:sz w:val="4"/>
                <w:szCs w:val="4"/>
              </w:rPr>
            </w:pPr>
            <w:r>
              <w:rPr>
                <w:sz w:val="4"/>
                <w:szCs w:val="4"/>
              </w:rPr>
            </w:r>
          </w:p>
        </w:tc>
        <w:tc>
          <w:tcPr>
            <w:tcW w:w="421" w:type="dxa"/>
            <w:tcBorders/>
            <w:vAlign w:val="bottom"/>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7098" w:type="dxa"/>
            <w:tcBorders/>
            <w:vAlign w:val="bottom"/>
          </w:tcPr>
          <w:p>
            <w:pPr>
              <w:pStyle w:val="TableContents"/>
              <w:bidi w:val="0"/>
              <w:spacing w:before="0" w:after="283"/>
              <w:jc w:val="left"/>
              <w:rPr/>
            </w:pPr>
            <w:r>
              <w:rPr/>
              <w:t>Exchange Act Rule 13e-4(i) (Cross-Border Issuer Tender Offer)</w:t>
            </w:r>
          </w:p>
        </w:tc>
        <w:tc>
          <w:tcPr>
            <w:tcW w:w="421"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w:t>
            </w:r>
          </w:p>
        </w:tc>
      </w:tr>
      <w:tr>
        <w:trPr/>
        <w:tc>
          <w:tcPr>
            <w:tcW w:w="7098" w:type="dxa"/>
            <w:tcBorders/>
            <w:vAlign w:val="bottom"/>
          </w:tcPr>
          <w:p>
            <w:pPr>
              <w:pStyle w:val="TableContents"/>
              <w:bidi w:val="0"/>
              <w:spacing w:before="0" w:after="283"/>
              <w:jc w:val="left"/>
              <w:rPr/>
            </w:pPr>
            <w:r>
              <w:rPr/>
              <w:t>Exchange Act Rule 14d-1(d) (Cross-Border Third-Party Tender Offer)</w:t>
            </w:r>
          </w:p>
        </w:tc>
        <w:tc>
          <w:tcPr>
            <w:tcW w:w="421"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w:t>
            </w:r>
          </w:p>
        </w:tc>
      </w:tr>
    </w:tbl>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b/>
          <w:sz w:val="16"/>
        </w:rPr>
      </w:pPr>
      <w:r>
        <w:rPr>
          <w:rFonts w:ascii="Times New Roman" w:hAnsi="Times New Roman"/>
          <w:b/>
          <w:sz w:val="16"/>
        </w:rPr>
        <w:t xml:space="preserve">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the Registration Statement shall become effective on such date as the Securities and Exchange Commission, acting pursuant to said Section 8(a), may determine.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color w:val="FF4338"/>
          <w:sz w:val="20"/>
        </w:rPr>
      </w:pPr>
      <w:r>
        <w:rPr>
          <w:rFonts w:ascii="Times New Roman" w:hAnsi="Times New Roman"/>
          <w:b/>
          <w:color w:val="FF4338"/>
          <w:sz w:val="20"/>
        </w:rPr>
        <w:t xml:space="preserve">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is not soliciting an offer to buy these securities in any jurisdiction where the offer or sale is not permitted. </w:t>
      </w:r>
    </w:p>
    <w:p>
      <w:pPr>
        <w:pStyle w:val="TextBody"/>
        <w:bidi w:val="0"/>
        <w:spacing w:before="0" w:after="0"/>
        <w:ind w:left="960" w:right="960" w:hanging="0"/>
        <w:jc w:val="left"/>
        <w:rPr/>
      </w:pPr>
      <w:r>
        <w:rPr/>
        <w:t> </w:t>
      </w:r>
    </w:p>
    <w:p>
      <w:pPr>
        <w:pStyle w:val="TextBody"/>
        <w:bidi w:val="0"/>
        <w:spacing w:before="0" w:after="0"/>
        <w:ind w:left="960" w:right="960" w:hanging="0"/>
        <w:jc w:val="center"/>
        <w:rPr>
          <w:rFonts w:ascii="Times New Roman" w:hAnsi="Times New Roman"/>
          <w:b/>
          <w:color w:val="FF4338"/>
          <w:sz w:val="20"/>
        </w:rPr>
      </w:pPr>
      <w:r>
        <w:rPr>
          <w:rFonts w:ascii="Times New Roman" w:hAnsi="Times New Roman"/>
          <w:b/>
          <w:color w:val="FF4338"/>
          <w:sz w:val="20"/>
        </w:rPr>
        <w:t xml:space="preserve">SUBJECT TO COMPLETION, DATED SEPTEMBER 10, 2026 </w:t>
      </w:r>
    </w:p>
    <w:p>
      <w:pPr>
        <w:pStyle w:val="TextBody"/>
        <w:bidi w:val="0"/>
        <w:spacing w:before="120" w:after="0"/>
        <w:ind w:left="960" w:right="960" w:hanging="0"/>
        <w:jc w:val="left"/>
        <w:rPr>
          <w:rFonts w:ascii="Times New Roman" w:hAnsi="Times New Roman"/>
          <w:b/>
          <w:sz w:val="20"/>
        </w:rPr>
      </w:pPr>
      <w:r>
        <w:rPr>
          <w:rFonts w:ascii="Times New Roman" w:hAnsi="Times New Roman"/>
          <w:b/>
          <w:sz w:val="20"/>
        </w:rPr>
        <w:t xml:space="preserve">PRELIMINARY PROSPECTUS </w:t>
      </w:r>
    </w:p>
    <w:p>
      <w:pPr>
        <w:pStyle w:val="TextBody"/>
        <w:bidi w:val="0"/>
        <w:spacing w:before="0" w:after="0"/>
        <w:ind w:left="960" w:right="960" w:hanging="0"/>
        <w:jc w:val="left"/>
        <w:rPr/>
      </w:pPr>
      <w:r>
        <w:rPr/>
        <w:t> </w:t>
      </w:r>
    </w:p>
    <w:p>
      <w:pPr>
        <w:pStyle w:val="TextBody"/>
        <w:bidi w:val="0"/>
        <w:spacing w:before="0" w:after="0"/>
        <w:ind w:left="960" w:right="960" w:hanging="0"/>
        <w:jc w:val="center"/>
        <w:rPr/>
      </w:pPr>
      <w:r>
        <w:rPr/>
        <w:drawing>
          <wp:inline distT="0" distB="0" distL="0" distR="0">
            <wp:extent cx="2330450" cy="3365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330450" cy="336550"/>
                    </a:xfrm>
                    <a:prstGeom prst="rect">
                      <a:avLst/>
                    </a:prstGeom>
                  </pic:spPr>
                </pic:pic>
              </a:graphicData>
            </a:graphic>
          </wp:inline>
        </w:drawing>
      </w:r>
      <w:r>
        <w:rPr/>
        <w:t xml:space="preserve"> </w:t>
      </w:r>
    </w:p>
    <w:p>
      <w:pPr>
        <w:pStyle w:val="TextBody"/>
        <w:bidi w:val="0"/>
        <w:spacing w:before="240" w:after="0"/>
        <w:ind w:left="960" w:right="960" w:hanging="0"/>
        <w:jc w:val="center"/>
        <w:rPr>
          <w:rFonts w:ascii="Times New Roman" w:hAnsi="Times New Roman"/>
          <w:b/>
          <w:sz w:val="48"/>
        </w:rPr>
      </w:pPr>
      <w:r>
        <w:rPr>
          <w:rFonts w:ascii="Times New Roman" w:hAnsi="Times New Roman"/>
          <w:b/>
          <w:sz w:val="48"/>
        </w:rPr>
        <w:t xml:space="preserve">Broadcom Inc. </w:t>
      </w:r>
    </w:p>
    <w:p>
      <w:pPr>
        <w:pStyle w:val="TextBody"/>
        <w:bidi w:val="0"/>
        <w:spacing w:before="240" w:after="0"/>
        <w:ind w:left="960" w:right="960" w:hanging="0"/>
        <w:jc w:val="center"/>
        <w:rPr>
          <w:rFonts w:ascii="Times New Roman" w:hAnsi="Times New Roman"/>
          <w:b/>
          <w:sz w:val="28"/>
        </w:rPr>
      </w:pPr>
      <w:r>
        <w:rPr>
          <w:rFonts w:ascii="Times New Roman" w:hAnsi="Times New Roman"/>
          <w:b/>
          <w:sz w:val="28"/>
        </w:rPr>
        <w:t xml:space="preserve">Exchange Offer for </w:t>
      </w:r>
    </w:p>
    <w:p>
      <w:pPr>
        <w:pStyle w:val="TextBody"/>
        <w:bidi w:val="0"/>
        <w:spacing w:before="240" w:after="0"/>
        <w:ind w:left="960" w:right="960" w:hanging="0"/>
        <w:jc w:val="center"/>
        <w:rPr>
          <w:rFonts w:ascii="Times New Roman" w:hAnsi="Times New Roman"/>
          <w:b/>
          <w:sz w:val="28"/>
        </w:rPr>
      </w:pPr>
      <w:r>
        <w:rPr>
          <w:rFonts w:ascii="Times New Roman" w:hAnsi="Times New Roman"/>
          <w:b/>
          <w:sz w:val="28"/>
        </w:rPr>
        <w:t xml:space="preserve">Up to $654,004,000 4.926% Senior Notes due 2037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Broadcom Inc., a Delaware corporation (the “Issuer,” “Broadcom,” “we” or “us”), is offering (the “Exchange Offer”), upon the terms and subject to the conditions set forth in this prospectus, to exchange any and all of the notes that we issued on April 18, 2022, identified under “Title of the Outstanding Notes” in the table below (collectively, the “Outstanding Notes”), for a like principal amount of notes that have been registered under the Securities Act of 1933, as amended (the “Securities Act”), having substantially the same terms as the Outstanding Notes and evidencing the same indebtedness as the Outstanding Notes, as described under “Title of the Exchange Notes” in the table below (the “Exchange Notes” and, together with the Outstanding Notes, the “Notes”). The terms of the Exchange Offer are summarized below and are more fully described in this prospectus. </w:t>
      </w:r>
    </w:p>
    <w:p>
      <w:pPr>
        <w:pStyle w:val="TextBody"/>
        <w:bidi w:val="0"/>
        <w:spacing w:before="0" w:after="0"/>
        <w:ind w:left="960" w:right="960" w:hanging="0"/>
        <w:jc w:val="left"/>
        <w:rPr/>
      </w:pPr>
      <w:r>
        <w:rPr/>
        <w:t> </w:t>
      </w:r>
    </w:p>
    <w:tbl>
      <w:tblPr>
        <w:tblW w:w="9930" w:type="dxa"/>
        <w:jc w:val="center"/>
        <w:tblInd w:w="0" w:type="dxa"/>
        <w:tblLayout w:type="fixed"/>
        <w:tblCellMar>
          <w:top w:w="0" w:type="dxa"/>
          <w:left w:w="0" w:type="dxa"/>
          <w:bottom w:w="0" w:type="dxa"/>
          <w:right w:w="0" w:type="dxa"/>
        </w:tblCellMar>
      </w:tblPr>
      <w:tblGrid>
        <w:gridCol w:w="965"/>
        <w:gridCol w:w="60"/>
        <w:gridCol w:w="2990"/>
        <w:gridCol w:w="60"/>
        <w:gridCol w:w="140"/>
        <w:gridCol w:w="1220"/>
        <w:gridCol w:w="60"/>
        <w:gridCol w:w="60"/>
        <w:gridCol w:w="1325"/>
        <w:gridCol w:w="60"/>
        <w:gridCol w:w="2990"/>
      </w:tblGrid>
      <w:tr>
        <w:trPr/>
        <w:tc>
          <w:tcPr>
            <w:tcW w:w="96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9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90" w:type="dxa"/>
            <w:tcBorders/>
            <w:vAlign w:val="center"/>
          </w:tcPr>
          <w:p>
            <w:pPr>
              <w:pStyle w:val="TableContents"/>
              <w:bidi w:val="0"/>
              <w:spacing w:before="0" w:after="283"/>
              <w:jc w:val="left"/>
              <w:rPr>
                <w:sz w:val="4"/>
                <w:szCs w:val="4"/>
              </w:rPr>
            </w:pPr>
            <w:r>
              <w:rPr>
                <w:sz w:val="4"/>
                <w:szCs w:val="4"/>
              </w:rPr>
            </w:r>
          </w:p>
        </w:tc>
      </w:tr>
      <w:tr>
        <w:trPr/>
        <w:tc>
          <w:tcPr>
            <w:tcW w:w="5435" w:type="dxa"/>
            <w:gridSpan w:val="6"/>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4"/>
              </w:rPr>
            </w:pPr>
            <w:r>
              <w:rPr>
                <w:rFonts w:ascii="Times New Roman" w:hAnsi="Times New Roman"/>
                <w:b/>
                <w:sz w:val="14"/>
              </w:rPr>
              <w:t>Description of the Outstanding Notes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75" w:type="dxa"/>
            <w:gridSpan w:val="3"/>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4"/>
              </w:rPr>
            </w:pPr>
            <w:r>
              <w:rPr>
                <w:rFonts w:ascii="Times New Roman" w:hAnsi="Times New Roman"/>
                <w:b/>
                <w:sz w:val="14"/>
              </w:rPr>
              <w:t>Description of the Exchange Notes</w:t>
            </w:r>
          </w:p>
        </w:tc>
      </w:tr>
      <w:tr>
        <w:trPr/>
        <w:tc>
          <w:tcPr>
            <w:tcW w:w="96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4"/>
              </w:rPr>
            </w:pPr>
            <w:r>
              <w:rPr>
                <w:rFonts w:ascii="Times New Roman" w:hAnsi="Times New Roman"/>
                <w:b/>
                <w:sz w:val="14"/>
              </w:rPr>
              <w:t>CUSIP Number</w:t>
            </w:r>
          </w:p>
        </w:tc>
        <w:tc>
          <w:tcPr>
            <w:tcW w:w="60" w:type="dxa"/>
            <w:tcBorders/>
            <w:vAlign w:val="bottom"/>
          </w:tcPr>
          <w:p>
            <w:pPr>
              <w:pStyle w:val="TableContents"/>
              <w:bidi w:val="0"/>
              <w:spacing w:before="0" w:after="283"/>
              <w:jc w:val="left"/>
              <w:rPr/>
            </w:pPr>
            <w:r>
              <w:rPr/>
              <w:t> </w:t>
            </w:r>
          </w:p>
        </w:tc>
        <w:tc>
          <w:tcPr>
            <w:tcW w:w="299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4"/>
              </w:rPr>
            </w:pPr>
            <w:r>
              <w:rPr>
                <w:rFonts w:ascii="Times New Roman" w:hAnsi="Times New Roman"/>
                <w:b/>
                <w:sz w:val="14"/>
              </w:rPr>
              <w:t>Title of the</w:t>
              <w:br/>
              <w:t>Outstanding Notes</w:t>
            </w:r>
          </w:p>
        </w:tc>
        <w:tc>
          <w:tcPr>
            <w:tcW w:w="60" w:type="dxa"/>
            <w:tcBorders/>
            <w:vAlign w:val="bottom"/>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Principal</w:t>
              <w:br/>
              <w:t>Amount</w:t>
              <w:br/>
              <w:t>Outstanding</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2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4"/>
              </w:rPr>
            </w:pPr>
            <w:r>
              <w:rPr>
                <w:rFonts w:ascii="Times New Roman" w:hAnsi="Times New Roman"/>
                <w:b/>
                <w:sz w:val="14"/>
              </w:rPr>
              <w:t>CUSIP</w:t>
              <w:br/>
              <w:t>Number</w:t>
            </w:r>
          </w:p>
        </w:tc>
        <w:tc>
          <w:tcPr>
            <w:tcW w:w="60" w:type="dxa"/>
            <w:tcBorders/>
            <w:vAlign w:val="bottom"/>
          </w:tcPr>
          <w:p>
            <w:pPr>
              <w:pStyle w:val="TableContents"/>
              <w:bidi w:val="0"/>
              <w:spacing w:before="0" w:after="283"/>
              <w:jc w:val="left"/>
              <w:rPr/>
            </w:pPr>
            <w:r>
              <w:rPr/>
              <w:t> </w:t>
            </w:r>
          </w:p>
        </w:tc>
        <w:tc>
          <w:tcPr>
            <w:tcW w:w="299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4"/>
              </w:rPr>
            </w:pPr>
            <w:r>
              <w:rPr>
                <w:rFonts w:ascii="Times New Roman" w:hAnsi="Times New Roman"/>
                <w:b/>
                <w:sz w:val="14"/>
              </w:rPr>
              <w:t>Title of the</w:t>
              <w:br/>
              <w:t>Exchange Notes</w:t>
            </w:r>
          </w:p>
        </w:tc>
      </w:tr>
      <w:tr>
        <w:trPr/>
        <w:tc>
          <w:tcPr>
            <w:tcW w:w="96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11135F BV2 (Rule 144A)</w:t>
            </w:r>
          </w:p>
          <w:p>
            <w:pPr>
              <w:pStyle w:val="TableContents"/>
              <w:bidi w:val="0"/>
              <w:spacing w:before="0" w:after="20"/>
              <w:jc w:val="left"/>
              <w:rPr>
                <w:rFonts w:ascii="Times New Roman" w:hAnsi="Times New Roman"/>
                <w:sz w:val="16"/>
              </w:rPr>
            </w:pPr>
            <w:r>
              <w:rPr>
                <w:rFonts w:ascii="Times New Roman" w:hAnsi="Times New Roman"/>
                <w:sz w:val="16"/>
              </w:rPr>
              <w:t>U1109M BA3 (Regulation S)</w:t>
            </w:r>
          </w:p>
        </w:tc>
        <w:tc>
          <w:tcPr>
            <w:tcW w:w="60" w:type="dxa"/>
            <w:tcBorders/>
            <w:shd w:fill="CCEEFF" w:val="clear"/>
            <w:vAlign w:val="bottom"/>
          </w:tcPr>
          <w:p>
            <w:pPr>
              <w:pStyle w:val="TableContents"/>
              <w:bidi w:val="0"/>
              <w:spacing w:before="0" w:after="283"/>
              <w:jc w:val="left"/>
              <w:rPr/>
            </w:pPr>
            <w:r>
              <w:rPr/>
              <w:t> </w:t>
            </w:r>
          </w:p>
        </w:tc>
        <w:tc>
          <w:tcPr>
            <w:tcW w:w="2990" w:type="dxa"/>
            <w:tcBorders/>
            <w:shd w:fill="CCEEFF" w:val="clear"/>
          </w:tcPr>
          <w:p>
            <w:pPr>
              <w:pStyle w:val="TableContents"/>
              <w:bidi w:val="0"/>
              <w:spacing w:before="0" w:after="283"/>
              <w:jc w:val="center"/>
              <w:rPr/>
            </w:pPr>
            <w:r>
              <w:rPr/>
              <w:t>4.926% Senior Notes due 2037</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tcPr>
          <w:p>
            <w:pPr>
              <w:pStyle w:val="TableContents"/>
              <w:bidi w:val="0"/>
              <w:spacing w:before="0" w:after="283"/>
              <w:jc w:val="left"/>
              <w:rPr/>
            </w:pPr>
            <w:r>
              <w:rPr/>
              <w:t>$</w:t>
            </w:r>
          </w:p>
        </w:tc>
        <w:tc>
          <w:tcPr>
            <w:tcW w:w="1220" w:type="dxa"/>
            <w:tcBorders/>
            <w:shd w:fill="CCEEFF" w:val="clear"/>
          </w:tcPr>
          <w:p>
            <w:pPr>
              <w:pStyle w:val="TableContents"/>
              <w:bidi w:val="0"/>
              <w:spacing w:before="0" w:after="283"/>
              <w:jc w:val="right"/>
              <w:rPr/>
            </w:pPr>
            <w:r>
              <w:rPr/>
              <w:t>654,004,000</w:t>
            </w:r>
          </w:p>
        </w:tc>
        <w:tc>
          <w:tcPr>
            <w:tcW w:w="60" w:type="dxa"/>
            <w:tcBorders/>
            <w:shd w:fill="CCEEFF" w:val="clea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25" w:type="dxa"/>
            <w:tcBorders/>
            <w:shd w:fill="CCEEFF" w:val="clear"/>
          </w:tcPr>
          <w:p>
            <w:pPr>
              <w:pStyle w:val="TableContents"/>
              <w:bidi w:val="0"/>
              <w:spacing w:before="0" w:after="283"/>
              <w:jc w:val="center"/>
              <w:rPr/>
            </w:pPr>
            <w:r>
              <w:rPr/>
              <w:t>11135F BW0</w:t>
            </w:r>
          </w:p>
        </w:tc>
        <w:tc>
          <w:tcPr>
            <w:tcW w:w="60" w:type="dxa"/>
            <w:tcBorders/>
            <w:shd w:fill="CCEEFF" w:val="clear"/>
            <w:vAlign w:val="bottom"/>
          </w:tcPr>
          <w:p>
            <w:pPr>
              <w:pStyle w:val="TableContents"/>
              <w:bidi w:val="0"/>
              <w:spacing w:before="0" w:after="283"/>
              <w:jc w:val="left"/>
              <w:rPr/>
            </w:pPr>
            <w:r>
              <w:rPr/>
              <w:t> </w:t>
            </w:r>
          </w:p>
        </w:tc>
        <w:tc>
          <w:tcPr>
            <w:tcW w:w="2990" w:type="dxa"/>
            <w:tcBorders/>
            <w:shd w:fill="CCEEFF" w:val="clear"/>
          </w:tcPr>
          <w:p>
            <w:pPr>
              <w:pStyle w:val="TableContents"/>
              <w:bidi w:val="0"/>
              <w:spacing w:before="0" w:after="283"/>
              <w:jc w:val="center"/>
              <w:rPr/>
            </w:pPr>
            <w:r>
              <w:rPr/>
              <w:t>4.926% Senior Notes due 2037</w:t>
            </w:r>
          </w:p>
        </w:tc>
      </w:tr>
    </w:tbl>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We are offering to exchange the Outstanding Notes for the Exchange Notes to satisfy our obligations in the registration rights agreement that we entered into when the Outstanding Notes were issued pursuant to Rule 144A and Regulation S under the Securities Act. </w:t>
      </w:r>
    </w:p>
    <w:p>
      <w:pPr>
        <w:pStyle w:val="TextBody"/>
        <w:bidi w:val="0"/>
        <w:spacing w:before="360" w:after="0"/>
        <w:ind w:left="960" w:right="960" w:hanging="0"/>
        <w:jc w:val="left"/>
        <w:rPr>
          <w:rFonts w:ascii="Times New Roman" w:hAnsi="Times New Roman"/>
          <w:b/>
          <w:sz w:val="20"/>
        </w:rPr>
      </w:pPr>
      <w:r>
        <w:rPr>
          <w:rFonts w:ascii="Times New Roman" w:hAnsi="Times New Roman"/>
          <w:b/>
          <w:sz w:val="20"/>
        </w:rPr>
        <w:t xml:space="preserve">The Exchange Offer </w:t>
      </w:r>
    </w:p>
    <w:p>
      <w:pPr>
        <w:pStyle w:val="TextBody"/>
        <w:bidi w:val="0"/>
        <w:spacing w:before="0" w:after="0"/>
        <w:ind w:left="960" w:right="960" w:hanging="0"/>
        <w:jc w:val="left"/>
        <w:rPr/>
      </w:pPr>
      <w:r>
        <w:rPr/>
        <w:t> </w:t>
      </w:r>
    </w:p>
    <w:tbl>
      <w:tblPr>
        <w:tblW w:w="5000" w:type="pct"/>
        <w:jc w:val="left"/>
        <w:tblInd w:w="96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will exchange all Outstanding Notes that are validly tendered and not validly withdrawn prior to the Expiration Date (as defined below) for an equal principal amount of Exchange Notes that are freely tradable, except in limited circumstances as described below. </w:t>
            </w:r>
          </w:p>
        </w:tc>
      </w:tr>
    </w:tbl>
    <w:p>
      <w:pPr>
        <w:pStyle w:val="TextBody"/>
        <w:bidi w:val="0"/>
        <w:spacing w:before="0" w:after="0"/>
        <w:ind w:left="960" w:right="960" w:hanging="0"/>
        <w:jc w:val="left"/>
        <w:rPr/>
      </w:pPr>
      <w:r>
        <w:rPr/>
        <w:t> </w:t>
      </w:r>
    </w:p>
    <w:tbl>
      <w:tblPr>
        <w:tblW w:w="5000" w:type="pct"/>
        <w:jc w:val="left"/>
        <w:tblInd w:w="96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Exchange Offer expires at 5:00 p.m., New York City time, on    , 2026, unless extended (the “Expiration Date”). We do not currently intend to extend the Expiration Date. </w:t>
            </w:r>
          </w:p>
        </w:tc>
      </w:tr>
    </w:tbl>
    <w:p>
      <w:pPr>
        <w:pStyle w:val="TextBody"/>
        <w:bidi w:val="0"/>
        <w:spacing w:before="0" w:after="0"/>
        <w:ind w:left="960" w:right="960" w:hanging="0"/>
        <w:jc w:val="left"/>
        <w:rPr/>
      </w:pPr>
      <w:r>
        <w:rPr/>
        <w:t> </w:t>
      </w:r>
    </w:p>
    <w:tbl>
      <w:tblPr>
        <w:tblW w:w="5000" w:type="pct"/>
        <w:jc w:val="left"/>
        <w:tblInd w:w="96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To exchange your Outstanding Notes for Exchange Notes, you are required to make the representations described herein to us, including those set forth on pages </w:t>
            </w:r>
            <w:hyperlink w:anchor="cov154803_201">
              <w:r>
                <w:rPr>
                  <w:rStyle w:val="InternetLink"/>
                  <w:rFonts w:ascii="Times New Roman" w:hAnsi="Times New Roman"/>
                  <w:sz w:val="20"/>
                </w:rPr>
                <w:t>21</w:t>
              </w:r>
            </w:hyperlink>
            <w:r>
              <w:rPr>
                <w:rFonts w:ascii="Times New Roman" w:hAnsi="Times New Roman"/>
                <w:sz w:val="20"/>
              </w:rPr>
              <w:t>-</w:t>
            </w:r>
            <w:hyperlink w:anchor="cov154803_202">
              <w:r>
                <w:rPr>
                  <w:rStyle w:val="InternetLink"/>
                  <w:rFonts w:ascii="Times New Roman" w:hAnsi="Times New Roman"/>
                  <w:sz w:val="20"/>
                </w:rPr>
                <w:t>23</w:t>
              </w:r>
            </w:hyperlink>
            <w:r>
              <w:rPr>
                <w:rFonts w:ascii="Times New Roman" w:hAnsi="Times New Roman"/>
                <w:sz w:val="20"/>
              </w:rPr>
              <w:t xml:space="preserve"> in the section entitled “The Exchange Offer.” </w:t>
            </w:r>
          </w:p>
        </w:tc>
      </w:tr>
    </w:tbl>
    <w:p>
      <w:pPr>
        <w:pStyle w:val="TextBody"/>
        <w:bidi w:val="0"/>
        <w:spacing w:before="0" w:after="0"/>
        <w:ind w:left="960" w:right="960" w:hanging="0"/>
        <w:jc w:val="left"/>
        <w:rPr/>
      </w:pPr>
      <w:r>
        <w:rPr/>
        <w:t> </w:t>
      </w:r>
    </w:p>
    <w:tbl>
      <w:tblPr>
        <w:tblW w:w="5000" w:type="pct"/>
        <w:jc w:val="left"/>
        <w:tblInd w:w="96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may withdraw tenders of your Outstanding Notes at any time prior to the Expiration Date of the Exchange Offer. </w:t>
            </w:r>
          </w:p>
        </w:tc>
      </w:tr>
    </w:tbl>
    <w:p>
      <w:pPr>
        <w:pStyle w:val="TextBody"/>
        <w:bidi w:val="0"/>
        <w:spacing w:before="0" w:after="0"/>
        <w:ind w:left="960" w:right="960" w:hanging="0"/>
        <w:jc w:val="left"/>
        <w:rPr/>
      </w:pPr>
      <w:r>
        <w:rPr/>
        <w:t> </w:t>
      </w:r>
    </w:p>
    <w:tbl>
      <w:tblPr>
        <w:tblW w:w="5000" w:type="pct"/>
        <w:jc w:val="left"/>
        <w:tblInd w:w="96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exchange of the Outstanding Notes for Exchange Notes in the Exchange Offer will not constitute a taxable event for U.S. federal income tax purposes. </w:t>
            </w:r>
          </w:p>
        </w:tc>
      </w:tr>
    </w:tbl>
    <w:p>
      <w:pPr>
        <w:pStyle w:val="TextBody"/>
        <w:bidi w:val="0"/>
        <w:spacing w:before="0" w:after="0"/>
        <w:ind w:left="960" w:right="960" w:hanging="0"/>
        <w:jc w:val="left"/>
        <w:rPr/>
      </w:pPr>
      <w:r>
        <w:rPr/>
        <w:t> </w:t>
      </w:r>
    </w:p>
    <w:tbl>
      <w:tblPr>
        <w:tblW w:w="5000" w:type="pct"/>
        <w:jc w:val="left"/>
        <w:tblInd w:w="96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will not receive any proceeds from the Exchange Offer. The Outstanding Notes surrendered and exchanged for the Exchange Notes will be retired and cancelled. Accordingly, the issuance of the Exchange Notes will not result in any increase in our outstanding indebtedness. </w:t>
            </w:r>
          </w:p>
        </w:tc>
      </w:tr>
    </w:tbl>
    <w:p>
      <w:pPr>
        <w:pStyle w:val="TextBody"/>
        <w:bidi w:val="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The Exchange Notes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of the Exchange Notes to be issued in the Exchange Offer are identical in all material respects to the terms of the Outstanding Notes, except that the transfer restrictions, registration rights and additional payments upon a failure to fulfill certain obligations under the registration rights agreement do not apply to the Exchange Notes, and the Exchange Notes will have a different CUSIP number.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Resales of the Exchange Notes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Exchange Notes may be resold in the over-the-counter market, in negotiated transactions or through a combination of such methods. We do not plan to list the Exchange Notes on any securities exchange or market.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All untendered Outstanding Notes will continue to be subject to the transfer restrictions set forth in the Outstanding Notes and in the Indenture (as defined below in “Description of Exchange Notes”). In general, the Outstanding Notes may not be offered or sold, except in transactions that are registered under the Securities Act or pursuant to an exemption from, or in a transaction not subject to, the Securities Act and applicable state securities laws. Other than in connection with the Exchange Offer, we do not intend to register the Outstanding Notes under the Securities Act.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pPr>
      <w:r>
        <w:rPr>
          <w:rFonts w:ascii="Times New Roman" w:hAnsi="Times New Roman"/>
          <w:b/>
          <w:sz w:val="24"/>
        </w:rPr>
        <w:t>See “</w:t>
      </w:r>
      <w:hyperlink w:anchor="tx154803_4">
        <w:r>
          <w:rPr>
            <w:rStyle w:val="InternetLink"/>
            <w:rFonts w:ascii="Times New Roman" w:hAnsi="Times New Roman"/>
            <w:b/>
            <w:sz w:val="24"/>
          </w:rPr>
          <w:t>Risk Factors</w:t>
        </w:r>
      </w:hyperlink>
      <w:r>
        <w:rPr>
          <w:rFonts w:ascii="Times New Roman" w:hAnsi="Times New Roman"/>
          <w:b/>
          <w:sz w:val="24"/>
        </w:rPr>
        <w:t xml:space="preserve">” beginning on page 9 for a discussion of certain risks that you should consider before participating in the Exchange Offer. </w:t>
      </w:r>
    </w:p>
    <w:p>
      <w:pPr>
        <w:pStyle w:val="TextBody"/>
        <w:bidi w:val="0"/>
        <w:spacing w:before="240" w:after="0"/>
        <w:jc w:val="left"/>
        <w:rPr>
          <w:rFonts w:ascii="Times New Roman" w:hAnsi="Times New Roman"/>
          <w:sz w:val="20"/>
        </w:rPr>
      </w:pPr>
      <w:r>
        <w:rPr>
          <w:rFonts w:ascii="Times New Roman" w:hAnsi="Times New Roman"/>
          <w:sz w:val="20"/>
        </w:rPr>
        <w:t xml:space="preserve">Each broker-dealer that receives Exchange Notes for its own account pursuant to the Exchange Offer must acknowledge that it will deliver a prospectus in connection with any resale of such Exchange Notes. By so acknowledging and delivering a prospectus, a broker-dealer will not be deemed to admit that it is an “underwriter” within the meaning of the Securities Act. This prospectus, as it may be amended or supplemented from time to time, may be used by a broker-dealer in connection with resales of Exchange Notes received in exchange for Outstanding Notes where such Outstanding Notes were acquired by such broker-dealer as a result of market-making activities or other trading activities. In addition, all dealers effecting transactions in the Exchange Notes may be required to deliver a prospectus. We have agreed that, for a period of 180 days after the date of this prospectus (or such shorter period if a broker-dealer is no longer required to deliver the prospectus), we will make this prospectus available to any broker-dealer for use in connection with such resales. See “Plan of Distribution.”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Securities and Exchange Commission (the “SEC”) nor any state securities commission has approved or disapproved of these securities or passed upon the adequacy or accuracy of this prospectus. Any representation to the contrary is a criminal offense.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The date of this prospectus is    , 2026.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654"/>
        <w:gridCol w:w="167"/>
        <w:gridCol w:w="60"/>
        <w:gridCol w:w="261"/>
        <w:gridCol w:w="63"/>
      </w:tblGrid>
      <w:tr>
        <w:trPr/>
        <w:tc>
          <w:tcPr>
            <w:tcW w:w="9654"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654" w:type="dxa"/>
            <w:tcBorders/>
            <w:vAlign w:val="bottom"/>
          </w:tcPr>
          <w:p>
            <w:pPr>
              <w:pStyle w:val="TableContents"/>
              <w:bidi w:val="0"/>
              <w:spacing w:before="0" w:after="0"/>
              <w:jc w:val="left"/>
              <w:rPr/>
            </w:pPr>
            <w:hyperlink w:anchor="tx154803_1">
              <w:r>
                <w:rPr>
                  <w:rStyle w:val="InternetLink"/>
                  <w:rFonts w:ascii="Times New Roman" w:hAnsi="Times New Roman"/>
                  <w:sz w:val="20"/>
                </w:rPr>
                <w:t>WHERE YOU CAN FIND MORE INFORMATION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hyperlink w:anchor="tx154803_1">
              <w:r>
                <w:rPr>
                  <w:rStyle w:val="InternetLink"/>
                </w:rPr>
                <w:t>ii</w:t>
              </w:r>
            </w:hyperlink>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154803_2">
              <w:r>
                <w:rPr>
                  <w:rStyle w:val="InternetLink"/>
                  <w:rFonts w:ascii="Times New Roman" w:hAnsi="Times New Roman"/>
                  <w:sz w:val="20"/>
                </w:rPr>
                <w:t>INCORPORATION OF CERTAIN DOCUMENTS BY REFERENCE</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hyperlink w:anchor="tx154803_2">
              <w:r>
                <w:rPr>
                  <w:rStyle w:val="InternetLink"/>
                </w:rPr>
                <w:t>iii</w:t>
              </w:r>
            </w:hyperlink>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154803_3">
              <w:r>
                <w:rPr>
                  <w:rStyle w:val="InternetLink"/>
                  <w:rFonts w:ascii="Times New Roman" w:hAnsi="Times New Roman"/>
                  <w:sz w:val="20"/>
                </w:rPr>
                <w:t>PROSPECTUS SUMMARY</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hyperlink w:anchor="tx154803_3">
              <w:r>
                <w:rPr>
                  <w:rStyle w:val="InternetLink"/>
                </w:rPr>
                <w:t>1</w:t>
              </w:r>
            </w:hyperlink>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154803_4">
              <w:r>
                <w:rPr>
                  <w:rStyle w:val="InternetLink"/>
                  <w:rFonts w:ascii="Times New Roman" w:hAnsi="Times New Roman"/>
                  <w:sz w:val="20"/>
                </w:rPr>
                <w:t>RISK FACTORS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hyperlink w:anchor="tx154803_4">
              <w:r>
                <w:rPr>
                  <w:rStyle w:val="InternetLink"/>
                </w:rPr>
                <w:t>9</w:t>
              </w:r>
            </w:hyperlink>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154803_5">
              <w:r>
                <w:rPr>
                  <w:rStyle w:val="InternetLink"/>
                  <w:rFonts w:ascii="Times New Roman" w:hAnsi="Times New Roman"/>
                  <w:sz w:val="20"/>
                </w:rPr>
                <w:t>FORWARD-LOOKING STATEMENTS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hyperlink w:anchor="tx154803_5">
              <w:r>
                <w:rPr>
                  <w:rStyle w:val="InternetLink"/>
                </w:rPr>
                <w:t>15</w:t>
              </w:r>
            </w:hyperlink>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154803_6">
              <w:r>
                <w:rPr>
                  <w:rStyle w:val="InternetLink"/>
                  <w:rFonts w:ascii="Times New Roman" w:hAnsi="Times New Roman"/>
                  <w:sz w:val="20"/>
                </w:rPr>
                <w:t>USE OF PROCEEDS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hyperlink w:anchor="tx154803_6">
              <w:r>
                <w:rPr>
                  <w:rStyle w:val="InternetLink"/>
                </w:rPr>
                <w:t>16</w:t>
              </w:r>
            </w:hyperlink>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154803_7">
              <w:r>
                <w:rPr>
                  <w:rStyle w:val="InternetLink"/>
                  <w:rFonts w:ascii="Times New Roman" w:hAnsi="Times New Roman"/>
                  <w:sz w:val="20"/>
                </w:rPr>
                <w:t>THE EXCHANGE OFFER</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hyperlink w:anchor="tx154803_7">
              <w:r>
                <w:rPr>
                  <w:rStyle w:val="InternetLink"/>
                </w:rPr>
                <w:t>17</w:t>
              </w:r>
            </w:hyperlink>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154803_8">
              <w:r>
                <w:rPr>
                  <w:rStyle w:val="InternetLink"/>
                  <w:rFonts w:ascii="Times New Roman" w:hAnsi="Times New Roman"/>
                  <w:sz w:val="20"/>
                </w:rPr>
                <w:t>DESCRIPTION OF EXCHANGE NOTES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hyperlink w:anchor="tx154803_8">
              <w:r>
                <w:rPr>
                  <w:rStyle w:val="InternetLink"/>
                </w:rPr>
                <w:t>28</w:t>
              </w:r>
            </w:hyperlink>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154803_9">
              <w:r>
                <w:rPr>
                  <w:rStyle w:val="InternetLink"/>
                  <w:rFonts w:ascii="Times New Roman" w:hAnsi="Times New Roman"/>
                  <w:sz w:val="20"/>
                </w:rPr>
                <w:t>CERTAIN U.S. FEDERAL INCOME TAX CONSIDERATIONS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hyperlink w:anchor="tx154803_9">
              <w:r>
                <w:rPr>
                  <w:rStyle w:val="InternetLink"/>
                </w:rPr>
                <w:t>50</w:t>
              </w:r>
            </w:hyperlink>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154803_10">
              <w:r>
                <w:rPr>
                  <w:rStyle w:val="InternetLink"/>
                  <w:rFonts w:ascii="Times New Roman" w:hAnsi="Times New Roman"/>
                  <w:sz w:val="20"/>
                </w:rPr>
                <w:t>PLAN OF DISTRIBUTION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hyperlink w:anchor="tx154803_10">
              <w:r>
                <w:rPr>
                  <w:rStyle w:val="InternetLink"/>
                </w:rPr>
                <w:t>52</w:t>
              </w:r>
            </w:hyperlink>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154803_11">
              <w:r>
                <w:rPr>
                  <w:rStyle w:val="InternetLink"/>
                  <w:rFonts w:ascii="Times New Roman" w:hAnsi="Times New Roman"/>
                  <w:sz w:val="20"/>
                </w:rPr>
                <w:t>LEGAL MATTERS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hyperlink w:anchor="tx154803_11">
              <w:r>
                <w:rPr>
                  <w:rStyle w:val="InternetLink"/>
                </w:rPr>
                <w:t>53</w:t>
              </w:r>
            </w:hyperlink>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154803_12">
              <w:r>
                <w:rPr>
                  <w:rStyle w:val="InternetLink"/>
                  <w:rFonts w:ascii="Times New Roman" w:hAnsi="Times New Roman"/>
                  <w:sz w:val="20"/>
                </w:rPr>
                <w:t>EXPERTS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hyperlink w:anchor="tx154803_12">
              <w:r>
                <w:rPr>
                  <w:rStyle w:val="InternetLink"/>
                </w:rPr>
                <w:t>54</w:t>
              </w:r>
            </w:hyperlink>
          </w:p>
        </w:tc>
        <w:tc>
          <w:tcPr>
            <w:tcW w:w="63"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You should rely only on the information contained or incorporated by reference in this prospectus or in any additional written communication prepared by or authorized by us. We have not authorized anyone to provide you with any information or represent anything about us, our financial results or the Exchange Offer that is not contained in or incorporated by reference into this prospectus or in any additional written communication prepared by or on behalf of us. If given or made, any such other information or representation should not be relied upon as having been authorized by us. We are not making an offer to exchange the Outstanding Notes in any jurisdiction where the offer or sale is not permitted. You should assume that the information in this prospectus or in any additional written communication prepared by or on behalf of us is accurate only as of the date on its cover page and that any information incorporated by reference herein is accurate only as of the date of the document containing such information incorporated by reference. </w:t>
      </w:r>
    </w:p>
    <w:p>
      <w:pPr>
        <w:pStyle w:val="TextBody"/>
        <w:bidi w:val="0"/>
        <w:spacing w:before="240" w:after="0"/>
        <w:jc w:val="left"/>
        <w:rPr>
          <w:rFonts w:ascii="Times New Roman" w:hAnsi="Times New Roman"/>
          <w:b/>
          <w:sz w:val="20"/>
        </w:rPr>
      </w:pPr>
      <w:r>
        <w:rPr>
          <w:rFonts w:ascii="Times New Roman" w:hAnsi="Times New Roman"/>
          <w:b/>
          <w:sz w:val="20"/>
        </w:rPr>
        <w:t xml:space="preserve">None of the Issuer, the Trustee (as defined below), the Exchange Agent (as defined below) or any of their respective affiliates makes any recommendation as to whether or not you should tender Outstanding Notes pursuant to the Exchange Offer, and no one has been authorized by any of them to make such recommendations. You should make your own decisions as to whether to tender Outstanding Notes, and, if so, the principal amount of Outstanding Notes to tender. </w:t>
      </w:r>
    </w:p>
    <w:p>
      <w:pPr>
        <w:pStyle w:val="TextBody"/>
        <w:bidi w:val="0"/>
        <w:spacing w:before="240" w:after="0"/>
        <w:jc w:val="left"/>
        <w:rPr>
          <w:rFonts w:ascii="Times New Roman" w:hAnsi="Times New Roman"/>
          <w:sz w:val="20"/>
        </w:rPr>
      </w:pPr>
      <w:r>
        <w:rPr>
          <w:rFonts w:ascii="Times New Roman" w:hAnsi="Times New Roman"/>
          <w:sz w:val="20"/>
        </w:rPr>
        <w:t xml:space="preserve">This registration statement incorporates important business and financial information about Broadcom that is not included or delivered with this document. The registration statement, including the exhibits and schedules, is available at the SEC’s website at www.sec.gov. You may also access the SEC filings and obtain other information about Broadcom Inc. through the Investor Center section of our website, which is located at www.broadcom.com. Information on, or accessible through, our website is expressly not incorporated by reference into, and does not constitute a part of, this prospectus, except for the SEC filings set forth below under “Incorporation of Certain Documents by Reference.” </w:t>
      </w:r>
      <w:r>
        <w:rPr>
          <w:rFonts w:ascii="Times New Roman" w:hAnsi="Times New Roman"/>
          <w:b/>
          <w:sz w:val="20"/>
        </w:rPr>
        <w:t xml:space="preserve">To ensure timely delivery, you must make your request to us no later than </w:t>
      </w:r>
      <w:r>
        <w:rPr>
          <w:rFonts w:ascii="Times New Roman" w:hAnsi="Times New Roman"/>
          <w:sz w:val="20"/>
        </w:rPr>
        <w:t xml:space="preserve">    , </w:t>
      </w:r>
      <w:r>
        <w:rPr>
          <w:rFonts w:ascii="Times New Roman" w:hAnsi="Times New Roman"/>
          <w:b/>
          <w:sz w:val="20"/>
        </w:rPr>
        <w:t>2026, which is five business days prior to the Expiration Date of the Exchange Offer.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As used in this prospectus, unless otherwise indicated or required by the context, the terms “Broadcom,” “we,” “our,” “us” and the “Company” refer to Broadcom Inc. and its consolidated subsidiaries, and the term “Issuer” refers only to Broadcom Inc. and not to any of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We operate on a 52- or 53-week fiscal year ending on the Sunday closest to October 31. Our fiscal year ended November 2, 2025 was a 52-week fiscal year.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tx154803_1"/>
      <w:bookmarkEnd w:id="3"/>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file periodic reports, proxy statements and other information with the SEC. Our SEC filings are available on the SEC’s website at www.sec.gov and through the Investor Center section of our website at www.broadcom.com. The reference to our website address does not constitute incorporation by reference of the information contained on or accessible through our website.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 registration statement on Form S-4 (File No. 333-    ) that we filed with the SEC with respect to the Exchange Offer and does not contain all of the information set forth in the registration statement. For further information with respect to us and the Exchange Notes, we refer you to the registration statement and the exhibits and schedules filed therewith. Statements contained in this prospectus or any related free writing prospectus as to the contents of any contract, agreement or any other document referred to are not necessarily complete. With respect to each of these contracts, agreements or other documents filed as an exhibit to the registration statement or the documents incorporated by reference therein, reference is made to the exhibits for a more complete description of the matter involved.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 w:name="tx154803_2"/>
      <w:bookmarkEnd w:id="4"/>
      <w:r>
        <w:rPr>
          <w:rFonts w:ascii="Times New Roman" w:hAnsi="Times New Roman"/>
          <w:b/>
          <w:sz w:val="20"/>
        </w:rPr>
        <w:t xml:space="preserve">INCORPORATION OF CERTAIN DOCUMENTS BY REFERENCE </w:t>
      </w:r>
    </w:p>
    <w:p>
      <w:pPr>
        <w:pStyle w:val="TextBody"/>
        <w:bidi w:val="0"/>
        <w:spacing w:before="120" w:after="0"/>
        <w:jc w:val="left"/>
        <w:rPr>
          <w:rFonts w:ascii="Times New Roman" w:hAnsi="Times New Roman"/>
          <w:sz w:val="20"/>
        </w:rPr>
      </w:pPr>
      <w:r>
        <w:rPr>
          <w:rFonts w:ascii="Times New Roman" w:hAnsi="Times New Roman"/>
          <w:sz w:val="20"/>
        </w:rPr>
        <w:t xml:space="preserve">The SEC allows us to “incorporate by reference” in this prospectus the information in other documents that we file with it, which means that we can disclose important information to you by referring you to those publicly filed documents. The information incorporated by reference herein is considered to be a part of this prospectus, and information in documents that we file later with the SEC will automatically update and supersede information contained in documents filed earlier with the SEC or contained in this prospectus. This prospectus incorporates by reference the following documents Broadcom has filed with the SEC: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pPr>
            <w:r>
              <w:rPr>
                <w:rFonts w:ascii="Times New Roman" w:hAnsi="Times New Roman"/>
                <w:sz w:val="20"/>
              </w:rPr>
              <w:t xml:space="preserve">Annual Report on Form 10-K for the fiscal year ended November 2, 2025, filed on </w:t>
            </w:r>
            <w:hyperlink r:id="rId3">
              <w:r>
                <w:rPr>
                  <w:rStyle w:val="InternetLink"/>
                  <w:rFonts w:ascii="Times New Roman" w:hAnsi="Times New Roman"/>
                  <w:sz w:val="20"/>
                </w:rPr>
                <w:t>December 18, 2025</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(2)</w:t>
            </w:r>
          </w:p>
        </w:tc>
        <w:tc>
          <w:tcPr>
            <w:tcW w:w="9290" w:type="dxa"/>
            <w:tcBorders/>
          </w:tcPr>
          <w:p>
            <w:pPr>
              <w:pStyle w:val="TableContents"/>
              <w:bidi w:val="0"/>
              <w:spacing w:before="0" w:after="0"/>
              <w:jc w:val="left"/>
              <w:rPr/>
            </w:pPr>
            <w:r>
              <w:rPr>
                <w:rFonts w:ascii="Times New Roman" w:hAnsi="Times New Roman"/>
                <w:sz w:val="20"/>
              </w:rPr>
              <w:t xml:space="preserve">Quarterly Reports on Form 10-Q for the fiscal quarters ended February 1, 2026, May 3, 2026 and August 2, 2026, filed on </w:t>
            </w:r>
            <w:hyperlink r:id="rId4">
              <w:r>
                <w:rPr>
                  <w:rStyle w:val="InternetLink"/>
                  <w:rFonts w:ascii="Times New Roman" w:hAnsi="Times New Roman"/>
                  <w:sz w:val="20"/>
                </w:rPr>
                <w:t>March  11, 2026</w:t>
              </w:r>
            </w:hyperlink>
            <w:r>
              <w:rPr>
                <w:rFonts w:ascii="Times New Roman" w:hAnsi="Times New Roman"/>
                <w:sz w:val="20"/>
              </w:rPr>
              <w:t xml:space="preserve">, </w:t>
            </w:r>
            <w:hyperlink r:id="rId5">
              <w:r>
                <w:rPr>
                  <w:rStyle w:val="InternetLink"/>
                  <w:rFonts w:ascii="Times New Roman" w:hAnsi="Times New Roman"/>
                  <w:sz w:val="20"/>
                </w:rPr>
                <w:t>June  9, 2026</w:t>
              </w:r>
            </w:hyperlink>
            <w:r>
              <w:rPr>
                <w:rFonts w:ascii="Times New Roman" w:hAnsi="Times New Roman"/>
                <w:sz w:val="20"/>
              </w:rPr>
              <w:t xml:space="preserve"> and </w:t>
            </w:r>
            <w:hyperlink r:id="rId6">
              <w:r>
                <w:rPr>
                  <w:rStyle w:val="InternetLink"/>
                  <w:rFonts w:ascii="Times New Roman" w:hAnsi="Times New Roman"/>
                  <w:sz w:val="20"/>
                </w:rPr>
                <w:t>September 9, 2026</w:t>
              </w:r>
            </w:hyperlink>
            <w:r>
              <w:rPr>
                <w:rFonts w:ascii="Times New Roman" w:hAnsi="Times New Roman"/>
                <w:sz w:val="20"/>
              </w:rPr>
              <w:t xml:space="preserve">, respectively;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pPr>
            <w:r>
              <w:rPr>
                <w:rFonts w:ascii="Times New Roman" w:hAnsi="Times New Roman"/>
                <w:sz w:val="20"/>
              </w:rPr>
              <w:t xml:space="preserve">Current Reports on Form 8-K filed on </w:t>
            </w:r>
            <w:hyperlink r:id="rId7">
              <w:r>
                <w:rPr>
                  <w:rStyle w:val="InternetLink"/>
                  <w:rFonts w:ascii="Times New Roman" w:hAnsi="Times New Roman"/>
                  <w:sz w:val="20"/>
                </w:rPr>
                <w:t>December 11, 2025</w:t>
              </w:r>
            </w:hyperlink>
            <w:r>
              <w:rPr>
                <w:rFonts w:ascii="Times New Roman" w:hAnsi="Times New Roman"/>
                <w:sz w:val="20"/>
              </w:rPr>
              <w:t xml:space="preserve"> (Item 8.01 only), </w:t>
            </w:r>
            <w:hyperlink r:id="rId8">
              <w:r>
                <w:rPr>
                  <w:rStyle w:val="InternetLink"/>
                  <w:rFonts w:ascii="Times New Roman" w:hAnsi="Times New Roman"/>
                  <w:sz w:val="20"/>
                </w:rPr>
                <w:t>January  13, 2026</w:t>
              </w:r>
            </w:hyperlink>
            <w:r>
              <w:rPr>
                <w:rFonts w:ascii="Times New Roman" w:hAnsi="Times New Roman"/>
                <w:sz w:val="20"/>
              </w:rPr>
              <w:t xml:space="preserve">, </w:t>
            </w:r>
            <w:hyperlink r:id="rId9">
              <w:r>
                <w:rPr>
                  <w:rStyle w:val="InternetLink"/>
                  <w:rFonts w:ascii="Times New Roman" w:hAnsi="Times New Roman"/>
                  <w:sz w:val="20"/>
                </w:rPr>
                <w:t>March  2, 2026</w:t>
              </w:r>
            </w:hyperlink>
            <w:r>
              <w:rPr>
                <w:rFonts w:ascii="Times New Roman" w:hAnsi="Times New Roman"/>
                <w:sz w:val="20"/>
              </w:rPr>
              <w:t xml:space="preserve">, </w:t>
            </w:r>
            <w:hyperlink r:id="rId10">
              <w:r>
                <w:rPr>
                  <w:rStyle w:val="InternetLink"/>
                  <w:rFonts w:ascii="Times New Roman" w:hAnsi="Times New Roman"/>
                  <w:sz w:val="20"/>
                </w:rPr>
                <w:t>March  4, 2026</w:t>
              </w:r>
            </w:hyperlink>
            <w:r>
              <w:rPr>
                <w:rFonts w:ascii="Times New Roman" w:hAnsi="Times New Roman"/>
                <w:sz w:val="20"/>
              </w:rPr>
              <w:t xml:space="preserve"> (Item 8.01 only), </w:t>
            </w:r>
            <w:hyperlink r:id="rId11">
              <w:r>
                <w:rPr>
                  <w:rStyle w:val="InternetLink"/>
                  <w:rFonts w:ascii="Times New Roman" w:hAnsi="Times New Roman"/>
                  <w:sz w:val="20"/>
                </w:rPr>
                <w:t>April  2, 2026</w:t>
              </w:r>
            </w:hyperlink>
            <w:r>
              <w:rPr>
                <w:rFonts w:ascii="Times New Roman" w:hAnsi="Times New Roman"/>
                <w:sz w:val="20"/>
              </w:rPr>
              <w:t xml:space="preserve">, </w:t>
            </w:r>
            <w:hyperlink r:id="rId12">
              <w:r>
                <w:rPr>
                  <w:rStyle w:val="InternetLink"/>
                  <w:rFonts w:ascii="Times New Roman" w:hAnsi="Times New Roman"/>
                  <w:sz w:val="20"/>
                </w:rPr>
                <w:t>April  6, 2026</w:t>
              </w:r>
            </w:hyperlink>
            <w:r>
              <w:rPr>
                <w:rFonts w:ascii="Times New Roman" w:hAnsi="Times New Roman"/>
                <w:sz w:val="20"/>
              </w:rPr>
              <w:t xml:space="preserve">, </w:t>
            </w:r>
            <w:hyperlink r:id="rId13">
              <w:r>
                <w:rPr>
                  <w:rStyle w:val="InternetLink"/>
                  <w:rFonts w:ascii="Times New Roman" w:hAnsi="Times New Roman"/>
                  <w:sz w:val="20"/>
                </w:rPr>
                <w:t>April  21, 2026</w:t>
              </w:r>
            </w:hyperlink>
            <w:r>
              <w:rPr>
                <w:rFonts w:ascii="Times New Roman" w:hAnsi="Times New Roman"/>
                <w:sz w:val="20"/>
              </w:rPr>
              <w:t xml:space="preserve">, </w:t>
            </w:r>
            <w:hyperlink r:id="rId14">
              <w:r>
                <w:rPr>
                  <w:rStyle w:val="InternetLink"/>
                  <w:rFonts w:ascii="Times New Roman" w:hAnsi="Times New Roman"/>
                  <w:sz w:val="20"/>
                </w:rPr>
                <w:t>June  3, 2026</w:t>
              </w:r>
            </w:hyperlink>
            <w:r>
              <w:rPr>
                <w:rFonts w:ascii="Times New Roman" w:hAnsi="Times New Roman"/>
                <w:sz w:val="20"/>
              </w:rPr>
              <w:t xml:space="preserve"> (Item 8.01 only), </w:t>
            </w:r>
            <w:hyperlink r:id="rId15">
              <w:r>
                <w:rPr>
                  <w:rStyle w:val="InternetLink"/>
                  <w:rFonts w:ascii="Times New Roman" w:hAnsi="Times New Roman"/>
                  <w:sz w:val="20"/>
                </w:rPr>
                <w:t>June  11, 2026</w:t>
              </w:r>
            </w:hyperlink>
            <w:r>
              <w:rPr>
                <w:rFonts w:ascii="Times New Roman" w:hAnsi="Times New Roman"/>
                <w:sz w:val="20"/>
              </w:rPr>
              <w:t xml:space="preserve">, </w:t>
            </w:r>
            <w:hyperlink r:id="rId16">
              <w:r>
                <w:rPr>
                  <w:rStyle w:val="InternetLink"/>
                  <w:rFonts w:ascii="Times New Roman" w:hAnsi="Times New Roman"/>
                  <w:sz w:val="20"/>
                </w:rPr>
                <w:t>June  18, 2026</w:t>
              </w:r>
            </w:hyperlink>
            <w:r>
              <w:rPr>
                <w:rFonts w:ascii="Times New Roman" w:hAnsi="Times New Roman"/>
                <w:sz w:val="20"/>
              </w:rPr>
              <w:t xml:space="preserve">, </w:t>
            </w:r>
            <w:hyperlink r:id="rId17">
              <w:r>
                <w:rPr>
                  <w:rStyle w:val="InternetLink"/>
                  <w:rFonts w:ascii="Times New Roman" w:hAnsi="Times New Roman"/>
                  <w:sz w:val="20"/>
                </w:rPr>
                <w:t>July  6, 2026</w:t>
              </w:r>
            </w:hyperlink>
            <w:r>
              <w:rPr>
                <w:rFonts w:ascii="Times New Roman" w:hAnsi="Times New Roman"/>
                <w:sz w:val="20"/>
              </w:rPr>
              <w:t xml:space="preserve"> and </w:t>
            </w:r>
            <w:hyperlink r:id="rId18">
              <w:r>
                <w:rPr>
                  <w:rStyle w:val="InternetLink"/>
                  <w:rFonts w:ascii="Times New Roman" w:hAnsi="Times New Roman"/>
                  <w:sz w:val="20"/>
                </w:rPr>
                <w:t>September 2, 2026</w:t>
              </w:r>
            </w:hyperlink>
            <w:r>
              <w:rPr>
                <w:rFonts w:ascii="Times New Roman" w:hAnsi="Times New Roman"/>
                <w:sz w:val="20"/>
              </w:rPr>
              <w:t xml:space="preserve"> (Item 8.01 only);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(4)</w:t>
            </w:r>
          </w:p>
        </w:tc>
        <w:tc>
          <w:tcPr>
            <w:tcW w:w="9289" w:type="dxa"/>
            <w:tcBorders/>
          </w:tcPr>
          <w:p>
            <w:pPr>
              <w:pStyle w:val="TableContents"/>
              <w:bidi w:val="0"/>
              <w:spacing w:before="0" w:after="0"/>
              <w:jc w:val="left"/>
              <w:rPr/>
            </w:pPr>
            <w:r>
              <w:rPr>
                <w:rFonts w:ascii="Times New Roman" w:hAnsi="Times New Roman"/>
                <w:sz w:val="20"/>
              </w:rPr>
              <w:t xml:space="preserve">Definitive Proxy Statement on Schedule 14A, filed on </w:t>
            </w:r>
            <w:hyperlink r:id="rId19">
              <w:r>
                <w:rPr>
                  <w:rStyle w:val="InternetLink"/>
                  <w:rFonts w:ascii="Times New Roman" w:hAnsi="Times New Roman"/>
                  <w:sz w:val="20"/>
                </w:rPr>
                <w:t>March 2, 2026</w:t>
              </w:r>
            </w:hyperlink>
            <w:r>
              <w:rPr>
                <w:rFonts w:ascii="Times New Roman" w:hAnsi="Times New Roman"/>
                <w:sz w:val="20"/>
              </w:rPr>
              <w:t xml:space="preserve"> (solely to the extent specifically incorporated by reference into Broadcom’s Annual Report on Form 10-K for the fiscal year ended November 2, 2025, filed on December 18, 2025).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All documents that we subsequently file pursuant to Sections 13(a), 13(c), 14 or 15(d) of the Securities Exchange Act of 1934, as amended (the “Exchange Act”), after the date of this prospectus until the completion of the Exchange Offer shall be deemed incorporated by reference in this prospectus and to be part hereof from the date of the filing of such documents except as to any portion of any document, portions of documents, exhibit or other information that is deemed to be furnished and not filed under such provisions. </w:t>
      </w:r>
    </w:p>
    <w:p>
      <w:pPr>
        <w:pStyle w:val="TextBody"/>
        <w:bidi w:val="0"/>
        <w:spacing w:before="240" w:after="0"/>
        <w:jc w:val="left"/>
        <w:rPr>
          <w:rFonts w:ascii="Times New Roman" w:hAnsi="Times New Roman"/>
          <w:sz w:val="20"/>
        </w:rPr>
      </w:pPr>
      <w:r>
        <w:rPr>
          <w:rFonts w:ascii="Times New Roman" w:hAnsi="Times New Roman"/>
          <w:sz w:val="20"/>
        </w:rPr>
        <w:t xml:space="preserve">If requested, we will provide to each person, including any beneficial owners, to whom a prospectus is delivered a copy of the reports and documents that have been incorporated by reference into this prospectus. Exhibits to the filings will not be sent unless those exhibits have been specifically incorporated by reference into such documents. To obtain a copy of these filings at no cost, you may make a request through the Investor Center section of our website or by writing or telephoning us at the following address or phone number: </w:t>
      </w:r>
    </w:p>
    <w:p>
      <w:pPr>
        <w:pStyle w:val="TextBody"/>
        <w:bidi w:val="0"/>
        <w:spacing w:before="240" w:after="0"/>
        <w:jc w:val="center"/>
        <w:rPr>
          <w:rFonts w:ascii="Times New Roman" w:hAnsi="Times New Roman"/>
          <w:sz w:val="20"/>
        </w:rPr>
      </w:pPr>
      <w:r>
        <w:rPr>
          <w:rFonts w:ascii="Times New Roman" w:hAnsi="Times New Roman"/>
          <w:sz w:val="20"/>
        </w:rPr>
        <w:t xml:space="preserve">Broadcom Inc. </w:t>
      </w:r>
    </w:p>
    <w:p>
      <w:pPr>
        <w:pStyle w:val="TextBody"/>
        <w:bidi w:val="0"/>
        <w:spacing w:before="0" w:after="0"/>
        <w:jc w:val="center"/>
        <w:rPr>
          <w:rFonts w:ascii="Times New Roman" w:hAnsi="Times New Roman"/>
          <w:sz w:val="20"/>
        </w:rPr>
      </w:pPr>
      <w:r>
        <w:rPr>
          <w:rFonts w:ascii="Times New Roman" w:hAnsi="Times New Roman"/>
          <w:sz w:val="20"/>
        </w:rPr>
        <w:t xml:space="preserve">Attn: Investor Relations </w:t>
      </w:r>
    </w:p>
    <w:p>
      <w:pPr>
        <w:pStyle w:val="TextBody"/>
        <w:bidi w:val="0"/>
        <w:spacing w:before="0" w:after="0"/>
        <w:jc w:val="center"/>
        <w:rPr>
          <w:rFonts w:ascii="Times New Roman" w:hAnsi="Times New Roman"/>
          <w:sz w:val="20"/>
        </w:rPr>
      </w:pPr>
      <w:r>
        <w:rPr>
          <w:rFonts w:ascii="Times New Roman" w:hAnsi="Times New Roman"/>
          <w:sz w:val="20"/>
        </w:rPr>
        <w:t xml:space="preserve">3421 Hillview Avenue </w:t>
      </w:r>
    </w:p>
    <w:p>
      <w:pPr>
        <w:pStyle w:val="TextBody"/>
        <w:bidi w:val="0"/>
        <w:spacing w:before="0" w:after="0"/>
        <w:jc w:val="center"/>
        <w:rPr>
          <w:rFonts w:ascii="Times New Roman" w:hAnsi="Times New Roman"/>
          <w:sz w:val="20"/>
        </w:rPr>
      </w:pPr>
      <w:r>
        <w:rPr>
          <w:rFonts w:ascii="Times New Roman" w:hAnsi="Times New Roman"/>
          <w:sz w:val="20"/>
        </w:rPr>
        <w:t xml:space="preserve">Palo Alto, California 94304 </w:t>
      </w:r>
    </w:p>
    <w:p>
      <w:pPr>
        <w:pStyle w:val="TextBody"/>
        <w:bidi w:val="0"/>
        <w:spacing w:before="0" w:after="0"/>
        <w:jc w:val="center"/>
        <w:rPr>
          <w:rFonts w:ascii="Times New Roman" w:hAnsi="Times New Roman"/>
          <w:sz w:val="20"/>
        </w:rPr>
      </w:pPr>
      <w:r>
        <w:rPr>
          <w:rFonts w:ascii="Times New Roman" w:hAnsi="Times New Roman"/>
          <w:sz w:val="20"/>
        </w:rPr>
        <w:t xml:space="preserve">Telephone: (650) 427-6000 </w:t>
      </w:r>
    </w:p>
    <w:p>
      <w:pPr>
        <w:pStyle w:val="TextBody"/>
        <w:bidi w:val="0"/>
        <w:spacing w:before="240" w:after="0"/>
        <w:jc w:val="left"/>
        <w:rPr>
          <w:rFonts w:ascii="Times New Roman" w:hAnsi="Times New Roman"/>
          <w:b/>
          <w:sz w:val="20"/>
        </w:rPr>
      </w:pPr>
      <w:r>
        <w:rPr>
          <w:rFonts w:ascii="Times New Roman" w:hAnsi="Times New Roman"/>
          <w:b/>
          <w:sz w:val="20"/>
        </w:rPr>
        <w:t xml:space="preserve">IN ORDER TO OBTAIN TIMELY DELIVERY, YOU MUST REQUEST THE INFORMATION NO LATER THAN      , 2026, WHICH IS FIVE BUSINESS DAYS BEFORE THE EXPIRATION OF THE EXCHANGE OFFER.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5" w:name="tx154803_3"/>
      <w:bookmarkEnd w:id="5"/>
      <w:r>
        <w:rPr>
          <w:rFonts w:ascii="Times New Roman" w:hAnsi="Times New Roman"/>
          <w:b/>
          <w:sz w:val="20"/>
          <w:bdr w:val="single" w:sz="8" w:space="1" w:color="000000"/>
        </w:rPr>
        <w:t xml:space="preserve">PROSPECTUS SUMMARY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This summary highlights selected information contained elsewhere, or incorporated by reference, in this prospectus and may not contain all of the information that may be important to you. You should carefully read this together with the entire prospectus, and the documents incorporated by reference, including the “Risk Factors” section, the historical financial statements and the notes to those financial statements. </w:t>
      </w:r>
    </w:p>
    <w:p>
      <w:pPr>
        <w:pStyle w:val="TextBody"/>
        <w:bidi w:val="0"/>
        <w:spacing w:before="480" w:after="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Broadcom Inc.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Broadcom Inc., a Delaware corporation headquartered in Palo Alto, California, is a global technology leader that designs, develops and supplies a broad range of semiconductor and semiconductor-based solutions and infrastructure software solutions. Our semiconductor and semiconductor-based solutions include a broad portfolio of complex digital and mixed signal devices based on silicon wafers with complementary metal oxide semiconductor transistors, III-V based devices, network interface cards and other modules, switches, subsystems and, in some cases, racks. Our solutions are used in a wide array of environments, end products and applications, such as enterprise and artificial intelligence (“AI”) data centers, servers and networking and connectivity equipment, as well as storage systems, home connectivity devices, set-top boxes, broadband access, telecommunication equipment, wireless devices and base stations, factory automation, power generation and alternative energy systems, and electronic displays. Our infrastructure software solutions help enterprises simplify their information technology (“IT”) environments. Our customers rely on our infrastructure and security software solutions to modernize, optimize, and secure the most complex private cloud, hybrid cloud and edge environments. This enables scalability, agility, automation, insights, resiliency and security, making it easy for customers to run their mission-critical workloads. We also offer mission-critical fibre channel storage area networking (“FC SAN”) products and related software in the form of modules, switches and subsystems incorporating multiple semiconductor products. </w:t>
      </w:r>
    </w:p>
    <w:p>
      <w:pPr>
        <w:pStyle w:val="TextBody"/>
        <w:bidi w:val="0"/>
        <w:spacing w:before="480" w:after="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Corporate Information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principal executive office is located at 3421 Hillview Avenue, Palo Alto, California 94304, and our telephone number is (650) 427-6000. All of our operations are conducted through our various subsidiaries, which are organized and operated according to the laws of their country of incorporation, and consolidated by Broadcom. We maintain an Investor Center page on our website at www.broadcom.com where general information about Broadcom is available. The reference to our website address does not constitute incorporation by reference of the information contained on our website. For further information regarding Broadcom, including financial information, you should refer to our recent filings with the SEC. See “Where You Can Find More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The Exchange Offer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The summary below describes the principal terms of the Exchange Offer. You should read carefully this entire prospectus and all the information included or incorporated by reference herein, especially the risks discussed in the section entitled “Risk Factors” beginning on page 9 of this prospectus and in our periodic reports filed with the SEC. See also the section of this prospectus titled “The Exchange Offer,” which contains a more detailed description of the terms and conditions of the Exchange Offer.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b/>
                <w:sz w:val="20"/>
              </w:rPr>
              <w:t>General</w:t>
            </w:r>
            <w:r>
              <w:rPr>
                <w:rFonts w:ascii="Times New Roman" w:hAnsi="Times New Roman"/>
                <w:sz w:val="20"/>
              </w:rPr>
              <w:t xml:space="preserve"> </w:t>
            </w:r>
          </w:p>
        </w:tc>
        <w:tc>
          <w:tcPr>
            <w:tcW w:w="6327" w:type="dxa"/>
            <w:tcBorders/>
          </w:tcPr>
          <w:p>
            <w:pPr>
              <w:pStyle w:val="TableContents"/>
              <w:bidi w:val="0"/>
              <w:spacing w:before="0" w:after="283"/>
              <w:jc w:val="left"/>
              <w:rPr/>
            </w:pPr>
            <w:r>
              <w:rPr/>
              <w:t xml:space="preserve">In connection with the private exchange offer completed on April 18, 2022, we entered into a registration rights agreement with the dealer managers with respect to the Outstanding Notes (as defined below) in which we agreed, among other things, to use our commercially reasonable efforts to cause the Exchange Offer described in this prospectus to be consummated upon the terms and subject to the conditions set forth in such registration rights agreement. You are entitled to exchange in the Exchange Offer your Outstanding Notes for Exchange Notes (as defined below), which are identical in all material respects to the Outstanding Notes except: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2"/>
        <w:gridCol w:w="203"/>
        <w:gridCol w:w="101"/>
        <w:gridCol w:w="5819"/>
      </w:tblGrid>
      <w:tr>
        <w:trPr/>
        <w:tc>
          <w:tcPr>
            <w:tcW w:w="4082"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581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offer and sale of the Exchange Notes will have been registered under the Securities Act;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2"/>
        <w:gridCol w:w="202"/>
        <w:gridCol w:w="101"/>
        <w:gridCol w:w="5820"/>
      </w:tblGrid>
      <w:tr>
        <w:trPr/>
        <w:tc>
          <w:tcPr>
            <w:tcW w:w="4082"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582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Exchange Notes are not entitled to any registration rights that are applicable to the Outstanding Notes under the registration rights agreement;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2"/>
        <w:gridCol w:w="203"/>
        <w:gridCol w:w="101"/>
        <w:gridCol w:w="5819"/>
      </w:tblGrid>
      <w:tr>
        <w:trPr/>
        <w:tc>
          <w:tcPr>
            <w:tcW w:w="4082"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581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provisions of the registration rights agreement that provide for payment of additional amounts upon a registration default are no longer applicable.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5"/>
        <w:gridCol w:w="6330"/>
      </w:tblGrid>
      <w:tr>
        <w:trPr/>
        <w:tc>
          <w:tcPr>
            <w:tcW w:w="3875" w:type="dxa"/>
            <w:tcBorders/>
          </w:tcPr>
          <w:p>
            <w:pPr>
              <w:pStyle w:val="TableContents"/>
              <w:bidi w:val="0"/>
              <w:spacing w:before="0" w:after="20"/>
              <w:jc w:val="left"/>
              <w:rPr>
                <w:rFonts w:ascii="Times New Roman" w:hAnsi="Times New Roman"/>
                <w:sz w:val="20"/>
              </w:rPr>
            </w:pPr>
            <w:r>
              <w:rPr>
                <w:rFonts w:ascii="Times New Roman" w:hAnsi="Times New Roman"/>
                <w:b/>
                <w:sz w:val="20"/>
              </w:rPr>
              <w:t>The Exchange Offer</w:t>
            </w:r>
            <w:r>
              <w:rPr>
                <w:rFonts w:ascii="Times New Roman" w:hAnsi="Times New Roman"/>
                <w:sz w:val="20"/>
              </w:rPr>
              <w:t xml:space="preserve"> </w:t>
            </w:r>
          </w:p>
        </w:tc>
        <w:tc>
          <w:tcPr>
            <w:tcW w:w="6330" w:type="dxa"/>
            <w:tcBorders/>
          </w:tcPr>
          <w:p>
            <w:pPr>
              <w:pStyle w:val="TableContents"/>
              <w:bidi w:val="0"/>
              <w:spacing w:before="0" w:after="283"/>
              <w:jc w:val="left"/>
              <w:rPr/>
            </w:pPr>
            <w:r>
              <w:rPr/>
              <w:t xml:space="preserve">We are offering to exchange up to $654,004,000 4.926% Senior Notes due 2037 (the “Exchange Notes”), the offer and sale of which have been registered under the Securities Act, for any and all of the outstanding $654,004,000 4.926% Senior Notes due 2037 (the “Outstanding Notes” and, together with the Exchange Notes, the “Notes”) that we issued on April 18, 2022.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vAlign w:val="center"/>
          </w:tcPr>
          <w:p>
            <w:pPr>
              <w:pStyle w:val="TableContents"/>
              <w:bidi w:val="0"/>
              <w:spacing w:before="0" w:after="283"/>
              <w:jc w:val="left"/>
              <w:rPr/>
            </w:pPr>
            <w:r>
              <w:rPr/>
              <w:t> </w:t>
            </w:r>
          </w:p>
        </w:tc>
        <w:tc>
          <w:tcPr>
            <w:tcW w:w="6329" w:type="dxa"/>
            <w:tcBorders/>
          </w:tcPr>
          <w:p>
            <w:pPr>
              <w:pStyle w:val="TableContents"/>
              <w:bidi w:val="0"/>
              <w:spacing w:before="0" w:after="283"/>
              <w:jc w:val="left"/>
              <w:rPr/>
            </w:pPr>
            <w:r>
              <w:rPr/>
              <w:t xml:space="preserve">Outstanding Notes may be exchanged only in minimum denominations of $2,000 and in integral multiples of $1,000 in excess thereof.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vAlign w:val="center"/>
          </w:tcPr>
          <w:p>
            <w:pPr>
              <w:pStyle w:val="TableContents"/>
              <w:bidi w:val="0"/>
              <w:spacing w:before="0" w:after="283"/>
              <w:jc w:val="left"/>
              <w:rPr/>
            </w:pPr>
            <w:r>
              <w:rPr/>
              <w:t> </w:t>
            </w:r>
          </w:p>
        </w:tc>
        <w:tc>
          <w:tcPr>
            <w:tcW w:w="6328" w:type="dxa"/>
            <w:tcBorders/>
          </w:tcPr>
          <w:p>
            <w:pPr>
              <w:pStyle w:val="TableContents"/>
              <w:bidi w:val="0"/>
              <w:spacing w:before="0" w:after="283"/>
              <w:jc w:val="left"/>
              <w:rPr/>
            </w:pPr>
            <w:r>
              <w:rPr/>
              <w:t xml:space="preserve">Subject to the satisfaction or waiver of specified conditions, we will exchange the Exchange Notes for all Outstanding Notes that are validly tendered and not validly withdrawn prior to the expiration of the Exchange Offer. The exchange will be effected promptly after the expiration of the Exchange Offer.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b/>
                <w:sz w:val="20"/>
              </w:rPr>
              <w:t>Transfers</w:t>
            </w:r>
            <w:r>
              <w:rPr>
                <w:rFonts w:ascii="Times New Roman" w:hAnsi="Times New Roman"/>
                <w:sz w:val="20"/>
              </w:rPr>
              <w:t xml:space="preserve"> </w:t>
            </w:r>
          </w:p>
        </w:tc>
        <w:tc>
          <w:tcPr>
            <w:tcW w:w="6327" w:type="dxa"/>
            <w:tcBorders/>
          </w:tcPr>
          <w:p>
            <w:pPr>
              <w:pStyle w:val="TableContents"/>
              <w:bidi w:val="0"/>
              <w:spacing w:before="0" w:after="283"/>
              <w:jc w:val="left"/>
              <w:rPr/>
            </w:pPr>
            <w:r>
              <w:rPr/>
              <w:t xml:space="preserve">Based on interpretations by the staff of the SEC set forth in no-action letters issued to third parties, we believe that the Exchange Notes issued pursuant to the Exchange Offer in exchange for Outstanding Notes may be offered for resale, resold and otherwise transferred by you (unless you are our “affiliate” within the meaning of Rule 405 under the Securities Act) without the requirement to comply with the registration and prospectus-delivery provisions of the Securities Act, provided that: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2"/>
        <w:gridCol w:w="203"/>
        <w:gridCol w:w="101"/>
        <w:gridCol w:w="5819"/>
      </w:tblGrid>
      <w:tr>
        <w:trPr/>
        <w:tc>
          <w:tcPr>
            <w:tcW w:w="4082"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581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are acquiring the Exchange Notes in the ordinary course of your business;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82"/>
        <w:gridCol w:w="204"/>
        <w:gridCol w:w="101"/>
        <w:gridCol w:w="5818"/>
      </w:tblGrid>
      <w:tr>
        <w:trPr/>
        <w:tc>
          <w:tcPr>
            <w:tcW w:w="4082"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581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have not engaged in, do not intend to engage in, and have no arrangement or understanding with any person to participate in, a distribution of the Exchange Notes.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vAlign w:val="center"/>
          </w:tcPr>
          <w:p>
            <w:pPr>
              <w:pStyle w:val="TableContents"/>
              <w:bidi w:val="0"/>
              <w:spacing w:before="0" w:after="283"/>
              <w:jc w:val="left"/>
              <w:rPr/>
            </w:pPr>
            <w:r>
              <w:rPr/>
              <w:t> </w:t>
            </w:r>
          </w:p>
        </w:tc>
        <w:tc>
          <w:tcPr>
            <w:tcW w:w="6328" w:type="dxa"/>
            <w:tcBorders/>
          </w:tcPr>
          <w:p>
            <w:pPr>
              <w:pStyle w:val="TableContents"/>
              <w:bidi w:val="0"/>
              <w:spacing w:before="0" w:after="283"/>
              <w:jc w:val="left"/>
              <w:rPr/>
            </w:pPr>
            <w:r>
              <w:rPr/>
              <w:t xml:space="preserve">If you are a broker-dealer and receive Exchange Notes for your own account in exchange for Outstanding Notes that you acquired as a result of market-making activities or other trading activities, you must acknowledge that you will deliver this prospectus in connection with any resale of the Exchange Notes. See “Plan of Distribution.”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b/>
                <w:sz w:val="20"/>
              </w:rPr>
              <w:t>Expiration Date</w:t>
            </w:r>
            <w:r>
              <w:rPr>
                <w:rFonts w:ascii="Times New Roman" w:hAnsi="Times New Roman"/>
                <w:sz w:val="20"/>
              </w:rPr>
              <w:t xml:space="preserve"> </w:t>
            </w:r>
          </w:p>
        </w:tc>
        <w:tc>
          <w:tcPr>
            <w:tcW w:w="6329" w:type="dxa"/>
            <w:tcBorders/>
          </w:tcPr>
          <w:p>
            <w:pPr>
              <w:pStyle w:val="TableContents"/>
              <w:bidi w:val="0"/>
              <w:spacing w:before="0" w:after="283"/>
              <w:jc w:val="left"/>
              <w:rPr/>
            </w:pPr>
            <w:r>
              <w:rPr/>
              <w:t xml:space="preserve">The Exchange Offer expires at 5:00 p.m., New York City time, on     , 2026, unless extended by us. We do not currently intend to extend the Expiration Date.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b/>
                <w:sz w:val="20"/>
              </w:rPr>
              <w:t>Withdrawal</w:t>
            </w:r>
            <w:r>
              <w:rPr>
                <w:rFonts w:ascii="Times New Roman" w:hAnsi="Times New Roman"/>
                <w:sz w:val="20"/>
              </w:rPr>
              <w:t xml:space="preserve"> </w:t>
            </w:r>
          </w:p>
        </w:tc>
        <w:tc>
          <w:tcPr>
            <w:tcW w:w="6327" w:type="dxa"/>
            <w:tcBorders/>
          </w:tcPr>
          <w:p>
            <w:pPr>
              <w:pStyle w:val="TableContents"/>
              <w:bidi w:val="0"/>
              <w:spacing w:before="0" w:after="283"/>
              <w:jc w:val="left"/>
              <w:rPr/>
            </w:pPr>
            <w:r>
              <w:rPr/>
              <w:t xml:space="preserve">You may withdraw any tender of your Outstanding Notes at any time prior to the expiration of the Exchange Offer. We will return to you any of your Outstanding Notes that are not accepted for any reason for exchange, without expense to you, promptly after the expiration or termination of the Exchange Offer.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b/>
                <w:sz w:val="20"/>
              </w:rPr>
              <w:t>Interest on the Exchange Notes and the Outstanding Notes</w:t>
            </w:r>
            <w:r>
              <w:rPr>
                <w:rFonts w:ascii="Times New Roman" w:hAnsi="Times New Roman"/>
                <w:sz w:val="20"/>
              </w:rPr>
              <w:t xml:space="preserve"> </w:t>
            </w:r>
          </w:p>
        </w:tc>
        <w:tc>
          <w:tcPr>
            <w:tcW w:w="6327" w:type="dxa"/>
            <w:tcBorders/>
          </w:tcPr>
          <w:p>
            <w:pPr>
              <w:pStyle w:val="TableContents"/>
              <w:bidi w:val="0"/>
              <w:spacing w:before="0" w:after="283"/>
              <w:jc w:val="left"/>
              <w:rPr/>
            </w:pPr>
            <w:r>
              <w:rPr/>
              <w:t xml:space="preserve">The Exchange Notes bear interest at 4.926% per annum from May 15, 2026. </w:t>
            </w:r>
          </w:p>
        </w:tc>
      </w:tr>
    </w:tbl>
    <w:p>
      <w:pPr>
        <w:pStyle w:val="TextBody"/>
        <w:bidi w:val="0"/>
        <w:spacing w:before="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If your Outstanding Notes are accepted for exchange, you will receive interest on the corresponding Exchange Notes and not on such Outstanding Notes. Any Outstanding Notes not accepted for exchange will remain outstanding and continue to accrue interest according to their terms.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b/>
                <w:sz w:val="20"/>
              </w:rPr>
              <w:t>Conditions to the Exchange Offer</w:t>
            </w:r>
            <w:r>
              <w:rPr>
                <w:rFonts w:ascii="Times New Roman" w:hAnsi="Times New Roman"/>
                <w:sz w:val="20"/>
              </w:rPr>
              <w:t xml:space="preserve"> </w:t>
            </w:r>
          </w:p>
        </w:tc>
        <w:tc>
          <w:tcPr>
            <w:tcW w:w="6328" w:type="dxa"/>
            <w:tcBorders/>
          </w:tcPr>
          <w:p>
            <w:pPr>
              <w:pStyle w:val="TableContents"/>
              <w:bidi w:val="0"/>
              <w:spacing w:before="0" w:after="283"/>
              <w:jc w:val="left"/>
              <w:rPr/>
            </w:pPr>
            <w:r>
              <w:rPr/>
              <w:t xml:space="preserve">The Exchange Offer is not conditioned upon any minimum aggregate principal amount of the Outstanding Notes being tendered or accepted for exchange. Our obligation to accept Outstanding Notes tendered in the Exchange Offer is subject to the satisfaction or waiver of certain customary conditions. We currently expect that each of the conditions will be satisfied and that no waivers will be necessary. See “The Exchange Offer—Conditions to the Exchange Offer.”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b/>
                <w:sz w:val="20"/>
              </w:rPr>
              <w:t>Procedures for Tendering</w:t>
            </w:r>
            <w:r>
              <w:rPr>
                <w:rFonts w:ascii="Times New Roman" w:hAnsi="Times New Roman"/>
                <w:sz w:val="20"/>
              </w:rPr>
              <w:t xml:space="preserve"> </w:t>
            </w:r>
            <w:r>
              <w:rPr>
                <w:rFonts w:ascii="Times New Roman" w:hAnsi="Times New Roman"/>
                <w:b/>
                <w:sz w:val="20"/>
              </w:rPr>
              <w:t>Outstanding Notes</w:t>
            </w:r>
            <w:r>
              <w:rPr>
                <w:rFonts w:ascii="Times New Roman" w:hAnsi="Times New Roman"/>
                <w:sz w:val="20"/>
              </w:rPr>
              <w:t xml:space="preserve"> </w:t>
            </w:r>
          </w:p>
        </w:tc>
        <w:tc>
          <w:tcPr>
            <w:tcW w:w="6327" w:type="dxa"/>
            <w:tcBorders/>
          </w:tcPr>
          <w:p>
            <w:pPr>
              <w:pStyle w:val="TableContents"/>
              <w:bidi w:val="0"/>
              <w:spacing w:before="0" w:after="283"/>
              <w:jc w:val="left"/>
              <w:rPr/>
            </w:pPr>
            <w:r>
              <w:rPr/>
              <w:t xml:space="preserve">Holders of Outstanding Notes who wish to participate in the Exchange Offer must comply with the procedures under The Depository Trust Company (“DTC”)’s Automated Tender Offer Program (“ATOP”) prior to the Expiration Date. By participating in the Exchange Offer, a holder of Outstanding Notes will be deemed to have represented to us that, among other things: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2"/>
        <w:gridCol w:w="204"/>
        <w:gridCol w:w="101"/>
        <w:gridCol w:w="5818"/>
      </w:tblGrid>
      <w:tr>
        <w:trPr/>
        <w:tc>
          <w:tcPr>
            <w:tcW w:w="4082"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581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it does not have an arrangement or understanding with any person or entity to participate in the distribution of the Exchange Notes;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2"/>
        <w:gridCol w:w="203"/>
        <w:gridCol w:w="101"/>
        <w:gridCol w:w="5819"/>
      </w:tblGrid>
      <w:tr>
        <w:trPr/>
        <w:tc>
          <w:tcPr>
            <w:tcW w:w="4082"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581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it is not an “affiliate” of ours within the meaning of Rule 405 under the Securities Act;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2"/>
        <w:gridCol w:w="203"/>
        <w:gridCol w:w="101"/>
        <w:gridCol w:w="5819"/>
      </w:tblGrid>
      <w:tr>
        <w:trPr/>
        <w:tc>
          <w:tcPr>
            <w:tcW w:w="4082"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581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it is not engaged in, and does not intend to engage in, a distribution of the Exchange Notes;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82"/>
        <w:gridCol w:w="203"/>
        <w:gridCol w:w="101"/>
        <w:gridCol w:w="5819"/>
      </w:tblGrid>
      <w:tr>
        <w:trPr/>
        <w:tc>
          <w:tcPr>
            <w:tcW w:w="4082"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581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it is acquiring the Exchange Notes in the ordinary course of its business;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2"/>
        <w:gridCol w:w="203"/>
        <w:gridCol w:w="102"/>
        <w:gridCol w:w="5818"/>
      </w:tblGrid>
      <w:tr>
        <w:trPr/>
        <w:tc>
          <w:tcPr>
            <w:tcW w:w="4082"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581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it is a broker-dealer that receives Exchange Notes for its own account in exchange for Outstanding Notes that were acquired as a result of market-making activities or other trading activities, it will deliver a prospectus, as required by law, in connection with any resale of such Exchange Notes.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b/>
                <w:sz w:val="20"/>
              </w:rPr>
              <w:t>Special Procedures for Beneficial Owners</w:t>
            </w:r>
            <w:r>
              <w:rPr>
                <w:rFonts w:ascii="Times New Roman" w:hAnsi="Times New Roman"/>
                <w:sz w:val="20"/>
              </w:rPr>
              <w:t xml:space="preserve"> </w:t>
            </w:r>
          </w:p>
        </w:tc>
        <w:tc>
          <w:tcPr>
            <w:tcW w:w="6327" w:type="dxa"/>
            <w:tcBorders/>
          </w:tcPr>
          <w:p>
            <w:pPr>
              <w:pStyle w:val="TableContents"/>
              <w:bidi w:val="0"/>
              <w:spacing w:before="0" w:after="283"/>
              <w:jc w:val="left"/>
              <w:rPr/>
            </w:pPr>
            <w:r>
              <w:rPr/>
              <w:t xml:space="preserve">If you are a beneficial owner of Outstanding Notes that are registered in the name of a broker, dealer, commercial bank, trust company or other nominee, and you wish to tender those Outstanding Notes in the Exchange Offer, you should contact the registered holder promptly and instruct the registered holder to tender those Outstanding Notes on your behalf. If you wish to tender on your own behalf, you must, prior to delivering your Outstanding Notes, either make appropriate arrangements to register ownership of the Outstanding Notes in your name or obtain a properly completed bond power from the registered holder. The transfer of registered ownership may take considerable time and may not be able to be completed prior to the Expiration Date.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b/>
                <w:sz w:val="20"/>
              </w:rPr>
              <w:t>No Letter of Transmittal</w:t>
            </w:r>
            <w:r>
              <w:rPr>
                <w:rFonts w:ascii="Times New Roman" w:hAnsi="Times New Roman"/>
                <w:sz w:val="20"/>
              </w:rPr>
              <w:t xml:space="preserve"> </w:t>
            </w:r>
          </w:p>
        </w:tc>
        <w:tc>
          <w:tcPr>
            <w:tcW w:w="6327" w:type="dxa"/>
            <w:tcBorders/>
          </w:tcPr>
          <w:p>
            <w:pPr>
              <w:pStyle w:val="TableContents"/>
              <w:bidi w:val="0"/>
              <w:spacing w:before="0" w:after="283"/>
              <w:jc w:val="left"/>
              <w:rPr/>
            </w:pPr>
            <w:r>
              <w:rPr/>
              <w:t xml:space="preserve">There is no letter of transmittal for Outstanding Notes tendered in connection with the Exchange Offer. The valid electronic submission of acceptance through ATOP shall constitute delivery of the Outstanding Notes in connection with the Exchange Offer.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9"/>
        <w:gridCol w:w="6326"/>
      </w:tblGrid>
      <w:tr>
        <w:trPr/>
        <w:tc>
          <w:tcPr>
            <w:tcW w:w="3879" w:type="dxa"/>
            <w:tcBorders/>
          </w:tcPr>
          <w:p>
            <w:pPr>
              <w:pStyle w:val="TableContents"/>
              <w:bidi w:val="0"/>
              <w:spacing w:before="0" w:after="20"/>
              <w:jc w:val="left"/>
              <w:rPr>
                <w:rFonts w:ascii="Times New Roman" w:hAnsi="Times New Roman"/>
                <w:sz w:val="20"/>
              </w:rPr>
            </w:pPr>
            <w:r>
              <w:rPr>
                <w:rFonts w:ascii="Times New Roman" w:hAnsi="Times New Roman"/>
                <w:b/>
                <w:sz w:val="20"/>
              </w:rPr>
              <w:t>No Guaranteed Delivery Procedures</w:t>
            </w:r>
            <w:r>
              <w:rPr>
                <w:rFonts w:ascii="Times New Roman" w:hAnsi="Times New Roman"/>
                <w:sz w:val="20"/>
              </w:rPr>
              <w:t xml:space="preserve"> </w:t>
            </w:r>
          </w:p>
        </w:tc>
        <w:tc>
          <w:tcPr>
            <w:tcW w:w="6326" w:type="dxa"/>
            <w:tcBorders/>
          </w:tcPr>
          <w:p>
            <w:pPr>
              <w:pStyle w:val="TableContents"/>
              <w:bidi w:val="0"/>
              <w:spacing w:before="0" w:after="283"/>
              <w:jc w:val="left"/>
              <w:rPr/>
            </w:pPr>
            <w:r>
              <w:rPr/>
              <w:t xml:space="preserve">There are no guaranteed delivery procedures for the Exchange Offer. Holders must tender their Outstanding Notes in accordance with DTC’s ATOP procedures prior to the Expiration Date.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b/>
                <w:sz w:val="20"/>
              </w:rPr>
              <w:t>Effect on Holders of Outstanding Notes</w:t>
            </w:r>
            <w:r>
              <w:rPr>
                <w:rFonts w:ascii="Times New Roman" w:hAnsi="Times New Roman"/>
                <w:sz w:val="20"/>
              </w:rPr>
              <w:t xml:space="preserve"> </w:t>
            </w:r>
          </w:p>
        </w:tc>
        <w:tc>
          <w:tcPr>
            <w:tcW w:w="6327" w:type="dxa"/>
            <w:tcBorders/>
          </w:tcPr>
          <w:p>
            <w:pPr>
              <w:pStyle w:val="TableContents"/>
              <w:bidi w:val="0"/>
              <w:spacing w:before="0" w:after="283"/>
              <w:jc w:val="left"/>
              <w:rPr/>
            </w:pPr>
            <w:r>
              <w:rPr/>
              <w:t xml:space="preserve">As a result of the making of, and upon acceptance for exchange of all validly tendered Outstanding Notes pursuant to the terms of, the Exchange Offer, we will have fulfilled a covenant under the registration rights agreement. Accordingly, there will be no increase in the applicable interest rate on the Outstanding Notes under the circumstances described in the registration rights agreement. If you do not tender your Outstanding Notes in the Exchange Offer, you will continue to be entitled to all the rights and limitations applicable to the Outstanding Notes as set forth in the Indenture under which the Outstanding Notes were issued, except we will not have any further obligation to you to provide for the exchange and registration of the Outstanding Notes under the registration rights agreement.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b/>
                <w:sz w:val="20"/>
              </w:rPr>
              <w:t>Consequences of Failure to Exchange</w:t>
            </w:r>
            <w:r>
              <w:rPr>
                <w:rFonts w:ascii="Times New Roman" w:hAnsi="Times New Roman"/>
                <w:sz w:val="20"/>
              </w:rPr>
              <w:t xml:space="preserve"> </w:t>
            </w:r>
          </w:p>
        </w:tc>
        <w:tc>
          <w:tcPr>
            <w:tcW w:w="632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untendered Outstanding Notes will continue to be subject to the transfer restrictions set forth in the Outstanding Notes and in the Indenture under which the Outstanding Notes were issued. In general, the Outstanding Notes may not be offered or sold, except in a transaction that is registered under the Securities Act or pursuant to an exemption from, or in a transaction not subject to, the Securities Act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vAlign w:val="center"/>
          </w:tcPr>
          <w:p>
            <w:pPr>
              <w:pStyle w:val="TableContents"/>
              <w:bidi w:val="0"/>
              <w:spacing w:before="0" w:after="283"/>
              <w:jc w:val="left"/>
              <w:rPr/>
            </w:pPr>
            <w:r>
              <w:rPr/>
              <w:t> </w:t>
            </w:r>
          </w:p>
        </w:tc>
        <w:tc>
          <w:tcPr>
            <w:tcW w:w="632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and applicable state securities laws. Other than in connection with the Exchange Offer, we do not anticipate that we will register the offer and sale of the Outstanding Notes under the Securities Act. To the extent that Outstanding Notes are tendered and accepted in the Exchange Offer, the trading market for untendered Outstanding Notes could be adversely affected.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b/>
                <w:sz w:val="20"/>
              </w:rPr>
              <w:t>U.S. Federal Income Tax Consequences of the Exchange Offer</w:t>
            </w:r>
            <w:r>
              <w:rPr>
                <w:rFonts w:ascii="Times New Roman" w:hAnsi="Times New Roman"/>
                <w:sz w:val="20"/>
              </w:rPr>
              <w:t xml:space="preserve"> </w:t>
            </w:r>
          </w:p>
        </w:tc>
        <w:tc>
          <w:tcPr>
            <w:tcW w:w="6327" w:type="dxa"/>
            <w:tcBorders/>
          </w:tcPr>
          <w:p>
            <w:pPr>
              <w:pStyle w:val="TableContents"/>
              <w:bidi w:val="0"/>
              <w:spacing w:before="0" w:after="283"/>
              <w:jc w:val="left"/>
              <w:rPr/>
            </w:pPr>
            <w:r>
              <w:rPr/>
              <w:t xml:space="preserve">The exchange of Outstanding Notes for Exchange Notes in the Exchange Offer will not constitute a taxable event for United States federal income tax purposes. See “Certain U.S. Federal Income Tax Considerations.”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b/>
                <w:sz w:val="20"/>
              </w:rPr>
              <w:t>Use of Proceeds</w:t>
            </w:r>
            <w:r>
              <w:rPr>
                <w:rFonts w:ascii="Times New Roman" w:hAnsi="Times New Roman"/>
                <w:sz w:val="20"/>
              </w:rPr>
              <w:t xml:space="preserve"> </w:t>
            </w:r>
          </w:p>
        </w:tc>
        <w:tc>
          <w:tcPr>
            <w:tcW w:w="6328" w:type="dxa"/>
            <w:tcBorders/>
          </w:tcPr>
          <w:p>
            <w:pPr>
              <w:pStyle w:val="TableContents"/>
              <w:bidi w:val="0"/>
              <w:spacing w:before="0" w:after="283"/>
              <w:jc w:val="left"/>
              <w:rPr/>
            </w:pPr>
            <w:r>
              <w:rPr/>
              <w:t xml:space="preserve">We will not receive any cash proceeds from the issuance of Exchange Notes in the Exchange Offer. See “Use of Proceeds.”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b/>
                <w:sz w:val="20"/>
              </w:rPr>
              <w:t>Exchange Agent</w:t>
            </w:r>
            <w:r>
              <w:rPr>
                <w:rFonts w:ascii="Times New Roman" w:hAnsi="Times New Roman"/>
                <w:sz w:val="20"/>
              </w:rPr>
              <w:t xml:space="preserve"> </w:t>
            </w:r>
          </w:p>
        </w:tc>
        <w:tc>
          <w:tcPr>
            <w:tcW w:w="6329" w:type="dxa"/>
            <w:tcBorders/>
          </w:tcPr>
          <w:p>
            <w:pPr>
              <w:pStyle w:val="TableContents"/>
              <w:bidi w:val="0"/>
              <w:spacing w:before="0" w:after="283"/>
              <w:jc w:val="left"/>
              <w:rPr/>
            </w:pPr>
            <w:r>
              <w:rPr/>
              <w:t xml:space="preserve">Wilmington Trust, National Association, is the Exchange Agent for the Exchange Offer. The address and telephone number of the Exchange Agent are set forth under “The Exchange Offer—Exchange Agent.”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The Exchange Notes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The summary below describes the principal terms of the Exchange Notes. Certain of the terms and conditions described below are subject to important limitations and exceptions. The “Description of Exchange Notes” section of this prospectus contains more detailed descriptions of the terms and conditions of the Outstanding Notes and the Exchange Notes. The Exchange Notes will have terms identical in all material respects to the Outstanding Notes, except that the offer and sale of the Exchange Notes will be registered under the Securities Act and the Exchange Notes will not contain terms with respect to transfer restrictions, registration rights and additional payments upon a failure to fulfill certain of our obligations under the registration rights agreement.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b/>
                <w:sz w:val="20"/>
              </w:rPr>
              <w:t>Issuer</w:t>
            </w:r>
            <w:r>
              <w:rPr>
                <w:rFonts w:ascii="Times New Roman" w:hAnsi="Times New Roman"/>
                <w:sz w:val="20"/>
              </w:rPr>
              <w:t xml:space="preserve"> </w:t>
            </w:r>
          </w:p>
        </w:tc>
        <w:tc>
          <w:tcPr>
            <w:tcW w:w="6329" w:type="dxa"/>
            <w:tcBorders/>
          </w:tcPr>
          <w:p>
            <w:pPr>
              <w:pStyle w:val="TableContents"/>
              <w:bidi w:val="0"/>
              <w:spacing w:before="0" w:after="283"/>
              <w:jc w:val="left"/>
              <w:rPr/>
            </w:pPr>
            <w:r>
              <w:rPr/>
              <w:t xml:space="preserve">Broadcom Inc., a Delaware corporation.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b/>
                <w:sz w:val="20"/>
              </w:rPr>
              <w:t>Notes Offered</w:t>
            </w:r>
            <w:r>
              <w:rPr>
                <w:rFonts w:ascii="Times New Roman" w:hAnsi="Times New Roman"/>
                <w:sz w:val="20"/>
              </w:rPr>
              <w:t xml:space="preserve"> </w:t>
            </w:r>
          </w:p>
        </w:tc>
        <w:tc>
          <w:tcPr>
            <w:tcW w:w="6328" w:type="dxa"/>
            <w:tcBorders/>
          </w:tcPr>
          <w:p>
            <w:pPr>
              <w:pStyle w:val="TableContents"/>
              <w:bidi w:val="0"/>
              <w:spacing w:before="0" w:after="283"/>
              <w:jc w:val="left"/>
              <w:rPr/>
            </w:pPr>
            <w:r>
              <w:rPr/>
              <w:t xml:space="preserve">$654,004,000 aggregate principal amount of 4.926% Senior Notes due 2037.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9"/>
        <w:gridCol w:w="6326"/>
      </w:tblGrid>
      <w:tr>
        <w:trPr/>
        <w:tc>
          <w:tcPr>
            <w:tcW w:w="3879" w:type="dxa"/>
            <w:tcBorders/>
          </w:tcPr>
          <w:p>
            <w:pPr>
              <w:pStyle w:val="TableContents"/>
              <w:bidi w:val="0"/>
              <w:spacing w:before="0" w:after="20"/>
              <w:jc w:val="left"/>
              <w:rPr>
                <w:rFonts w:ascii="Times New Roman" w:hAnsi="Times New Roman"/>
                <w:sz w:val="20"/>
              </w:rPr>
            </w:pPr>
            <w:r>
              <w:rPr>
                <w:rFonts w:ascii="Times New Roman" w:hAnsi="Times New Roman"/>
                <w:b/>
                <w:sz w:val="20"/>
              </w:rPr>
              <w:t>Interest Rate</w:t>
            </w:r>
            <w:r>
              <w:rPr>
                <w:rFonts w:ascii="Times New Roman" w:hAnsi="Times New Roman"/>
                <w:sz w:val="20"/>
              </w:rPr>
              <w:t xml:space="preserve"> </w:t>
            </w:r>
          </w:p>
        </w:tc>
        <w:tc>
          <w:tcPr>
            <w:tcW w:w="6326" w:type="dxa"/>
            <w:tcBorders/>
          </w:tcPr>
          <w:p>
            <w:pPr>
              <w:pStyle w:val="TableContents"/>
              <w:bidi w:val="0"/>
              <w:spacing w:before="0" w:after="283"/>
              <w:jc w:val="left"/>
              <w:rPr/>
            </w:pPr>
            <w:r>
              <w:rPr/>
              <w:t xml:space="preserve">4.926% per annum.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9"/>
        <w:gridCol w:w="6326"/>
      </w:tblGrid>
      <w:tr>
        <w:trPr/>
        <w:tc>
          <w:tcPr>
            <w:tcW w:w="3879" w:type="dxa"/>
            <w:tcBorders/>
          </w:tcPr>
          <w:p>
            <w:pPr>
              <w:pStyle w:val="TableContents"/>
              <w:bidi w:val="0"/>
              <w:spacing w:before="0" w:after="20"/>
              <w:jc w:val="left"/>
              <w:rPr>
                <w:rFonts w:ascii="Times New Roman" w:hAnsi="Times New Roman"/>
                <w:sz w:val="20"/>
              </w:rPr>
            </w:pPr>
            <w:r>
              <w:rPr>
                <w:rFonts w:ascii="Times New Roman" w:hAnsi="Times New Roman"/>
                <w:b/>
                <w:sz w:val="20"/>
              </w:rPr>
              <w:t>Interest Payment Dates</w:t>
            </w:r>
            <w:r>
              <w:rPr>
                <w:rFonts w:ascii="Times New Roman" w:hAnsi="Times New Roman"/>
                <w:sz w:val="20"/>
              </w:rPr>
              <w:t xml:space="preserve"> </w:t>
            </w:r>
          </w:p>
        </w:tc>
        <w:tc>
          <w:tcPr>
            <w:tcW w:w="6326" w:type="dxa"/>
            <w:tcBorders/>
          </w:tcPr>
          <w:p>
            <w:pPr>
              <w:pStyle w:val="TableContents"/>
              <w:bidi w:val="0"/>
              <w:spacing w:before="0" w:after="283"/>
              <w:jc w:val="left"/>
              <w:rPr/>
            </w:pPr>
            <w:r>
              <w:rPr/>
              <w:t xml:space="preserve">Interest on the Exchange Notes will be payable semi-annually in cash in arrears on May 15 and November 15 of each year, commencing on November 15, 2026.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vAlign w:val="center"/>
          </w:tcPr>
          <w:p>
            <w:pPr>
              <w:pStyle w:val="TableContents"/>
              <w:bidi w:val="0"/>
              <w:spacing w:before="0" w:after="283"/>
              <w:jc w:val="left"/>
              <w:rPr/>
            </w:pPr>
            <w:r>
              <w:rPr/>
              <w:t> </w:t>
            </w:r>
          </w:p>
        </w:tc>
        <w:tc>
          <w:tcPr>
            <w:tcW w:w="6328" w:type="dxa"/>
            <w:tcBorders/>
          </w:tcPr>
          <w:p>
            <w:pPr>
              <w:pStyle w:val="TableContents"/>
              <w:bidi w:val="0"/>
              <w:spacing w:before="0" w:after="283"/>
              <w:jc w:val="left"/>
              <w:rPr/>
            </w:pPr>
            <w:r>
              <w:rPr/>
              <w:t xml:space="preserve">Interest accrues from May 15, 2026, the most recent date on which interest has been paid on the Outstanding Notes.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b/>
                <w:sz w:val="20"/>
              </w:rPr>
              <w:t>Maturity Date</w:t>
            </w:r>
            <w:r>
              <w:rPr>
                <w:rFonts w:ascii="Times New Roman" w:hAnsi="Times New Roman"/>
                <w:sz w:val="20"/>
              </w:rPr>
              <w:t xml:space="preserve"> </w:t>
            </w:r>
          </w:p>
        </w:tc>
        <w:tc>
          <w:tcPr>
            <w:tcW w:w="6328" w:type="dxa"/>
            <w:tcBorders/>
          </w:tcPr>
          <w:p>
            <w:pPr>
              <w:pStyle w:val="TableContents"/>
              <w:bidi w:val="0"/>
              <w:spacing w:before="0" w:after="283"/>
              <w:jc w:val="left"/>
              <w:rPr/>
            </w:pPr>
            <w:r>
              <w:rPr/>
              <w:t xml:space="preserve">May 15, 2037.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9"/>
        <w:gridCol w:w="6326"/>
      </w:tblGrid>
      <w:tr>
        <w:trPr/>
        <w:tc>
          <w:tcPr>
            <w:tcW w:w="3879" w:type="dxa"/>
            <w:tcBorders/>
          </w:tcPr>
          <w:p>
            <w:pPr>
              <w:pStyle w:val="TableContents"/>
              <w:bidi w:val="0"/>
              <w:spacing w:before="0" w:after="20"/>
              <w:jc w:val="left"/>
              <w:rPr>
                <w:rFonts w:ascii="Times New Roman" w:hAnsi="Times New Roman"/>
                <w:sz w:val="20"/>
              </w:rPr>
            </w:pPr>
            <w:r>
              <w:rPr>
                <w:rFonts w:ascii="Times New Roman" w:hAnsi="Times New Roman"/>
                <w:b/>
                <w:sz w:val="20"/>
              </w:rPr>
              <w:t>No Guarantees</w:t>
            </w:r>
            <w:r>
              <w:rPr>
                <w:rFonts w:ascii="Times New Roman" w:hAnsi="Times New Roman"/>
                <w:sz w:val="20"/>
              </w:rPr>
              <w:t xml:space="preserve"> </w:t>
            </w:r>
          </w:p>
        </w:tc>
        <w:tc>
          <w:tcPr>
            <w:tcW w:w="6326" w:type="dxa"/>
            <w:tcBorders/>
          </w:tcPr>
          <w:p>
            <w:pPr>
              <w:pStyle w:val="TableContents"/>
              <w:bidi w:val="0"/>
              <w:spacing w:before="0" w:after="283"/>
              <w:jc w:val="left"/>
              <w:rPr/>
            </w:pPr>
            <w:r>
              <w:rPr/>
              <w:t xml:space="preserve">Neither the Outstanding Notes are, nor will the Exchange Notes be, guaranteed. See “Description of Exchange Notes—Guarantees.”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b/>
                <w:sz w:val="20"/>
              </w:rPr>
              <w:t>Ranking</w:t>
            </w:r>
            <w:r>
              <w:rPr>
                <w:rFonts w:ascii="Times New Roman" w:hAnsi="Times New Roman"/>
                <w:sz w:val="20"/>
              </w:rPr>
              <w:t xml:space="preserve"> </w:t>
            </w:r>
          </w:p>
        </w:tc>
        <w:tc>
          <w:tcPr>
            <w:tcW w:w="6328" w:type="dxa"/>
            <w:tcBorders/>
          </w:tcPr>
          <w:p>
            <w:pPr>
              <w:pStyle w:val="TableContents"/>
              <w:bidi w:val="0"/>
              <w:spacing w:before="0" w:after="283"/>
              <w:jc w:val="left"/>
              <w:rPr/>
            </w:pPr>
            <w:r>
              <w:rPr/>
              <w:t xml:space="preserve">The Exchange Notes will be the Issuer’s senior unsecured obligations and will: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3"/>
        <w:gridCol w:w="203"/>
        <w:gridCol w:w="101"/>
        <w:gridCol w:w="5818"/>
      </w:tblGrid>
      <w:tr>
        <w:trPr/>
        <w:tc>
          <w:tcPr>
            <w:tcW w:w="4083"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581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rank equal in right of payment with all of the Issuer’s other existing and future senior unsecured indebtedness;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3"/>
        <w:gridCol w:w="203"/>
        <w:gridCol w:w="101"/>
        <w:gridCol w:w="5818"/>
      </w:tblGrid>
      <w:tr>
        <w:trPr/>
        <w:tc>
          <w:tcPr>
            <w:tcW w:w="4083"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581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rank senior in right of payment to the Issuer’s existing and future subordinated indebtedness;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3"/>
        <w:gridCol w:w="203"/>
        <w:gridCol w:w="101"/>
        <w:gridCol w:w="5818"/>
      </w:tblGrid>
      <w:tr>
        <w:trPr/>
        <w:tc>
          <w:tcPr>
            <w:tcW w:w="4083"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581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 effectively subordinated in right of payment to the Issuer’s existing and future secured obligations, to the extent of the assets securing such obligations;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3"/>
        <w:gridCol w:w="203"/>
        <w:gridCol w:w="101"/>
        <w:gridCol w:w="5818"/>
      </w:tblGrid>
      <w:tr>
        <w:trPr/>
        <w:tc>
          <w:tcPr>
            <w:tcW w:w="4083"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581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 structurally subordinated in right of payment to any existing and future indebtedness or other liabilities, including trade payables, of the Issuer’s subsidiaries.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vAlign w:val="center"/>
          </w:tcPr>
          <w:p>
            <w:pPr>
              <w:pStyle w:val="TableContents"/>
              <w:bidi w:val="0"/>
              <w:spacing w:before="0" w:after="283"/>
              <w:jc w:val="left"/>
              <w:rPr/>
            </w:pPr>
            <w:r>
              <w:rPr/>
              <w:t> </w:t>
            </w:r>
          </w:p>
        </w:tc>
        <w:tc>
          <w:tcPr>
            <w:tcW w:w="6327" w:type="dxa"/>
            <w:tcBorders/>
          </w:tcPr>
          <w:p>
            <w:pPr>
              <w:pStyle w:val="TableContents"/>
              <w:bidi w:val="0"/>
              <w:spacing w:before="0" w:after="283"/>
              <w:jc w:val="left"/>
              <w:rPr/>
            </w:pPr>
            <w:r>
              <w:rPr/>
              <w:t xml:space="preserve">As of August 2, 2026, (i) the Issuer had approximately $55,796 million aggregate principal amount of indebtedness for borrowed money, and (ii) the Issuer’s subsidiaries had approximately $5,283 million aggregate principal amount of unsecured indebtedness for borrowed money outstanding (excluding intercompany indebtedness), of which $777 million is guaranteed by the Issuer, and all of which indebtedness for borrowed money of such subsidiaries would be structurally senior to the Exchange Notes with respect to claims on the assets and cash flows of the Issuer’s subsidiaries.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b/>
                <w:sz w:val="20"/>
              </w:rPr>
              <w:t>Optional Redemption</w:t>
            </w:r>
            <w:r>
              <w:rPr>
                <w:rFonts w:ascii="Times New Roman" w:hAnsi="Times New Roman"/>
                <w:sz w:val="20"/>
              </w:rPr>
              <w:t xml:space="preserve"> </w:t>
            </w:r>
          </w:p>
        </w:tc>
        <w:tc>
          <w:tcPr>
            <w:tcW w:w="6328" w:type="dxa"/>
            <w:tcBorders/>
          </w:tcPr>
          <w:p>
            <w:pPr>
              <w:pStyle w:val="TableContents"/>
              <w:bidi w:val="0"/>
              <w:spacing w:before="0" w:after="283"/>
              <w:jc w:val="left"/>
              <w:rPr/>
            </w:pPr>
            <w:r>
              <w:rPr/>
              <w:t xml:space="preserve">The Issuer may, at its option, redeem or repurchase the Exchange Notes, in whole or in part, at any time and from time to time prior to February 15, 2037 at a price equal to 100% of the principal amount of the Exchange Notes to be redeemed, plus a “make-whole” premium, which is described under “Description of Exchange Notes—Optional Redemption,” plus accrued and unpaid interest, if any, to, but excluding, the redemption date.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vAlign w:val="center"/>
          </w:tcPr>
          <w:p>
            <w:pPr>
              <w:pStyle w:val="TableContents"/>
              <w:bidi w:val="0"/>
              <w:spacing w:before="0" w:after="283"/>
              <w:jc w:val="left"/>
              <w:rPr/>
            </w:pPr>
            <w:r>
              <w:rPr/>
              <w:t> </w:t>
            </w:r>
          </w:p>
        </w:tc>
        <w:tc>
          <w:tcPr>
            <w:tcW w:w="6327" w:type="dxa"/>
            <w:tcBorders/>
          </w:tcPr>
          <w:p>
            <w:pPr>
              <w:pStyle w:val="TableContents"/>
              <w:bidi w:val="0"/>
              <w:spacing w:before="0" w:after="283"/>
              <w:jc w:val="left"/>
              <w:rPr/>
            </w:pPr>
            <w:r>
              <w:rPr/>
              <w:t xml:space="preserve">On or after February 15, 2037, the Issuer may redeem or repurchase all or any part of the Exchange Notes, at any time or from time to time, at a redemption price equal to 100% of the aggregate principal amount of the Exchange Notes to be redeemed, plus accrued and unpaid interest thereon, if any, to, but excluding, the redemption date. See “Description of Exchange Notes—Optional Redemption.”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b/>
                <w:sz w:val="20"/>
              </w:rPr>
              <w:t>Additional Amounts; Redemption for Taxation Reasons</w:t>
            </w:r>
            <w:r>
              <w:rPr>
                <w:rFonts w:ascii="Times New Roman" w:hAnsi="Times New Roman"/>
                <w:sz w:val="20"/>
              </w:rPr>
              <w:t xml:space="preserve"> </w:t>
            </w:r>
          </w:p>
        </w:tc>
        <w:tc>
          <w:tcPr>
            <w:tcW w:w="6327" w:type="dxa"/>
            <w:tcBorders/>
          </w:tcPr>
          <w:p>
            <w:pPr>
              <w:pStyle w:val="TableContents"/>
              <w:bidi w:val="0"/>
              <w:spacing w:before="0" w:after="283"/>
              <w:jc w:val="left"/>
              <w:rPr/>
            </w:pPr>
            <w:r>
              <w:rPr/>
              <w:t xml:space="preserve">After the occurrence of a Non-U.S. Domicile Transaction (as defined in “Description of Exchange Notes—Certain Covenants—Limitation on Mergers and Other Transactions”), if payments made by a non-U.S. Payor (as defined in “Description of Exchange Notes—Additional Amounts”) are subject to any withholding or deduction of taxes by certain relevant tax jurisdictions (other than the United States or any of its political subdivisions or governmental authorities), subject to certain exceptions, the non-U.S. Payor is required to pay the additional amounts necessary so that the net amount received by the holders of the Exchange Notes after the withholding or deduction is not less than the amount that they would have received in the absence of the withholding or deduction. In the event that certain changes in the tax law of any relevant jurisdiction would require a non-U.S. Payor to make payments of such additional amounts on the Exchange Notes, the non-U.S. Payor may redeem the Exchange Notes in whole, but not in part, at any time, at a redemption price of 100% of the principal amount, plus accrued and unpaid interest, if any, and additional amounts, if any, to the date of redemption. See “Description of Exchange Notes—Additional Amounts” and “Description of Exchange Notes—Redemption for Taxation Reasons.”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b/>
                <w:sz w:val="20"/>
              </w:rPr>
              <w:t>Change of Control Triggering Event</w:t>
            </w:r>
            <w:r>
              <w:rPr>
                <w:rFonts w:ascii="Times New Roman" w:hAnsi="Times New Roman"/>
                <w:sz w:val="20"/>
              </w:rPr>
              <w:t xml:space="preserve"> </w:t>
            </w:r>
          </w:p>
        </w:tc>
        <w:tc>
          <w:tcPr>
            <w:tcW w:w="6328" w:type="dxa"/>
            <w:tcBorders/>
          </w:tcPr>
          <w:p>
            <w:pPr>
              <w:pStyle w:val="TableContents"/>
              <w:bidi w:val="0"/>
              <w:spacing w:before="0" w:after="283"/>
              <w:jc w:val="left"/>
              <w:rPr/>
            </w:pPr>
            <w:r>
              <w:rPr/>
              <w:t xml:space="preserve">If the Issuer experiences a Change of Control Triggering Event (as defined under “Description of Exchange Notes”), each holder of Exchange Notes may require us to repurchase some or all of its Exchange Notes at a purchase price equal to 101% of the aggregate principal amount thereof, plus accrued and unpaid interest, if any, and additional amounts, if any, to, but excluding, the repurchase date. See “Description of Exchange Notes—Purchase of Notes upon a Change of Control Triggering Event.”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b/>
                <w:sz w:val="20"/>
              </w:rPr>
              <w:t>Certain Covenants</w:t>
            </w:r>
            <w:r>
              <w:rPr>
                <w:rFonts w:ascii="Times New Roman" w:hAnsi="Times New Roman"/>
                <w:sz w:val="20"/>
              </w:rPr>
              <w:t xml:space="preserve"> </w:t>
            </w:r>
          </w:p>
        </w:tc>
        <w:tc>
          <w:tcPr>
            <w:tcW w:w="6328" w:type="dxa"/>
            <w:tcBorders/>
          </w:tcPr>
          <w:p>
            <w:pPr>
              <w:pStyle w:val="TableContents"/>
              <w:bidi w:val="0"/>
              <w:spacing w:before="0" w:after="283"/>
              <w:jc w:val="left"/>
              <w:rPr/>
            </w:pPr>
            <w:r>
              <w:rPr/>
              <w:t xml:space="preserve">The Indenture governing the Exchange Notes contains covenants that limit, among other things, the ability of the Issuer and its subsidiaries to: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2"/>
        <w:gridCol w:w="204"/>
        <w:gridCol w:w="100"/>
        <w:gridCol w:w="5819"/>
      </w:tblGrid>
      <w:tr>
        <w:trPr/>
        <w:tc>
          <w:tcPr>
            <w:tcW w:w="4082"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581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incur certain secured debt;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82"/>
        <w:gridCol w:w="203"/>
        <w:gridCol w:w="102"/>
        <w:gridCol w:w="5818"/>
      </w:tblGrid>
      <w:tr>
        <w:trPr/>
        <w:tc>
          <w:tcPr>
            <w:tcW w:w="4082"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581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 into certain sale and lease-back transactions;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2"/>
        <w:gridCol w:w="204"/>
        <w:gridCol w:w="101"/>
        <w:gridCol w:w="5818"/>
      </w:tblGrid>
      <w:tr>
        <w:trPr/>
        <w:tc>
          <w:tcPr>
            <w:tcW w:w="4082"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581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consolidate, merge, sell or otherwise dispose of all or substantially all of their assets.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vAlign w:val="center"/>
          </w:tcPr>
          <w:p>
            <w:pPr>
              <w:pStyle w:val="TableContents"/>
              <w:bidi w:val="0"/>
              <w:spacing w:before="0" w:after="283"/>
              <w:jc w:val="left"/>
              <w:rPr/>
            </w:pPr>
            <w:r>
              <w:rPr/>
              <w:t> </w:t>
            </w:r>
          </w:p>
        </w:tc>
        <w:tc>
          <w:tcPr>
            <w:tcW w:w="6329" w:type="dxa"/>
            <w:tcBorders/>
          </w:tcPr>
          <w:p>
            <w:pPr>
              <w:pStyle w:val="TableContents"/>
              <w:bidi w:val="0"/>
              <w:spacing w:before="0" w:after="283"/>
              <w:jc w:val="left"/>
              <w:rPr/>
            </w:pPr>
            <w:r>
              <w:rPr/>
              <w:t xml:space="preserve">These covenants are subject to a number of important qualifications and limitations. See “Description of Exchange Notes—Certain Covenants.”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b/>
                <w:sz w:val="20"/>
              </w:rPr>
              <w:t>Book-Entry</w:t>
            </w:r>
            <w:r>
              <w:rPr>
                <w:rFonts w:ascii="Times New Roman" w:hAnsi="Times New Roman"/>
                <w:sz w:val="20"/>
              </w:rPr>
              <w:t xml:space="preserve"> </w:t>
            </w:r>
          </w:p>
        </w:tc>
        <w:tc>
          <w:tcPr>
            <w:tcW w:w="6328" w:type="dxa"/>
            <w:tcBorders/>
          </w:tcPr>
          <w:p>
            <w:pPr>
              <w:pStyle w:val="TableContents"/>
              <w:bidi w:val="0"/>
              <w:spacing w:before="0" w:after="283"/>
              <w:jc w:val="left"/>
              <w:rPr/>
            </w:pPr>
            <w:r>
              <w:rPr/>
              <w:t xml:space="preserve">The Exchange Notes will be issued in book-entry form and will be represented by global certificates deposited with, or on behalf of, DTC and registered in the name of Cede &amp; Co., DTC’s nominee. Beneficial interests in the Exchange Notes will be shown on, and transfers will be effected only through, records maintained by DTC or its nominee; and these interests may not be exchanged for certificated notes, except in limited circumstances. See “Description of Exchange Notes—Book-Entry, Delivery and Form.”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4"/>
        <w:gridCol w:w="6331"/>
      </w:tblGrid>
      <w:tr>
        <w:trPr/>
        <w:tc>
          <w:tcPr>
            <w:tcW w:w="3874" w:type="dxa"/>
            <w:tcBorders/>
          </w:tcPr>
          <w:p>
            <w:pPr>
              <w:pStyle w:val="TableContents"/>
              <w:bidi w:val="0"/>
              <w:spacing w:before="0" w:after="20"/>
              <w:jc w:val="left"/>
              <w:rPr>
                <w:rFonts w:ascii="Times New Roman" w:hAnsi="Times New Roman"/>
                <w:sz w:val="20"/>
              </w:rPr>
            </w:pPr>
            <w:r>
              <w:rPr>
                <w:rFonts w:ascii="Times New Roman" w:hAnsi="Times New Roman"/>
                <w:b/>
                <w:sz w:val="20"/>
              </w:rPr>
              <w:t>No Listing</w:t>
            </w:r>
            <w:r>
              <w:rPr>
                <w:rFonts w:ascii="Times New Roman" w:hAnsi="Times New Roman"/>
                <w:sz w:val="20"/>
              </w:rPr>
              <w:t xml:space="preserve"> </w:t>
            </w:r>
          </w:p>
        </w:tc>
        <w:tc>
          <w:tcPr>
            <w:tcW w:w="6331" w:type="dxa"/>
            <w:tcBorders/>
          </w:tcPr>
          <w:p>
            <w:pPr>
              <w:pStyle w:val="TableContents"/>
              <w:bidi w:val="0"/>
              <w:spacing w:before="0" w:after="283"/>
              <w:jc w:val="left"/>
              <w:rPr/>
            </w:pPr>
            <w:r>
              <w:rPr/>
              <w:t xml:space="preserve">The Exchange Notes will not be listed on any securities exchange or market.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b/>
                <w:sz w:val="20"/>
              </w:rPr>
              <w:t>Governing Law</w:t>
            </w:r>
            <w:r>
              <w:rPr>
                <w:rFonts w:ascii="Times New Roman" w:hAnsi="Times New Roman"/>
                <w:sz w:val="20"/>
              </w:rPr>
              <w:t xml:space="preserve"> </w:t>
            </w:r>
          </w:p>
        </w:tc>
        <w:tc>
          <w:tcPr>
            <w:tcW w:w="6328" w:type="dxa"/>
            <w:tcBorders/>
          </w:tcPr>
          <w:p>
            <w:pPr>
              <w:pStyle w:val="TableContents"/>
              <w:bidi w:val="0"/>
              <w:spacing w:before="0" w:after="283"/>
              <w:jc w:val="left"/>
              <w:rPr/>
            </w:pPr>
            <w:r>
              <w:rPr/>
              <w:t xml:space="preserve">State of New York.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b/>
                <w:sz w:val="20"/>
              </w:rPr>
              <w:t>Trustee, Securities Registrar and Paying Agent</w:t>
            </w:r>
            <w:r>
              <w:rPr>
                <w:rFonts w:ascii="Times New Roman" w:hAnsi="Times New Roman"/>
                <w:sz w:val="20"/>
              </w:rPr>
              <w:t xml:space="preserve"> </w:t>
            </w:r>
          </w:p>
        </w:tc>
        <w:tc>
          <w:tcPr>
            <w:tcW w:w="6329" w:type="dxa"/>
            <w:tcBorders/>
          </w:tcPr>
          <w:p>
            <w:pPr>
              <w:pStyle w:val="TableContents"/>
              <w:bidi w:val="0"/>
              <w:spacing w:before="0" w:after="283"/>
              <w:jc w:val="left"/>
              <w:rPr/>
            </w:pPr>
            <w:r>
              <w:rPr/>
              <w:t xml:space="preserve">Wilmington Trust, National Association (in such capacity, the “Trustee”).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b/>
                <w:sz w:val="20"/>
              </w:rPr>
              <w:t>Risk Factors</w:t>
            </w:r>
            <w:r>
              <w:rPr>
                <w:rFonts w:ascii="Times New Roman" w:hAnsi="Times New Roman"/>
                <w:sz w:val="20"/>
              </w:rPr>
              <w:t xml:space="preserve"> </w:t>
            </w:r>
          </w:p>
        </w:tc>
        <w:tc>
          <w:tcPr>
            <w:tcW w:w="6328" w:type="dxa"/>
            <w:tcBorders/>
          </w:tcPr>
          <w:p>
            <w:pPr>
              <w:pStyle w:val="TableContents"/>
              <w:bidi w:val="0"/>
              <w:spacing w:before="0" w:after="283"/>
              <w:jc w:val="left"/>
              <w:rPr/>
            </w:pPr>
            <w:r>
              <w:rPr/>
              <w:t xml:space="preserve">You should carefully consider all of the information included and incorporated by reference in this prospectus, including the risks under the heading “Risk Factors” in our Annual Report on Form 10-K for the fiscal year ended November 2, 2025, our Quarterly Report on Form 10-Q for the quarter ended August 2, 2026, and in this prospectus beginning on page 9, as well as in the other reports we file from time to time with the SEC that are incorporated by reference herein. In addition, you should review the information set forth under “Forward-Looking Statements” before deciding to tender your Outstanding Notes in the Exchange Offer.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 w:name="tx154803_4"/>
      <w:bookmarkEnd w:id="6"/>
      <w:r>
        <w:rPr>
          <w:rFonts w:ascii="Times New Roman" w:hAnsi="Times New Roman"/>
          <w:b/>
          <w:sz w:val="20"/>
        </w:rPr>
        <w:t xml:space="preserve">RISK FACTORS </w:t>
      </w:r>
    </w:p>
    <w:p>
      <w:pPr>
        <w:pStyle w:val="TextBody"/>
        <w:bidi w:val="0"/>
        <w:spacing w:before="240" w:after="0"/>
        <w:jc w:val="left"/>
        <w:rPr>
          <w:rFonts w:ascii="Times New Roman" w:hAnsi="Times New Roman"/>
          <w:i/>
          <w:sz w:val="20"/>
        </w:rPr>
      </w:pPr>
      <w:r>
        <w:rPr>
          <w:rFonts w:ascii="Times New Roman" w:hAnsi="Times New Roman"/>
          <w:i/>
          <w:sz w:val="20"/>
        </w:rPr>
        <w:t xml:space="preserve">Before deciding to tender your Outstanding Notes in the Exchange Offer, you should consider the risks described below and the other information included or incorporated by reference in this prospectus, including the risks under the heading “Risk Factors” in our Annual Report on Form 10-K for the fiscal year ended November 2, 2025, our Quarterly Report on Form 10-Q for the quarter ended August 2, 2026, as well as the other reports we file from time to time with the SEC that are incorporated by reference herein. The risks and uncertainties described below and in the incorporated documents are not the only risks and uncertainties that we face. Any of the following risks could materially and adversely affect our business, financial condition or results of operations. Additional risks and uncertainties not currently known to us or those we currently view to be immaterial may also materially and adversely affect our business, financial condition or results of operations. In any such case, the market price of our Exchange Notes could decline and you could lose all or part of your investment. The risks discussed below also include forward-looking statements, and our actual results may differ substantially from those discussed in these forward-looking statements. See “Forward-Looking Statements” in this prospectus. In addition to the risk factors incorporated by reference herein, you should consider the additional risk factors below.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Relating to Non-Participation in the Exchange Offer </w:t>
      </w:r>
    </w:p>
    <w:p>
      <w:pPr>
        <w:pStyle w:val="TextBody"/>
        <w:bidi w:val="0"/>
        <w:spacing w:before="120" w:after="0"/>
        <w:jc w:val="left"/>
        <w:rPr>
          <w:rFonts w:ascii="Times New Roman" w:hAnsi="Times New Roman"/>
          <w:b/>
          <w:i/>
          <w:sz w:val="20"/>
        </w:rPr>
      </w:pPr>
      <w:r>
        <w:rPr>
          <w:rFonts w:ascii="Times New Roman" w:hAnsi="Times New Roman"/>
          <w:b/>
          <w:i/>
          <w:sz w:val="20"/>
        </w:rPr>
        <w:t xml:space="preserve">The Outstanding Notes are subject to transfer restrictions. </w:t>
      </w:r>
    </w:p>
    <w:p>
      <w:pPr>
        <w:pStyle w:val="TextBody"/>
        <w:bidi w:val="0"/>
        <w:spacing w:before="120" w:after="0"/>
        <w:jc w:val="left"/>
        <w:rPr>
          <w:rFonts w:ascii="Times New Roman" w:hAnsi="Times New Roman"/>
          <w:sz w:val="20"/>
        </w:rPr>
      </w:pPr>
      <w:r>
        <w:rPr>
          <w:rFonts w:ascii="Times New Roman" w:hAnsi="Times New Roman"/>
          <w:sz w:val="20"/>
        </w:rPr>
        <w:t xml:space="preserve">The Exchange Notes will be registered pursuant to a registration statement filed with the SEC of which this prospectus forms a part. On the other hand, we have not registered the Outstanding Notes under the Securities Act. Consequently, the Outstanding Notes may not be offered or sold in the United States unless they are registered or transferred pursuant to an exemption from registration under the Securities Act. As a result, holders of the Outstanding Notes who do not participate in the Exchange Offer will face additional restrictions on the resale of their Outstanding Notes as compared to the Exchange Notes, and such holders may not be able to sell their Outstanding Notes at the time they wish or at prices acceptable to them. In addition, we do not currently anticipate that we will register the Outstanding Notes under the Securities Act and, if you are eligible to exchange your Outstanding Notes in the Exchange Offer and do not exchange your Outstanding Notes in the Exchange Offer, you will no longer be entitled to have those Outstanding Notes registered under the Securities Act pursuant to the registration rights agreement, subject to limited exceptions.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liquidity of any trading markets that currently exist for the Outstanding Notes may be adversely affected by the Exchange Offer, and holders who fail to participate in the Exchange Offer may find it more difficult to sell their Outstanding Notes after the Exchange Offer is completed. </w:t>
      </w:r>
    </w:p>
    <w:p>
      <w:pPr>
        <w:pStyle w:val="TextBody"/>
        <w:bidi w:val="0"/>
        <w:spacing w:before="120" w:after="0"/>
        <w:jc w:val="left"/>
        <w:rPr>
          <w:rFonts w:ascii="Times New Roman" w:hAnsi="Times New Roman"/>
          <w:sz w:val="20"/>
        </w:rPr>
      </w:pPr>
      <w:r>
        <w:rPr>
          <w:rFonts w:ascii="Times New Roman" w:hAnsi="Times New Roman"/>
          <w:sz w:val="20"/>
        </w:rPr>
        <w:t xml:space="preserve">To the extent tenders of Outstanding Notes for exchange in the Exchange Offer are accepted by us and the Exchange Offer is completed, the trading markets for the Outstanding Notes that remain outstanding following the completion of the Exchange Offer may be significantly more limited. The remaining Outstanding Notes may command lower prices than comparable issues of securities with greater market liquidity and, if they currently qualify for inclusion in certain indices, may no longer qualify for inclusion. Reduced market values and reduced liquidity may also make the trading prices of the remaining Outstanding Notes more volatile. As a result, the market prices for the Outstanding Notes that remain outstanding after the completion of the Exchange Offer may be adversely affected as a result of the Exchange Offer.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Relating to Participation in the Exchange Offer </w:t>
      </w:r>
    </w:p>
    <w:p>
      <w:pPr>
        <w:pStyle w:val="TextBody"/>
        <w:bidi w:val="0"/>
        <w:spacing w:before="120" w:after="0"/>
        <w:jc w:val="left"/>
        <w:rPr>
          <w:rFonts w:ascii="Times New Roman" w:hAnsi="Times New Roman"/>
          <w:b/>
          <w:i/>
          <w:sz w:val="20"/>
        </w:rPr>
      </w:pPr>
      <w:r>
        <w:rPr>
          <w:rFonts w:ascii="Times New Roman" w:hAnsi="Times New Roman"/>
          <w:b/>
          <w:i/>
          <w:sz w:val="20"/>
        </w:rPr>
        <w:t xml:space="preserve">The Exchange Offer may be cancelled or delayed. </w:t>
      </w:r>
    </w:p>
    <w:p>
      <w:pPr>
        <w:pStyle w:val="TextBody"/>
        <w:bidi w:val="0"/>
        <w:spacing w:before="120" w:after="0"/>
        <w:jc w:val="left"/>
        <w:rPr>
          <w:rFonts w:ascii="Times New Roman" w:hAnsi="Times New Roman"/>
          <w:sz w:val="20"/>
        </w:rPr>
      </w:pPr>
      <w:r>
        <w:rPr>
          <w:rFonts w:ascii="Times New Roman" w:hAnsi="Times New Roman"/>
          <w:sz w:val="20"/>
        </w:rPr>
        <w:t xml:space="preserve">The consummation of the Exchange Offer is subject to, and conditional upon, the satisfaction or waiver of the conditions discussed under “The Exchange Offer—Conditions to the Exchange Offer.” We may, at our option and in our sole discretion, waive any such conditions. Even if the Exchange Offer is completed, the Exchange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Offer may not be completed on the schedule described in this prospectus. Accordingly, holders participating in the Exchange Offer may have to wait longer than expected to receive their Exchange Notes, during which time such holders will not be able to effect transfers of their Outstanding Notes tendered for exchange. </w:t>
      </w:r>
    </w:p>
    <w:p>
      <w:pPr>
        <w:pStyle w:val="TextBody"/>
        <w:bidi w:val="0"/>
        <w:spacing w:before="360" w:after="0"/>
        <w:jc w:val="left"/>
        <w:rPr>
          <w:rFonts w:ascii="Times New Roman" w:hAnsi="Times New Roman"/>
          <w:b/>
          <w:i/>
          <w:sz w:val="20"/>
        </w:rPr>
      </w:pPr>
      <w:r>
        <w:rPr>
          <w:rFonts w:ascii="Times New Roman" w:hAnsi="Times New Roman"/>
          <w:b/>
          <w:i/>
          <w:sz w:val="20"/>
        </w:rPr>
        <w:t xml:space="preserve">Your tender of Outstanding Notes may not be accepted if you do not follow the applicable procedures for the Exchange Offer. </w:t>
      </w:r>
    </w:p>
    <w:p>
      <w:pPr>
        <w:pStyle w:val="TextBody"/>
        <w:bidi w:val="0"/>
        <w:spacing w:before="120" w:after="0"/>
        <w:jc w:val="left"/>
        <w:rPr>
          <w:rFonts w:ascii="Times New Roman" w:hAnsi="Times New Roman"/>
          <w:sz w:val="20"/>
        </w:rPr>
      </w:pPr>
      <w:r>
        <w:rPr>
          <w:rFonts w:ascii="Times New Roman" w:hAnsi="Times New Roman"/>
          <w:sz w:val="20"/>
        </w:rPr>
        <w:t xml:space="preserve">We will exchange the Exchange Notes for Outstanding Notes only if Outstanding Notes are in fact validly tendered and properly completed documentation for the Exchange Offer is delivered along with such tender, and if such Outstanding Notes are furthermore accepted for exchange pursuant to the Exchange Offer. Holders of Outstanding Notes are responsible for complying with all of the applicable procedures for tendering Outstanding Notes for exchange. If the instructions are not strictly complied with, the tender of Outstanding Notes may be rejected. See “The Exchange Offer—Procedures for Tendering Outstanding Notes” for a description of the procedures to be followed to tender Outstanding Notes. </w:t>
      </w:r>
    </w:p>
    <w:p>
      <w:pPr>
        <w:pStyle w:val="TextBody"/>
        <w:bidi w:val="0"/>
        <w:spacing w:before="240" w:after="0"/>
        <w:jc w:val="left"/>
        <w:rPr>
          <w:rFonts w:ascii="Times New Roman" w:hAnsi="Times New Roman"/>
          <w:sz w:val="20"/>
        </w:rPr>
      </w:pPr>
      <w:r>
        <w:rPr>
          <w:rFonts w:ascii="Times New Roman" w:hAnsi="Times New Roman"/>
          <w:sz w:val="20"/>
        </w:rPr>
        <w:t xml:space="preserve">You should allow sufficient time to ensure delivery of the necessary documents. None of Broadcom, the Exchange Agent or any other person is under any duty to notify you of defects or irregularities with respect to the tenders of Outstanding Notes for exchange.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you are a broker-dealer or participating in a distribution of the Exchange Notes, you may be required to deliver prospectuses and comply with other requirements. </w:t>
      </w:r>
    </w:p>
    <w:p>
      <w:pPr>
        <w:pStyle w:val="TextBody"/>
        <w:bidi w:val="0"/>
        <w:spacing w:before="120" w:after="0"/>
        <w:jc w:val="left"/>
        <w:rPr>
          <w:rFonts w:ascii="Times New Roman" w:hAnsi="Times New Roman"/>
          <w:sz w:val="20"/>
        </w:rPr>
      </w:pPr>
      <w:r>
        <w:rPr>
          <w:rFonts w:ascii="Times New Roman" w:hAnsi="Times New Roman"/>
          <w:sz w:val="20"/>
        </w:rPr>
        <w:t xml:space="preserve">If you exchange your Outstanding Notes in the Exchange Offer for the purpose of participating in a distribution of the Exchange Notes, you may be deemed to have received restricted securities and, if so, you will be required to comply with the registration and prospectus delivery requirements of the Securities Act in connection with any resale transaction. In addition, a broker-dealer that purchased Outstanding Notes for its own account as part of market-making activities or trading activities must deliver a prospectus when it sells the Exchange Notes it receives in exchange for Outstanding Notes in the Exchange Offer. Our obligation to keep the registration statement, of which this prospectus forms a part, effective is limited. Accordingly, we cannot guarantee that a current prospectus will be available at all times to broker-dealers wishing to resell their Exchange Notes.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Relating to the Exchange Notes </w:t>
      </w:r>
    </w:p>
    <w:p>
      <w:pPr>
        <w:pStyle w:val="TextBody"/>
        <w:bidi w:val="0"/>
        <w:spacing w:before="120" w:after="0"/>
        <w:jc w:val="left"/>
        <w:rPr>
          <w:rFonts w:ascii="Times New Roman" w:hAnsi="Times New Roman"/>
          <w:b/>
          <w:i/>
          <w:sz w:val="20"/>
        </w:rPr>
      </w:pPr>
      <w:r>
        <w:rPr>
          <w:rFonts w:ascii="Times New Roman" w:hAnsi="Times New Roman"/>
          <w:b/>
          <w:i/>
          <w:sz w:val="20"/>
        </w:rPr>
        <w:t xml:space="preserve">Our substantial indebtedness could adversely affect our financial health, our ability to execute our business strategy and our ability to fulfill our obligations under the Exchange Notes. </w:t>
      </w:r>
    </w:p>
    <w:p>
      <w:pPr>
        <w:pStyle w:val="TextBody"/>
        <w:bidi w:val="0"/>
        <w:spacing w:before="120" w:after="0"/>
        <w:jc w:val="left"/>
        <w:rPr>
          <w:rFonts w:ascii="Times New Roman" w:hAnsi="Times New Roman"/>
          <w:sz w:val="20"/>
        </w:rPr>
      </w:pPr>
      <w:r>
        <w:rPr>
          <w:rFonts w:ascii="Times New Roman" w:hAnsi="Times New Roman"/>
          <w:sz w:val="20"/>
        </w:rPr>
        <w:t xml:space="preserve">From time to time, we require significant expenditures to support our growth and respond to business challenges, and as a result we have additional cash requirements to support the payment of interest on our outstanding indebtedness. We have outstanding indebtedness and other financial obligations, including a backstop, and significant unused borrowing capacity under our revolving credit facility. As of August 2, 2026, (i) the Issuer had approximately $55,796 million aggregate principal amount of indebtedness for borrowed money, and (ii) the Issuer’s subsidiaries had approximately $5,283 million aggregate principal amount of unsecured indebtedness for borrowed money outstanding (excluding intercompany indebtedness), of which $777 million is guaranteed by the Issuer, and all of which indebtedness for borrowed money of such subsidiaries would be structurally senior to the Exchange Notes with respect to claims on the assets and cash flows of the Issuer’s subsidiaries. We may also incur additional indebtedness or enter into other financing arrangements, including backstops or guarantees, in the future. Our substantial existing indebtedness and any incurrence of additional indebtedness in the future and the instruments governing our indebtedness could have important consequences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increasing our vulnerability to adverse general economic and industry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limiting our flexibility in planning for, or reacting to, changes in the economy and the industries in which we operate;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placing us at a competitive disadvantage compared to our competitors with less indebtedness;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making it more difficult to borrow additional funds in the future to fund growth, acquisitions, working capital, capital expenditures and other purposes;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potentially requiring us to dedicate a substantial portion of our cash flow from operations to payments on our indebtedness, thereby reducing the availability of our cash flow to fund our other business needs;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making it more difficult for us to satisfy our financial obligations, including the Issuer’s obligations with respect to the Exchange Notes.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receive debt ratings from the major credit rating agencies in the United States. Factors that may impact our credit ratings include debt levels, backstops or guarantees and other financial obligations, planned asset purchases or sales and near-term and long-term production growth opportunities. Liquidity, asset quality, cost structure, reserve mix and commodity pricing levels could also be considered by the rating agencies. While we are focused on maintaining investment grade ratings from these agencies, we may be unable to do so. Any downgrade in our credit rating or the ratings of our indebtedness, or adverse conditions in the debt capital markets, could: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adversely affect the trading prices of, or markets for, our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increase interest expense under our term facilities;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increase the cost of, and adversely affect our ability to refinance, our existing debt;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adversely affect our ability to raise additional debt.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the current market volatility may adversely impact our ability to manage our debt, including through borrowing at favorable interest rates or due to reduced cash flows.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instruments governing our indebtedness impose certain restrictions on our business. </w:t>
      </w:r>
    </w:p>
    <w:p>
      <w:pPr>
        <w:pStyle w:val="TextBody"/>
        <w:bidi w:val="0"/>
        <w:spacing w:before="120" w:after="0"/>
        <w:jc w:val="left"/>
        <w:rPr>
          <w:rFonts w:ascii="Times New Roman" w:hAnsi="Times New Roman"/>
          <w:sz w:val="20"/>
        </w:rPr>
      </w:pPr>
      <w:r>
        <w:rPr>
          <w:rFonts w:ascii="Times New Roman" w:hAnsi="Times New Roman"/>
          <w:sz w:val="20"/>
        </w:rPr>
        <w:t xml:space="preserve">The instruments governing our indebtedness contain, and the Indenture governing the Exchange Notes contains, certain covenants imposing restrictions on our business. These restrictions may affect our ability to operate our business, to plan for, or react to, changes in the market conditions or our capital needs and may limit our ability to take advantage of potential business opportunities as they arise. The restrictions placed on us include maintenance of an interest coverage ratio and limitations on our ability to incur certain secured debt, enter into certain sale and lease-back transactions and consolidate, merge, sell or otherwise dispose of all or substantially all of our assets. In addition, these instruments contain customary events of default upon the occurrence of which, after any applicable grace period, the indebtedness could be declared immediately due and payable. In such event, we may not have sufficient available cash to repay such debt at the time it becomes due, or be able to refinance such debt on acceptable terms or at all. Any of the foregoing could materially adversely affect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Servicing our debt requires a significant amount of cash, and we may not have sufficient cash flow from our business to pay our substantial debt. </w:t>
      </w:r>
    </w:p>
    <w:p>
      <w:pPr>
        <w:pStyle w:val="TextBody"/>
        <w:bidi w:val="0"/>
        <w:spacing w:before="120" w:after="0"/>
        <w:jc w:val="left"/>
        <w:rPr>
          <w:rFonts w:ascii="Times New Roman" w:hAnsi="Times New Roman"/>
          <w:sz w:val="20"/>
        </w:rPr>
      </w:pPr>
      <w:r>
        <w:rPr>
          <w:rFonts w:ascii="Times New Roman" w:hAnsi="Times New Roman"/>
          <w:sz w:val="20"/>
        </w:rPr>
        <w:t xml:space="preserve">Our ability to make scheduled payments of the principal of, to pay interest on, and to refinance, our debt, depends on our future performance, which is subject to economic, financial, competitive and other factors. Our business may not continue to generate cash flow from operations in the future sufficient to satisfy our obligations under our existing indebtedness, the Exchange Notes, and any future indebtedness we may incur and to make necessary capital expenditures. If we are unable to generate such cash flow, we may be required to adopt one or more alternatives, such as reducing or delaying investments or capital expenditures, selling assets, refinancing or obtaining additional equity capital on terms that may be onerous or highly dilutive. Our ability to refinance our outstanding indebtedness or future indebtedness will depend on the capital markets and our financial condition at such time. We may not be able to engage in any of these activities or engage in these activities on desirable terms when needed, which could result in a default on our indebtedness.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addition, we conduct our operations through our subsidiaries, none of which are or will be guarantors of the Exchange Notes. Accordingly, repayment of our indebtedness, including the Exchange Notes, is dependent on the generation of cash flow by our subsidiaries and their ability to make such cash available to us, by dividend, debt payment or otherwise. Our subsidiaries may not be able to, or may not be permitted to, make distributions to enable us to make payments in respect of our indebtedness, including the Exchange Notes. In the event that we do not receive distributions from our subsidiaries, we may be unable to make required principal and interest payments on our indebtedness, including the Exchange Notes.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Claims of holders of the Exchange Notes will be structurally subordinated to claims of creditors of our existing and future subsidiaries. </w:t>
      </w:r>
    </w:p>
    <w:p>
      <w:pPr>
        <w:pStyle w:val="TextBody"/>
        <w:bidi w:val="0"/>
        <w:spacing w:before="120" w:after="0"/>
        <w:jc w:val="left"/>
        <w:rPr>
          <w:rFonts w:ascii="Times New Roman" w:hAnsi="Times New Roman"/>
          <w:sz w:val="20"/>
        </w:rPr>
      </w:pPr>
      <w:r>
        <w:rPr>
          <w:rFonts w:ascii="Times New Roman" w:hAnsi="Times New Roman"/>
          <w:sz w:val="20"/>
        </w:rPr>
        <w:t xml:space="preserve">The Outstanding Notes are not, and the Exchange Notes will not be, guaranteed by any of the Issuer’s subsidiaries. Payments on the Exchange Notes are required to be made only by the Issuer. As a result, no payments are required to be made from assets of the Issuer’s subsidiaries, unless those assets are transferred by dividend or otherwise to the Issuer. In the event that any subsidiary becomes insolvent, liquidates, reorganizes, dissolves or otherwise winds up, holders of its debt and its trade creditors generally will be entitled to payment on their claims from the assets of that subsidiary before any of those assets are made available to the Issuer. Consequently, your claims in respect of the Exchange Notes will be structurally subordinated to all existing and future liabilities and obligations of the Issuer’s subsidiaries. As of August 2, 2026, (i) the Issuer had approximately $55,796 million aggregate principal amount of indebtedness for borrowed money, and (ii) the Issuer’s subsidiaries had approximately $5,283 million aggregate principal amount of unsecured indebtedness for borrowed money outstanding (excluding intercompany indebtedness), of which $777 million is guaranteed by the Issuer, and all of which indebtedness for borrowed money of such subsidiaries would be structurally senior to the Exchange Notes with respect to claims on the assets and cash flows of the Issuer’s subsidiaries. </w:t>
      </w:r>
    </w:p>
    <w:p>
      <w:pPr>
        <w:pStyle w:val="TextBody"/>
        <w:bidi w:val="0"/>
        <w:spacing w:before="240" w:after="0"/>
        <w:jc w:val="left"/>
        <w:rPr>
          <w:rFonts w:ascii="Times New Roman" w:hAnsi="Times New Roman"/>
          <w:sz w:val="20"/>
        </w:rPr>
      </w:pPr>
      <w:r>
        <w:rPr>
          <w:rFonts w:ascii="Times New Roman" w:hAnsi="Times New Roman"/>
          <w:sz w:val="20"/>
        </w:rPr>
        <w:t xml:space="preserve">Since the Exchange Notes will not be guaranteed, no holder of the Exchange Notes will have a claim as a creditor against any of the Issuer’s subsidiaries, and the indebtedness and other liabilities, including trade payables and preferred stock, if any, whether secured or unsecured, of the Issuer’s subsidiaries will be structurally senior to the claim of any holders of the Exchange Notes.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not be able to repurchase the Exchange Notes upon a Change of Control Triggering Event. </w:t>
      </w:r>
    </w:p>
    <w:p>
      <w:pPr>
        <w:pStyle w:val="TextBody"/>
        <w:bidi w:val="0"/>
        <w:spacing w:before="120" w:after="0"/>
        <w:jc w:val="left"/>
        <w:rPr>
          <w:rFonts w:ascii="Times New Roman" w:hAnsi="Times New Roman"/>
          <w:sz w:val="20"/>
        </w:rPr>
      </w:pPr>
      <w:r>
        <w:rPr>
          <w:rFonts w:ascii="Times New Roman" w:hAnsi="Times New Roman"/>
          <w:sz w:val="20"/>
        </w:rPr>
        <w:t xml:space="preserve">Upon the occurrence of a Change of Control Triggering Event (as defined under “Description of Exchange Notes—Purchase of Notes upon a Change of Control Triggering Event”), unless the Issuer has exercised its option to redeem the Exchange Notes as described below under “Description of Exchange Notes—Optional Redemption,” each holder of Exchange Notes will have the right to require that the Issuer purchase all or a portion (equal to a minimum of $2,000 or an integral multiple of $1,000 in excess thereof) of such holder’s Exchange Notes, at a purchase price equal to 101% of the aggregate principal amount thereof plus accrued and unpaid interest, if any, to, but excluding, the date of purchase, subject to the rights of holders of Exchange Notes on the relevant record date to receive interest due on the relevant interest payment date. See “Description of Exchange Notes—Purchase of Notes upon a Change of Control Triggering Event.” </w:t>
      </w:r>
    </w:p>
    <w:p>
      <w:pPr>
        <w:pStyle w:val="TextBody"/>
        <w:bidi w:val="0"/>
        <w:spacing w:before="240" w:after="0"/>
        <w:jc w:val="left"/>
        <w:rPr>
          <w:rFonts w:ascii="Times New Roman" w:hAnsi="Times New Roman"/>
          <w:sz w:val="20"/>
        </w:rPr>
      </w:pPr>
      <w:r>
        <w:rPr>
          <w:rFonts w:ascii="Times New Roman" w:hAnsi="Times New Roman"/>
          <w:sz w:val="20"/>
        </w:rPr>
        <w:t xml:space="preserve">The source of funds for any purchase of the Exchange Notes will be the Issuer’s available cash or cash generated from its subsidiaries’ operations or other sources, including borrowings, sales of assets or sales of equity. The Issuer may not be able to repurchase the Exchange Notes upon a Change of Control Triggering Event because it may not have sufficient financial resources to purchase all of the Exchange Notes that are tendered upon a Change of Control Triggering Event. Further, the Issuer may be contractually restricted under the terms of other debt we may incur in the future from repurchasing all of the Exchange Notes tendered by holders upon a Change of Control Triggering Event. Accordingly, the Issuer may not be able to satisfy its obligation to purchase the Exchange Notes unless we are able to refinance or obtain waivers under such other indebtedness. Such failure to repurchase any tendered Exchange Notes upon a Change of Control (as defined under “Description of Exchange Notes—Purchase of Notes upon a Change of Control Triggering Event”) would cause a default 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Indenture governing the Exchange Notes and may cause a default under other debt agreements governing our other indebtedness, including our other indentures and credit agreements. Any transaction causing the occurrence of a Change of Control Triggering Event may also require us to offer to repurchase or repay our other indebtedness pursuant to similar provisions in our other debt agreements, including our indentures, and any of our future debt agreements may contain similar provisions.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Holders of the Exchange Notes may not be able to determine when a Change of Control giving rise to their right to have the Exchange Notes repurchased has occurred following a sale of “substantially all” of the assets of Broadcom. </w:t>
      </w:r>
    </w:p>
    <w:p>
      <w:pPr>
        <w:pStyle w:val="TextBody"/>
        <w:bidi w:val="0"/>
        <w:spacing w:before="120" w:after="0"/>
        <w:jc w:val="left"/>
        <w:rPr>
          <w:rFonts w:ascii="Times New Roman" w:hAnsi="Times New Roman"/>
          <w:sz w:val="20"/>
        </w:rPr>
      </w:pPr>
      <w:r>
        <w:rPr>
          <w:rFonts w:ascii="Times New Roman" w:hAnsi="Times New Roman"/>
          <w:sz w:val="20"/>
        </w:rPr>
        <w:t xml:space="preserve">The phrase “all or substantially all,” as used with respect to our assets in the definition of “Change of Control,” is subject to interpretation under applicable state law, and its applicability in a given instance would depend upon the facts and circumstances. There is a limited body of case law interpreting the phrase “substantially all,” and there is no precise established definition of the phrase under applicable law. Accordingly, the applicability of the requirement that the Issuer offer to repurchase the Exchange Notes as a result of a sale, transfer, conveyance or other disposition of less than all of its assets and the assets of its subsidiaries, taken as a whole, to another person may be uncertain. In addition, some important corporate events, such as leveraged recapitalizations or the sale of the Issuer to a public company that does not have a majority stockholder may not, under the Indenture governing the Exchange Notes, constitute a Change of Control that would require the Issuer to repurchase the Exchange Notes, even though those corporate events could increase the level of our indebtedness or otherwise adversely affect our capital structure, credit ratings or the value of the Exchange Notes. See “Description of Exchange Notes—Purchase of Notes upon a Change of Control Triggering Event.” Similar provisions in our other debt agreements, including our indentures and credit agreements, and in any of our future debt agreements, may present similar risks. </w:t>
      </w:r>
    </w:p>
    <w:p>
      <w:pPr>
        <w:pStyle w:val="TextBody"/>
        <w:bidi w:val="0"/>
        <w:spacing w:before="360" w:after="0"/>
        <w:jc w:val="left"/>
        <w:rPr>
          <w:rFonts w:ascii="Times New Roman" w:hAnsi="Times New Roman"/>
          <w:b/>
          <w:i/>
          <w:sz w:val="20"/>
        </w:rPr>
      </w:pPr>
      <w:r>
        <w:rPr>
          <w:rFonts w:ascii="Times New Roman" w:hAnsi="Times New Roman"/>
          <w:b/>
          <w:i/>
          <w:sz w:val="20"/>
        </w:rPr>
        <w:t xml:space="preserve">An increase in market interest rates could result in a decrease in the relative value of the Exchange Notes. </w:t>
      </w:r>
    </w:p>
    <w:p>
      <w:pPr>
        <w:pStyle w:val="TextBody"/>
        <w:bidi w:val="0"/>
        <w:spacing w:before="120" w:after="0"/>
        <w:jc w:val="left"/>
        <w:rPr>
          <w:rFonts w:ascii="Times New Roman" w:hAnsi="Times New Roman"/>
          <w:sz w:val="20"/>
        </w:rPr>
      </w:pPr>
      <w:r>
        <w:rPr>
          <w:rFonts w:ascii="Times New Roman" w:hAnsi="Times New Roman"/>
          <w:sz w:val="20"/>
        </w:rPr>
        <w:t xml:space="preserve">In general, as market interest rates rise, debt instruments bearing interest at a fixed rate decline in value because the premium over market interest rates, if any, will decline. Consequently, if you exchange your Outstanding Notes in the Exchange Offer and market interest rates increase, the market values of your Exchange Notes may decline. We cannot predict the future level of market interest rates.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credit ratings may not reflect all risks of your investment in the Exchange Notes. </w:t>
      </w:r>
    </w:p>
    <w:p>
      <w:pPr>
        <w:pStyle w:val="TextBody"/>
        <w:bidi w:val="0"/>
        <w:spacing w:before="120" w:after="0"/>
        <w:jc w:val="left"/>
        <w:rPr>
          <w:rFonts w:ascii="Times New Roman" w:hAnsi="Times New Roman"/>
          <w:sz w:val="20"/>
        </w:rPr>
      </w:pPr>
      <w:r>
        <w:rPr>
          <w:rFonts w:ascii="Times New Roman" w:hAnsi="Times New Roman"/>
          <w:sz w:val="20"/>
        </w:rPr>
        <w:t xml:space="preserve">Any credit ratings assigned or that will be assigned to the Exchange Notes are limited in scope, and do not address all material risks relating to an investment in the Exchange Notes, but rather reflect only the view of each rating agency at the time the rating is issued. An explanation of the significance of such rating may be obtained from such rating agency. We cannot assure you that such credit ratings will remain in effect for any given period of time or that a rating will not be lowered, suspended or withdrawn entirely by the applicable rating agencies, if, in such rating agency’s judgment, circumstances so warrant. </w:t>
      </w:r>
    </w:p>
    <w:p>
      <w:pPr>
        <w:pStyle w:val="TextBody"/>
        <w:bidi w:val="0"/>
        <w:spacing w:before="240" w:after="0"/>
        <w:jc w:val="left"/>
        <w:rPr>
          <w:rFonts w:ascii="Times New Roman" w:hAnsi="Times New Roman"/>
          <w:sz w:val="20"/>
        </w:rPr>
      </w:pPr>
      <w:r>
        <w:rPr>
          <w:rFonts w:ascii="Times New Roman" w:hAnsi="Times New Roman"/>
          <w:sz w:val="20"/>
        </w:rPr>
        <w:t xml:space="preserve">Agency credit ratings are not a recommendation to buy, sell or hold any security. Each agency’s rating should be evaluated independently of any other agency’s rating. Actual or anticipated changes or downgrades in our credit ratings, including any announcement that our ratings are under further review for a downgrade, could affect the market value of the Exchange Notes and increase our corporate borrowing costs.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Issuer may choose to redeem some or all of the Exchange Notes prior to maturity. </w:t>
      </w:r>
    </w:p>
    <w:p>
      <w:pPr>
        <w:pStyle w:val="TextBody"/>
        <w:bidi w:val="0"/>
        <w:spacing w:before="120" w:after="0"/>
        <w:jc w:val="left"/>
        <w:rPr>
          <w:rFonts w:ascii="Times New Roman" w:hAnsi="Times New Roman"/>
          <w:sz w:val="20"/>
        </w:rPr>
      </w:pPr>
      <w:r>
        <w:rPr>
          <w:rFonts w:ascii="Times New Roman" w:hAnsi="Times New Roman"/>
          <w:sz w:val="20"/>
        </w:rPr>
        <w:t xml:space="preserve">The Issuer may redeem some or all of the Exchange Notes at any time and from time to time. See “Description of Exchange Notes—Optional Redemption.” Although the Exchange Notes contain provisions designed to compensate you for the lost value of such Exchange Notes if we redeem some or all of such Exchange Notes prior to maturity, such provisions only approximate this lost value and may not adequately compensate you. Furthermore, in the event that certain changes in the tax law of any relevant jurisdiction would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require a non-U.S. Payor (as defined in “Description of Exchange Notes—Additional Amounts”), following the occurrence of a Non-U.S. Domicile Transaction (as defined in “Description of Exchange Notes—Certain Covenants—Limitation on Mergers and Other Transactions”), to make payments of “additional amounts” on the Exchange Notes, the non-U.S. Payor may redeem such Exchange Notes in whole, but not in part, at any time, at a redemption price of 100% of the principal amount, plus accrued and unpaid interest, if any, and additional amounts, if any, to, but excluding, the date of redemption. See “Description of Exchange Notes—Additional Amounts.” Depending on prevailing interest rates at the time of any such redemption, you may not be able to reinvest the redemption proceeds in a comparable security (including with comparable ratings) at an interest rate as high as the interest rate of the Exchange Notes being redeemed or at an interest rate that would otherwise compensate you for any lost value as a result of any redemption of Exchange Notes.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There are limited covenants in the Indenture governing the Exchange Notes. </w:t>
      </w:r>
    </w:p>
    <w:p>
      <w:pPr>
        <w:pStyle w:val="TextBody"/>
        <w:bidi w:val="0"/>
        <w:spacing w:before="120" w:after="0"/>
        <w:jc w:val="left"/>
        <w:rPr>
          <w:rFonts w:ascii="Times New Roman" w:hAnsi="Times New Roman"/>
          <w:sz w:val="20"/>
        </w:rPr>
      </w:pPr>
      <w:r>
        <w:rPr>
          <w:rFonts w:ascii="Times New Roman" w:hAnsi="Times New Roman"/>
          <w:sz w:val="20"/>
        </w:rPr>
        <w:t xml:space="preserve">The Indenture governing the Exchange Notes contains limited covenants, including those restricting our ability to incur certain secured debt and engage in certain sale and lease-back transactions. The limitations on incurring secured debt and sale and lease-back transactions contain certain exceptions. In addition, neither we nor any of our subsidiaries are restricted from incurring additional unsecured debt or other liabilities, including additional senior debt, under the Indenture governing the Exchange Notes. If we incur additional debt or liabilities, our ability to pay our obligations on the Exchange Notes could be adversely affected. We expect that we will from time to time incur additional debt and other liabilities. In addition, we are not restricted under the Indenture governing the Exchange Notes from paying dividends or issuing or repurchasing our securities. Further, the Indenture governing the Exchange Notes permits us and our subsidiaries to engage in certain significant corporate events that would not constitute a “change of control” that would require us to make an offer to repurchase the Exchange Notes. There are no financial covenants in the Indenture governing the Exchange Notes. You are not protected under the Indenture governing the Exchange Notes in the event of a highly leveraged transaction, reorganization, default under our existing indebtedness, restructuring, merger or similar transaction that may adversely affect you, except to the extent described under “Description of Exchange Notes—Certain Covenants—Limitation on Mergers and Other Transactions.”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trading prices of the Exchange Notes may be volatile and can be directly affected by many factors, including our credit rating. </w:t>
      </w:r>
    </w:p>
    <w:p>
      <w:pPr>
        <w:pStyle w:val="TextBody"/>
        <w:bidi w:val="0"/>
        <w:spacing w:before="120" w:after="0"/>
        <w:jc w:val="left"/>
        <w:rPr>
          <w:rFonts w:ascii="Times New Roman" w:hAnsi="Times New Roman"/>
          <w:sz w:val="20"/>
        </w:rPr>
      </w:pPr>
      <w:r>
        <w:rPr>
          <w:rFonts w:ascii="Times New Roman" w:hAnsi="Times New Roman"/>
          <w:sz w:val="20"/>
        </w:rPr>
        <w:t xml:space="preserve">To the extent trading markets for the Exchange Notes develop, the trading prices of the Exchange Notes could be subject to significant fluctuation in response to, among other factors, changes in our operating results and financial metrics, interest rates, the market for debt securities, general economic conditions and securities analysts’ recommendations, if any, regarding our securities. Credit rating agencies continually revise their ratings for companies they follow, including us. Any ratings downgrade could adversely affect the trading prices of the Exchange Notes, or the trading market for the Exchange Notes, to the extent a trading market for the Exchange Notes develops. The condition of the financial and credit markets and prevailing interest rates have fluctuated in the past and are likely to fluctuate in the future and any fluctuation may impact the trading prices of the Exchange Notes.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not be able to refinance our indebtedness on favorable terms, if at all. Our inability to refinance our indebtedness, including the Exchange Notes, could materially and adversely affect our liquidity and our ongoing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Our ability to refinance our indebtedness will depend in part on our operating and financial performance, which, in turn, is subject to prevailing economic conditions and to financial, business, legislative, regulatory and other factors beyond our control. In addition, prevailing interest rates or other factors at the time of refinancing could increase our interest expense. A refinancing of our indebtedness could also require us to comply with more onerous covenants than the covenants to which we are presently subject and restrict our business operations. Our inability to refinance our indebtedness or to do so upon attractive terms could materially and adversely affect our business, prospects, results of operations, financial condition and cash flows, and make us more vulnerable to adverse industry and general economic conditions.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 w:name="tx154803_5"/>
      <w:bookmarkEnd w:id="7"/>
      <w:r>
        <w:rPr>
          <w:rFonts w:ascii="Times New Roman" w:hAnsi="Times New Roman"/>
          <w:b/>
          <w:sz w:val="20"/>
        </w:rPr>
        <w:t xml:space="preserve">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any free writing prospectus and the documents incorporated by reference into this prospectus may contain forward-looking statements (including within the meaning of Section 21E of the Exchange Act, and Section 27A of the Securities Act) concerning Broadcom. These statements include, but are not limited to, statements that address our expected future business and financial performance and other statements identified by words such as “will,” “expect,” “believe,” “anticipate,” “estimate,” “should,” “intend,” “plan,” “potential,” “predict,” “project,” “aim,” and similar words, phrases or expressions. These forward-looking statements are based on current expectations and beliefs of Broadcom’s management, current information available to Broadcom’s management, and current market trends and market conditions, and involve risks and uncertainties that may cause actual results to differ materially from those contained in forward-looking statements. Accordingly, we caution you not to place undue reliance on these statements. </w:t>
      </w:r>
    </w:p>
    <w:p>
      <w:pPr>
        <w:pStyle w:val="TextBody"/>
        <w:bidi w:val="0"/>
        <w:spacing w:before="240" w:after="0"/>
        <w:jc w:val="left"/>
        <w:rPr>
          <w:rFonts w:ascii="Times New Roman" w:hAnsi="Times New Roman"/>
          <w:sz w:val="20"/>
        </w:rPr>
      </w:pPr>
      <w:r>
        <w:rPr>
          <w:rFonts w:ascii="Times New Roman" w:hAnsi="Times New Roman"/>
          <w:sz w:val="20"/>
        </w:rPr>
        <w:t xml:space="preserve">Particular uncertainties that could materially affect future results include risks associated with: global economic conditions and uncertainty; government regulations, trade restrictions and trade tensions; global political and economic conditions relating to our international operations; cyclicality in the semiconductor industry undergoing profound change due to AI; any loss of our significant customers and fluctuations in the timing and volume of significant customer demand; the slow or unsuccessful return on our research and development investments, expansion of our business strategy or adoption of new business models; our dependence on contract manufacturing and outsourced supply chain; our dependency on a limited number of suppliers; our ability to continue winning business in the semiconductor solutions industry; our ability to accurately estimate customers’ demand and adjust our manufacturing and supply chain accordingly; dependence on senior management and our ability to attract and retain qualified personnel; our ability to maintain or improve gross margin; our ability to protect against cybersecurity threats and a breach of security systems; prolonged disruptions of our, our customers’ or our suppliers’ facilities or other significant operations; our ability to maintain appropriate manufacturing capacity and quality; dependence on and risks associated with distributors and other channel partners of our products; ability of our software portfolio to manage and secure IT infrastructures and environments; demand for our data center virtualization products and customer acceptance of our software, services and business strategy; competitiveness of our software solutions and compatibility of our software with operating environments, platforms or third-party products; our ability to enter into satisfactory software license agreements; use of open source software in our software and services; sales to government customers; our ability to manage our software solutions and services lifecycles; our competitive performance; quarterly and annual fluctuations in operating results; any acquisitions or dispositions we may make, such as delays, challenges and expenses associated with receiving governmental and regulatory approvals and satisfying other closing conditions, and with integrating acquired businesses with our existing businesses and our ability to achieve the benefits, growth prospects and synergies expected by such acquisitions; involvement in legal proceedings; our ability to protect our intellectual property and the unpredictability of any associated litigation expenses; any expenses or reputational damage associated with resolving customer product warranty and indemnification claims, or other undetected defects or bugs; our compliance with privacy and data security laws; corporate responsibility matters; our provision for income taxes and overall cash tax costs; our ability to maintain tax concessions in certain jurisdictions; potential tax liabilities as a result of acquiring VMware; our significant indebtedness and the need to generate sufficient cash flows to service and repay such debt; the amount and frequency of our share repurchase program; and other events and trends on a national, regional, industry-specific and global scale, including those of a political, economic, business, competitive and regulatory nature. </w:t>
      </w:r>
    </w:p>
    <w:p>
      <w:pPr>
        <w:pStyle w:val="TextBody"/>
        <w:bidi w:val="0"/>
        <w:spacing w:before="240" w:after="0"/>
        <w:jc w:val="left"/>
        <w:rPr>
          <w:rFonts w:ascii="Times New Roman" w:hAnsi="Times New Roman"/>
          <w:sz w:val="20"/>
        </w:rPr>
      </w:pPr>
      <w:r>
        <w:rPr>
          <w:rFonts w:ascii="Times New Roman" w:hAnsi="Times New Roman"/>
          <w:sz w:val="20"/>
        </w:rPr>
        <w:t xml:space="preserve">All forward-looking statements are qualified in their entirety by reference to the factors discussed under the heading “Risk Factors” in this prospectus and under similar headings in our other filings with the SEC that are incorporated by reference in this prospectus. We caution you that the foregoing list of important factors may not contain all of the material factors that are important to you. In addition, in light of these risks and uncertainties, the matters referred to in the forward-looking statements contained in this prospectus or incorporated by reference into this prospectus may not in fact occur. We undertake no intent or obligation to publicly update or revise any forward-looking statement, whether as a result of new information, future events or otherwise, except as required by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 w:name="tx154803_6"/>
      <w:bookmarkEnd w:id="8"/>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Broadcom will not receive any cash proceeds from the issuance of the Exchange Notes pursuant to the Exchange Offer. The Outstanding Notes surrendered in exchange for the Exchange Notes will be retired and cancelled and cannot be reissued. Accordingly, the issuance of the Exchange Notes will not result in any increase in our indebtedness.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 w:name="tx154803_7"/>
      <w:bookmarkEnd w:id="9"/>
      <w:r>
        <w:rPr>
          <w:rFonts w:ascii="Times New Roman" w:hAnsi="Times New Roman"/>
          <w:b/>
          <w:sz w:val="20"/>
        </w:rPr>
        <w:t xml:space="preserve">THE EXCHANGE OFFER </w:t>
      </w:r>
    </w:p>
    <w:p>
      <w:pPr>
        <w:pStyle w:val="TextBody"/>
        <w:bidi w:val="0"/>
        <w:spacing w:before="24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We are offering to exchange a like principal amount of Exchange Notes for any or all Outstanding Notes on the terms and subject to the conditions set forth in this prospectus. We refer to the offer as the “Exchange Offer.” You may tender some or all of your Outstanding Notes pursuant to the Exchange Offer, in permitted denominations. </w:t>
      </w:r>
    </w:p>
    <w:p>
      <w:pPr>
        <w:pStyle w:val="TextBody"/>
        <w:bidi w:val="0"/>
        <w:spacing w:before="240" w:after="0"/>
        <w:jc w:val="left"/>
        <w:rPr>
          <w:rFonts w:ascii="Times New Roman" w:hAnsi="Times New Roman"/>
          <w:sz w:val="20"/>
        </w:rPr>
      </w:pPr>
      <w:r>
        <w:rPr>
          <w:rFonts w:ascii="Times New Roman" w:hAnsi="Times New Roman"/>
          <w:sz w:val="20"/>
        </w:rPr>
        <w:t xml:space="preserve">As of the date of this prospectus, $654,004,000 4.926% Senior Notes due 2037 are outstanding. This prospectus is first being sent to all registered holders of Outstanding Notes known to us on or about    , 2026. Our obligation to accept Outstanding Notes for exchange pursuant to the Exchange Offer is subject to the satisfaction or waiver of certain conditions set forth under “—Conditions to the Exchange Offer” below. We anticipate that each of the conditions will be satisfied and that no waivers will be necessary. </w:t>
      </w:r>
    </w:p>
    <w:p>
      <w:pPr>
        <w:pStyle w:val="TextBody"/>
        <w:bidi w:val="0"/>
        <w:spacing w:before="360" w:after="0"/>
        <w:jc w:val="left"/>
        <w:rPr>
          <w:rFonts w:ascii="Times New Roman" w:hAnsi="Times New Roman"/>
          <w:b/>
          <w:sz w:val="20"/>
        </w:rPr>
      </w:pPr>
      <w:r>
        <w:rPr>
          <w:rFonts w:ascii="Times New Roman" w:hAnsi="Times New Roman"/>
          <w:b/>
          <w:sz w:val="20"/>
        </w:rPr>
        <w:t xml:space="preserve">Purpose and Effect of the Exchange Offer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private exchange offer with respect to the Outstanding Notes, we entered into a registration rights agreement with the dealer managers in which we agreed, under certain circumstances, to file a registration statement relating to an offer to exchange the Outstanding Notes for Exchange Notes. Pursuant to the registration rights agreement, we agreed to use our commercially reasonable efforts to cause the registration statement of which this prospectus forms a part to become effective and to cause the Exchange Offer to be consummated upon the terms and subject to the conditions set forth in the registration rights agreement. The form and terms of the Exchange Notes will be identical in all material respects to the form and terms of the Outstanding Notes, except that the offer and sale of the Exchange Notes will be registered under the Securities Act, and the Exchange Notes will not contain terms with respect to transfer restrictions, registration rights and additional payments upon a failure to fulfill certain of our obligations under the registration rights agreement. The Exchange Notes will be issued under and entitled to the benefits of the Indenture that authorized the issuance of the Outstanding Notes. For a description of the Indenture, see “Description of Exchange Notes.” </w:t>
      </w:r>
    </w:p>
    <w:p>
      <w:pPr>
        <w:pStyle w:val="TextBody"/>
        <w:bidi w:val="0"/>
        <w:spacing w:before="360" w:after="0"/>
        <w:jc w:val="left"/>
        <w:rPr>
          <w:rFonts w:ascii="Times New Roman" w:hAnsi="Times New Roman"/>
          <w:b/>
          <w:sz w:val="20"/>
        </w:rPr>
      </w:pPr>
      <w:r>
        <w:rPr>
          <w:rFonts w:ascii="Times New Roman" w:hAnsi="Times New Roman"/>
          <w:b/>
          <w:sz w:val="20"/>
        </w:rPr>
        <w:t xml:space="preserve">Registration Rights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description of the registration rights agreement is only a brief summary of the agreement. It does not purport to be complete and is qualified in its entirety by reference to all of the terms, conditions and provisions of the registration rights agreement. For further information, please refer to the registration rights agreement listed in the exhibit index in the registration statement of which this prospectus forms a part.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registration rights agreement and under the circumstances set forth below, we agreed to use our commercially reasonable efforts to cause the SEC to declare effective a shelf registration statement with respect to the resale of the Outstanding Notes within the time periods specified in the registration rights agreement and to keep the shelf registration statement effective until the earliest to occur of the following: (1) when a registration statement with respect to the Outstanding Notes has become effective and such Outstanding Notes have been exchanged or disposed of pursuant to such registration statement, (2) when the Outstanding Notes cease to be outstanding, or (3) the date that is five years from the closing date of the sale of the Outstanding Notes to the dealer managers. These circumstances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interpretations of the staff of the SEC do not permit us to effect the Exchange Offer;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for any other reason, we do not consummate the Exchange Offer on or before April 18, 2027, as applicable;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 dealer manager of the Outstanding Notes notifies us following consummation of the Exchange Offer that Outstanding Notes held by it are not eligible to be exchanged for Exchange Notes in the Exchange Offer; 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certain holders are prohibited by law or SEC policy from participating in the Exchange Offer or may not resell the Exchange Notes acquired by them in the Exchange Offer to the public without delivering a prospectus.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we fail to comply with specified obligations under the registration rights agreement, we will be required to pay additional interest to holders of the Outstanding Notes. Such additional interest will generally be required to be paid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fail to consummate the Exchange Offer on or before April 18, 2027;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required to file a shelf registration statement, and we fail to file the shelf registration statement with the SEC on or before the 90th day after the date on which the shelf registration statement is required to be filed;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after the registration statement of which this prospectus forms a part or the shelf registration statement, as the case may be, is effective, such registration statement thereafter ceases to be effective or usable (subject to certain exceptions).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Each tendering holder of Outstanding Notes will represent, among other things,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it is not an affiliate of ours or, if an affiliate of ours, will comply with the registration and prospectus delivery requirements of the Securities Act to the extent applicable in connection with the resale of the Exchange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Exchange Notes will be acquired in the ordinary course of its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it is not participating, does not intend to participate, and has no arrangement or understanding with anyone to participate, in the distribution (within the meaning of the Securities Act) of the Exchange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it is not a broker-dealer that purchased any of the Outstanding Notes from us for resale pursuant to Rule 144A or any other available exemption under the Securities Act;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such holder is a broker-dealer that will receive Exchange Notes for its own account in exchange for Outstanding Notes that were acquired as a result of market-making activities or other trading activities, that it will deliver a prospectus (or to the extent permitted by law, make available a prospectus to purchasers) in connection with any resale of such Exchange Notes. See “Plan of Distribution.”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Terms of the Exchange Offer </w:t>
      </w:r>
    </w:p>
    <w:p>
      <w:pPr>
        <w:pStyle w:val="TextBody"/>
        <w:bidi w:val="0"/>
        <w:spacing w:before="120" w:after="0"/>
        <w:jc w:val="left"/>
        <w:rPr>
          <w:rFonts w:ascii="Times New Roman" w:hAnsi="Times New Roman"/>
          <w:sz w:val="20"/>
        </w:rPr>
      </w:pPr>
      <w:r>
        <w:rPr>
          <w:rFonts w:ascii="Times New Roman" w:hAnsi="Times New Roman"/>
          <w:sz w:val="20"/>
        </w:rPr>
        <w:t xml:space="preserve">Upon the terms and subject to the conditions set forth in this prospectus, we will accept for exchange in the Exchange Offer any Outstanding Notes that are validly tendered and not validly withdrawn prior to the Expiration Date. We will issue $2,000 principal amount or an integral multiple of $1,000 in excess thereof of Exchange Notes in exchange for a corresponding principal amount of Outstanding Notes surrendered in the Exchange Offer. In exchange for each outstanding note surrendered in the Exchange Offer, we will issue Exchange Notes with a like principal amount. </w:t>
      </w:r>
    </w:p>
    <w:p>
      <w:pPr>
        <w:pStyle w:val="TextBody"/>
        <w:bidi w:val="0"/>
        <w:spacing w:before="240" w:after="0"/>
        <w:jc w:val="left"/>
        <w:rPr>
          <w:rFonts w:ascii="Times New Roman" w:hAnsi="Times New Roman"/>
          <w:sz w:val="20"/>
        </w:rPr>
      </w:pPr>
      <w:r>
        <w:rPr>
          <w:rFonts w:ascii="Times New Roman" w:hAnsi="Times New Roman"/>
          <w:sz w:val="20"/>
        </w:rPr>
        <w:t xml:space="preserve">The Exchange Offer is not conditioned upon any minimum aggregate principal amount of Outstanding Notes being tendered for exchange. </w:t>
      </w:r>
    </w:p>
    <w:p>
      <w:pPr>
        <w:pStyle w:val="TextBody"/>
        <w:bidi w:val="0"/>
        <w:spacing w:before="240" w:after="0"/>
        <w:jc w:val="left"/>
        <w:rPr>
          <w:rFonts w:ascii="Times New Roman" w:hAnsi="Times New Roman"/>
          <w:sz w:val="20"/>
        </w:rPr>
      </w:pPr>
      <w:r>
        <w:rPr>
          <w:rFonts w:ascii="Times New Roman" w:hAnsi="Times New Roman"/>
          <w:sz w:val="20"/>
        </w:rPr>
        <w:t xml:space="preserve">As of the date of this prospectus, there is outstanding a total of $654,004,000 aggregate principal amount of the Outstanding Notes. This prospectus is being provided to DTC as the registered holder of Outstanding Notes. There will be no fixed record date for determining registered holders of Outstanding Notes entitled to participate in the Exchange Offer. </w:t>
      </w:r>
    </w:p>
    <w:p>
      <w:pPr>
        <w:pStyle w:val="TextBody"/>
        <w:bidi w:val="0"/>
        <w:spacing w:before="240" w:after="0"/>
        <w:jc w:val="left"/>
        <w:rPr>
          <w:rFonts w:ascii="Times New Roman" w:hAnsi="Times New Roman"/>
          <w:sz w:val="20"/>
        </w:rPr>
      </w:pPr>
      <w:r>
        <w:rPr>
          <w:rFonts w:ascii="Times New Roman" w:hAnsi="Times New Roman"/>
          <w:sz w:val="20"/>
        </w:rPr>
        <w:t xml:space="preserve">We intend to conduct the Exchange Offer in accordance with the provisions of the registration rights agreement, the applicable requirements of the Exchange Act, and the rules and regulations of the SEC.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Exchange Offer will remain open for at least 20 business days, or longer if required by applicable law, after the date that we deliver notice of the Exchange Offer to the holders of the Outstanding Notes. </w:t>
      </w:r>
    </w:p>
    <w:p>
      <w:pPr>
        <w:pStyle w:val="TextBody"/>
        <w:bidi w:val="0"/>
        <w:spacing w:before="240" w:after="0"/>
        <w:jc w:val="left"/>
        <w:rPr>
          <w:rFonts w:ascii="Times New Roman" w:hAnsi="Times New Roman"/>
          <w:sz w:val="20"/>
        </w:rPr>
      </w:pPr>
      <w:r>
        <w:rPr>
          <w:rFonts w:ascii="Times New Roman" w:hAnsi="Times New Roman"/>
          <w:sz w:val="20"/>
        </w:rPr>
        <w:t xml:space="preserve">Outstanding Notes that are not tendered for exchange in the Exchange Offer will remain outstanding and continue to accrue interest and be entitled to the rights and benefits that such holders have under the Indenture relating to such holders’ Outstanding Notes and the registration rights agreement, except we will not have any further obligations to provide for the registration of the Outstanding Notes under the registration rights agreement. </w:t>
      </w:r>
    </w:p>
    <w:p>
      <w:pPr>
        <w:pStyle w:val="TextBody"/>
        <w:bidi w:val="0"/>
        <w:spacing w:before="240" w:after="0"/>
        <w:jc w:val="left"/>
        <w:rPr>
          <w:rFonts w:ascii="Times New Roman" w:hAnsi="Times New Roman"/>
          <w:sz w:val="20"/>
        </w:rPr>
      </w:pPr>
      <w:r>
        <w:rPr>
          <w:rFonts w:ascii="Times New Roman" w:hAnsi="Times New Roman"/>
          <w:sz w:val="20"/>
        </w:rPr>
        <w:t xml:space="preserve">We will be deemed to have accepted for exchange properly tendered Outstanding Notes when we have given written notice of the acceptance to the Exchange Agent. The Exchange Agent will act as agent for the tendering holders for the purposes of receiving the Exchange Notes from us and delivering Exchange Notes to holders. Subject to the terms of the registration rights agreement, we expressly reserve the right to amend or terminate the Exchange Offer and to refuse to accept Outstanding Notes for exchange upon the occurrence of any of the conditions specified below under </w:t>
        <w:br/>
        <w:t xml:space="preserve">“—Conditions to the Exchange Offer.” </w:t>
      </w:r>
    </w:p>
    <w:p>
      <w:pPr>
        <w:pStyle w:val="TextBody"/>
        <w:bidi w:val="0"/>
        <w:spacing w:before="240" w:after="0"/>
        <w:jc w:val="left"/>
        <w:rPr>
          <w:rFonts w:ascii="Times New Roman" w:hAnsi="Times New Roman"/>
          <w:sz w:val="20"/>
        </w:rPr>
      </w:pPr>
      <w:r>
        <w:rPr>
          <w:rFonts w:ascii="Times New Roman" w:hAnsi="Times New Roman"/>
          <w:sz w:val="20"/>
        </w:rPr>
        <w:t xml:space="preserve">If you tender your Outstanding Notes in the Exchange Offer, you will not be required to pay brokerage commissions or fees or transfer taxes with respect to the exchange of Outstanding Notes. We will pay all charges and expenses, other than certain applicable taxes described below, in connection with the Exchange Offer. It is important that you read the information under the caption “—Fees and Expenses” below for more details regarding fees and expenses incurred in the Exchange Offer. </w:t>
      </w:r>
    </w:p>
    <w:p>
      <w:pPr>
        <w:pStyle w:val="TextBody"/>
        <w:bidi w:val="0"/>
        <w:spacing w:before="360" w:after="0"/>
        <w:jc w:val="left"/>
        <w:rPr>
          <w:rFonts w:ascii="Times New Roman" w:hAnsi="Times New Roman"/>
          <w:b/>
          <w:sz w:val="20"/>
        </w:rPr>
      </w:pPr>
      <w:r>
        <w:rPr>
          <w:rFonts w:ascii="Times New Roman" w:hAnsi="Times New Roman"/>
          <w:b/>
          <w:sz w:val="20"/>
        </w:rPr>
        <w:t xml:space="preserve">Expiration Date, Extensions, Amendments </w:t>
      </w:r>
    </w:p>
    <w:p>
      <w:pPr>
        <w:pStyle w:val="TextBody"/>
        <w:bidi w:val="0"/>
        <w:spacing w:before="120" w:after="0"/>
        <w:jc w:val="left"/>
        <w:rPr>
          <w:rFonts w:ascii="Times New Roman" w:hAnsi="Times New Roman"/>
          <w:sz w:val="20"/>
        </w:rPr>
      </w:pPr>
      <w:r>
        <w:rPr>
          <w:rFonts w:ascii="Times New Roman" w:hAnsi="Times New Roman"/>
          <w:sz w:val="20"/>
        </w:rPr>
        <w:t xml:space="preserve">As used in this prospectus, the term “Expiration Date” means 5:00 p.m., New York City time, on     , 2026. However, if we, in our sole discretion, extend the period of time for which the Exchange Offer is open, the term “Expiration Date” will mean the latest time and date to which we shall have extended the expiration of such Exchange Offer. </w:t>
      </w:r>
    </w:p>
    <w:p>
      <w:pPr>
        <w:pStyle w:val="TextBody"/>
        <w:bidi w:val="0"/>
        <w:spacing w:before="240" w:after="0"/>
        <w:jc w:val="left"/>
        <w:rPr>
          <w:rFonts w:ascii="Times New Roman" w:hAnsi="Times New Roman"/>
          <w:sz w:val="20"/>
        </w:rPr>
      </w:pPr>
      <w:r>
        <w:rPr>
          <w:rFonts w:ascii="Times New Roman" w:hAnsi="Times New Roman"/>
          <w:sz w:val="20"/>
        </w:rPr>
        <w:t xml:space="preserve">To extend the period of time during which an Exchange Offer is open, we will notify the Exchange Agent of any extension by written notice, followed by notification by press release or other public announcement to the registered holders of the Outstanding Notes no later than 9:00 a.m., New York City time, on the next business day after the previously scheduled Expiration Date. The notification will set forth, among other things, the approximate number of Outstanding Notes tendered to date. </w:t>
      </w:r>
    </w:p>
    <w:p>
      <w:pPr>
        <w:pStyle w:val="TextBody"/>
        <w:bidi w:val="0"/>
        <w:spacing w:before="240" w:after="0"/>
        <w:jc w:val="left"/>
        <w:rPr>
          <w:rFonts w:ascii="Times New Roman" w:hAnsi="Times New Roman"/>
          <w:sz w:val="20"/>
        </w:rPr>
      </w:pPr>
      <w:r>
        <w:rPr>
          <w:rFonts w:ascii="Times New Roman" w:hAnsi="Times New Roman"/>
          <w:sz w:val="20"/>
        </w:rPr>
        <w:t xml:space="preserve">We reserve the right, in our sole discretion: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delay accepting for exchange any Outstanding Notes (only in the case that we amend or extend the Exchange Offer);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extend the Exchange Offer or to terminate the Exchange Offer if any of the conditions set forth below under “—Conditions to the Exchange Offer” have not been satisfied by giving written notice of such delay, extension or termination to the Exchange Agent;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the terms of the registration rights agreement, to amend the terms of the Exchange Offer in any manner. In the event of a material change in the Exchange Offer, including the waiver of a material condition, we will extend the offer period, if necessary, so that at least five business days remain in such offer period following notice of the material change.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delay in acceptance, extension, termination or amendment will be followed as promptly as practicable by written notice to the registered holders of the Outstanding Notes. If we amend the Exchange Offer in a manner that we determine to constitute a material change, we will promptly disclose the amendment in a manner reasonably calculated to inform the holders of applicable Outstanding Notes of that amendment.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Conditions to the Exchange Offer </w:t>
      </w:r>
    </w:p>
    <w:p>
      <w:pPr>
        <w:pStyle w:val="TextBody"/>
        <w:bidi w:val="0"/>
        <w:spacing w:before="120" w:after="0"/>
        <w:jc w:val="left"/>
        <w:rPr>
          <w:rFonts w:ascii="Times New Roman" w:hAnsi="Times New Roman"/>
          <w:sz w:val="20"/>
        </w:rPr>
      </w:pPr>
      <w:r>
        <w:rPr>
          <w:rFonts w:ascii="Times New Roman" w:hAnsi="Times New Roman"/>
          <w:sz w:val="20"/>
        </w:rPr>
        <w:t xml:space="preserve">Despite any other term of the Exchange Offer, we will not be required to accept for exchange, or to issue Exchange Notes in exchange for, any Outstanding Notes, and we may terminate or amend the Exchange Offer as provided in this prospectus prior to the Expiration Date if in our reasonable judgment: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Exchange Offer, or the making of any exchange by a holder violates any applicable law or interpretation of the SEC;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action or proceeding has been instituted or threatened in writing in any court or by or before any governmental agency with respect to the Exchange Offer that, in our judgment, would reasonably be expected to impair our ability to proceed with the Exchange Offer.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we will not be obligated to accept for exchange the Outstanding Notes of any holder that has not made to us: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representations described under “—Procedures for Tendering Outstanding Notes” and “—Acceptance of Exchange Notes” and “Plan of Distribution;”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representations as may be reasonably necessary under applicable SEC rules, regulations, or interpretations to make available to us an appropriate form for registration of the offer and sale of the Exchange Notes under the Securities Act.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expressly reserve the right at any time or at various times to extend the period of time during which the Exchange Offer is open. Consequently, we may delay acceptance of any Outstanding Notes by providing written notice of such extension to their holders, which such notice may be delivered electronically through DTC. We will return any Outstanding Notes that we do not accept for exchange for any reason without expense to their tendering holder promptly after the expiration or termination of the Exchange Offer. </w:t>
      </w:r>
    </w:p>
    <w:p>
      <w:pPr>
        <w:pStyle w:val="TextBody"/>
        <w:bidi w:val="0"/>
        <w:spacing w:before="240" w:after="0"/>
        <w:jc w:val="left"/>
        <w:rPr>
          <w:rFonts w:ascii="Times New Roman" w:hAnsi="Times New Roman"/>
          <w:sz w:val="20"/>
        </w:rPr>
      </w:pPr>
      <w:r>
        <w:rPr>
          <w:rFonts w:ascii="Times New Roman" w:hAnsi="Times New Roman"/>
          <w:sz w:val="20"/>
        </w:rPr>
        <w:t xml:space="preserve">We expressly reserve the right to amend or terminate the Exchange Offer and to reject for exchange any Outstanding Notes not previously accepted for exchange upon the occurrence of any of the conditions of the Exchange Offer specified above. We will give written notice of any extension, amendment, non-acceptance or termination to the Exchange Agent, which notice may be electronic, and holders of the Outstanding Notes as promptly as practicable, which such notice to holders may be delivered electronically through DTC. In the case of any extension, such notice will be issued no later than 9:00 a.m., New York City time, on the next business day after the previously scheduled Expiration Date. </w:t>
      </w:r>
    </w:p>
    <w:p>
      <w:pPr>
        <w:pStyle w:val="TextBody"/>
        <w:bidi w:val="0"/>
        <w:spacing w:before="240" w:after="0"/>
        <w:jc w:val="left"/>
        <w:rPr>
          <w:rFonts w:ascii="Times New Roman" w:hAnsi="Times New Roman"/>
          <w:sz w:val="20"/>
        </w:rPr>
      </w:pPr>
      <w:r>
        <w:rPr>
          <w:rFonts w:ascii="Times New Roman" w:hAnsi="Times New Roman"/>
          <w:sz w:val="20"/>
        </w:rPr>
        <w:t xml:space="preserve">These conditions are for our sole benefit, and we may assert them regardless of the circumstances that may give rise to them or waive them in whole or in part at any or at various times prior to the Expiration Date in our sole discretion. If we fail at any time to exercise any of the foregoing rights, this failure will not constitute a waiver of such right. Each such right will be deemed an ongoing right that we may assert at any time or at various times prior to the Expiration Date. </w:t>
      </w:r>
    </w:p>
    <w:p>
      <w:pPr>
        <w:pStyle w:val="TextBody"/>
        <w:bidi w:val="0"/>
        <w:spacing w:before="240" w:after="0"/>
        <w:jc w:val="left"/>
        <w:rPr>
          <w:rFonts w:ascii="Times New Roman" w:hAnsi="Times New Roman"/>
          <w:sz w:val="20"/>
        </w:rPr>
      </w:pPr>
      <w:r>
        <w:rPr>
          <w:rFonts w:ascii="Times New Roman" w:hAnsi="Times New Roman"/>
          <w:sz w:val="20"/>
        </w:rPr>
        <w:t xml:space="preserve">In addition, we will not accept for exchange any Outstanding Notes tendered, and will not issue Exchange Notes in exchange for any such Outstanding Notes, if at such time any stop order is threatened or in effect with respect to the registration statement of which this prospectus constitutes a part or the qualification of the Indenture under the Trust Indenture Act of 1939, as amended (the “Trust Indenture Act”). </w:t>
      </w:r>
    </w:p>
    <w:p>
      <w:pPr>
        <w:pStyle w:val="TextBody"/>
        <w:bidi w:val="0"/>
        <w:spacing w:before="240" w:after="0"/>
        <w:jc w:val="left"/>
        <w:rPr>
          <w:rFonts w:ascii="Times New Roman" w:hAnsi="Times New Roman"/>
          <w:sz w:val="20"/>
        </w:rPr>
      </w:pPr>
      <w:r>
        <w:rPr>
          <w:rFonts w:ascii="Times New Roman" w:hAnsi="Times New Roman"/>
          <w:sz w:val="20"/>
        </w:rPr>
        <w:t xml:space="preserve">The Exchange Offer is not conditioned upon any minimum aggregate principal amount of the Outstanding Notes being tendered or accepted for exchange. Our obligation to accept Outstanding Notes tendered in the Exchange Offer is subject to the satisfaction or waiver of certain customary conditions. We currently expect that each of the conditions will be satisfied and that no waivers will be necessary.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10" w:name="cov154803_201"/>
      <w:bookmarkEnd w:id="10"/>
      <w:r>
        <w:rPr>
          <w:rFonts w:ascii="Times New Roman" w:hAnsi="Times New Roman"/>
          <w:b/>
          <w:sz w:val="20"/>
        </w:rPr>
        <w:t xml:space="preserve">Procedures for Tendering Outstanding Notes </w:t>
      </w:r>
    </w:p>
    <w:p>
      <w:pPr>
        <w:pStyle w:val="TextBody"/>
        <w:bidi w:val="0"/>
        <w:spacing w:before="120" w:after="0"/>
        <w:jc w:val="left"/>
        <w:rPr>
          <w:rFonts w:ascii="Times New Roman" w:hAnsi="Times New Roman"/>
          <w:i/>
          <w:sz w:val="20"/>
        </w:rPr>
      </w:pPr>
      <w:r>
        <w:rPr>
          <w:rFonts w:ascii="Times New Roman" w:hAnsi="Times New Roman"/>
          <w:i/>
          <w:sz w:val="20"/>
        </w:rPr>
        <w:t xml:space="preserve">What to Submit and How </w:t>
      </w:r>
    </w:p>
    <w:p>
      <w:pPr>
        <w:pStyle w:val="TextBody"/>
        <w:bidi w:val="0"/>
        <w:spacing w:before="120" w:after="0"/>
        <w:jc w:val="left"/>
        <w:rPr>
          <w:rFonts w:ascii="Times New Roman" w:hAnsi="Times New Roman"/>
          <w:sz w:val="20"/>
        </w:rPr>
      </w:pPr>
      <w:r>
        <w:rPr>
          <w:rFonts w:ascii="Times New Roman" w:hAnsi="Times New Roman"/>
          <w:sz w:val="20"/>
        </w:rPr>
        <w:t xml:space="preserve">If you, as the registered holder of Outstanding Notes, wish to tender your Outstanding Notes for exchange in the Exchange Offer, you must contact a DTC participant to complete the book-entry transfer procedures described below prior to the Expiration Date and you must comply with DTC’s Automated Tender Offer Program (“ATOP”) procedures described below. In addition, a timely confirmation of a book-entry transfer of Outstanding Notes, if such procedure is available, into the Exchange Agent’s account at DTC using the procedure for book-entry transfer described below, must be received by the Exchange Agent prior to the Expiration Date. </w:t>
      </w:r>
    </w:p>
    <w:p>
      <w:pPr>
        <w:pStyle w:val="TextBody"/>
        <w:bidi w:val="0"/>
        <w:spacing w:before="360" w:after="0"/>
        <w:jc w:val="left"/>
        <w:rPr>
          <w:rFonts w:ascii="Times New Roman" w:hAnsi="Times New Roman"/>
          <w:i/>
          <w:sz w:val="20"/>
        </w:rPr>
      </w:pPr>
      <w:r>
        <w:rPr>
          <w:rFonts w:ascii="Times New Roman" w:hAnsi="Times New Roman"/>
          <w:i/>
          <w:sz w:val="20"/>
        </w:rPr>
        <w:t xml:space="preserve">Representations, Warranties, Acknowledgements and Undertakings </w:t>
      </w:r>
    </w:p>
    <w:p>
      <w:pPr>
        <w:pStyle w:val="TextBody"/>
        <w:bidi w:val="0"/>
        <w:spacing w:before="120" w:after="0"/>
        <w:jc w:val="left"/>
        <w:rPr>
          <w:rFonts w:ascii="Times New Roman" w:hAnsi="Times New Roman"/>
          <w:sz w:val="20"/>
        </w:rPr>
      </w:pPr>
      <w:r>
        <w:rPr>
          <w:rFonts w:ascii="Times New Roman" w:hAnsi="Times New Roman"/>
          <w:sz w:val="20"/>
        </w:rPr>
        <w:t xml:space="preserve">By tendering Outstanding Notes through the submission of an electronic acceptance instruction in accordance with the requirements of DTC’s ATOP, a tendering holder of Outstanding Notes represents and warrants to us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neither the holder nor any beneficial owner for which the holder is tendering Outstanding Notes has (and, at the time the Exchange Offer is consummated, neither will have) an arrangement or understanding with any person or entity to participate in a distribution of the Exchange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neither the holder nor any beneficial owner for which the holder is tendering Outstanding Notes is an “affiliate,” as such term is defined in Rule 405 promulgated under the Securities Act, of ours. Upon our request, the holder or such beneficial owner will deliver to us a legal opinion confirming it is not such an affiliate;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neither the holder nor any beneficial owner for which the holder is tendering Outstanding Notes is engaging in or intends to engage in a distribution of the Exchange Notes within the meaning of the federal securities laws;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 and any beneficial owner for which the holder is tendering Outstanding Notes is acquiring the Exchange Notes in the ordinary course of business of the holder (or such beneficial owner);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 and each beneficial owner for which the holder is tendering Outstanding Notes acknowledges and agrees that any person who is a broker-dealer registered under the Exchange Act or is participating in the Exchange Offer for the purpose of distributing the Exchange Notes must comply with the registration and prospectus delivery requirements of the Securities Act in connection with a secondary resale transaction of the Exchange Notes or interests therein acquired by such person and cannot rely on the interpretive position of the staff of the SEC set forth in </w:t>
            </w:r>
            <w:r>
              <w:rPr>
                <w:rFonts w:ascii="Times New Roman" w:hAnsi="Times New Roman"/>
                <w:i/>
                <w:sz w:val="20"/>
              </w:rPr>
              <w:t>Morgan Stanley &amp; Co. Incorporated</w:t>
            </w:r>
            <w:r>
              <w:rPr>
                <w:rFonts w:ascii="Times New Roman" w:hAnsi="Times New Roman"/>
                <w:sz w:val="20"/>
              </w:rPr>
              <w:t xml:space="preserve"> (available June 5, 1991) and </w:t>
            </w:r>
            <w:r>
              <w:rPr>
                <w:rFonts w:ascii="Times New Roman" w:hAnsi="Times New Roman"/>
                <w:i/>
                <w:sz w:val="20"/>
              </w:rPr>
              <w:t>Exxon Capital Holdings Corporation</w:t>
            </w:r>
            <w:r>
              <w:rPr>
                <w:rFonts w:ascii="Times New Roman" w:hAnsi="Times New Roman"/>
                <w:sz w:val="20"/>
              </w:rPr>
              <w:t xml:space="preserve"> (available May 13, 1988), as interpreted in the SEC staff’s letter to </w:t>
            </w:r>
            <w:r>
              <w:rPr>
                <w:rFonts w:ascii="Times New Roman" w:hAnsi="Times New Roman"/>
                <w:i/>
                <w:sz w:val="20"/>
              </w:rPr>
              <w:t>Shearman &amp; Sterling</w:t>
            </w:r>
            <w:r>
              <w:rPr>
                <w:rFonts w:ascii="Times New Roman" w:hAnsi="Times New Roman"/>
                <w:sz w:val="20"/>
              </w:rPr>
              <w:t xml:space="preserve">, dated July 2, 1993, or similar no-action letters;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 and each beneficial owner for which the holder is tendering Outstanding Notes understands, acknowledges, and agrees that a secondary resale transaction described in the paragraph immediately above and any resales of Exchange Notes or interests therein obtained by such holder or beneficial owner in exchange for Outstanding Notes or interests therein originally acquired by such holder or beneficial owner directly from us should be covered by an effective registration statement containing the selling security holder information required by Item 507 or Item 508, as applicable, of Regulation S-K of the SEC;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 is not acting on behalf of any person or entity who could not truthfully make the foregoing representations and warranties.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by tendering Outstanding Notes through the submission of an electronic acceptance instruction in accordance with the requirements of ATOP, each broker-dealer that is to receive Exchange Notes for its own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account in exchange for Outstanding Notes represents and warrants to us that such Outstanding Notes were acquired by that broker-dealer as a result of market-making activities or other trading activities and acknowledges and agrees that it will deliver a prospectus that meets the requirements of the Securities Act in connection with any resale of the Exchange Notes; however, by so acknowledging and agreeing and by delivering a prospectus, such broker-dealer will not be deemed to admit that it is an “underwriter” within the meaning of the Securities Act. See “Plan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By tendering Outstanding Notes through the submission of an electronic acceptance instruction in accordance with the requirements of ATOP, a tendering holder of Outstanding Notes also represents and warrants to us that such holder: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acknowledges receipt of this prospectus (as it may be amended or supplemented from time to time), and agrees to all of the terms of the Exchange Offer;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understands, acknowledges and agrees that tenders of Outstanding Notes pursuant to the Exchange Offer will, upon our acceptance for exchange of such tendered Outstanding Notes, constitute a binding agreement between such holder and us upon the terms and subject to the conditions of the Exchange Offer;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irrevocably constitutes and appoints the Exchange Agent as the true and lawful agent and attorney-in-fact of the holder with respect to any tendered Outstanding Notes (with full knowledge that the Exchange Agent also acts as the agent of the Company and as Trustee under the Indenture governing the Outstanding Notes), with full powers of substitution and revocation (such power of attorney being deemed to be an irrevocable power coupled with an interest) to (a) transfer ownership of such Outstanding Notes on the account books maintained by DTC with all accompanying evidences of transfer and authenticity to, or upon the order of, the Company and (b) present such Outstanding Notes for transfer on the books of the Company and receive all benefits and otherwise exercise all rights of beneficial ownership of such Outstanding Notes, all in accordance with the terms of the Exchange Offer;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has full power and authority to tender, sell, assign and transfer the Outstanding Notes tendered thereby and that the Company will acquire good and unencumbered title thereto, free and clear of all liens, restrictions, charges and encumbrances and not subject to any adverse claim when the same are accepted by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undertakes, upon request, to execute and deliver any additional documents deemed by the Company or the Exchange Agent to be necessary or desirable to complete the exchange, assignment and transfer of the Outstanding Notes tendered thereby;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understands, acknowledges and agrees that all authority herein conferred or agreed to be conferred through the submission of an electronic acceptance instruction in accordance with the requirements of ATOP shall survive the death or incapacity of such holder and any obligation of such holder hereunder shall be binding upon the heirs, executors, administrators, personal representatives, trustees in bankruptcy, legal representatives, successors, and assigns of such 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understands, acknowledges and agrees that for purposes of the Exchange Offer, the Company shall be deemed to have accepted validly tendered Outstanding Notes when and if the Company has given written notice thereof to the Exchange Agent;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understands, acknowledges and agrees that, subject to, and effective upon, the acceptance for exchange of the Outstanding Notes tendered thereby, such holder thereby sells, assigns and transfers to, or upon the order of, the Company, all right, title and interest in and to such Outstanding Notes as are being tendered thereby upon the terms and subject to the conditions set forth in this prospectus (as the same may be amended or supplemented from time to time);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understands, acknowledges and agrees that, except as stated in this prospectus in connection with a valid withdrawal, the tender of such holder’s Outstanding Notes is irrevocable.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No Letter of Transmittal or Guaranteed Delivery Procedures </w:t>
      </w:r>
    </w:p>
    <w:p>
      <w:pPr>
        <w:pStyle w:val="TextBody"/>
        <w:bidi w:val="0"/>
        <w:spacing w:before="120" w:after="0"/>
        <w:jc w:val="left"/>
        <w:rPr>
          <w:rFonts w:ascii="Times New Roman" w:hAnsi="Times New Roman"/>
          <w:sz w:val="20"/>
        </w:rPr>
      </w:pPr>
      <w:r>
        <w:rPr>
          <w:rFonts w:ascii="Times New Roman" w:hAnsi="Times New Roman"/>
          <w:sz w:val="20"/>
        </w:rPr>
        <w:t xml:space="preserve">There is no letter of transmittal for Outstanding Notes tendered in connection with the Exchange Offer. The valid submission of an electronic acceptance instruction through ATOP shall constitute delivery of the Outstanding Notes in connection with the Exchange Offer. There are no guaranteed delivery procedures applicable to the Exchange Offer. </w:t>
      </w:r>
    </w:p>
    <w:p>
      <w:pPr>
        <w:pStyle w:val="TextBody"/>
        <w:bidi w:val="0"/>
        <w:spacing w:before="360" w:after="0"/>
        <w:jc w:val="left"/>
        <w:rPr>
          <w:rFonts w:ascii="Times New Roman" w:hAnsi="Times New Roman"/>
          <w:b/>
          <w:sz w:val="20"/>
        </w:rPr>
      </w:pPr>
      <w:bookmarkStart w:id="11" w:name="cov154803_202"/>
      <w:bookmarkEnd w:id="11"/>
      <w:r>
        <w:rPr>
          <w:rFonts w:ascii="Times New Roman" w:hAnsi="Times New Roman"/>
          <w:b/>
          <w:sz w:val="20"/>
        </w:rPr>
        <w:t xml:space="preserve">Acceptance of Exchange Notes </w:t>
      </w:r>
    </w:p>
    <w:p>
      <w:pPr>
        <w:pStyle w:val="TextBody"/>
        <w:bidi w:val="0"/>
        <w:spacing w:before="120" w:after="0"/>
        <w:jc w:val="left"/>
        <w:rPr>
          <w:rFonts w:ascii="Times New Roman" w:hAnsi="Times New Roman"/>
          <w:sz w:val="20"/>
        </w:rPr>
      </w:pPr>
      <w:r>
        <w:rPr>
          <w:rFonts w:ascii="Times New Roman" w:hAnsi="Times New Roman"/>
          <w:sz w:val="20"/>
        </w:rPr>
        <w:t xml:space="preserve">In all cases, we will promptly issue Exchange Notes for Outstanding Notes that we have accepted for exchange under the Exchange Offer only after the Exchange Agent timely receives: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Outstanding Notes or a timely book-entry confirmation of such Outstanding Notes into the Exchange Agent’s account at the book-entry transfer facility;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properly transmitted agent’s message. </w:t>
            </w:r>
          </w:p>
        </w:tc>
      </w:tr>
    </w:tbl>
    <w:p>
      <w:pPr>
        <w:pStyle w:val="TextBody"/>
        <w:bidi w:val="0"/>
        <w:spacing w:before="240" w:after="0"/>
        <w:jc w:val="left"/>
        <w:rPr>
          <w:rFonts w:ascii="Times New Roman" w:hAnsi="Times New Roman"/>
          <w:sz w:val="20"/>
        </w:rPr>
      </w:pPr>
      <w:r>
        <w:rPr>
          <w:rFonts w:ascii="Times New Roman" w:hAnsi="Times New Roman"/>
          <w:sz w:val="20"/>
        </w:rPr>
        <w:t xml:space="preserve">By tendering Outstanding Notes pursuant to the Exchange Offer, you will represent to us that,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are not our “affiliate” within the meaning of Rule 405 under the Securities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are not engaged in, and do not intend to engage in, and you do not have an arrangement or understanding with any person or entity to participate in a distribution of the Exchange Notes;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are acquiring the Exchange Notes in the ordinary course of your business.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each broker-dealer that is to receive Exchange Notes for its own account in exchange for Outstanding Notes must represent that such Outstanding Notes were acquired by that broker-dealer as a result of market-making activities or other trading activities and must acknowledge that it will deliver a prospectus that meets the requirements of the Securities Act in connection with any resale of the Exchange Notes. By delivering a prospectus, a broker-dealer will not be deemed to admit that it is an “underwriter” within the meaning of the Securities Act. See “Plan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Our interpretation of the terms and conditions of the Exchange Offer, and our resolution of all questions as to the validity, form, eligibility, including time of receipt, and acceptance of Outstanding Notes tendered for exchange will be determined in our reasonable discretion and will be final and binding on all parties. We reserve the absolute right to reject any and all tenders of any particular Outstanding Notes not properly tendered or to not accept any particular Outstanding Notes if the acceptance might, in our or our counsel’s judgment, be unlawful. We also reserve the absolute right to waive any defects or irregularities as to any particular Outstanding Notes prior to the Expiration Date. </w:t>
      </w:r>
    </w:p>
    <w:p>
      <w:pPr>
        <w:pStyle w:val="TextBody"/>
        <w:bidi w:val="0"/>
        <w:spacing w:before="240" w:after="0"/>
        <w:jc w:val="left"/>
        <w:rPr>
          <w:rFonts w:ascii="Times New Roman" w:hAnsi="Times New Roman"/>
          <w:sz w:val="20"/>
        </w:rPr>
      </w:pPr>
      <w:r>
        <w:rPr>
          <w:rFonts w:ascii="Times New Roman" w:hAnsi="Times New Roman"/>
          <w:sz w:val="20"/>
        </w:rPr>
        <w:t xml:space="preserve">Unless waived, any defects or irregularities in connection with tenders of Outstanding Notes for exchange must be cured before the Expiration Date. Neither we, the Exchange Agent, nor any other person will be under any duty to give notification of any defect or irregularity with respect to any tender of Outstanding Notes for exchange, nor will we or any of them incur any liability for any failure to give notification. Any Outstanding Notes received by the Exchange Agent that are not properly tendered and as to which the irregularities have not been cured or waived will be returned by the Exchange Agent to the tendering holder promptly after the Expiration Date. </w:t>
      </w:r>
    </w:p>
    <w:p>
      <w:pPr>
        <w:pStyle w:val="TextBody"/>
        <w:bidi w:val="0"/>
        <w:spacing w:before="360" w:after="0"/>
        <w:jc w:val="left"/>
        <w:rPr>
          <w:rFonts w:ascii="Times New Roman" w:hAnsi="Times New Roman"/>
          <w:b/>
          <w:sz w:val="20"/>
        </w:rPr>
      </w:pPr>
      <w:r>
        <w:rPr>
          <w:rFonts w:ascii="Times New Roman" w:hAnsi="Times New Roman"/>
          <w:b/>
          <w:sz w:val="20"/>
        </w:rPr>
        <w:t xml:space="preserve">Consequences of Failure to Exchange </w:t>
      </w:r>
    </w:p>
    <w:p>
      <w:pPr>
        <w:pStyle w:val="TextBody"/>
        <w:bidi w:val="0"/>
        <w:spacing w:before="120" w:after="0"/>
        <w:jc w:val="left"/>
        <w:rPr>
          <w:rFonts w:ascii="Times New Roman" w:hAnsi="Times New Roman"/>
          <w:sz w:val="20"/>
        </w:rPr>
      </w:pPr>
      <w:r>
        <w:rPr>
          <w:rFonts w:ascii="Times New Roman" w:hAnsi="Times New Roman"/>
          <w:sz w:val="20"/>
        </w:rPr>
        <w:t xml:space="preserve">If you do not exchange your Outstanding Notes for Exchange Notes under the Exchange Offer, your Outstanding Notes will remain subject to the transfer restrictions of such Outstanding Notes: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set forth in the legend printed on the Outstanding Notes as a consequence of the issuance of the Outstanding Notes pursuant to the exemptions from, or in transactions not subject to, the registration requirements of the Securities Act and applicable state securities laws;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otherwise set forth in the offering memorandum distributed in connection with the private offering of the Outstanding Notes.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general, you may not offer or sell your Outstanding Notes except in transactions that are registered under the Securities Act or if the offer or sale is exempt from, or not subject to, the registration requirements of the Securities Act and applicable state securities laws. Except as required by the registration rights agreement, we do not intend to register resales of the Outstanding Notes under the Securities Act. </w:t>
      </w:r>
    </w:p>
    <w:p>
      <w:pPr>
        <w:pStyle w:val="TextBody"/>
        <w:bidi w:val="0"/>
        <w:spacing w:before="360" w:after="0"/>
        <w:jc w:val="left"/>
        <w:rPr>
          <w:rFonts w:ascii="Times New Roman" w:hAnsi="Times New Roman"/>
          <w:b/>
          <w:sz w:val="20"/>
        </w:rPr>
      </w:pPr>
      <w:r>
        <w:rPr>
          <w:rFonts w:ascii="Times New Roman" w:hAnsi="Times New Roman"/>
          <w:b/>
          <w:sz w:val="20"/>
        </w:rPr>
        <w:t xml:space="preserve">Transfers of Exchange Notes </w:t>
      </w:r>
    </w:p>
    <w:p>
      <w:pPr>
        <w:pStyle w:val="TextBody"/>
        <w:bidi w:val="0"/>
        <w:spacing w:before="120" w:after="0"/>
        <w:jc w:val="left"/>
        <w:rPr>
          <w:rFonts w:ascii="Times New Roman" w:hAnsi="Times New Roman"/>
          <w:sz w:val="20"/>
        </w:rPr>
      </w:pPr>
      <w:r>
        <w:rPr>
          <w:rFonts w:ascii="Times New Roman" w:hAnsi="Times New Roman"/>
          <w:sz w:val="20"/>
        </w:rPr>
        <w:t xml:space="preserve">Based on interpretations by the SEC set forth in no-action letters issued to third parties, we believe that you may resell or otherwise transfer Exchange Notes issued in the Exchange Offer without complying with the registration and prospectus-delivery provisions of the Securities Act,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are acquiring the Exchange Notes in the ordinary course of your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do not have an arrangement or understanding with any person to participate in a distribution of the Exchange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are not our “affiliate” as defined by Rule 405 of the Securities Act;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are not engaged in, and do not intend to engage in, a distribution of the Exchange Notes.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you are our “affiliate,” or are engaging in, or intend to engage in, or have any arrangement or understanding with any person to participate in, a distribution of the Exchange Notes, or are not acquiring the Exchange Notes in the ordinary course of your business, then: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cannot rely on the position of the SEC set forth in </w:t>
            </w:r>
            <w:r>
              <w:rPr>
                <w:rFonts w:ascii="Times New Roman" w:hAnsi="Times New Roman"/>
                <w:i/>
                <w:sz w:val="20"/>
              </w:rPr>
              <w:t>Morgan Stanley</w:t>
            </w:r>
            <w:r>
              <w:rPr>
                <w:rFonts w:ascii="Times New Roman" w:hAnsi="Times New Roman"/>
                <w:sz w:val="20"/>
              </w:rPr>
              <w:t> </w:t>
            </w:r>
            <w:r>
              <w:rPr>
                <w:rFonts w:ascii="Times New Roman" w:hAnsi="Times New Roman"/>
                <w:i/>
                <w:sz w:val="20"/>
              </w:rPr>
              <w:t xml:space="preserve">&amp; Co. Incorporated </w:t>
            </w:r>
            <w:r>
              <w:rPr>
                <w:rFonts w:ascii="Times New Roman" w:hAnsi="Times New Roman"/>
                <w:sz w:val="20"/>
              </w:rPr>
              <w:t xml:space="preserve">(available June 5, 1991) and </w:t>
            </w:r>
            <w:r>
              <w:rPr>
                <w:rFonts w:ascii="Times New Roman" w:hAnsi="Times New Roman"/>
                <w:i/>
                <w:sz w:val="20"/>
              </w:rPr>
              <w:t xml:space="preserve">Exxon Capital Holdings Corporation </w:t>
            </w:r>
            <w:r>
              <w:rPr>
                <w:rFonts w:ascii="Times New Roman" w:hAnsi="Times New Roman"/>
                <w:sz w:val="20"/>
              </w:rPr>
              <w:t xml:space="preserve">(available May 13, 1988), as interpreted in the SEC’s letter to </w:t>
            </w:r>
            <w:r>
              <w:rPr>
                <w:rFonts w:ascii="Times New Roman" w:hAnsi="Times New Roman"/>
                <w:i/>
                <w:sz w:val="20"/>
              </w:rPr>
              <w:t>Shearman</w:t>
            </w:r>
            <w:r>
              <w:rPr>
                <w:rFonts w:ascii="Times New Roman" w:hAnsi="Times New Roman"/>
                <w:sz w:val="20"/>
              </w:rPr>
              <w:t> </w:t>
            </w:r>
            <w:r>
              <w:rPr>
                <w:rFonts w:ascii="Times New Roman" w:hAnsi="Times New Roman"/>
                <w:i/>
                <w:sz w:val="20"/>
              </w:rPr>
              <w:t>&amp; Sterling</w:t>
            </w:r>
            <w:r>
              <w:rPr>
                <w:rFonts w:ascii="Times New Roman" w:hAnsi="Times New Roman"/>
                <w:sz w:val="20"/>
              </w:rPr>
              <w:t xml:space="preserve">, dated July 2, 1993, or similar no-action letters;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cannot tender your Outstanding Notes in the Exchange Offer;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4"/>
        <w:gridCol w:w="101"/>
        <w:gridCol w:w="9291"/>
      </w:tblGrid>
      <w:tr>
        <w:trPr/>
        <w:tc>
          <w:tcPr>
            <w:tcW w:w="509"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absence of an exception from the position stated immediately above, you must comply with the registration and prospectus-delivery requirements of the Securities Act in connection with any resale of the Exchange Notes unless such sale or transfer is made pursuant to an exemption from such requirements.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prospectus may be used for an offer to resell, or for the resale or other transfer of Exchange Notes only as specifically set forth in this prospectus. With regard to broker-dealers, only broker-dealers that acquired the Outstanding Notes as a result of market-making activities or other trading activities may participate in the Exchange Offer. Each broker-dealer that acquired Outstanding Notes as a result of market-making activities or other trading activities must acknowledge that it will deliver a prospectus in connection with any resale of the Exchange Notes. Please read “Plan of Distribution” for more details regarding the transfer of Exchange Notes. </w:t>
      </w:r>
    </w:p>
    <w:p>
      <w:pPr>
        <w:pStyle w:val="TextBody"/>
        <w:bidi w:val="0"/>
        <w:spacing w:before="240" w:after="0"/>
        <w:jc w:val="left"/>
        <w:rPr>
          <w:rFonts w:ascii="Times New Roman" w:hAnsi="Times New Roman"/>
          <w:sz w:val="20"/>
        </w:rPr>
      </w:pPr>
      <w:r>
        <w:rPr>
          <w:rFonts w:ascii="Times New Roman" w:hAnsi="Times New Roman"/>
          <w:sz w:val="20"/>
        </w:rPr>
        <w:t xml:space="preserve">We do not intend to seek our own interpretation from the SEC staff regarding the Exchange Offer, and there can be no assurance that the SEC staff would make a similar determination with respect to the Exchange Notes as it has in other interpretations to other parties, although we have no reason to believe otherwise. </w:t>
      </w:r>
    </w:p>
    <w:p>
      <w:pPr>
        <w:pStyle w:val="TextBody"/>
        <w:bidi w:val="0"/>
        <w:spacing w:before="360" w:after="0"/>
        <w:jc w:val="left"/>
        <w:rPr>
          <w:rFonts w:ascii="Times New Roman" w:hAnsi="Times New Roman"/>
          <w:b/>
          <w:sz w:val="20"/>
        </w:rPr>
      </w:pPr>
      <w:r>
        <w:rPr>
          <w:rFonts w:ascii="Times New Roman" w:hAnsi="Times New Roman"/>
          <w:b/>
          <w:sz w:val="20"/>
        </w:rPr>
        <w:t xml:space="preserve">Book-Entry Delivery Procedures </w:t>
      </w:r>
    </w:p>
    <w:p>
      <w:pPr>
        <w:pStyle w:val="TextBody"/>
        <w:bidi w:val="0"/>
        <w:spacing w:before="120" w:after="0"/>
        <w:jc w:val="left"/>
        <w:rPr>
          <w:rFonts w:ascii="Times New Roman" w:hAnsi="Times New Roman"/>
          <w:sz w:val="20"/>
        </w:rPr>
      </w:pPr>
      <w:r>
        <w:rPr>
          <w:rFonts w:ascii="Times New Roman" w:hAnsi="Times New Roman"/>
          <w:sz w:val="20"/>
        </w:rPr>
        <w:t xml:space="preserve">The Exchange Agent will make a request to establish an account with respect to the Outstanding Notes at DTC for purposes of the Exchange Offer promptly after the date of this prospectus. Any financial institution that is a participant in DTC’s systems may make book-entry delivery of Outstanding Notes by causing DTC to transfer Outstanding Notes into the Exchange Agent’s account in accordance with DTC’s ATOP procedures for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transfer. However, the exchange for the Outstanding Notes so tendered will only be made after timely confirmation of book-entry transfer of Outstanding Notes into the Exchange Agent’s account, and timely receipt by the Exchange Agent of an agent’s message, transmitted by DTC and received by the Exchange Agent and forming a part of a book-entry confirmation. </w:t>
      </w:r>
    </w:p>
    <w:p>
      <w:pPr>
        <w:pStyle w:val="TextBody"/>
        <w:bidi w:val="0"/>
        <w:spacing w:before="240" w:after="0"/>
        <w:jc w:val="left"/>
        <w:rPr>
          <w:rFonts w:ascii="Times New Roman" w:hAnsi="Times New Roman"/>
          <w:sz w:val="20"/>
        </w:rPr>
      </w:pPr>
      <w:r>
        <w:rPr>
          <w:rFonts w:ascii="Times New Roman" w:hAnsi="Times New Roman"/>
          <w:sz w:val="20"/>
        </w:rPr>
        <w:t xml:space="preserve">If your Outstanding Notes are held through DTC, you must complete a form called “instructions to registered holder and/or book-entry participant,” which will instruct the DTC participant through whom you hold your Outstanding Notes of your intention to tender your Outstanding Notes or not tender your Outstanding Notes. To be timely, book-entry delivery of Outstanding Notes requires actual receipt by the Exchange Agent of a confirmation of a book-entry transfer, which we refer to as a “book-entry confirmation,” prior to the Expiration Date. Please note that delivery of documents to DTC in accordance with its procedures does not constitute delivery to the Exchange Agent and we will not be able to accept your tender of Outstanding Notes until the Exchange Agent receives an agent’s message and a book-entry confirmation from DTC with respect to your Outstanding Notes. </w:t>
      </w:r>
    </w:p>
    <w:p>
      <w:pPr>
        <w:pStyle w:val="TextBody"/>
        <w:bidi w:val="0"/>
        <w:spacing w:before="360" w:after="0"/>
        <w:jc w:val="left"/>
        <w:rPr>
          <w:rFonts w:ascii="Times New Roman" w:hAnsi="Times New Roman"/>
          <w:b/>
          <w:sz w:val="20"/>
        </w:rPr>
      </w:pPr>
      <w:r>
        <w:rPr>
          <w:rFonts w:ascii="Times New Roman" w:hAnsi="Times New Roman"/>
          <w:b/>
          <w:sz w:val="20"/>
        </w:rPr>
        <w:t xml:space="preserve">Withdrawal Rights </w:t>
      </w:r>
    </w:p>
    <w:p>
      <w:pPr>
        <w:pStyle w:val="TextBody"/>
        <w:bidi w:val="0"/>
        <w:spacing w:before="120" w:after="0"/>
        <w:jc w:val="left"/>
        <w:rPr>
          <w:rFonts w:ascii="Times New Roman" w:hAnsi="Times New Roman"/>
          <w:sz w:val="20"/>
        </w:rPr>
      </w:pPr>
      <w:r>
        <w:rPr>
          <w:rFonts w:ascii="Times New Roman" w:hAnsi="Times New Roman"/>
          <w:sz w:val="20"/>
        </w:rPr>
        <w:t xml:space="preserve">Except as otherwise provided in this prospectus, you may withdraw your tender of Outstanding Notes at any time prior to the Expiration Date. For a withdrawal to be effective: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Exchange Agent must receive a written notice, which may be by telegram, telex, facsimile or letter, of withdrawal at its address set forth below under “—Exchange Agent;”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must comply with the appropriate procedures of DTC’s ATOP system.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notice of withdrawal must: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specify the name of the person who tendered the Outstanding Notes to be withdrawn;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identify the Outstanding Notes to be withdrawn, including the certificate numbers and principal amount of the Outstanding Notes;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where certificates for Outstanding Notes have been transmitted, specify the name in which such Outstanding Notes were registered, if different from that of the withdrawing holder.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Outstanding Notes have been tendered pursuant to the procedures for book-entry transfer described above, any notice of withdrawal must specify the name and number of the account at the book-entry transfer facility to be credited with the withdrawn Outstanding Notes and otherwise comply with the procedures of the facility. We will determine, in our reasonable discretion, all questions as to the validity, form and eligibility, including time of receipt of notices of withdrawal, and our determination will be final and binding on all parties. Any Outstanding Notes so withdrawn will be deemed not to have been validly tendered for exchange for purposes of the Exchange Offer. Any Outstanding Notes that have been tendered for exchange but that are not exchanged for any reason will be returned to their holder, without cost to the holder, or, in the case of book-entry transfer, the Outstanding Notes will be credited to an account at the book-entry transfer facility, promptly after withdrawal, rejection of tender or termination of the Exchange Offer. Properly withdrawn Outstanding Notes may be retendered by following the procedures described under “—Procedures for Tendering Outstanding Notes” above at any time on or prior to the Expiration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Exchange Agent </w:t>
      </w:r>
    </w:p>
    <w:p>
      <w:pPr>
        <w:pStyle w:val="TextBody"/>
        <w:bidi w:val="0"/>
        <w:spacing w:before="120" w:after="0"/>
        <w:jc w:val="left"/>
        <w:rPr>
          <w:rFonts w:ascii="Times New Roman" w:hAnsi="Times New Roman"/>
          <w:sz w:val="20"/>
        </w:rPr>
      </w:pPr>
      <w:r>
        <w:rPr>
          <w:rFonts w:ascii="Times New Roman" w:hAnsi="Times New Roman"/>
          <w:sz w:val="20"/>
        </w:rPr>
        <w:t xml:space="preserve">Wilmington Trust, National Association, has been appointed as the Exchange Agent for the Exchange Offer. Wilmington Trust, National Association, also acts as trustee under the Indenture governing the notes. You should direct all questions and requests for assistance and requests for additional copies of this prospectus to the Exchange Agent addressed as follows: </w:t>
      </w:r>
    </w:p>
    <w:p>
      <w:pPr>
        <w:pStyle w:val="TextBody"/>
        <w:bidi w:val="0"/>
        <w:spacing w:before="240" w:after="0"/>
        <w:jc w:val="center"/>
        <w:rPr>
          <w:rFonts w:ascii="Times New Roman" w:hAnsi="Times New Roman"/>
          <w:i/>
          <w:sz w:val="20"/>
        </w:rPr>
      </w:pPr>
      <w:r>
        <w:rPr>
          <w:rFonts w:ascii="Times New Roman" w:hAnsi="Times New Roman"/>
          <w:i/>
          <w:sz w:val="20"/>
        </w:rPr>
        <w:t xml:space="preserve">By Hand, Overnight Delivery or Mail </w:t>
      </w:r>
    </w:p>
    <w:p>
      <w:pPr>
        <w:pStyle w:val="TextBody"/>
        <w:bidi w:val="0"/>
        <w:spacing w:before="0" w:after="0"/>
        <w:jc w:val="center"/>
        <w:rPr>
          <w:rFonts w:ascii="Times New Roman" w:hAnsi="Times New Roman"/>
          <w:i/>
          <w:sz w:val="20"/>
        </w:rPr>
      </w:pPr>
      <w:r>
        <w:rPr>
          <w:rFonts w:ascii="Times New Roman" w:hAnsi="Times New Roman"/>
          <w:i/>
          <w:sz w:val="20"/>
        </w:rPr>
        <w:t xml:space="preserve">(Registered or Certified Mail Recommended): </w:t>
      </w:r>
    </w:p>
    <w:p>
      <w:pPr>
        <w:pStyle w:val="TextBody"/>
        <w:bidi w:val="0"/>
        <w:spacing w:before="120" w:after="0"/>
        <w:jc w:val="center"/>
        <w:rPr>
          <w:rFonts w:ascii="Times New Roman" w:hAnsi="Times New Roman"/>
          <w:sz w:val="20"/>
        </w:rPr>
      </w:pPr>
      <w:r>
        <w:rPr>
          <w:rFonts w:ascii="Times New Roman" w:hAnsi="Times New Roman"/>
          <w:sz w:val="20"/>
        </w:rPr>
        <w:t xml:space="preserve">Wilmington Trust, National Association </w:t>
      </w:r>
    </w:p>
    <w:p>
      <w:pPr>
        <w:pStyle w:val="TextBody"/>
        <w:bidi w:val="0"/>
        <w:spacing w:before="0" w:after="0"/>
        <w:jc w:val="center"/>
        <w:rPr>
          <w:rFonts w:ascii="Times New Roman" w:hAnsi="Times New Roman"/>
          <w:sz w:val="20"/>
        </w:rPr>
      </w:pPr>
      <w:r>
        <w:rPr>
          <w:rFonts w:ascii="Times New Roman" w:hAnsi="Times New Roman"/>
          <w:sz w:val="20"/>
        </w:rPr>
        <w:t xml:space="preserve">Rodney Square North </w:t>
      </w:r>
    </w:p>
    <w:p>
      <w:pPr>
        <w:pStyle w:val="TextBody"/>
        <w:bidi w:val="0"/>
        <w:spacing w:before="0" w:after="0"/>
        <w:jc w:val="center"/>
        <w:rPr>
          <w:rFonts w:ascii="Times New Roman" w:hAnsi="Times New Roman"/>
          <w:sz w:val="20"/>
        </w:rPr>
      </w:pPr>
      <w:r>
        <w:rPr>
          <w:rFonts w:ascii="Times New Roman" w:hAnsi="Times New Roman"/>
          <w:sz w:val="20"/>
        </w:rPr>
        <w:t xml:space="preserve">1100 North Market Street </w:t>
      </w:r>
    </w:p>
    <w:p>
      <w:pPr>
        <w:pStyle w:val="TextBody"/>
        <w:bidi w:val="0"/>
        <w:spacing w:before="0" w:after="0"/>
        <w:jc w:val="center"/>
        <w:rPr>
          <w:rFonts w:ascii="Times New Roman" w:hAnsi="Times New Roman"/>
          <w:sz w:val="20"/>
        </w:rPr>
      </w:pPr>
      <w:r>
        <w:rPr>
          <w:rFonts w:ascii="Times New Roman" w:hAnsi="Times New Roman"/>
          <w:sz w:val="20"/>
        </w:rPr>
        <w:t xml:space="preserve">Wilmington, DE 19890-1626 </w:t>
      </w:r>
    </w:p>
    <w:p>
      <w:pPr>
        <w:pStyle w:val="TextBody"/>
        <w:bidi w:val="0"/>
        <w:spacing w:before="0" w:after="0"/>
        <w:jc w:val="center"/>
        <w:rPr>
          <w:rFonts w:ascii="Times New Roman" w:hAnsi="Times New Roman"/>
          <w:sz w:val="20"/>
        </w:rPr>
      </w:pPr>
      <w:r>
        <w:rPr>
          <w:rFonts w:ascii="Times New Roman" w:hAnsi="Times New Roman"/>
          <w:sz w:val="20"/>
        </w:rPr>
        <w:t xml:space="preserve">Attention: Workflow Management, 5th Floor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05"/>
        <w:gridCol w:w="203"/>
        <w:gridCol w:w="4797"/>
      </w:tblGrid>
      <w:tr>
        <w:trPr/>
        <w:tc>
          <w:tcPr>
            <w:tcW w:w="5205"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5" w:type="dxa"/>
            <w:tcBorders/>
            <w:vAlign w:val="bottom"/>
          </w:tcPr>
          <w:p>
            <w:pPr>
              <w:pStyle w:val="TableContents"/>
              <w:bidi w:val="0"/>
              <w:spacing w:before="0" w:after="283"/>
              <w:jc w:val="center"/>
              <w:rPr>
                <w:i/>
              </w:rPr>
            </w:pPr>
            <w:r>
              <w:rPr>
                <w:i/>
              </w:rPr>
              <w:t>By Facsimile:</w:t>
            </w:r>
          </w:p>
        </w:tc>
        <w:tc>
          <w:tcPr>
            <w:tcW w:w="203" w:type="dxa"/>
            <w:tcBorders/>
            <w:vAlign w:val="bottom"/>
          </w:tcPr>
          <w:p>
            <w:pPr>
              <w:pStyle w:val="TableContents"/>
              <w:bidi w:val="0"/>
              <w:spacing w:before="0" w:after="283"/>
              <w:jc w:val="left"/>
              <w:rPr/>
            </w:pPr>
            <w:r>
              <w:rPr/>
              <w:t>  </w:t>
            </w:r>
          </w:p>
        </w:tc>
        <w:tc>
          <w:tcPr>
            <w:tcW w:w="4797" w:type="dxa"/>
            <w:tcBorders/>
            <w:vAlign w:val="bottom"/>
          </w:tcPr>
          <w:p>
            <w:pPr>
              <w:pStyle w:val="TableContents"/>
              <w:bidi w:val="0"/>
              <w:spacing w:before="0" w:after="283"/>
              <w:jc w:val="center"/>
              <w:rPr>
                <w:i/>
              </w:rPr>
            </w:pPr>
            <w:r>
              <w:rPr>
                <w:i/>
              </w:rPr>
              <w:t>To Confirm by Email:</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vAlign w:val="bottom"/>
          </w:tcPr>
          <w:p>
            <w:pPr>
              <w:pStyle w:val="TableContents"/>
              <w:bidi w:val="0"/>
              <w:spacing w:before="0" w:after="283"/>
              <w:jc w:val="center"/>
              <w:rPr/>
            </w:pPr>
            <w:r>
              <w:rPr/>
              <w:t>(302) 636-4139</w:t>
            </w:r>
          </w:p>
        </w:tc>
        <w:tc>
          <w:tcPr>
            <w:tcW w:w="203" w:type="dxa"/>
            <w:tcBorders/>
            <w:vAlign w:val="bottom"/>
          </w:tcPr>
          <w:p>
            <w:pPr>
              <w:pStyle w:val="TableContents"/>
              <w:bidi w:val="0"/>
              <w:spacing w:before="0" w:after="283"/>
              <w:jc w:val="left"/>
              <w:rPr/>
            </w:pPr>
            <w:r>
              <w:rPr/>
              <w:t>  </w:t>
            </w:r>
          </w:p>
        </w:tc>
        <w:tc>
          <w:tcPr>
            <w:tcW w:w="4797" w:type="dxa"/>
            <w:tcBorders/>
            <w:vAlign w:val="bottom"/>
          </w:tcPr>
          <w:p>
            <w:pPr>
              <w:pStyle w:val="TableContents"/>
              <w:bidi w:val="0"/>
              <w:spacing w:before="0" w:after="283"/>
              <w:jc w:val="center"/>
              <w:rPr/>
            </w:pPr>
            <w:r>
              <w:rPr/>
              <w:t>DL-DTC-Transfer_Agent_Team@mtb.com</w:t>
            </w:r>
          </w:p>
        </w:tc>
      </w:tr>
      <w:tr>
        <w:trPr/>
        <w:tc>
          <w:tcPr>
            <w:tcW w:w="5205" w:type="dxa"/>
            <w:tcBorders/>
            <w:vAlign w:val="bottom"/>
          </w:tcPr>
          <w:p>
            <w:pPr>
              <w:pStyle w:val="TableContents"/>
              <w:bidi w:val="0"/>
              <w:spacing w:before="0" w:after="283"/>
              <w:jc w:val="center"/>
              <w:rPr/>
            </w:pPr>
            <w:r>
              <w:rPr/>
              <w:t>Attention: Workflow Management</w:t>
            </w:r>
          </w:p>
        </w:tc>
        <w:tc>
          <w:tcPr>
            <w:tcW w:w="203" w:type="dxa"/>
            <w:tcBorders/>
            <w:vAlign w:val="bottom"/>
          </w:tcPr>
          <w:p>
            <w:pPr>
              <w:pStyle w:val="TableContents"/>
              <w:bidi w:val="0"/>
              <w:spacing w:before="0" w:after="283"/>
              <w:jc w:val="left"/>
              <w:rPr/>
            </w:pPr>
            <w:r>
              <w:rPr/>
              <w:t>  </w:t>
            </w:r>
          </w:p>
        </w:tc>
        <w:tc>
          <w:tcPr>
            <w:tcW w:w="4797"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you transmit instructions via facsimile other than the one set forth above, that delivery or those instructions will not be effective. Fax cover sheets should provide a call-back number. </w:t>
      </w:r>
    </w:p>
    <w:p>
      <w:pPr>
        <w:pStyle w:val="TextBody"/>
        <w:bidi w:val="0"/>
        <w:spacing w:before="360" w:after="0"/>
        <w:jc w:val="left"/>
        <w:rPr>
          <w:rFonts w:ascii="Times New Roman" w:hAnsi="Times New Roman"/>
          <w:b/>
          <w:sz w:val="20"/>
        </w:rPr>
      </w:pPr>
      <w:r>
        <w:rPr>
          <w:rFonts w:ascii="Times New Roman" w:hAnsi="Times New Roman"/>
          <w:b/>
          <w:sz w:val="20"/>
        </w:rPr>
        <w:t xml:space="preserve">Fees and Expenses </w:t>
      </w:r>
    </w:p>
    <w:p>
      <w:pPr>
        <w:pStyle w:val="TextBody"/>
        <w:bidi w:val="0"/>
        <w:spacing w:before="120" w:after="0"/>
        <w:jc w:val="left"/>
        <w:rPr>
          <w:rFonts w:ascii="Times New Roman" w:hAnsi="Times New Roman"/>
          <w:sz w:val="20"/>
        </w:rPr>
      </w:pPr>
      <w:r>
        <w:rPr>
          <w:rFonts w:ascii="Times New Roman" w:hAnsi="Times New Roman"/>
          <w:sz w:val="20"/>
        </w:rPr>
        <w:t xml:space="preserve">The registration rights agreement provides that we will bear all expenses in connection with the performance of our obligations relating to the registration of the Exchange Notes and the conduct of the Exchange Offer. These expenses include registration and filing fees, accounting and legal fees and printing costs, among others. We will pay the Exchange Agent reasonable and customary fees for its services and reasonable out-of-pocket expenses. We will also reimburse brokerage houses and other custodians, nominees and fiduciaries for customary mailing and handling expenses incurred by them in forwarding this prospectus and related documents to their clients that are holders of Outstanding Notes and for handling or tendering for such clients. </w:t>
      </w:r>
    </w:p>
    <w:p>
      <w:pPr>
        <w:pStyle w:val="TextBody"/>
        <w:bidi w:val="0"/>
        <w:spacing w:before="240" w:after="0"/>
        <w:jc w:val="left"/>
        <w:rPr>
          <w:rFonts w:ascii="Times New Roman" w:hAnsi="Times New Roman"/>
          <w:sz w:val="20"/>
        </w:rPr>
      </w:pPr>
      <w:r>
        <w:rPr>
          <w:rFonts w:ascii="Times New Roman" w:hAnsi="Times New Roman"/>
          <w:sz w:val="20"/>
        </w:rPr>
        <w:t xml:space="preserve">We have not retained any dealer-manager in connection with the Exchange Offer and will not pay any fee or commission to any broker, dealer, nominee or other person for soliciting tenders of Outstanding Notes pursuant to the Exchange Offer. </w:t>
      </w:r>
    </w:p>
    <w:p>
      <w:pPr>
        <w:pStyle w:val="TextBody"/>
        <w:bidi w:val="0"/>
        <w:spacing w:before="360" w:after="0"/>
        <w:jc w:val="left"/>
        <w:rPr>
          <w:rFonts w:ascii="Times New Roman" w:hAnsi="Times New Roman"/>
          <w:b/>
          <w:sz w:val="20"/>
        </w:rPr>
      </w:pPr>
      <w:r>
        <w:rPr>
          <w:rFonts w:ascii="Times New Roman" w:hAnsi="Times New Roman"/>
          <w:b/>
          <w:sz w:val="20"/>
        </w:rPr>
        <w:t xml:space="preserve">Accounting Treatment </w:t>
      </w:r>
    </w:p>
    <w:p>
      <w:pPr>
        <w:pStyle w:val="TextBody"/>
        <w:bidi w:val="0"/>
        <w:spacing w:before="120" w:after="0"/>
        <w:jc w:val="left"/>
        <w:rPr>
          <w:rFonts w:ascii="Times New Roman" w:hAnsi="Times New Roman"/>
          <w:sz w:val="20"/>
        </w:rPr>
      </w:pPr>
      <w:r>
        <w:rPr>
          <w:rFonts w:ascii="Times New Roman" w:hAnsi="Times New Roman"/>
          <w:sz w:val="20"/>
        </w:rPr>
        <w:t xml:space="preserve">We will record the Exchange Notes in our accounting records at the same carrying value as the Outstanding Notes, which is the aggregate principal amount as reflected in our accounting records on the date of exchange. Accordingly, we will not recognize any gain or loss for accounting purposes upon the consummation of the Exchange Offer. </w:t>
      </w:r>
    </w:p>
    <w:p>
      <w:pPr>
        <w:pStyle w:val="TextBody"/>
        <w:bidi w:val="0"/>
        <w:spacing w:before="360" w:after="0"/>
        <w:jc w:val="left"/>
        <w:rPr>
          <w:rFonts w:ascii="Times New Roman" w:hAnsi="Times New Roman"/>
          <w:b/>
          <w:sz w:val="20"/>
        </w:rPr>
      </w:pPr>
      <w:r>
        <w:rPr>
          <w:rFonts w:ascii="Times New Roman" w:hAnsi="Times New Roman"/>
          <w:b/>
          <w:sz w:val="20"/>
        </w:rPr>
        <w:t xml:space="preserve">Transfer Taxes </w:t>
      </w:r>
    </w:p>
    <w:p>
      <w:pPr>
        <w:pStyle w:val="TextBody"/>
        <w:bidi w:val="0"/>
        <w:spacing w:before="120" w:after="0"/>
        <w:jc w:val="left"/>
        <w:rPr>
          <w:rFonts w:ascii="Times New Roman" w:hAnsi="Times New Roman"/>
          <w:sz w:val="20"/>
        </w:rPr>
      </w:pPr>
      <w:r>
        <w:rPr>
          <w:rFonts w:ascii="Times New Roman" w:hAnsi="Times New Roman"/>
          <w:sz w:val="20"/>
        </w:rPr>
        <w:t xml:space="preserve">We will pay all transfer taxes, if any, applicable to the exchanges of Outstanding Notes under the Exchange Offer. The tendering holder, however, will be required to pay any transfer taxes, whether imposed on the registered holder or any other person,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certificates representing Outstanding Notes for principal amounts not tendered or accepted for exchange are to be delivered to, or are to be issued in the name of, any person other than the registered holder of Outstanding Notes tendered;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tendering holder instructs us to register the Exchange Notes in the name of a person other than the registered holder;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transfer tax is imposed for any reason other than the exchange of Outstanding Notes under the Exchange Offer.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Other </w:t>
      </w:r>
    </w:p>
    <w:p>
      <w:pPr>
        <w:pStyle w:val="TextBody"/>
        <w:bidi w:val="0"/>
        <w:spacing w:before="120" w:after="0"/>
        <w:jc w:val="left"/>
        <w:rPr>
          <w:rFonts w:ascii="Times New Roman" w:hAnsi="Times New Roman"/>
          <w:sz w:val="20"/>
        </w:rPr>
      </w:pPr>
      <w:r>
        <w:rPr>
          <w:rFonts w:ascii="Times New Roman" w:hAnsi="Times New Roman"/>
          <w:sz w:val="20"/>
        </w:rPr>
        <w:t xml:space="preserve">Participating in the Exchange Offer is voluntary, and you should carefully consider whether to participate. You are urged to consult your financial and tax advisors in making your own decision on what action to take. </w:t>
      </w:r>
    </w:p>
    <w:p>
      <w:pPr>
        <w:pStyle w:val="TextBody"/>
        <w:bidi w:val="0"/>
        <w:spacing w:before="240" w:after="0"/>
        <w:jc w:val="left"/>
        <w:rPr>
          <w:rFonts w:ascii="Times New Roman" w:hAnsi="Times New Roman"/>
          <w:sz w:val="20"/>
        </w:rPr>
      </w:pPr>
      <w:r>
        <w:rPr>
          <w:rFonts w:ascii="Times New Roman" w:hAnsi="Times New Roman"/>
          <w:sz w:val="20"/>
        </w:rPr>
        <w:t xml:space="preserve">We may in the future seek to acquire untendered Outstanding Notes in open market or privately negotiated transactions, through subsequent exchange offers or otherwise. We have no present plans to acquire any Outstanding Notes that are not tendered in the Exchange Offer or to file a registration statement to permit resales of any untendered Outstanding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2" w:name="tx154803_8"/>
      <w:bookmarkEnd w:id="12"/>
      <w:r>
        <w:rPr>
          <w:rFonts w:ascii="Times New Roman" w:hAnsi="Times New Roman"/>
          <w:b/>
          <w:sz w:val="20"/>
        </w:rPr>
        <w:t xml:space="preserve">DESCRIPTION OF EXCHANGE NOTES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is a summary of the material terms of the Exchange Notes offered hereby and does not purport to be complete. </w:t>
      </w:r>
    </w:p>
    <w:p>
      <w:pPr>
        <w:pStyle w:val="TextBody"/>
        <w:bidi w:val="0"/>
        <w:spacing w:before="240" w:after="0"/>
        <w:jc w:val="left"/>
        <w:rPr>
          <w:rFonts w:ascii="Times New Roman" w:hAnsi="Times New Roman"/>
          <w:sz w:val="20"/>
        </w:rPr>
      </w:pPr>
      <w:r>
        <w:rPr>
          <w:rFonts w:ascii="Times New Roman" w:hAnsi="Times New Roman"/>
          <w:sz w:val="20"/>
        </w:rPr>
        <w:t xml:space="preserve">As used in the following description, the terms “Issuer,” “we,” “our” and “us” refer to Broadcom Inc., a Delaware corporation (“Broadcom”), and not any of its subsidiaries, unless the context requires otherwise. In addition, the term “Outstanding Notes” refers to the $654,004,000 4.926% Senior Notes due 2037. </w:t>
      </w:r>
    </w:p>
    <w:p>
      <w:pPr>
        <w:pStyle w:val="TextBody"/>
        <w:bidi w:val="0"/>
        <w:spacing w:before="240" w:after="0"/>
        <w:jc w:val="left"/>
        <w:rPr>
          <w:rFonts w:ascii="Times New Roman" w:hAnsi="Times New Roman"/>
          <w:sz w:val="20"/>
        </w:rPr>
      </w:pPr>
      <w:r>
        <w:rPr>
          <w:rFonts w:ascii="Times New Roman" w:hAnsi="Times New Roman"/>
          <w:sz w:val="20"/>
        </w:rPr>
        <w:t xml:space="preserve">On April 18, 2022, we issued the Outstanding Notes under that certain Indenture, dated April 18, 2022 (the “Indenture”) between us and Wilmington Trust, National Association, as Trustee. The following description of the Exchange Notes offered hereby is subject to, and is qualified in its entirety by reference to, the Indenture, including definitions therein of certain terms. </w:t>
      </w:r>
    </w:p>
    <w:p>
      <w:pPr>
        <w:pStyle w:val="TextBody"/>
        <w:bidi w:val="0"/>
        <w:spacing w:before="240" w:after="0"/>
        <w:jc w:val="left"/>
        <w:rPr>
          <w:rFonts w:ascii="Times New Roman" w:hAnsi="Times New Roman"/>
          <w:sz w:val="20"/>
        </w:rPr>
      </w:pPr>
      <w:r>
        <w:rPr>
          <w:rFonts w:ascii="Times New Roman" w:hAnsi="Times New Roman"/>
          <w:sz w:val="20"/>
        </w:rPr>
        <w:t xml:space="preserve">The Issuer will issue in exchange for the Outstanding Notes up to $654,004,000 aggregate principal amount of Exchange Notes that have been registered under the Securities Act. The form and terms of the Exchange Notes are identical in all material respects to the form and terms of the Outstanding Notes, which include those stated in the Indenture and those made part of the Indenture by reference to the Trust Indenture Act, except that the offer and sale of the Exchange Notes will be registered under the Securities Act and the Exchange Notes will have a different CUSIP number and will not contain terms with respect to transfer restrictions, registration rights and additional payments upon a failure to fulfill certain obligations under the registration rights agreement. For the avoidance of doubt, notwithstanding anything to the contrary in this Description of Exchange Notes, the Exchange Notes, any additional Exchange Notes of the same series issued as described below under “—General” and the Outstanding Notes shall constitute a single series for all purposes under the Indenture, and references to the “Exchange Notes” in this Description of Exchange Notes shall be deemed to include any such additional Exchange Notes and the Outstanding Notes, as applicable, where the context requires. </w:t>
      </w:r>
    </w:p>
    <w:p>
      <w:pPr>
        <w:pStyle w:val="TextBody"/>
        <w:bidi w:val="0"/>
        <w:spacing w:before="240" w:after="0"/>
        <w:jc w:val="left"/>
        <w:rPr>
          <w:rFonts w:ascii="Times New Roman" w:hAnsi="Times New Roman"/>
          <w:sz w:val="20"/>
        </w:rPr>
      </w:pPr>
      <w:r>
        <w:rPr>
          <w:rFonts w:ascii="Times New Roman" w:hAnsi="Times New Roman"/>
          <w:sz w:val="20"/>
        </w:rPr>
        <w:t xml:space="preserve">We urge you to read the Indenture (including definitions of terms used therein) because it, and not this description, will define your rights as a beneficial holder of the Exchange Notes. You may request copies of the Indenture from us at our address set forth under “Where You Can Find More Information” in this 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The Exchange Notes will be our senior unsecured obligations issued under the Indenture. The Trustee will also act as registrar, paying agent and authenticating agent and perform administrative duties for us, such as sending out interest payments and certain notices under the Indenture. </w:t>
      </w:r>
    </w:p>
    <w:p>
      <w:pPr>
        <w:pStyle w:val="TextBody"/>
        <w:bidi w:val="0"/>
        <w:spacing w:before="240" w:after="0"/>
        <w:jc w:val="left"/>
        <w:rPr>
          <w:rFonts w:ascii="Times New Roman" w:hAnsi="Times New Roman"/>
          <w:sz w:val="20"/>
        </w:rPr>
      </w:pPr>
      <w:r>
        <w:rPr>
          <w:rFonts w:ascii="Times New Roman" w:hAnsi="Times New Roman"/>
          <w:sz w:val="20"/>
        </w:rPr>
        <w:t xml:space="preserve">We will issue up to $654,004,000 aggregate principal amount of the Exchange Notes, which will mature on May 15, 2037. </w:t>
      </w:r>
    </w:p>
    <w:p>
      <w:pPr>
        <w:pStyle w:val="TextBody"/>
        <w:bidi w:val="0"/>
        <w:spacing w:before="240" w:after="0"/>
        <w:jc w:val="left"/>
        <w:rPr>
          <w:rFonts w:ascii="Times New Roman" w:hAnsi="Times New Roman"/>
          <w:sz w:val="20"/>
        </w:rPr>
      </w:pPr>
      <w:r>
        <w:rPr>
          <w:rFonts w:ascii="Times New Roman" w:hAnsi="Times New Roman"/>
          <w:sz w:val="20"/>
        </w:rPr>
        <w:t xml:space="preserve">The Exchange Notes will be issued only in fully registered form without coupons, in minimum denominations of $2,000 with integral multiples of $1,000 in excess thereof. </w:t>
      </w:r>
    </w:p>
    <w:p>
      <w:pPr>
        <w:pStyle w:val="TextBody"/>
        <w:bidi w:val="0"/>
        <w:spacing w:before="240" w:after="0"/>
        <w:jc w:val="left"/>
        <w:rPr>
          <w:rFonts w:ascii="Times New Roman" w:hAnsi="Times New Roman"/>
          <w:sz w:val="20"/>
        </w:rPr>
      </w:pPr>
      <w:r>
        <w:rPr>
          <w:rFonts w:ascii="Times New Roman" w:hAnsi="Times New Roman"/>
          <w:sz w:val="20"/>
        </w:rPr>
        <w:t xml:space="preserve">The Exchange Notes will be senior unsecured obligations of the Issuer and rank equal in right of payment with all of the Issuer’s other existing and future senior unsecured indebtedness. The Exchange Notes will rank senior in right of payment to all of the Issuer’s existing and future subordinated indebtedness, and effectively subordinated in right of payment to the Issuer’s existing and future secured obligations, to the extent of the assets securing such obligations. </w:t>
      </w:r>
    </w:p>
    <w:p>
      <w:pPr>
        <w:pStyle w:val="TextBody"/>
        <w:bidi w:val="0"/>
        <w:spacing w:before="240" w:after="0"/>
        <w:jc w:val="left"/>
        <w:rPr>
          <w:rFonts w:ascii="Times New Roman" w:hAnsi="Times New Roman"/>
          <w:sz w:val="20"/>
        </w:rPr>
      </w:pPr>
      <w:r>
        <w:rPr>
          <w:rFonts w:ascii="Times New Roman" w:hAnsi="Times New Roman"/>
          <w:sz w:val="20"/>
        </w:rPr>
        <w:t xml:space="preserve">As of August 2, 2026, (i) the Issuer had approximately $55,796 million aggregate principal amount of indebtedness for borrowed money, and (ii) the Issuer’s subsidiaries had approximately $5,283 million aggregate principal amount of unsecured indebtedness for borrowed money outstanding (excluding intercompany indebtedness), of which $777 million is guaranteed by the Issuer, and all of which indebtedness for borrowed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money of such subsidiaries would be structurally senior to the Exchange Notes with respect to claims on the assets and cash flows of the Issuer’s subsidiaries. The Exchange Notes will not be guaranteed by any of our subsidiaries and thus will rank structurally subordinated in right of payment to all existing or future indebtedness or other liabilities, including trade payables, of our subsidiaries. </w:t>
      </w:r>
    </w:p>
    <w:p>
      <w:pPr>
        <w:pStyle w:val="TextBody"/>
        <w:bidi w:val="0"/>
        <w:spacing w:before="240" w:after="0"/>
        <w:jc w:val="left"/>
        <w:rPr>
          <w:rFonts w:ascii="Times New Roman" w:hAnsi="Times New Roman"/>
          <w:sz w:val="20"/>
        </w:rPr>
      </w:pPr>
      <w:r>
        <w:rPr>
          <w:rFonts w:ascii="Times New Roman" w:hAnsi="Times New Roman"/>
          <w:sz w:val="20"/>
        </w:rPr>
        <w:t xml:space="preserve">The Exchange Notes will not be subject to, and will not have the benefit of, any sinking fund. </w:t>
      </w:r>
    </w:p>
    <w:p>
      <w:pPr>
        <w:pStyle w:val="TextBody"/>
        <w:bidi w:val="0"/>
        <w:spacing w:before="240" w:after="0"/>
        <w:jc w:val="left"/>
        <w:rPr>
          <w:rFonts w:ascii="Times New Roman" w:hAnsi="Times New Roman"/>
          <w:sz w:val="20"/>
        </w:rPr>
      </w:pPr>
      <w:r>
        <w:rPr>
          <w:rFonts w:ascii="Times New Roman" w:hAnsi="Times New Roman"/>
          <w:sz w:val="20"/>
        </w:rPr>
        <w:t xml:space="preserve">The Exchange Notes bear interest at a fixed rate per year of 4.926%, starting on May 15, 2026 and ending May 15, 2037. Interest on the Exchange Notes will be payable semiannually on May 15 and November 15, starting on November 15, 2026. All payments of interest on the Exchange Notes will be made to the persons in whose names the Exchange Notes are registered on the May 1 or November 1 immediately preceding the applicable interest payment date. </w:t>
      </w:r>
    </w:p>
    <w:p>
      <w:pPr>
        <w:pStyle w:val="TextBody"/>
        <w:bidi w:val="0"/>
        <w:spacing w:before="240" w:after="0"/>
        <w:jc w:val="left"/>
        <w:rPr>
          <w:rFonts w:ascii="Times New Roman" w:hAnsi="Times New Roman"/>
          <w:sz w:val="20"/>
        </w:rPr>
      </w:pPr>
      <w:r>
        <w:rPr>
          <w:rFonts w:ascii="Times New Roman" w:hAnsi="Times New Roman"/>
          <w:sz w:val="20"/>
        </w:rPr>
        <w:t xml:space="preserve">Interest on the Exchange Notes will be calculated on the basis of a 360-day year comprised of twelve 30-day months. All dollar amounts resulting from this calculation are rounded to the nearest cent. </w:t>
      </w:r>
    </w:p>
    <w:p>
      <w:pPr>
        <w:pStyle w:val="TextBody"/>
        <w:bidi w:val="0"/>
        <w:spacing w:before="240" w:after="0"/>
        <w:jc w:val="left"/>
        <w:rPr>
          <w:rFonts w:ascii="Times New Roman" w:hAnsi="Times New Roman"/>
          <w:sz w:val="20"/>
        </w:rPr>
      </w:pPr>
      <w:r>
        <w:rPr>
          <w:rFonts w:ascii="Times New Roman" w:hAnsi="Times New Roman"/>
          <w:sz w:val="20"/>
        </w:rPr>
        <w:t xml:space="preserve">The Exchange Notes will be evidenced by one or more global notes deposited with a custodian for, and registered in the name of Cede &amp; Co, as nominee of DTC. Except as described herein, beneficial interests in the global notes are shown on, and transfers thereof are effected only through, records maintained by DTC and its direct and indirect participants. We do not intend to list the Exchange Notes on any national securities exchange or include the Exchange Notes in any automated quotation system. </w:t>
      </w:r>
    </w:p>
    <w:p>
      <w:pPr>
        <w:pStyle w:val="TextBody"/>
        <w:bidi w:val="0"/>
        <w:spacing w:before="240" w:after="0"/>
        <w:jc w:val="left"/>
        <w:rPr>
          <w:rFonts w:ascii="Times New Roman" w:hAnsi="Times New Roman"/>
          <w:sz w:val="20"/>
        </w:rPr>
      </w:pPr>
      <w:r>
        <w:rPr>
          <w:rFonts w:ascii="Times New Roman" w:hAnsi="Times New Roman"/>
          <w:sz w:val="20"/>
        </w:rPr>
        <w:t xml:space="preserve">Payments of principal of and interest on the Exchange Notes issued in book-entry form are made as described below under “—Book-Entry, Delivery and Form—Depositary Procedures.” Payments of principal of and interest on the Exchange Notes issued in definitive form, if any, are made as described below under “—Book-Entry, Delivery and Form—Payment and Paying Agents.” </w:t>
      </w:r>
    </w:p>
    <w:p>
      <w:pPr>
        <w:pStyle w:val="TextBody"/>
        <w:bidi w:val="0"/>
        <w:spacing w:before="240" w:after="0"/>
        <w:jc w:val="left"/>
        <w:rPr>
          <w:rFonts w:ascii="Times New Roman" w:hAnsi="Times New Roman"/>
          <w:sz w:val="20"/>
        </w:rPr>
      </w:pPr>
      <w:r>
        <w:rPr>
          <w:rFonts w:ascii="Times New Roman" w:hAnsi="Times New Roman"/>
          <w:sz w:val="20"/>
        </w:rPr>
        <w:t xml:space="preserve">Interest payable on any interest payment date or the maturity date is the amount of interest accrued from, and including, the next preceding interest payment date in respect of which interest has been paid or duly provided for (or from and including the issue date, if no interest has been paid or duly provided for with respect to the Exchange Notes) to, but excluding, such interest payment date or maturity date, as the case may be. If an interest payment date or the maturity date falls on a day that is not a Business Day (as defined below), the related payment of principal or interest will be made on the next succeeding Business Day as if made on the date the payment was due. No interest will accrue on such payment for the period from and after such interest payment date or the maturity date, as the case may be, to the date of such payment on the next succeeding Business Day. </w:t>
      </w:r>
    </w:p>
    <w:p>
      <w:pPr>
        <w:pStyle w:val="TextBody"/>
        <w:bidi w:val="0"/>
        <w:spacing w:before="240" w:after="0"/>
        <w:jc w:val="left"/>
        <w:rPr>
          <w:rFonts w:ascii="Times New Roman" w:hAnsi="Times New Roman"/>
          <w:sz w:val="20"/>
        </w:rPr>
      </w:pPr>
      <w:r>
        <w:rPr>
          <w:rFonts w:ascii="Times New Roman" w:hAnsi="Times New Roman"/>
          <w:sz w:val="20"/>
        </w:rPr>
        <w:t xml:space="preserve">We may, without notice to or consent of the holders or beneficial owners of the Exchange Notes, issue additional Exchange Notes having the same ranking, interest rate, maturity and/or other terms as the Exchange Notes offered hereby (except for the issue price, the date of issuance and, in certain circumstances, the date interest begins to accrue and the first interest payment date). Any additional Exchange Notes issued would be considered part of the same series under the Indenture as the Exchange Notes offered hereby and may (but are not required to) bear the same CUSIP number as the Exchange Notes offered hereby; provided that if the additional Exchange Notes are not fungible with the Exchange Notes for United States federal income tax purposes, the additional Exchange Notes will have a separate CUSIP number. Unless the context otherwise requires, references to “Exchange Notes” for all purposes under the Indenture and this description include any additional Exchange Notes that may be issued. </w:t>
      </w:r>
    </w:p>
    <w:p>
      <w:pPr>
        <w:pStyle w:val="TextBody"/>
        <w:bidi w:val="0"/>
        <w:spacing w:before="240" w:after="0"/>
        <w:jc w:val="left"/>
        <w:rPr>
          <w:rFonts w:ascii="Times New Roman" w:hAnsi="Times New Roman"/>
          <w:sz w:val="20"/>
        </w:rPr>
      </w:pPr>
      <w:r>
        <w:rPr>
          <w:rFonts w:ascii="Times New Roman" w:hAnsi="Times New Roman"/>
          <w:sz w:val="20"/>
        </w:rPr>
        <w:t xml:space="preserve">The Indenture does not contain any provisions that would limit the Issuer’s ability to incur additional unsecured indebtedness or require the maintenance of financial ratios or specified levels of net worth or liquidity. </w:t>
      </w:r>
    </w:p>
    <w:p>
      <w:pPr>
        <w:pStyle w:val="TextBody"/>
        <w:bidi w:val="0"/>
        <w:spacing w:before="360" w:after="0"/>
        <w:jc w:val="left"/>
        <w:rPr>
          <w:rFonts w:ascii="Times New Roman" w:hAnsi="Times New Roman"/>
          <w:b/>
          <w:sz w:val="20"/>
        </w:rPr>
      </w:pPr>
      <w:r>
        <w:rPr>
          <w:rFonts w:ascii="Times New Roman" w:hAnsi="Times New Roman"/>
          <w:b/>
          <w:sz w:val="20"/>
        </w:rPr>
        <w:t xml:space="preserve">Guarantees </w:t>
      </w:r>
    </w:p>
    <w:p>
      <w:pPr>
        <w:pStyle w:val="TextBody"/>
        <w:bidi w:val="0"/>
        <w:spacing w:before="120" w:after="0"/>
        <w:jc w:val="left"/>
        <w:rPr>
          <w:rFonts w:ascii="Times New Roman" w:hAnsi="Times New Roman"/>
          <w:sz w:val="20"/>
        </w:rPr>
      </w:pPr>
      <w:r>
        <w:rPr>
          <w:rFonts w:ascii="Times New Roman" w:hAnsi="Times New Roman"/>
          <w:sz w:val="20"/>
        </w:rPr>
        <w:t xml:space="preserve">The Outstanding Notes are not, and the Exchange Notes will not be, guaranteed.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Optional Redemption </w:t>
      </w:r>
    </w:p>
    <w:p>
      <w:pPr>
        <w:pStyle w:val="TextBody"/>
        <w:bidi w:val="0"/>
        <w:spacing w:before="120" w:after="0"/>
        <w:jc w:val="left"/>
        <w:rPr>
          <w:rFonts w:ascii="Times New Roman" w:hAnsi="Times New Roman"/>
          <w:b/>
          <w:i/>
          <w:sz w:val="20"/>
        </w:rPr>
      </w:pPr>
      <w:r>
        <w:rPr>
          <w:rFonts w:ascii="Times New Roman" w:hAnsi="Times New Roman"/>
          <w:b/>
          <w:i/>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Prior to February 15, 2037 (three months prior to maturity) (the “Par Call Date”), the Issuer may redeem the Exchange Notes at its option, in whole or in part, at any time and from time to time, at a redemption price (expressed as a percentage of principal amount and rounded to three decimal places) equal to the greater of: </w:t>
      </w:r>
    </w:p>
    <w:p>
      <w:pPr>
        <w:pStyle w:val="TextBody"/>
        <w:bidi w:val="0"/>
        <w:spacing w:before="120" w:after="0"/>
        <w:jc w:val="left"/>
        <w:rPr>
          <w:rFonts w:ascii="Times New Roman" w:hAnsi="Times New Roman"/>
          <w:sz w:val="20"/>
        </w:rPr>
      </w:pPr>
      <w:r>
        <w:rPr>
          <w:rFonts w:ascii="Times New Roman" w:hAnsi="Times New Roman"/>
          <w:sz w:val="20"/>
        </w:rPr>
        <w:t xml:space="preserve">(1)(a) the sum of the present values of the remaining scheduled payments of principal and interest thereon discounted to the redemption date (assuming the Exchange Notes matured on the Par Call Date) on a semi-annual basis (assuming a 360-day year consisting of twelve 30-day months) at the Treasury Rate plus 35 basis points less (b) interest accrued to the date of redemption, and </w:t>
      </w:r>
    </w:p>
    <w:p>
      <w:pPr>
        <w:pStyle w:val="TextBody"/>
        <w:bidi w:val="0"/>
        <w:spacing w:before="240" w:after="0"/>
        <w:jc w:val="left"/>
        <w:rPr>
          <w:rFonts w:ascii="Times New Roman" w:hAnsi="Times New Roman"/>
          <w:sz w:val="20"/>
        </w:rPr>
      </w:pPr>
      <w:r>
        <w:rPr>
          <w:rFonts w:ascii="Times New Roman" w:hAnsi="Times New Roman"/>
          <w:sz w:val="20"/>
        </w:rPr>
        <w:t xml:space="preserve">(2) 100% of the principal amount of such Exchange Notes to be redeemed, </w:t>
      </w:r>
    </w:p>
    <w:p>
      <w:pPr>
        <w:pStyle w:val="TextBody"/>
        <w:bidi w:val="0"/>
        <w:spacing w:before="240" w:after="0"/>
        <w:jc w:val="left"/>
        <w:rPr>
          <w:rFonts w:ascii="Times New Roman" w:hAnsi="Times New Roman"/>
          <w:sz w:val="20"/>
        </w:rPr>
      </w:pPr>
      <w:r>
        <w:rPr>
          <w:rFonts w:ascii="Times New Roman" w:hAnsi="Times New Roman"/>
          <w:sz w:val="20"/>
        </w:rPr>
        <w:t xml:space="preserve">plus, in either case, accrued and unpaid interest thereon to, but excluding, the redemption date. The Trustee has no duty to calculate or verify the calculation of the redemption price. </w:t>
      </w:r>
    </w:p>
    <w:p>
      <w:pPr>
        <w:pStyle w:val="TextBody"/>
        <w:bidi w:val="0"/>
        <w:spacing w:before="240" w:after="0"/>
        <w:jc w:val="left"/>
        <w:rPr>
          <w:rFonts w:ascii="Times New Roman" w:hAnsi="Times New Roman"/>
          <w:sz w:val="20"/>
        </w:rPr>
      </w:pPr>
      <w:r>
        <w:rPr>
          <w:rFonts w:ascii="Times New Roman" w:hAnsi="Times New Roman"/>
          <w:sz w:val="20"/>
        </w:rPr>
        <w:t xml:space="preserve">On or after the Par Call Date, the Issuer may redeem the Exchange Notes, in whole or in part, at any time and from time to time, at a redemption price equal to 100% of the principal amount of such Exchange Notes being redeemed plus accrued and unpaid interest thereon to, but excluding, the redemption date. </w:t>
      </w:r>
    </w:p>
    <w:p>
      <w:pPr>
        <w:pStyle w:val="TextBody"/>
        <w:bidi w:val="0"/>
        <w:spacing w:before="360" w:after="0"/>
        <w:jc w:val="left"/>
        <w:rPr>
          <w:rFonts w:ascii="Times New Roman" w:hAnsi="Times New Roman"/>
          <w:i/>
          <w:sz w:val="20"/>
        </w:rPr>
      </w:pPr>
      <w:r>
        <w:rPr>
          <w:rFonts w:ascii="Times New Roman" w:hAnsi="Times New Roman"/>
          <w:i/>
          <w:sz w:val="20"/>
        </w:rPr>
        <w:t xml:space="preserve">Definitions </w:t>
      </w:r>
    </w:p>
    <w:p>
      <w:pPr>
        <w:pStyle w:val="TextBody"/>
        <w:bidi w:val="0"/>
        <w:spacing w:before="120" w:after="0"/>
        <w:jc w:val="left"/>
        <w:rPr/>
      </w:pPr>
      <w:r>
        <w:rPr/>
        <w:t>“</w:t>
      </w:r>
      <w:r>
        <w:rPr>
          <w:rFonts w:ascii="Times New Roman" w:hAnsi="Times New Roman"/>
          <w:sz w:val="20"/>
        </w:rPr>
        <w:t xml:space="preserve">Business Day” means, unless otherwise provided, any day except a Saturday, Sunday or a legal holiday in The City of New York or a place of payment on which banking institutions are authorized or required by law, regulation or executive order to close. </w:t>
      </w:r>
    </w:p>
    <w:p>
      <w:pPr>
        <w:pStyle w:val="TextBody"/>
        <w:bidi w:val="0"/>
        <w:spacing w:before="240" w:after="0"/>
        <w:jc w:val="left"/>
        <w:rPr/>
      </w:pPr>
      <w:r>
        <w:rPr/>
        <w:t>“</w:t>
      </w:r>
      <w:r>
        <w:rPr>
          <w:rFonts w:ascii="Times New Roman" w:hAnsi="Times New Roman"/>
          <w:sz w:val="20"/>
        </w:rPr>
        <w:t xml:space="preserve">Treasury Rate” means, with respect to any redemption date, the yield determined by the Issuer in accordance with the following two paragraphs. </w:t>
      </w:r>
    </w:p>
    <w:p>
      <w:pPr>
        <w:pStyle w:val="TextBody"/>
        <w:bidi w:val="0"/>
        <w:spacing w:before="240" w:after="0"/>
        <w:jc w:val="left"/>
        <w:rPr>
          <w:rFonts w:ascii="Times New Roman" w:hAnsi="Times New Roman"/>
          <w:sz w:val="20"/>
        </w:rPr>
      </w:pPr>
      <w:r>
        <w:rPr>
          <w:rFonts w:ascii="Times New Roman" w:hAnsi="Times New Roman"/>
          <w:sz w:val="20"/>
        </w:rPr>
        <w:t xml:space="preserve">The Treasury Rate shall be determined by the Issuer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(“H.15”) under the caption “U.S. government securities–Treasury constant maturities–Nominal” (or any successor caption or heading) (“H.15 TCM”). In determining the Treasury Rate, the Issuer shall select, as applicable: (1) the yield for the Treasury constant maturity on H.15 exactly equal to the period from the redemption date to the Par Call Date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If on the third Business Day preceding the redemption date H.15 TCM is no longer published, the Issuer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States Treasury securities with a maturity date equally distant from the Par Call Date, one with a maturity date preceding the Par Call Date and one with a maturity date following the Par Call Date, the Issuer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Issuer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 </w:t>
      </w:r>
    </w:p>
    <w:p>
      <w:pPr>
        <w:pStyle w:val="TextBody"/>
        <w:bidi w:val="0"/>
        <w:spacing w:before="240" w:after="0"/>
        <w:jc w:val="left"/>
        <w:rPr>
          <w:rFonts w:ascii="Times New Roman" w:hAnsi="Times New Roman"/>
          <w:sz w:val="20"/>
        </w:rPr>
      </w:pPr>
      <w:r>
        <w:rPr>
          <w:rFonts w:ascii="Times New Roman" w:hAnsi="Times New Roman"/>
          <w:sz w:val="20"/>
        </w:rPr>
        <w:t xml:space="preserve">The Issuer’s actions and determinations in determining the redemption price shall be conclusive and binding for all purposes, absent manifest error. </w:t>
      </w:r>
    </w:p>
    <w:p>
      <w:pPr>
        <w:pStyle w:val="TextBody"/>
        <w:bidi w:val="0"/>
        <w:spacing w:before="240" w:after="0"/>
        <w:jc w:val="left"/>
        <w:rPr>
          <w:rFonts w:ascii="Times New Roman" w:hAnsi="Times New Roman"/>
          <w:sz w:val="20"/>
        </w:rPr>
      </w:pPr>
      <w:r>
        <w:rPr>
          <w:rFonts w:ascii="Times New Roman" w:hAnsi="Times New Roman"/>
          <w:sz w:val="20"/>
        </w:rPr>
        <w:t xml:space="preserve">Except as described above, the Exchange Notes will not be redeemable by us prior to maturity. </w:t>
      </w:r>
    </w:p>
    <w:p>
      <w:pPr>
        <w:pStyle w:val="TextBody"/>
        <w:bidi w:val="0"/>
        <w:spacing w:before="360" w:after="0"/>
        <w:jc w:val="left"/>
        <w:rPr>
          <w:rFonts w:ascii="Times New Roman" w:hAnsi="Times New Roman"/>
          <w:b/>
          <w:i/>
          <w:sz w:val="20"/>
        </w:rPr>
      </w:pPr>
      <w:r>
        <w:rPr>
          <w:rFonts w:ascii="Times New Roman" w:hAnsi="Times New Roman"/>
          <w:b/>
          <w:i/>
          <w:sz w:val="20"/>
        </w:rPr>
        <w:t xml:space="preserve">Selection and Notice of Redemption </w:t>
      </w:r>
    </w:p>
    <w:p>
      <w:pPr>
        <w:pStyle w:val="TextBody"/>
        <w:bidi w:val="0"/>
        <w:spacing w:before="120" w:after="0"/>
        <w:jc w:val="left"/>
        <w:rPr>
          <w:rFonts w:ascii="Times New Roman" w:hAnsi="Times New Roman"/>
          <w:sz w:val="20"/>
        </w:rPr>
      </w:pPr>
      <w:r>
        <w:rPr>
          <w:rFonts w:ascii="Times New Roman" w:hAnsi="Times New Roman"/>
          <w:sz w:val="20"/>
        </w:rPr>
        <w:t xml:space="preserve">The notice of redemption will state the amount of Exchange Notes to be redeemed and the redemption date. At our request given at least five Business Days prior to the date such notice is to be sent, the Trustee shall give the notice of redemption in our name. In the event that we choose to redeem less than all of the Exchange Notes, selection of the Exchange Notes for redemption will be made by the Trustee pro rata, by lot or by such method as the Trustee shall deem fair and appropriate (and in the case of global notes, in accordance with the applicable procedures of DTC). </w:t>
      </w:r>
    </w:p>
    <w:p>
      <w:pPr>
        <w:pStyle w:val="TextBody"/>
        <w:bidi w:val="0"/>
        <w:spacing w:before="240" w:after="0"/>
        <w:jc w:val="left"/>
        <w:rPr>
          <w:rFonts w:ascii="Times New Roman" w:hAnsi="Times New Roman"/>
          <w:sz w:val="20"/>
        </w:rPr>
      </w:pPr>
      <w:r>
        <w:rPr>
          <w:rFonts w:ascii="Times New Roman" w:hAnsi="Times New Roman"/>
          <w:sz w:val="20"/>
        </w:rPr>
        <w:t xml:space="preserve">Notice of any redemption of Exchange Notes may, at the Issuer’s discretion, be subject to one or more conditions precedent with respect to completion of a corporate transaction (including, but not limited to, any merger, acquisition, disposition, asset sale or corporate restructuring or reorganization) or financing (including, but not limited to, any incurrence of indebtedness (or entering into a commitment with respect thereto), sale and leaseback transaction, issuance of securities, equity offering or contribution, liability management transaction or other capital raise) and may be given prior to the completion thereof. If such redemption or purchase is so subject to satisfaction of one or more conditions precedent, such notice shall describe each such condition, and such notice may be rescinded in the event that any or all such conditions shall not have been satisfied by the redemption date. In addition, the Issuer may provide in such notice that payment of the redemption price and performance of the Issuer’s obligations with respect to such redemption may be performed by another person. </w:t>
      </w:r>
    </w:p>
    <w:p>
      <w:pPr>
        <w:pStyle w:val="TextBody"/>
        <w:bidi w:val="0"/>
        <w:spacing w:before="240" w:after="0"/>
        <w:jc w:val="left"/>
        <w:rPr>
          <w:rFonts w:ascii="Times New Roman" w:hAnsi="Times New Roman"/>
          <w:sz w:val="20"/>
        </w:rPr>
      </w:pPr>
      <w:r>
        <w:rPr>
          <w:rFonts w:ascii="Times New Roman" w:hAnsi="Times New Roman"/>
          <w:sz w:val="20"/>
        </w:rPr>
        <w:t xml:space="preserve">No Exchange Notes of a principal amount of $2,000 or less shall be redeemed in part. Notice of redemption will be delivered at least 10 but not more than 60 days before the redemption date to each registered holder of Exchange Notes to be redeemed. Unless we default in payment of the redemption price, on and after the redemption date, interest will cease to accrue on Exchange Notes or portions thereof called for redemption. Additionally, at any time, we may repurchase Exchange Notes in the open market and may hold such Exchange Notes or surrender such Exchange Notes to the Trustee for cancellation. </w:t>
      </w:r>
    </w:p>
    <w:p>
      <w:pPr>
        <w:pStyle w:val="TextBody"/>
        <w:bidi w:val="0"/>
        <w:spacing w:before="360" w:after="0"/>
        <w:jc w:val="left"/>
        <w:rPr>
          <w:rFonts w:ascii="Times New Roman" w:hAnsi="Times New Roman"/>
          <w:b/>
          <w:sz w:val="20"/>
        </w:rPr>
      </w:pPr>
      <w:r>
        <w:rPr>
          <w:rFonts w:ascii="Times New Roman" w:hAnsi="Times New Roman"/>
          <w:b/>
          <w:sz w:val="20"/>
        </w:rPr>
        <w:t xml:space="preserve">Redemption for Taxation Reasons </w:t>
      </w:r>
    </w:p>
    <w:p>
      <w:pPr>
        <w:pStyle w:val="TextBody"/>
        <w:bidi w:val="0"/>
        <w:spacing w:before="120" w:after="0"/>
        <w:jc w:val="left"/>
        <w:rPr>
          <w:rFonts w:ascii="Times New Roman" w:hAnsi="Times New Roman"/>
          <w:sz w:val="20"/>
        </w:rPr>
      </w:pPr>
      <w:r>
        <w:rPr>
          <w:rFonts w:ascii="Times New Roman" w:hAnsi="Times New Roman"/>
          <w:sz w:val="20"/>
        </w:rPr>
        <w:t xml:space="preserve">A non-U.S. Payor (as defined under “—Additional Amounts”) may redeem the Exchange Notes, at its option, in whole, but not in part, at a redemption price equal to 100% of the principal amount thereof, upon not less than 10 nor more than 60 days’ prior notice to the holders of Exchange Notes (which notice shall be irrevocable), together with accrued and unpaid interest, if any, to (but not including) the date fixed for redemption (a “Tax Redemption Date”) (subject to the right of holders of record on the relevant record date to receive interest due on the relevant interest payment date falling prior to the Tax Redemption Date) and 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Additional Amounts (as defined under “—Additional Amounts”), if any, then due or that will become due on the Tax Redemption Date as a result of the redemption or otherwise, if any, if the non-U.S. Payor determines in good faith that, as a result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change in, or amendment to, the law or treaties (or any regulations, protocols or rulings promulgated thereunder) of a Relevant Taxing Jurisdiction (as defined under “—Additional Amounts”) affecting taxation;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change in, or amendment to, an official position or the introduction of an official position regarding the application, administration or interpretation of such laws, treaties, regulations, protocols or rulings (including a holding, judgment or order by a government agency or court of competent jurisdiction or a change in published administrative practice) (each of the foregoing in clauses (1) and (2), a “Change in Tax Law”),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non-U.S. Payor is, or on the next date on which any amount would be payable in respect of the Exchange Notes would be, required to pay any Additional Amounts with respect to the Exchange Notes, and such obligation cannot be avoided by taking reasonable measures available to the non-U.S. Payor (including the appointment of a new paying agent). </w:t>
      </w:r>
    </w:p>
    <w:p>
      <w:pPr>
        <w:pStyle w:val="TextBody"/>
        <w:bidi w:val="0"/>
        <w:spacing w:before="240" w:after="0"/>
        <w:jc w:val="left"/>
        <w:rPr>
          <w:rFonts w:ascii="Times New Roman" w:hAnsi="Times New Roman"/>
          <w:sz w:val="20"/>
        </w:rPr>
      </w:pPr>
      <w:r>
        <w:rPr>
          <w:rFonts w:ascii="Times New Roman" w:hAnsi="Times New Roman"/>
          <w:sz w:val="20"/>
        </w:rPr>
        <w:t xml:space="preserve">In the case of any non-U.S. Payor, the Change in Tax Law must become effective after the date the applicable Relevant Taxing Jurisdiction becomes a Relevant Taxing Jurisdiction. Notwithstanding the foregoing, no such notice of redemption will be given earlier than 90 days prior to the earliest date on which the non-U.S. Payor would be obligated to make such payment of Additional Amounts. Prior to the publication, mailing or delivery of any notice of redemption of the Exchange Notes pursuant to the foregoing, the non-U.S. Payor will deliver to the Trustee (a) an officer’s certificate stating that it is entitled to effect such redemption and setting forth a statement of facts showing that the conditions precedent to its right so to redeem have been satisfied and (b) an opinion of an independent tax counsel of recognized standing to the effect that the non-U.S. Payor would be obligated to pay Additional Amounts as a result of a Change in Tax Law. The Trustee will accept such officer’s certificate and opinion as sufficient evidence of the satisfaction of the conditions precedent described above, in which event it will be conclusive and binding on the holders. </w:t>
      </w:r>
    </w:p>
    <w:p>
      <w:pPr>
        <w:pStyle w:val="TextBody"/>
        <w:bidi w:val="0"/>
        <w:spacing w:before="240" w:after="0"/>
        <w:jc w:val="left"/>
        <w:rPr>
          <w:rFonts w:ascii="Times New Roman" w:hAnsi="Times New Roman"/>
          <w:sz w:val="20"/>
        </w:rPr>
      </w:pPr>
      <w:r>
        <w:rPr>
          <w:rFonts w:ascii="Times New Roman" w:hAnsi="Times New Roman"/>
          <w:sz w:val="20"/>
        </w:rPr>
        <w:t xml:space="preserve">The foregoing provisions will apply </w:t>
      </w:r>
      <w:r>
        <w:rPr>
          <w:rFonts w:ascii="Times New Roman" w:hAnsi="Times New Roman"/>
          <w:i/>
          <w:sz w:val="20"/>
        </w:rPr>
        <w:t xml:space="preserve">mutatis mutandis </w:t>
      </w:r>
      <w:r>
        <w:rPr>
          <w:rFonts w:ascii="Times New Roman" w:hAnsi="Times New Roman"/>
          <w:sz w:val="20"/>
        </w:rPr>
        <w:t xml:space="preserve">to the laws and official positions of any jurisdiction in which any successor to a non-U.S. Payor is organized or otherwise considered to be a resident for tax purposes or any political subdivision or taxing authority or agency thereof or therein. The foregoing provisions will survive any termination, defeasance or discharge of the Indenture. </w:t>
      </w:r>
    </w:p>
    <w:p>
      <w:pPr>
        <w:pStyle w:val="TextBody"/>
        <w:bidi w:val="0"/>
        <w:spacing w:before="360" w:after="0"/>
        <w:jc w:val="left"/>
        <w:rPr>
          <w:rFonts w:ascii="Times New Roman" w:hAnsi="Times New Roman"/>
          <w:b/>
          <w:sz w:val="20"/>
        </w:rPr>
      </w:pPr>
      <w:r>
        <w:rPr>
          <w:rFonts w:ascii="Times New Roman" w:hAnsi="Times New Roman"/>
          <w:b/>
          <w:sz w:val="20"/>
        </w:rPr>
        <w:t xml:space="preserve">Additional Amounts </w:t>
      </w:r>
    </w:p>
    <w:p>
      <w:pPr>
        <w:pStyle w:val="TextBody"/>
        <w:bidi w:val="0"/>
        <w:spacing w:before="120" w:after="0"/>
        <w:jc w:val="left"/>
        <w:rPr>
          <w:rFonts w:ascii="Times New Roman" w:hAnsi="Times New Roman"/>
          <w:sz w:val="20"/>
        </w:rPr>
      </w:pPr>
      <w:r>
        <w:rPr>
          <w:rFonts w:ascii="Times New Roman" w:hAnsi="Times New Roman"/>
          <w:sz w:val="20"/>
        </w:rPr>
        <w:t xml:space="preserve">After the occurrence of a Non-U.S. Domicile Transaction (as defined below) with respect to the Issuer or any successor in interest to the Issuer, all payments made by the successor person resulting from the Non-U.S. Domicile Transaction (each such successor person resulting from a Non-U.S. Domicile Transaction, a “non-U.S. Payor”) on or with respect to the Exchange Notes will be made without withholding or deduction for, or on account of, any present or future tax, duty, levy, impost, assessment or other similar governmental charge (collectively, “Taxes”) unless such withholding or deduction is required by law or by the interpretation or administration of law. If any deduction or withholding for, or on account of, any Taxes imposed or levied by or on behalf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jurisdiction (other than the United States or any political subdivision or governmental authority thereof or therein having power to tax) from or through which payment on the Exchange Notes is made by or on behalf of a non-U.S. Payor, or any political subdivision or governmental authority thereof or therein having the power to tax;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jurisdiction (other than the United States or any political subdivision or governmental authority thereof or therein having the power to tax) in which a non-U.S. Payor that makes a payment on the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3"/>
        <w:gridCol w:w="9292"/>
      </w:tblGrid>
      <w:tr>
        <w:trPr/>
        <w:tc>
          <w:tcPr>
            <w:tcW w:w="913" w:type="dxa"/>
            <w:tcBorders/>
            <w:vAlign w:val="center"/>
          </w:tcPr>
          <w:p>
            <w:pPr>
              <w:pStyle w:val="TableContents"/>
              <w:bidi w:val="0"/>
              <w:spacing w:before="0" w:after="283"/>
              <w:jc w:val="left"/>
              <w:rPr/>
            </w:pPr>
            <w:r>
              <w:rPr/>
              <w:t> </w:t>
            </w:r>
          </w:p>
        </w:tc>
        <w:tc>
          <w:tcPr>
            <w:tcW w:w="9292" w:type="dxa"/>
            <w:tcBorders/>
          </w:tcPr>
          <w:p>
            <w:pPr>
              <w:pStyle w:val="TableContents"/>
              <w:bidi w:val="0"/>
              <w:spacing w:before="0" w:after="283"/>
              <w:jc w:val="left"/>
              <w:rPr/>
            </w:pPr>
            <w:r>
              <w:rPr/>
              <w:t xml:space="preserve">Exchange Notes is organized or otherwise considered to be a resident for tax purposes, or any political subdivision or governmental authority thereof or therein having the power to tax </w:t>
            </w:r>
          </w:p>
        </w:tc>
      </w:tr>
    </w:tbl>
    <w:p>
      <w:pPr>
        <w:pStyle w:val="TextBody"/>
        <w:bidi w:val="0"/>
        <w:spacing w:before="240" w:after="0"/>
        <w:jc w:val="left"/>
        <w:rPr>
          <w:rFonts w:ascii="Times New Roman" w:hAnsi="Times New Roman"/>
          <w:sz w:val="20"/>
        </w:rPr>
      </w:pPr>
      <w:r>
        <w:rPr>
          <w:rFonts w:ascii="Times New Roman" w:hAnsi="Times New Roman"/>
          <w:sz w:val="20"/>
        </w:rPr>
        <w:t xml:space="preserve">(each of clauses (1) and (2), a “Relevant Taxing Jurisdiction”), will at any time be required from any payments made with respect to the Exchange Notes, including payments of principal, redemption price, interest or premium, if any, the non-U.S. Payor will pay (together with such payments) such additional amounts (the “Additional Amounts”) as may be necessary in order that the net amounts received in respect of such payments by the holder after such withholding or deduction (including any such deduction or withholding from such Additional Amounts), will not be less than the amounts that would have been received in respect of such payments on the Exchange Notes in the absence of such withholding or deduction; provided, however, that no such Additional Amounts will be payable for or on account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Taxes that would not have been so imposed or levied but for the existence of any present or former connection between the relevant holder (or between a fiduciary, settlor, beneficiary, partner, member or shareholder of, or possessor of power over, the relevant holder, if such holder is an estate, nominee, trust, partnership, limited liability company or corporation) and the Relevant Taxing Jurisdiction (including being a citizen or resident or national of, or carrying on a business or maintaining a permanent establishment in, or being physically present in, the Relevant Taxing Jurisdiction) but excluding, in each case, any connection arising solely from the acquisition, ownership or holding of such Exchange Notes or the enforcement or receipt of any payment in respect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Taxes that would not have been so imposed or levied if the holder of the Exchange Note had complied with a reasonable request in writing of the non-U.S. Payor (such request being made at a time that would enable such holder acting reasonably to comply with that request) to make a declaration of nonresidence or any other claim or filing or satisfy any certification, identification, information or reporting requirement for exemption from, or reduction in the rate of, withholding to which it is entitled (provided that such declaration of nonresidence or other claim, filing or requirement is required by the applicable law, treaty, regulation or official administrative practice of the Relevant Taxing Jurisdiction as a precondition to exemption from, or reduction in the rate of deduction or withholding of, any such Taxes);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Taxes that are payable otherwise than by withholding from a payment on or with respect to the Exchange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(4)</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estate, inheritance, gift, sales, excise, transfer, personal property or similar Taxes;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(5)</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Taxes imposed in connection with an Exchange Note presented for payment (where presentation is required for payment) by or on behalf of a holder or beneficial owner who would have been able to avoid such Tax by presenting the relevant Exchange Note to, or otherwise accepting payment from, another paying agent;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(6)</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Taxes payable under Sections 1471 through 1474 of the U.S. Internal Revenue Code of 1986, as amended (the “Code”), as of March 31, 2022 (or any amended or successor version that is substantively comparable and not materially more onerous to comply with), any current or future regulations or official interpretations thereof, any agreements entered into pursuant thereto, and any intergovernmental agreements implementing the foregoing (including any legislation or other official guidance relating to such intergovernmental agreements);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(7)</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combination of the above.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Such Additional Amounts will also not be payable (x) if the payment could have been made without such deduction or withholding if the beneficiary of the payment had presented the Exchange Note for payment (where presentation is required) within 30 days after the relevant payment was due and first made available for payment to the holder (provided that notice of such payment is given to the holders), except to the extent that the holder or beneficial owner or other such person would have been entitled to Additional Amounts on presenting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Exchange Note for payment on any date during such 30-day period or (y) where, had the beneficial owner of the Exchange Note been the holder of the Exchange Note, such beneficial owner would not have been entitled to payment of Additional Amounts by reason of any of clauses (1) to (7) inclusive above. </w:t>
      </w:r>
    </w:p>
    <w:p>
      <w:pPr>
        <w:pStyle w:val="TextBody"/>
        <w:bidi w:val="0"/>
        <w:spacing w:before="240" w:after="0"/>
        <w:jc w:val="left"/>
        <w:rPr>
          <w:rFonts w:ascii="Times New Roman" w:hAnsi="Times New Roman"/>
          <w:sz w:val="20"/>
        </w:rPr>
      </w:pPr>
      <w:r>
        <w:rPr>
          <w:rFonts w:ascii="Times New Roman" w:hAnsi="Times New Roman"/>
          <w:sz w:val="20"/>
        </w:rPr>
        <w:t xml:space="preserve">The non-U.S. Payor will (i) make or cause to be made any required withholding or deduction and (ii) remit or cause to be remitted the full amount deducted or withheld to the relevant taxing authority of the Relevant Taxing Jurisdiction in accordance with applicable law. The non-U.S. Payor will use reasonable efforts to obtain certified copies of tax receipts evidencing the payment of any Taxes so deducted or withheld from each relevant taxing authority of each Relevant Taxing Jurisdiction imposing such Taxes and will provide such certified copies to the Trustee and the holders. If, notwithstanding the efforts of such non-U.S. Payor to obtain such receipts, the same are not obtainable, such non-U.S. Payor will provide the Trustee and the holders with other reasonable evidence. </w:t>
      </w:r>
    </w:p>
    <w:p>
      <w:pPr>
        <w:pStyle w:val="TextBody"/>
        <w:bidi w:val="0"/>
        <w:spacing w:before="240" w:after="0"/>
        <w:jc w:val="left"/>
        <w:rPr>
          <w:rFonts w:ascii="Times New Roman" w:hAnsi="Times New Roman"/>
          <w:sz w:val="20"/>
        </w:rPr>
      </w:pPr>
      <w:r>
        <w:rPr>
          <w:rFonts w:ascii="Times New Roman" w:hAnsi="Times New Roman"/>
          <w:sz w:val="20"/>
        </w:rPr>
        <w:t xml:space="preserve">If any non-U.S. Payor will be obligated to pay Additional Amounts under or with respect to any payment made on the Exchange Notes, at least 30 days prior to the date of such payment, the non-U.S. Payor will deliver to the Trustee an officer’s certificate stating the fact that Additional Amounts will be payable and the amount so payable and such other information necessary to enable the paying agent to pay Additional Amounts to holders on the relevant payment date (unless such obligation to pay Additional Amounts arises less than 45 days prior to the relevant payment date, in which case the non-U.S. Payor shall deliver such officer’s certificate and such other information as promptly as practicable after the date that is 30 days prior to the payment date). The Trustee shall be entitled to rely solely on such officer’s certificate as conclusive proof that such payments are necessary. </w:t>
      </w:r>
    </w:p>
    <w:p>
      <w:pPr>
        <w:pStyle w:val="TextBody"/>
        <w:bidi w:val="0"/>
        <w:spacing w:before="240" w:after="0"/>
        <w:jc w:val="left"/>
        <w:rPr>
          <w:rFonts w:ascii="Times New Roman" w:hAnsi="Times New Roman"/>
          <w:sz w:val="20"/>
        </w:rPr>
      </w:pPr>
      <w:r>
        <w:rPr>
          <w:rFonts w:ascii="Times New Roman" w:hAnsi="Times New Roman"/>
          <w:sz w:val="20"/>
        </w:rPr>
        <w:t xml:space="preserve">Wherever in the Indenture, the Exchange Notes or this “Description of Exchange Notes” there is mention of, in any context: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payment of principal;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8"/>
        <w:gridCol w:w="9289"/>
      </w:tblGrid>
      <w:tr>
        <w:trPr/>
        <w:tc>
          <w:tcPr>
            <w:tcW w:w="408"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redemption prices or purchase prices in connection with a redemption or purchase of Exchange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interest;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(4)</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amount payable on or with respect to any of the Exchange Notes,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such reference shall be deemed to include payment of Additional Amounts as described under this heading to the extent that, in such context, Additional Amounts are, were or would be payable in respect thereof. </w:t>
      </w:r>
    </w:p>
    <w:p>
      <w:pPr>
        <w:pStyle w:val="TextBody"/>
        <w:bidi w:val="0"/>
        <w:spacing w:before="240" w:after="0"/>
        <w:jc w:val="left"/>
        <w:rPr>
          <w:rFonts w:ascii="Times New Roman" w:hAnsi="Times New Roman"/>
          <w:sz w:val="20"/>
        </w:rPr>
      </w:pPr>
      <w:r>
        <w:rPr>
          <w:rFonts w:ascii="Times New Roman" w:hAnsi="Times New Roman"/>
          <w:sz w:val="20"/>
        </w:rPr>
        <w:t xml:space="preserve">The non-U.S. Payor will pay any present or future stamp, court or documentary Taxes, or any other excise, property or similar Taxes that arise in any Relevant Taxing Jurisdiction from the execution, delivery, issuance, initial resale, registration or enforcement of any Exchange Notes, the Indenture or any other document or instrument in relation thereto (other than a transfer of the Exchange Notes). The foregoing obligations will survive any termination, defeasance or discharge of the Indenture and will apply </w:t>
      </w:r>
      <w:r>
        <w:rPr>
          <w:rFonts w:ascii="Times New Roman" w:hAnsi="Times New Roman"/>
          <w:i/>
          <w:sz w:val="20"/>
        </w:rPr>
        <w:t xml:space="preserve">mutatis mutandis </w:t>
      </w:r>
      <w:r>
        <w:rPr>
          <w:rFonts w:ascii="Times New Roman" w:hAnsi="Times New Roman"/>
          <w:sz w:val="20"/>
        </w:rPr>
        <w:t xml:space="preserve">to any jurisdiction in which any successor to a non-U.S. Payor is organized or otherwise considered to be a resident for tax purposes or any political subdivision or taxing authority or agency thereof or therein. </w:t>
      </w:r>
    </w:p>
    <w:p>
      <w:pPr>
        <w:pStyle w:val="TextBody"/>
        <w:bidi w:val="0"/>
        <w:spacing w:before="360" w:after="0"/>
        <w:jc w:val="left"/>
        <w:rPr>
          <w:rFonts w:ascii="Times New Roman" w:hAnsi="Times New Roman"/>
          <w:b/>
          <w:sz w:val="20"/>
        </w:rPr>
      </w:pPr>
      <w:r>
        <w:rPr>
          <w:rFonts w:ascii="Times New Roman" w:hAnsi="Times New Roman"/>
          <w:b/>
          <w:sz w:val="20"/>
        </w:rPr>
        <w:t xml:space="preserve">Purchase of Notes upon a Change of Control Triggering Event </w:t>
      </w:r>
    </w:p>
    <w:p>
      <w:pPr>
        <w:pStyle w:val="TextBody"/>
        <w:bidi w:val="0"/>
        <w:spacing w:before="120" w:after="0"/>
        <w:jc w:val="left"/>
        <w:rPr>
          <w:rFonts w:ascii="Times New Roman" w:hAnsi="Times New Roman"/>
          <w:sz w:val="20"/>
        </w:rPr>
      </w:pPr>
      <w:r>
        <w:rPr>
          <w:rFonts w:ascii="Times New Roman" w:hAnsi="Times New Roman"/>
          <w:sz w:val="20"/>
        </w:rPr>
        <w:t xml:space="preserve">Upon the occurrence of a Change of Control Triggering Event, unless we have exercised our option to redeem the Exchange Notes as described above under “—Optional Redemption” each holder of Exchange Notes will have the right to require that we purchase all or a portion (equal to $2,000 or an integral multiple of $1,000 in excess thereof) of such holder’s Exchange Notes pursuant to the offer described below (the “Change of Control Offer”), at a purchase price equal to 101% of the aggregate principal amount thereof plus accrued and unpaid interest, if any, to, but excluding, the date of purchase (the “Change of Control Payment”), subject to the rights of holders of Exchange Notes on the relevant record date to receive interest due on the relevant interest payment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Within 30 days following the date upon which the Change of Control Triggering Event occurred or, at our option, prior to and conditioned on the occurrence of, any Change of Control, but after public announcement of the transaction that constitutes or may constitute the Change of Control, we must deliver a notice to each holder of Exchange Notes, with a copy to the Trustee, which notice shall govern the terms of the Change of Control Offer. Such notice shall state, among other things, the purchase date, which must be no earlier than 30 days nor later than 60 days from the date such notice is sent and, if the notice is sent prior to the Change of Control, no earlier than the date of the occurrence of the Change of Control, other than as may be required by law (the “Change of Control Payment Date”). The notice will, if sent prior to the date of consummation of the Change of Control, state that the Change of Control Offer is conditioned on the Change of Control Triggering Event occurring on or prior to the Change of Control Payment Date. Holders of definitive Exchange Notes electing to have an Exchange Note repurchased pursuant to a Change of Control Offer will be required to surrender the Exchange Note, with the form entitled “Option of Holder to Elect Purchase” on the reverse of the Exchange Note completed, to the paying agent at the address specified in the notice. Holders of global notes must transfer their Exchange Notes to the paying agent by book-entry transfer pursuant to the applicable procedures of the paying agent and DTC (in the case of global notes), in each case prior to the close of business on the third Business Day prior to the Change of Control Payment Date. </w:t>
      </w:r>
    </w:p>
    <w:p>
      <w:pPr>
        <w:pStyle w:val="TextBody"/>
        <w:bidi w:val="0"/>
        <w:spacing w:before="240" w:after="0"/>
        <w:jc w:val="left"/>
        <w:rPr>
          <w:rFonts w:ascii="Times New Roman" w:hAnsi="Times New Roman"/>
          <w:sz w:val="20"/>
        </w:rPr>
      </w:pPr>
      <w:r>
        <w:rPr>
          <w:rFonts w:ascii="Times New Roman" w:hAnsi="Times New Roman"/>
          <w:sz w:val="20"/>
        </w:rPr>
        <w:t xml:space="preserve">Our ability to pay cash to the holders of Exchange Notes following the occurrence of a Change of Control Triggering Event may be limited by our then-existing financial resources and, accordingly, sufficient funds may not be available when necessary to make any required purchases. </w:t>
      </w:r>
    </w:p>
    <w:p>
      <w:pPr>
        <w:pStyle w:val="TextBody"/>
        <w:bidi w:val="0"/>
        <w:spacing w:before="240" w:after="0"/>
        <w:jc w:val="left"/>
        <w:rPr>
          <w:rFonts w:ascii="Times New Roman" w:hAnsi="Times New Roman"/>
          <w:sz w:val="20"/>
        </w:rPr>
      </w:pPr>
      <w:r>
        <w:rPr>
          <w:rFonts w:ascii="Times New Roman" w:hAnsi="Times New Roman"/>
          <w:sz w:val="20"/>
        </w:rPr>
        <w:t xml:space="preserve">We will not be required to make a Change of Control Offer if a third party makes such an offer in the manner and at the times required and otherwise in compliance with the requirements applicable to such an offer had it been made by us, and such third party purchases all Exchange Notes properly tendered and not withdrawn under its offer. In addition, we may not repurchase any Exchange Notes if there has occurred and is continuing on the Change of Control Payment Date an event of default under the Indenture, other than a default in the payment of the Change of Control Payment upon a Change of Control Triggering Event. </w:t>
      </w:r>
    </w:p>
    <w:p>
      <w:pPr>
        <w:pStyle w:val="TextBody"/>
        <w:bidi w:val="0"/>
        <w:spacing w:before="240" w:after="0"/>
        <w:jc w:val="left"/>
        <w:rPr>
          <w:rFonts w:ascii="Times New Roman" w:hAnsi="Times New Roman"/>
          <w:sz w:val="20"/>
        </w:rPr>
      </w:pPr>
      <w:r>
        <w:rPr>
          <w:rFonts w:ascii="Times New Roman" w:hAnsi="Times New Roman"/>
          <w:sz w:val="20"/>
        </w:rPr>
        <w:t xml:space="preserve">We will comply with the requirements of Rule 14e-1 under the Exchange Act, and any other securities laws and regulations thereunder to the extent such laws and regulations are applicable in connection with the purchase of Exchange Notes pursuant to a Change of Control Offer. To the extent that the provisions of any such securities laws or regulations conflict with the “Change of Control Triggering Event” provisions of the Indenture, we will comply with those securities laws and regulations and shall not be deemed to have breached our obligations under the “Change of Control Triggering Event” provisions of the Indenture by virtue of any such conflict. </w:t>
      </w:r>
    </w:p>
    <w:p>
      <w:pPr>
        <w:pStyle w:val="TextBody"/>
        <w:bidi w:val="0"/>
        <w:spacing w:before="240" w:after="0"/>
        <w:jc w:val="left"/>
        <w:rPr/>
      </w:pPr>
      <w:r>
        <w:rPr/>
        <w:t>“</w:t>
      </w:r>
      <w:r>
        <w:rPr>
          <w:rFonts w:ascii="Times New Roman" w:hAnsi="Times New Roman"/>
          <w:sz w:val="20"/>
        </w:rPr>
        <w:t xml:space="preserve">Capital Stock” means: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a corporation, corporate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an association or business entity, any and all shares, interests, participations, rights or other equivalents (however designated and whether or not voting) of corporate stock, including each class of common stock and preferred stock of such person;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a partnership or limited liability company, partnership or membership interests (whether general or limited). </w:t>
            </w:r>
          </w:p>
        </w:tc>
      </w:tr>
    </w:tbl>
    <w:p>
      <w:pPr>
        <w:pStyle w:val="TextBody"/>
        <w:bidi w:val="0"/>
        <w:spacing w:before="240" w:after="0"/>
        <w:jc w:val="left"/>
        <w:rPr/>
      </w:pPr>
      <w:r>
        <w:rPr/>
        <w:t>“</w:t>
      </w:r>
      <w:r>
        <w:rPr>
          <w:rFonts w:ascii="Times New Roman" w:hAnsi="Times New Roman"/>
          <w:sz w:val="20"/>
        </w:rPr>
        <w:t xml:space="preserve">Change of Control” means the occurrence of any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direct or indirect sale, transfer, conveyance or other disposition (other than by way of merger or consolidation), in one or more series of related transactions, of all or substantially all of the assets of the Issuer and the assets of its subsidiaries taken as a whole to any “person” (as that term is defined in Section 13(d)(3) of the Exchange Act) (other than to us or one of our subsidiaries);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(2)</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consummation of any transaction (including, without limitation, any merger or consolidation) the result of which is that any “person” or “group” of related persons (as such terms are defined in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8"/>
        <w:gridCol w:w="9287"/>
      </w:tblGrid>
      <w:tr>
        <w:trPr/>
        <w:tc>
          <w:tcPr>
            <w:tcW w:w="918" w:type="dxa"/>
            <w:tcBorders/>
            <w:vAlign w:val="center"/>
          </w:tcPr>
          <w:p>
            <w:pPr>
              <w:pStyle w:val="TableContents"/>
              <w:bidi w:val="0"/>
              <w:spacing w:before="0" w:after="283"/>
              <w:jc w:val="left"/>
              <w:rPr/>
            </w:pPr>
            <w:r>
              <w:rPr/>
              <w:t> </w:t>
            </w:r>
          </w:p>
        </w:tc>
        <w:tc>
          <w:tcPr>
            <w:tcW w:w="9287" w:type="dxa"/>
            <w:tcBorders/>
          </w:tcPr>
          <w:p>
            <w:pPr>
              <w:pStyle w:val="TableContents"/>
              <w:bidi w:val="0"/>
              <w:spacing w:before="0" w:after="283"/>
              <w:jc w:val="left"/>
              <w:rPr/>
            </w:pPr>
            <w:r>
              <w:rPr/>
              <w:t xml:space="preserve">Section 13(d)(3) of the Exchange Act) other than (a) the Issuer or one of its subsidiaries or (b) any employee benefit plan of such person or its subsidiaries, and any person or entity acting in its capacity as trustee, agent or other fiduciary or administrator of any such plan becomes the “beneficial owner” (as defined in Rules 13d-3 and 13d-5 under the Exchange Act), directly or indirectly, of more than 50% of the Issuer’s Voting Stock or other Voting Stock into which its Voting Stock is reclassified, consolidated, exchanged or changed, measured by voting power rather than number of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Issuer consolidates with or merges with or into, any person, or any person consolidates with or merges with or into, the Issuer, in any such event pursuant to a transaction in which any of the Issuer’s outstanding Voting Stock or of such other person is converted into or exchanged for cash, securities or other property;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(4)</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adoption of a plan relating to the liquidation or dissolution of the Issuer in connection with a bankruptcy or insolvency proceeding.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a transaction will not be deemed to involve a Change of Control if (A) the Issuer becomes a direct or indirect wholly-owned subsidiary of another person and (B) (i) the shares of the Issuer’s Voting Stock outstanding immediately prior to such transaction constitute, or are converted into or exchanged for, a majority of the Voting Stock of such person immediately after giving effect to such transaction; or (ii) immediately following that transaction no person (other than a person satisfying the requirements of this sentence) is the beneficial owner, directly or indirectly, of more than 50% of the Voting Stock of such person. </w:t>
      </w:r>
    </w:p>
    <w:p>
      <w:pPr>
        <w:pStyle w:val="TextBody"/>
        <w:bidi w:val="0"/>
        <w:spacing w:before="240" w:after="0"/>
        <w:jc w:val="left"/>
        <w:rPr/>
      </w:pPr>
      <w:r>
        <w:rPr/>
        <w:t>“</w:t>
      </w:r>
      <w:r>
        <w:rPr>
          <w:rFonts w:ascii="Times New Roman" w:hAnsi="Times New Roman"/>
          <w:sz w:val="20"/>
        </w:rPr>
        <w:t xml:space="preserve">Change of Control Triggering Event” means the occurrence of both a Change of Control and a Rating Event. </w:t>
      </w:r>
    </w:p>
    <w:p>
      <w:pPr>
        <w:pStyle w:val="TextBody"/>
        <w:bidi w:val="0"/>
        <w:spacing w:before="240" w:after="0"/>
        <w:jc w:val="left"/>
        <w:rPr/>
      </w:pPr>
      <w:r>
        <w:rPr/>
        <w:t>“</w:t>
      </w:r>
      <w:r>
        <w:rPr>
          <w:rFonts w:ascii="Times New Roman" w:hAnsi="Times New Roman"/>
          <w:sz w:val="20"/>
        </w:rPr>
        <w:t xml:space="preserve">Investment Grade” means a rating of Baa3 or better by Moody’s (or its equivalent under any successor rating category of Moody’s) and a rating of BBB- or better by S&amp;P (or its equivalent under any successor rating category of S&amp;P), or, if applicable, the equivalent investment grade credit rating from any Substitute Rating Agency. </w:t>
      </w:r>
    </w:p>
    <w:p>
      <w:pPr>
        <w:pStyle w:val="TextBody"/>
        <w:bidi w:val="0"/>
        <w:spacing w:before="240" w:after="0"/>
        <w:jc w:val="left"/>
        <w:rPr/>
      </w:pPr>
      <w:r>
        <w:rPr/>
        <w:t>“</w:t>
      </w:r>
      <w:r>
        <w:rPr>
          <w:rFonts w:ascii="Times New Roman" w:hAnsi="Times New Roman"/>
          <w:sz w:val="20"/>
        </w:rPr>
        <w:t xml:space="preserve">Moody’s” means Moody’s Investors Service, Inc., a subsidiary of Moody’s Corporation, and its successors. </w:t>
      </w:r>
    </w:p>
    <w:p>
      <w:pPr>
        <w:pStyle w:val="TextBody"/>
        <w:bidi w:val="0"/>
        <w:spacing w:before="240" w:after="0"/>
        <w:jc w:val="left"/>
        <w:rPr/>
      </w:pPr>
      <w:r>
        <w:rPr/>
        <w:t>“</w:t>
      </w:r>
      <w:r>
        <w:rPr>
          <w:rFonts w:ascii="Times New Roman" w:hAnsi="Times New Roman"/>
          <w:sz w:val="20"/>
        </w:rPr>
        <w:t xml:space="preserve">Rating Agency” means each of Moody’s and S&amp;P, and if either of Moody’s or S&amp;P ceases to rate the Exchange Notes or fails to make a rating of the Exchange Notes publicly available for reasons outside of our control, a Substitute Rating Agency in lieu thereof. </w:t>
      </w:r>
    </w:p>
    <w:p>
      <w:pPr>
        <w:pStyle w:val="TextBody"/>
        <w:bidi w:val="0"/>
        <w:spacing w:before="240" w:after="0"/>
        <w:jc w:val="left"/>
        <w:rPr/>
      </w:pPr>
      <w:r>
        <w:rPr/>
        <w:t>“</w:t>
      </w:r>
      <w:r>
        <w:rPr>
          <w:rFonts w:ascii="Times New Roman" w:hAnsi="Times New Roman"/>
          <w:sz w:val="20"/>
        </w:rPr>
        <w:t xml:space="preserve">Rating Event” means the Exchange Notes cease to be rated Investment Grade by both Rating Agencies on any day during the period (the “Trigger Period”) commencing on the earlier of (a) the first public notice of the occurrence of a Change of Control or (b) the public announcement by us of our intention to effect a Change of Control, and ending 60 days following consummation of such Change of Control (which period shall be extended so long as the rating of the Exchange Notes is under publicly announced consideration for a possible rating downgrade by either of the Rating Agencies). If either Rating Agency is not providing a rating of the Exchange Notes on any day during the Trigger Period for any reason, the rating of such Rating Agency shall be deemed to have ceased to be rated Investment Grade during the Trigger Period. </w:t>
      </w:r>
    </w:p>
    <w:p>
      <w:pPr>
        <w:pStyle w:val="TextBody"/>
        <w:bidi w:val="0"/>
        <w:spacing w:before="240" w:after="0"/>
        <w:jc w:val="left"/>
        <w:rPr/>
      </w:pPr>
      <w:r>
        <w:rPr/>
        <w:t>“</w:t>
      </w:r>
      <w:r>
        <w:rPr>
          <w:rFonts w:ascii="Times New Roman" w:hAnsi="Times New Roman"/>
          <w:sz w:val="20"/>
        </w:rPr>
        <w:t xml:space="preserve">S&amp;P” means S&amp;P Global Ratings, a division of S&amp;P Global Inc., and its successors. </w:t>
      </w:r>
    </w:p>
    <w:p>
      <w:pPr>
        <w:pStyle w:val="TextBody"/>
        <w:bidi w:val="0"/>
        <w:spacing w:before="240" w:after="0"/>
        <w:jc w:val="left"/>
        <w:rPr/>
      </w:pPr>
      <w:r>
        <w:rPr/>
        <w:t>“</w:t>
      </w:r>
      <w:r>
        <w:rPr>
          <w:rFonts w:ascii="Times New Roman" w:hAnsi="Times New Roman"/>
          <w:sz w:val="20"/>
        </w:rPr>
        <w:t xml:space="preserve">Substitute Rating Agency” means a “nationally recognized statistical rating organization” within the meaning of Section 3(a)(62) of the Exchange Act, selected by us (as certified by a resolution of the board of directors of the Issuer or a committee thereof) as a replacement agency for Moody’s or S&amp;P, or both of them, as the case may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rPr>
        <w:t xml:space="preserve">Voting Stock” of any specified person as of any date means the Capital Stock of such person that is at the time entitled to vote generally in the election of the board of directors or managers of such person (or, if such person is a partnership, the board of directors or other governing body of the general partner of such person). </w:t>
      </w:r>
    </w:p>
    <w:p>
      <w:pPr>
        <w:pStyle w:val="TextBody"/>
        <w:bidi w:val="0"/>
        <w:spacing w:before="360" w:after="0"/>
        <w:jc w:val="left"/>
        <w:rPr>
          <w:rFonts w:ascii="Times New Roman" w:hAnsi="Times New Roman"/>
          <w:b/>
          <w:sz w:val="20"/>
        </w:rPr>
      </w:pPr>
      <w:r>
        <w:rPr>
          <w:rFonts w:ascii="Times New Roman" w:hAnsi="Times New Roman"/>
          <w:b/>
          <w:sz w:val="20"/>
        </w:rPr>
        <w:t xml:space="preserve">Certain Covenants </w:t>
      </w:r>
    </w:p>
    <w:p>
      <w:pPr>
        <w:pStyle w:val="TextBody"/>
        <w:bidi w:val="0"/>
        <w:spacing w:before="120" w:after="0"/>
        <w:jc w:val="left"/>
        <w:rPr>
          <w:rFonts w:ascii="Times New Roman" w:hAnsi="Times New Roman"/>
          <w:sz w:val="20"/>
        </w:rPr>
      </w:pPr>
      <w:r>
        <w:rPr>
          <w:rFonts w:ascii="Times New Roman" w:hAnsi="Times New Roman"/>
          <w:sz w:val="20"/>
        </w:rPr>
        <w:t xml:space="preserve">The Indenture contains the following covenants: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Limitation on Secured Debt </w:t>
      </w:r>
    </w:p>
    <w:p>
      <w:pPr>
        <w:pStyle w:val="TextBody"/>
        <w:bidi w:val="0"/>
        <w:spacing w:before="120" w:after="0"/>
        <w:jc w:val="left"/>
        <w:rPr>
          <w:rFonts w:ascii="Times New Roman" w:hAnsi="Times New Roman"/>
          <w:sz w:val="20"/>
        </w:rPr>
      </w:pPr>
      <w:r>
        <w:rPr>
          <w:rFonts w:ascii="Times New Roman" w:hAnsi="Times New Roman"/>
          <w:sz w:val="20"/>
        </w:rPr>
        <w:t xml:space="preserve">The Issuer will not (nor will the Issuer permit any of its subsidiaries to) create, assume, or guarantee any Secured Debt without making effective provision for securing the Exchange Notes equally and ratably with such Secured Debt. This covenant does not apply to debt secured by: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purchase money mortgages created to secure payment for the acquisition, construction or improvement of any property including, but not limited to, any Indebtedness incurred by the Issuer or a subsidiary of the Issuer prior to, at the time of, or within 18 months after the later of the acquisition, the completion of construction (including any improvements on an existing property) or the commencement of commercial operations of such property, which Indebtedness is incurred for the purpose of financing all or any part of the purchase price of such property or construction or improvements on such property;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mortgages, pledges, liens, security interests or encumbrances (collectively referred to as security interests) on property, or any conditional sales agreement or any title retention with respect to property, existing at the time of acquisition thereof, whether or not assumed by the Issuer or a subsidiary of the Issuer, provided such security interests are not created in anticipation or in furtherance of such acquisition;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security interests on property of any person existing at the time such person becomes a subsidiary;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(4)</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security interests on property of a person existing at the time such person is merged or amalgamated into or otherwise consolidated with the Issuer or a subsidiary of the Issuer or at the time of a sale, lease, or other disposition of the properties of a person as an entirety or substantially as an entirety to the Issuer or a subsidiary of the Issuer; provided that no such security interests shall extend to any other Principal Property (as defined below) of the Issuer or such subsidiary prior to such acquisition or to other Principal Property thereafter acquired other than additions or improvements to the acquired property;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(5)</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security interests on property of the Issuer or property of a subsidiary of the Issuer in favor of the United States of America or any state thereof, or in favor of any other country, or any department, agency, instrumentality or political subdivision thereof (including, without limitation, security interests to secure Indebtedness of the pollution control or industrial revenue type) in order to permit the Issuer or any subsidiary of the Issuer to perform a contract or to secure Indebtedness incurred for the purpose of financing all or any part of the purchase price for the cost of constructing or improving the property subject to such security interests or which is required by law or regulation as a condition to the transaction of any business or the exercise of any privilege, franchise or license;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(6)</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security interests on any property or assets of the Issuer or any subsidiary of the Issuer to secure Indebtedness owing by it to the Issuer or any subsidiary of the Issuer;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(7)</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liens securing reimbursement obligations with respect to letters of credit related to trade payables and issued in the ordinary course of business, which liens encumber documents and other property relating to such letters of credit and the products and proceeds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(8)</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liens encumbering customary initial deposits and margin deposits and other liens in the ordinary course of business, in each case securing Indebtedness under any interest swap obligations and currency agreements and forward contracts, options, futures contracts, futures options or similar agreements 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2"/>
        <w:gridCol w:w="9293"/>
      </w:tblGrid>
      <w:tr>
        <w:trPr/>
        <w:tc>
          <w:tcPr>
            <w:tcW w:w="912" w:type="dxa"/>
            <w:tcBorders/>
            <w:vAlign w:val="center"/>
          </w:tcPr>
          <w:p>
            <w:pPr>
              <w:pStyle w:val="TableContents"/>
              <w:bidi w:val="0"/>
              <w:spacing w:before="0" w:after="283"/>
              <w:jc w:val="left"/>
              <w:rPr/>
            </w:pPr>
            <w:r>
              <w:rPr/>
              <w:t> </w:t>
            </w:r>
          </w:p>
        </w:tc>
        <w:tc>
          <w:tcPr>
            <w:tcW w:w="9293" w:type="dxa"/>
            <w:tcBorders/>
          </w:tcPr>
          <w:p>
            <w:pPr>
              <w:pStyle w:val="TableContents"/>
              <w:bidi w:val="0"/>
              <w:spacing w:before="0" w:after="283"/>
              <w:jc w:val="left"/>
              <w:rPr/>
            </w:pPr>
            <w:r>
              <w:rPr/>
              <w:t xml:space="preserve">arrangements designed to protect the Issuer or any of its subsidiaries from fluctuations in interest rates or currencies;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(9)</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extension, renewal or replacement, or successive extensions, renewals or replacements, in whole or in part, of any security interest referred to in the foregoing clauses (1)-(8); to the extent that the principal amount thereof is not increased other than by transaction costs and premiums, if any, and no additional Principal Property other than Principal Property permitted to be so secured under the foregoing clauses (1)-(8) is subject thereto.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the purposes of determining compliance with this covenant, in the event that any Secured Debt meets the criteria of more than one of the types of Secured Debt described above, the Issuer, in its sole discretion, will classify such Secured Debt and only be required to include the amount and type of such Secured Debt in one of clauses (1) through (9) above or under the provision described in “—Exempted Indebtedness” below, and Secured Debt may be divided and classified at the time of incurrence into more than one of the types of Secured Debt described above or under the provision described in “—Exempted Indebtedness” below. </w:t>
      </w:r>
    </w:p>
    <w:p>
      <w:pPr>
        <w:pStyle w:val="TextBody"/>
        <w:bidi w:val="0"/>
        <w:spacing w:before="360" w:after="0"/>
        <w:jc w:val="left"/>
        <w:rPr>
          <w:rFonts w:ascii="Times New Roman" w:hAnsi="Times New Roman"/>
          <w:b/>
          <w:i/>
          <w:sz w:val="20"/>
        </w:rPr>
      </w:pPr>
      <w:r>
        <w:rPr>
          <w:rFonts w:ascii="Times New Roman" w:hAnsi="Times New Roman"/>
          <w:b/>
          <w:i/>
          <w:sz w:val="20"/>
        </w:rPr>
        <w:t xml:space="preserve">Limitation on Sale and Lease-Back Transactions </w:t>
      </w:r>
    </w:p>
    <w:p>
      <w:pPr>
        <w:pStyle w:val="TextBody"/>
        <w:bidi w:val="0"/>
        <w:spacing w:before="120" w:after="0"/>
        <w:jc w:val="left"/>
        <w:rPr>
          <w:rFonts w:ascii="Times New Roman" w:hAnsi="Times New Roman"/>
          <w:sz w:val="20"/>
        </w:rPr>
      </w:pPr>
      <w:r>
        <w:rPr>
          <w:rFonts w:ascii="Times New Roman" w:hAnsi="Times New Roman"/>
          <w:sz w:val="20"/>
        </w:rPr>
        <w:t xml:space="preserve">The Issuer will not (nor will the Issuer permit any of its subsidiaries to) enter into any sale and lease-back transaction for the sale and leasing back of any Principal Property (a “Sale and Lease-Back Transaction”), whether now owned or hereafter acquired, of the Issuer or any subsidiary of the Issuer,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transaction was entered into prior to the date of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transaction involves a lease for less than three years;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transaction involves the sale and leasing back to the Issuer of any Principal Property by one of its subsidiaries, the sale and leasing back to one of the Issuer’s subsidiaries by the Issuer or the sale and leasing back to one of the Issuer’s subsidiaries by another of the Issuer’s subsidiaries;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(4)</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Issuer or such subsidiary would be entitled to incur Secured Debt on the Principal Property to be leased in an amount at least equal to the Attributable Liens (as defined below) with respect to such sale and lease-back transaction without equally and ratably securing the Exchange Notes pursuant to the covenant described under the caption “—Limitation on Secured Debt” above;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(5)</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Issuer applies an amount equal to the fair market value of the Principal Property sold, within 180 days of such sale and lease-back transaction, to any of (or a combination of) (a) the prepayment or retirement of the Exchange Notes, (b) the prepayment or retirement of Indebtedness for borrowed money of the Issuer or a subsidiary of the Issuer (other than Indebtedness that is contractually subordinated to the Exchange Notes) or (c) the purchase, construction, development, expansion or improvement of Principal Property.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Exempted Indebtedness </w:t>
      </w:r>
    </w:p>
    <w:p>
      <w:pPr>
        <w:pStyle w:val="TextBody"/>
        <w:bidi w:val="0"/>
        <w:spacing w:before="120" w:after="0"/>
        <w:jc w:val="left"/>
        <w:rPr>
          <w:rFonts w:ascii="Times New Roman" w:hAnsi="Times New Roman"/>
          <w:sz w:val="20"/>
        </w:rPr>
      </w:pPr>
      <w:r>
        <w:rPr>
          <w:rFonts w:ascii="Times New Roman" w:hAnsi="Times New Roman"/>
          <w:sz w:val="20"/>
        </w:rPr>
        <w:t xml:space="preserve">Notwithstanding the limitations on Secured Debt and Sale and Lease-Back Transactions described above, the Issuer and any one or more of its subsidiaries may, without securing the Exchange Notes, issue, assume, or guarantee Secured Debt or enter into any Sale and Lease-Back Transaction that would otherwise be subject to the foregoing restrictions, provided that, after giving effect thereto, the aggregate amount of such Secured Debt then outstanding (other than Secured Debt permitted under the foregoing exceptions) and the Attributable Liens of Sale and Lease-Back Transactions, other than Sale and Lease-Back Transactions described in the preceding paragraph, at such time does not exceed the greater of (i) 15% of the Consolidated Net Tangible Assets of the Issuer calculated as of the date of the creation or incurrence of such Secured Debt or Sale and Lease-Back Transactions and (ii) $2,000 million, in each case after giving effect to such incurrence and the application of the proceeds therefrom.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Limitation on Mergers and Other Transactions </w:t>
      </w:r>
    </w:p>
    <w:p>
      <w:pPr>
        <w:pStyle w:val="TextBody"/>
        <w:bidi w:val="0"/>
        <w:spacing w:before="120" w:after="0"/>
        <w:jc w:val="left"/>
        <w:rPr>
          <w:rFonts w:ascii="Times New Roman" w:hAnsi="Times New Roman"/>
          <w:sz w:val="20"/>
        </w:rPr>
      </w:pPr>
      <w:r>
        <w:rPr>
          <w:rFonts w:ascii="Times New Roman" w:hAnsi="Times New Roman"/>
          <w:sz w:val="20"/>
        </w:rPr>
        <w:t xml:space="preserve">The Issuer may not consolidate with or merge with or into, or convey, transfer or lease all or substantially all of its properties and assets to, any person, which we refer to as a “successor person,”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Issuer is the surviving person or the successor person (if other than the Issuer) is a person organized and validly existing under the laws of any U.S. domestic jurisdiction, any current or former member state of the European Union, Canada or any province of Canada, the United Kingdom, Switzerland, the Republic of Singapore, Bermuda or the Cayman Islands and expressly assumes by supplemental indenture the Issuer’s obligations on the Exchange Notes and under the Indenture (any such transaction resulting in an entity organized or existing under the laws of any jurisdiction other than a U.S. domestic jurisdiction, a “Non-U.S. Domicile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immediately after giving effect to the transaction, no default or event of default shall have occurred and be continuing under the Indenture;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(3)</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delivered to the Trustee prior to the consummation of the proposed transaction an officer’s certificate to the foregoing effect and an opinion of counsel stating that the proposed transaction and the supplemental indenture comply with the Indenture.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Reports </w:t>
      </w:r>
    </w:p>
    <w:p>
      <w:pPr>
        <w:pStyle w:val="TextBody"/>
        <w:bidi w:val="0"/>
        <w:spacing w:before="120" w:after="0"/>
        <w:jc w:val="left"/>
        <w:rPr>
          <w:rFonts w:ascii="Times New Roman" w:hAnsi="Times New Roman"/>
          <w:sz w:val="20"/>
        </w:rPr>
      </w:pPr>
      <w:r>
        <w:rPr>
          <w:rFonts w:ascii="Times New Roman" w:hAnsi="Times New Roman"/>
          <w:sz w:val="20"/>
        </w:rPr>
        <w:t xml:space="preserve">The Indenture provides that a copy of any document or report that the Issuer is required to file with the SEC pursuant to Section 13 or 15(d) of the Exchange Act will be delivered to the Trustee within 30 days after such document or report is required to be filed with the SEC. Documents filed by us with the SEC via the EDGAR system (or any successor thereto) will be deemed to be delivered to the Trustee as of the time such documents are filed via EDGAR, it being understood that the Trustee shall not be responsible for determining whether such filings have been made. Delivery of the information, documents and other reports described above to the Trustee is for informational purposes only, and the Trustee’s receipt of such shall not constitute actual or constructive notice of any information contained therein or determinable from information contained therein, including the Issuer’s compliance with any of the covenants under the Indenture (as to which the Trustee is entitled to conclusively rely on an officer’s certificate). </w:t>
      </w:r>
    </w:p>
    <w:p>
      <w:pPr>
        <w:pStyle w:val="TextBody"/>
        <w:bidi w:val="0"/>
        <w:spacing w:before="360" w:after="0"/>
        <w:jc w:val="left"/>
        <w:rPr>
          <w:rFonts w:ascii="Times New Roman" w:hAnsi="Times New Roman"/>
          <w:b/>
          <w:i/>
          <w:sz w:val="20"/>
        </w:rPr>
      </w:pPr>
      <w:r>
        <w:rPr>
          <w:rFonts w:ascii="Times New Roman" w:hAnsi="Times New Roman"/>
          <w:b/>
          <w:i/>
          <w:sz w:val="20"/>
        </w:rPr>
        <w:t xml:space="preserve">Certain Definitions </w:t>
      </w:r>
    </w:p>
    <w:p>
      <w:pPr>
        <w:pStyle w:val="TextBody"/>
        <w:bidi w:val="0"/>
        <w:spacing w:before="120" w:after="0"/>
        <w:jc w:val="left"/>
        <w:rPr>
          <w:rFonts w:ascii="Times New Roman" w:hAnsi="Times New Roman"/>
          <w:sz w:val="20"/>
        </w:rPr>
      </w:pPr>
      <w:r>
        <w:rPr>
          <w:rFonts w:ascii="Times New Roman" w:hAnsi="Times New Roman"/>
          <w:sz w:val="20"/>
        </w:rPr>
        <w:t xml:space="preserve">As used in this section, the following terms have the meanings set forth below. </w:t>
      </w:r>
    </w:p>
    <w:p>
      <w:pPr>
        <w:pStyle w:val="TextBody"/>
        <w:bidi w:val="0"/>
        <w:spacing w:before="240" w:after="0"/>
        <w:jc w:val="left"/>
        <w:rPr/>
      </w:pPr>
      <w:r>
        <w:rPr/>
        <w:t>“</w:t>
      </w:r>
      <w:r>
        <w:rPr>
          <w:rFonts w:ascii="Times New Roman" w:hAnsi="Times New Roman"/>
          <w:sz w:val="20"/>
        </w:rPr>
        <w:t xml:space="preserve">Attributable Liens” means, in connection with a Sale and Lease-Back Transaction, the lesser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fair market value of the assets subject to such transaction (as determined in good faith by the board of directors of the Issuer or a committee thereof);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present value (discounted at a rate per annum equal to the average interest borne by all outstanding debt securities issued under the Indenture (which may include debt securities in addition to the Exchange Notes) determined on a weighted average basis and compounded semi-annually) of the obligations of the lessee for rental payments during the term of the related lease. </w:t>
            </w:r>
          </w:p>
        </w:tc>
      </w:tr>
    </w:tbl>
    <w:p>
      <w:pPr>
        <w:pStyle w:val="TextBody"/>
        <w:bidi w:val="0"/>
        <w:spacing w:before="240" w:after="0"/>
        <w:jc w:val="left"/>
        <w:rPr/>
      </w:pPr>
      <w:r>
        <w:rPr/>
        <w:t>“</w:t>
      </w:r>
      <w:r>
        <w:rPr>
          <w:rFonts w:ascii="Times New Roman" w:hAnsi="Times New Roman"/>
          <w:sz w:val="20"/>
        </w:rPr>
        <w:t xml:space="preserve">Consolidated Net Tangible Assets” of any specified person means, as of any date on which we effect a transaction requiring such Consolidated Net Tangible Assets to be measured hereunder, the aggregate amount of all assets of such person and its subsidiaries on a consolidated basis (less applicable reserves) after deducting therefrom: (a) all current liabilities, except for current maturities of long-term debt and obligations under Finance Leases; and (b) intangible assets, to the extent included in said aggregate amount of assets, as of the end of our most recently completed accounting period for which financial statements are then available and computed in accordance with GAAP applied on a consistent basis.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rPr>
        <w:t xml:space="preserve">Finance Lease” means any Indebtedness represented by a lease obligation of a person incurred with respect to real property or equipment acquired or leased by such person and used in its business that is required to be recorded as a finance lease in accordance with GAAP. </w:t>
      </w:r>
    </w:p>
    <w:p>
      <w:pPr>
        <w:pStyle w:val="TextBody"/>
        <w:bidi w:val="0"/>
        <w:spacing w:before="240" w:after="0"/>
        <w:jc w:val="left"/>
        <w:rPr/>
      </w:pPr>
      <w:r>
        <w:rPr/>
        <w:t>“</w:t>
      </w:r>
      <w:r>
        <w:rPr>
          <w:rFonts w:ascii="Times New Roman" w:hAnsi="Times New Roman"/>
          <w:sz w:val="20"/>
        </w:rPr>
        <w:t xml:space="preserve">GAAP” means accounting principles generally accepted in the United States of America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as of the date of the Indenture. </w:t>
      </w:r>
    </w:p>
    <w:p>
      <w:pPr>
        <w:pStyle w:val="TextBody"/>
        <w:bidi w:val="0"/>
        <w:spacing w:before="240" w:after="0"/>
        <w:jc w:val="left"/>
        <w:rPr/>
      </w:pPr>
      <w:r>
        <w:rPr/>
        <w:t>“</w:t>
      </w:r>
      <w:r>
        <w:rPr>
          <w:rFonts w:ascii="Times New Roman" w:hAnsi="Times New Roman"/>
          <w:sz w:val="20"/>
        </w:rPr>
        <w:t xml:space="preserve">Indebtedness” of any specified person means, without duplication, any indebtedness in respect of borrowed money or that is evidenced by bonds, notes, debentures or similar instruments or letters of credit (or reimbursement agreements with respect thereto (other than obligations with respect to letters of credit securing obligations entered into in the ordinary course of business of such person to the extent such letters of credit are not drawn upon or, if and to the extent drawn upon, such drawing is reimbursed no later than the fifth Business Day following receipt by such person of a demand for reimbursement following payment on the letter of credit)) or representing the balance deferred and unpaid of the purchase price of any Property (including pursuant to Finance Leases), except any such balance that constitutes an accrued expense or trade payable, if and to the extent any of the foregoing indebtedness would appear as a liability upon a balance sheet of such person prepared in accordance with GAAP (but does not include contingent liabilities which appear only in a footnote to a balance sheet). In addition, the term “Indebtedness” includes all of the following items, whether or not any such items would appear as a liability on a balance sheet of the specified person in accordance with GAAP: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Indebtedness of others secured by a lien on any asset of the specified person (whether or not such Indebtedness is assumed by the specified person);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the extent not otherwise included, any guarantee by the specified person of Indebtedness of any other person.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the term “Indebtedness” excludes any indebtedness of the Issuer or any of the Issuer’s subsidiaries to the Issuer or a subsidiary of the Issuer. </w:t>
      </w:r>
    </w:p>
    <w:p>
      <w:pPr>
        <w:pStyle w:val="TextBody"/>
        <w:bidi w:val="0"/>
        <w:spacing w:before="240" w:after="0"/>
        <w:jc w:val="left"/>
        <w:rPr/>
      </w:pPr>
      <w:r>
        <w:rPr/>
        <w:t>“</w:t>
      </w:r>
      <w:r>
        <w:rPr>
          <w:rFonts w:ascii="Times New Roman" w:hAnsi="Times New Roman"/>
          <w:sz w:val="20"/>
        </w:rPr>
        <w:t xml:space="preserve">Principal Property” means the land, improvements, buildings, fixtures and/or equipment (including any leasehold interest therein) constituting any manufacturing, assembly or test plant, distribution center, research facility, design facility, administrative facility, or sales and marketing facility (in each case, whether now owned or hereafter acquired) which is owned or leased by the Issuer or any of its subsidiaries, unless such plant, center or facility has a fair market value of less than $10 million or unless the board of directors of the Issuer or a committee thereof has determined in good faith that such office, plant, center or facility is not of material importance to the total business conducted by the Issuer and its subsidiaries taken as a whole. Notwithstanding the foregoing, the land, improvements, buildings, fixtures and/or equipment (including any leasehold interest therein) constituting (i) the principal corporate offices or primary campuses of the Issuer (whether owned or leased by the Issuer or a wholly-owned subsidiary of the Issuer) and (ii) the office campus located in Irvine, California, in each case shall not constitute Principal Property. </w:t>
      </w:r>
    </w:p>
    <w:p>
      <w:pPr>
        <w:pStyle w:val="TextBody"/>
        <w:bidi w:val="0"/>
        <w:spacing w:before="240" w:after="0"/>
        <w:jc w:val="left"/>
        <w:rPr/>
      </w:pPr>
      <w:r>
        <w:rPr/>
        <w:t>“</w:t>
      </w:r>
      <w:r>
        <w:rPr>
          <w:rFonts w:ascii="Times New Roman" w:hAnsi="Times New Roman"/>
          <w:sz w:val="20"/>
        </w:rPr>
        <w:t xml:space="preserve">Property” means any property or asset, whether real, personal or mixed, or tangible or intangible, including shares of capital stock. </w:t>
      </w:r>
    </w:p>
    <w:p>
      <w:pPr>
        <w:pStyle w:val="TextBody"/>
        <w:bidi w:val="0"/>
        <w:spacing w:before="240" w:after="0"/>
        <w:jc w:val="left"/>
        <w:rPr/>
      </w:pPr>
      <w:r>
        <w:rPr/>
        <w:t>“</w:t>
      </w:r>
      <w:r>
        <w:rPr>
          <w:rFonts w:ascii="Times New Roman" w:hAnsi="Times New Roman"/>
          <w:sz w:val="20"/>
        </w:rPr>
        <w:t xml:space="preserve">Secured Debt” means indebtedness for borrowed money that is secured by a security interest in any Principal Property.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Events of Default </w:t>
      </w:r>
    </w:p>
    <w:p>
      <w:pPr>
        <w:pStyle w:val="TextBody"/>
        <w:bidi w:val="0"/>
        <w:spacing w:before="120" w:after="0"/>
        <w:jc w:val="left"/>
        <w:rPr>
          <w:rFonts w:ascii="Times New Roman" w:hAnsi="Times New Roman"/>
          <w:sz w:val="20"/>
        </w:rPr>
      </w:pPr>
      <w:r>
        <w:rPr>
          <w:rFonts w:ascii="Times New Roman" w:hAnsi="Times New Roman"/>
          <w:sz w:val="20"/>
        </w:rPr>
        <w:t xml:space="preserve">Each of the following is an “event of default” with respect to the Exchange Notes: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in the payment of any interest, including any additional interest, on the Exchange Notes when it becomes due and payable, and continuance of that default for a period of 30 days (unless the entire amount of such payment is deposited by us with the Trustee or with a paying agent prior to the expiration of such 30-day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in the payment of principal of the Exchange Notes when due and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in the performance or breach of any other covenant or warranty by us in the Indenture (other than a covenant or warranty that has been included in the Indenture solely for the benefit of a series of debt securities other than the Exchange Notes), which default continues uncured for a period of 60 days after we receive written notice from the Trustee or we and the Trustee receive written notice from the holders of not less than 25% in principal amount of the Exchange Notes then outstanding as provided in the Indenture;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(4)</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events of bankruptcy, insolvency or reorganization of the Issuer.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 event of default with respect to the Exchange Notes (except as to certain events of bankruptcy, insolvency or reorganization) necessarily constitutes an event of default with respect to any other series of debt securities. The occurrence of an event of default may constitute an event of default under any bank credit agreements that may be in existence from time to time. In addition, the occurrence of certain events of default or acceleration under the Indenture may constitute an event of default under certain of the Issuer’s other indebtedness that may be outstanding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If an event of default with respect to the Exchange Notes occurs and is continuing (other than an event of default regarding certain events of bankruptcy, insolvency or reorganization of the Issuer), then the Trustee or the holders of not less than 25% in principal amount of the Exchange Notes then outstanding may declare the principal amount of and accrued and unpaid interest, if any, on all Exchange Notes to be due and payable immediately, by a notice in writing to us (and to the Trustee if given by the holders), and upon such declaration such principal amount and accrued and unpaid interest, if any, shall become immediately due and payable. In the case of an event of default resulting from certain events of bankruptcy, insolvency or reorganization of the Issuer, the principal of and accrued and unpaid interest, if any, on all Exchange Notes then outstanding will become and be immediately due and payable without any declaration or other act on the part of the Trustee or any holder of Exchange Notes then outstanding. At any time after such a declaration of acceleration with respect to the Exchange Notes has been made and before a judgment or decree for payment of the money due has been obtained by the Trustee as provided in the Indenture, the holders of a majority in principal amount of the Exchange Notes then outstanding, by written notice to us and the Trustee, may rescind and annul such a declaration and its consequences if all events of default with respect to the Exchange Notes, other than the non-payment of accelerated principal and interest, if any, with respect to the Exchange Notes, have been cured or waived as provided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Any notice of default, notice of acceleration or instruction to the Trustee to provide a notice of default, notice of acceleration or take any other action (a “Noteholder Direction”) provided by any one or more holders (each a “Directing Holder”) must be accompanied by a written representation from each such holder delivered to the Issuer and the Trustee that such holder is not (or, in the case such holder is DTC or its nominee, that such holder is being instructed solely by beneficial owners that have represented to such holder that they are not) Net Short (a “Position Representation”), which representation, in the case of a Noteholder Direction relating to the delivery of a notice of default shall be deemed a continuing representation until the resulting event of default is cured or otherwise ceases to exist or the Exchange Notes are accelerated. In addition, each Directing Holder is deemed, at the time of providing a Noteholder Direction, to covenant to provide the Issuer with such other information as the Issuer may reasonably request from time to time in order to verify the accuracy of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holder’s Position Representation within five Business Days of request therefor (a “Verification Covenant”). In any case in which the holder is DTC or its nominee, any Position Representation or Verification Covenant required hereunder shall be provided by the beneficial owners of the Exchange Notes in lieu of DTC or its nominee, and DTC shall be entitled to conclusively rely on such Position Representation and Verification Covenant in delivering its direction to the Trustee. </w:t>
      </w:r>
    </w:p>
    <w:p>
      <w:pPr>
        <w:pStyle w:val="TextBody"/>
        <w:bidi w:val="0"/>
        <w:spacing w:before="240" w:after="0"/>
        <w:jc w:val="left"/>
        <w:rPr>
          <w:rFonts w:ascii="Times New Roman" w:hAnsi="Times New Roman"/>
          <w:sz w:val="20"/>
        </w:rPr>
      </w:pPr>
      <w:r>
        <w:rPr>
          <w:rFonts w:ascii="Times New Roman" w:hAnsi="Times New Roman"/>
          <w:sz w:val="20"/>
        </w:rPr>
        <w:t xml:space="preserve">If, following the delivery of a Noteholder Direction, but prior to acceleration of the Exchange Notes, the Issuer determines in good faith that there is a reasonable basis to believe a Directing Holder was, at any relevant time, in breach of its Position Representation and provides to the Trustee an officer’s certificate stating that the Issuer has initiated litigation in a court of competent jurisdiction seeking a determination that such Directing Holder was, at such time, in breach of its Position Representation, and seeking to invalidate any event of default that resulted from the applicable Noteholder Direction, the cure period with respect to such default shall be automatically stayed and the cure period with respect to such event of default shall be automatically reinstituted and any remedy stayed pending a final and non-appealable determination of a court of competent jurisdiction on such matter. If, following the delivery of a Noteholder Direction, but prior to acceleration of the Exchange Notes, the Issuer provides to the Trustee an officer’s certificate stating that a Directing Holder failed to satisfy its Verification Covenant, the cure period with respect to such default shall be automatically stayed and the cure period with respect to any event of default that resulted from the applicable Noteholder Direction shall be automatically reinstituted and any remedy stayed pending satisfaction of such Verification Covenant. Any breach of the Position Representation shall result in such holder’s participation in such Noteholder Direction being disregarded; and, if, without the participation of such holder, the percentage of Exchange Notes held by the remaining holders that provided such Noteholder Direction would have been insufficient to validly provide such Noteholder Direction, such Noteholder Direction shall be void ab initio (other than any indemnity such Directing Holder may have offered the Trustee), with the effect that such event of default shall be deemed never to have occurred, acceleration voided and the Trustee shall be deemed not to have received such Noteholder Direction or any notice of such default or event of default. </w:t>
      </w:r>
    </w:p>
    <w:p>
      <w:pPr>
        <w:pStyle w:val="TextBody"/>
        <w:bidi w:val="0"/>
        <w:spacing w:before="240" w:after="0"/>
        <w:jc w:val="left"/>
        <w:rPr>
          <w:rFonts w:ascii="Times New Roman" w:hAnsi="Times New Roman"/>
          <w:sz w:val="20"/>
        </w:rPr>
      </w:pPr>
      <w:r>
        <w:rPr>
          <w:rFonts w:ascii="Times New Roman" w:hAnsi="Times New Roman"/>
          <w:sz w:val="20"/>
        </w:rPr>
        <w:t xml:space="preserve">For the avoidance of doubt, the Trustee shall be entitled to conclusively rely on any Noteholder Direction delivered to it in accordance with the Indenture, shall have no duty to inquire as to or investigate the accuracy of any Position Representation, enforce compliance with any Verification Covenant, verify any statements in any officer’s certificate delivered to it, or otherwise make calculations, investigations or determinations with respect to Derivative Instruments, Net Shorts, Long Derivative Instruments, Short Derivative Instruments or otherwise. The Trustee shall have no liability to the Issuer, any holder or any other Person in acting in good faith on a Noteholder Direction. </w:t>
      </w:r>
    </w:p>
    <w:p>
      <w:pPr>
        <w:pStyle w:val="TextBody"/>
        <w:bidi w:val="0"/>
        <w:spacing w:before="240" w:after="0"/>
        <w:jc w:val="left"/>
        <w:rPr>
          <w:rFonts w:ascii="Times New Roman" w:hAnsi="Times New Roman"/>
          <w:sz w:val="20"/>
        </w:rPr>
      </w:pPr>
      <w:r>
        <w:rPr>
          <w:rFonts w:ascii="Times New Roman" w:hAnsi="Times New Roman"/>
          <w:sz w:val="20"/>
        </w:rPr>
        <w:t xml:space="preserve">The Indenture provides that the Trustee shall be under no obligation to exercise any of the rights or powers vested in it by the Indenture at the request or direction of any of the holders of Exchange Notes, unless such holders have offered (and if requested, provided) the Trustee security or indemnity satisfactory to the Trustee against the costs, expenses and liabilities which might be incurred by it in compliance with such request or direction. Subject to certain rights of the Trustee, the holders of a majority in principal amount of the Exchange Notes then outstanding shall have the right to direct the time, method and place of conducting any proceeding for any remedy available to the Trustee, or exercising any trust or power conferred on the Trustee, with respect to the Exchange Notes. </w:t>
      </w:r>
    </w:p>
    <w:p>
      <w:pPr>
        <w:pStyle w:val="TextBody"/>
        <w:bidi w:val="0"/>
        <w:spacing w:before="240" w:after="0"/>
        <w:jc w:val="left"/>
        <w:rPr>
          <w:rFonts w:ascii="Times New Roman" w:hAnsi="Times New Roman"/>
          <w:sz w:val="20"/>
        </w:rPr>
      </w:pPr>
      <w:r>
        <w:rPr>
          <w:rFonts w:ascii="Times New Roman" w:hAnsi="Times New Roman"/>
          <w:sz w:val="20"/>
        </w:rPr>
        <w:t xml:space="preserve">No holder of any Exchange Note has any right to institute any proceeding, judicial or otherwise, with respect to the Indenture, or for the appointment of a receiver or Trustee, or for any remedy under the Indenture,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holder has previously given written notice to the Trustee of a continuing event of default with respect to the Exchange Notes;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holders of at least 25% in principal amount of the Exchange Notes then outstanding shall have made written request to the Trustee, and offered (and if requested, provided) indemnity or security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5"/>
        <w:gridCol w:w="9290"/>
      </w:tblGrid>
      <w:tr>
        <w:trPr/>
        <w:tc>
          <w:tcPr>
            <w:tcW w:w="915" w:type="dxa"/>
            <w:tcBorders/>
            <w:vAlign w:val="center"/>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satisfactory to the Trustee, to institute proceedings in respect of such event of default in its own name as Trustee under the Indenture, and the Trustee has not received from the holders of a majority in principal amount of the Exchange Notes then outstanding a direction inconsistent with such written request and has failed to institute such proceeding within 60 days after receipt of such notice, request and offer of indemnity or security.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Indenture requires us, within 120 days after the end of the Issuer’s fiscal year, to furnish to the Trustee a statement as to compliance with the Indenture. The Indenture provides that the Trustee may withhold notice to the holders of the Exchange Notes of any default or event of default (except in payment on any Exchange Notes) with respect to Exchange Notes if it in good faith determines that withholding notice is in the interest of the holders of those Exchange Notes (it being understood that the Trustee does not have an affirmative duty to determine whether any action is not in the interest of any holder) or that would involve the Trustee in personal liability. The Trustee will not be deemed to have knowledge of any default or event of default unless written notice of such default or event of default has been delivered to the Trustee at its office specified in the Indenture and such notice references the Exchange Notes and the Indenture and states that it is a “Notice of Default.” </w:t>
      </w:r>
    </w:p>
    <w:p>
      <w:pPr>
        <w:pStyle w:val="TextBody"/>
        <w:bidi w:val="0"/>
        <w:spacing w:before="240" w:after="0"/>
        <w:jc w:val="left"/>
        <w:rPr>
          <w:rFonts w:ascii="Times New Roman" w:hAnsi="Times New Roman"/>
          <w:sz w:val="20"/>
        </w:rPr>
      </w:pPr>
      <w:r>
        <w:rPr>
          <w:rFonts w:ascii="Times New Roman" w:hAnsi="Times New Roman"/>
          <w:sz w:val="20"/>
        </w:rPr>
        <w:t xml:space="preserve">As used herein in relation to Events of Default, the following terms have the meanings set forth below. </w:t>
      </w:r>
    </w:p>
    <w:p>
      <w:pPr>
        <w:pStyle w:val="TextBody"/>
        <w:bidi w:val="0"/>
        <w:spacing w:before="240" w:after="0"/>
        <w:jc w:val="left"/>
        <w:rPr/>
      </w:pPr>
      <w:r>
        <w:rPr/>
        <w:t>“</w:t>
      </w:r>
      <w:r>
        <w:rPr>
          <w:rFonts w:ascii="Times New Roman" w:hAnsi="Times New Roman"/>
          <w:sz w:val="20"/>
        </w:rPr>
        <w:t xml:space="preserve">Derivative Instrument” with respect to a person, means any contract, instrument or other right to receive payment or delivery of cash or other assets to which such person or any affiliate of such person that is acting in concert with such person in connection with such person’s investment in the Exchange Notes (other than a Screened Affiliate) is a party (whether or not requiring further performance by such person), the value and/or cash flows of which (or any material portion thereof) are materially affected by the value and/or performance of the Exchange Notes and/or the creditworthiness of the Issuer. </w:t>
      </w:r>
    </w:p>
    <w:p>
      <w:pPr>
        <w:pStyle w:val="TextBody"/>
        <w:bidi w:val="0"/>
        <w:spacing w:before="240" w:after="0"/>
        <w:jc w:val="left"/>
        <w:rPr/>
      </w:pPr>
      <w:r>
        <w:rPr/>
        <w:t>“</w:t>
      </w:r>
      <w:r>
        <w:rPr>
          <w:rFonts w:ascii="Times New Roman" w:hAnsi="Times New Roman"/>
          <w:sz w:val="20"/>
        </w:rPr>
        <w:t xml:space="preserve">Long Derivative Instrument” means a Derivative Instrument (i) the value of which generally increases, and/ or the payment or delivery obligations under which generally decrease, with positive changes to the Issuer and/or (ii) the value of which generally decreases, and/or the payment or delivery obligations under which generally increase, with negative changes to the Issuer. </w:t>
      </w:r>
    </w:p>
    <w:p>
      <w:pPr>
        <w:pStyle w:val="TextBody"/>
        <w:bidi w:val="0"/>
        <w:spacing w:before="240" w:after="0"/>
        <w:jc w:val="left"/>
        <w:rPr/>
      </w:pPr>
      <w:r>
        <w:rPr/>
        <w:t>“</w:t>
      </w:r>
      <w:r>
        <w:rPr>
          <w:rFonts w:ascii="Times New Roman" w:hAnsi="Times New Roman"/>
          <w:sz w:val="20"/>
        </w:rPr>
        <w:t xml:space="preserve">Net Short” means, with respect to a holder or beneficial owner, as of a date of determination, either (i) the value of its Short Derivative Instruments exceeds the sum of (x) the value of its Exchange Notes, plus (y) the value of its Long Derivative Instruments as of such date of determination or (ii) it is reasonably expected that such would have been the case were a Failure to Pay or Bankruptcy Credit Event (each as defined in the 2014 ISDA Credit Derivatives Definitions) to have occurred with respect to the Issuer immediately prior to such date of determination. </w:t>
      </w:r>
    </w:p>
    <w:p>
      <w:pPr>
        <w:pStyle w:val="TextBody"/>
        <w:bidi w:val="0"/>
        <w:spacing w:before="240" w:after="0"/>
        <w:jc w:val="left"/>
        <w:rPr/>
      </w:pPr>
      <w:r>
        <w:rPr/>
        <w:t>“</w:t>
      </w:r>
      <w:r>
        <w:rPr>
          <w:rFonts w:ascii="Times New Roman" w:hAnsi="Times New Roman"/>
          <w:sz w:val="20"/>
        </w:rPr>
        <w:t xml:space="preserve">Screened Affiliate” means any affiliate of a holder (i) that makes investment decisions independently from such holder and any other affiliate of such holder that is not a Screened Affiliate, (ii) that has in place customary information screens between it and such holder and any other affiliate of such holder that is not a Screened Affiliate and such screens prohibit the sharing of information with respect to the Issuer or its subsidiaries, (iii) whose investment policies are not directed by such holder or any other affiliate of such holder that is acting in concert with such holder in connection with its investment in the Exchange Notes, and (iv) whose investment decisions are not influenced by the investment decisions of such holder or any other affiliate of such holder that is acting in concert with such holders in connection with its investment in the Exchange Notes. </w:t>
      </w:r>
    </w:p>
    <w:p>
      <w:pPr>
        <w:pStyle w:val="TextBody"/>
        <w:bidi w:val="0"/>
        <w:spacing w:before="240" w:after="0"/>
        <w:jc w:val="left"/>
        <w:rPr/>
      </w:pPr>
      <w:r>
        <w:rPr/>
        <w:t>“</w:t>
      </w:r>
      <w:r>
        <w:rPr>
          <w:rFonts w:ascii="Times New Roman" w:hAnsi="Times New Roman"/>
          <w:sz w:val="20"/>
        </w:rPr>
        <w:t xml:space="preserve">Short Derivative Instrument” means a Derivative Instrument (i) the value of which generally decreases, and/or the payment or delivery obligations under which generally increase, with positive changes to the Issuer and/or (ii) the value of which generally increases, and/or the payment or delivery obligations under which generally decrease, with negative changes to the Issuer.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Modification and Waiver </w:t>
      </w:r>
    </w:p>
    <w:p>
      <w:pPr>
        <w:pStyle w:val="TextBody"/>
        <w:bidi w:val="0"/>
        <w:spacing w:before="120" w:after="0"/>
        <w:jc w:val="left"/>
        <w:rPr>
          <w:rFonts w:ascii="Times New Roman" w:hAnsi="Times New Roman"/>
          <w:sz w:val="20"/>
        </w:rPr>
      </w:pPr>
      <w:r>
        <w:rPr>
          <w:rFonts w:ascii="Times New Roman" w:hAnsi="Times New Roman"/>
          <w:sz w:val="20"/>
        </w:rPr>
        <w:t xml:space="preserve">Except as described below, we may modify and amend the Indenture and the Exchange Notes only with the consent of the holders of at least a majority in principal amount of the Exchange Notes then outstanding. We may not make any modification or amendment without the consent of each holder of the Exchange Notes issued under the Indenture then outstanding if that amendment will: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principal amount of Exchange Notes whose holders must consent to an amendment or waiver;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rate of or extend the time for payment of interest (including default interest) on any Exchange Note;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principal of or premium on or change the fixed maturity of any Exchange Note;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waive a default in the payment of the principal of, or premium and interest on, any Exchange Note (except a rescission of acceleration of Exchange Notes by the holders of at least a majority in aggregate principal amount of the Exchange Notes and a waiver of the payment default that resulted from such acceleration);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the principal of, or premium and interest on, any Exchange Note payable in currency other than U.S. dollars;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amend the contractual right to institute suit for the enforcement of any payment of the principal of, and premium and interest (including Additional Amounts) on, the Exchange Notes on or after the due dates expressed or provided for in such Exchange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any change to the provisions relating to waivers or amendments;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waive a redemption payment with respect to any Exchange Note; provided that such redemption is made at our option;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any change in the provisions of the Indenture described under “—Additional Amounts” that adversely affects the right of any holder of such Exchange Notes or amends the terms of such Exchange Notes in a way that would result in a loss of an exemption from any of the Taxes described thereunder or an exemption from any obligation to withhold or deduct Taxes so described thereunder unless the non-U.S. Payor agrees to pay Additional Amounts, if any, in respect thereof. </w:t>
            </w:r>
          </w:p>
        </w:tc>
      </w:tr>
    </w:tbl>
    <w:p>
      <w:pPr>
        <w:pStyle w:val="TextBody"/>
        <w:bidi w:val="0"/>
        <w:spacing w:before="240" w:after="0"/>
        <w:jc w:val="left"/>
        <w:rPr>
          <w:rFonts w:ascii="Times New Roman" w:hAnsi="Times New Roman"/>
          <w:sz w:val="20"/>
        </w:rPr>
      </w:pPr>
      <w:r>
        <w:rPr>
          <w:rFonts w:ascii="Times New Roman" w:hAnsi="Times New Roman"/>
          <w:sz w:val="20"/>
        </w:rPr>
        <w:t>Except for certain specified provisions, the holders of at least a majority in principal amount of the Exchange Notes may on behalf of the holders of all Exchange Notes waive our compliance with provisions of the Indenture. The holders of a majority in principal amount of the Exchange Notes may on behalf of the holders of all Exchange Notes waive any past default under the Indenture with respect to the Exchange Notes and its consequences, except a default in the payment of the principal of, or premium and any interest on, the Exchange Notes; provided</w:t>
      </w:r>
      <w:r>
        <w:rPr>
          <w:rFonts w:ascii="Times New Roman" w:hAnsi="Times New Roman"/>
          <w:i/>
          <w:sz w:val="20"/>
        </w:rPr>
        <w:t xml:space="preserve">, </w:t>
      </w:r>
      <w:r>
        <w:rPr>
          <w:rFonts w:ascii="Times New Roman" w:hAnsi="Times New Roman"/>
          <w:sz w:val="20"/>
        </w:rPr>
        <w:t>however</w:t>
      </w:r>
      <w:r>
        <w:rPr>
          <w:rFonts w:ascii="Times New Roman" w:hAnsi="Times New Roman"/>
          <w:i/>
          <w:sz w:val="20"/>
        </w:rPr>
        <w:t xml:space="preserve">, </w:t>
      </w:r>
      <w:r>
        <w:rPr>
          <w:rFonts w:ascii="Times New Roman" w:hAnsi="Times New Roman"/>
          <w:sz w:val="20"/>
        </w:rPr>
        <w:t xml:space="preserve">that the holders of a majority in principal amount of the Exchange Notes then outstanding may rescind an acceleration and its consequences, including any related payment default that resulted from the acceleration.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without the consent of any holder of Exchange Notes, we and the Trustee may modify and amend the Indenture or the Exchange Notes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cure any ambiguity, to correct any mistake, to correct or supplement any provision in the Indenture that may be defective or inconsistent with any other provision in the Indenture, or to make other provisions in regard to matters or questions arising under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evidence that another person has become a successor of the Issuer and that the successor assumes the Issuer’s covenants, agreements, and obligations in the Indenture and in the Exchange Notes in accordance with the Indenture;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surrender any of the Issuer’s rights or powers under the Indenture or add to the Issuer’s covenants further covenants for the protection of the holders of the Exchange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 any additional events of default for the benefit of the holders of the Exchange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conform any provision in the Indenture to this “Description of Exchange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secure the Exchange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for uncertificated Exchange Notes in addition to or in place of certificated Exchange Notes (provided, that the uncertificated Exchange Notes are issued in registered form for purposes of Section 163(f)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any change that does not adversely affect the rights of any holder of Exchange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evidence and provide for the acceptance of appointment of a successor trustee with respect to the Exchange Notes and add to or change any provisions of the Indenture as necessary to provide for or facilitate the administration of the trusts under the Indenture by more than one trustee;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comply with the requirements of the SEC in order to effect or maintain the qualification of the Indenture under the Trust Indenture Act.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Defeasance and Discharge </w:t>
      </w:r>
    </w:p>
    <w:p>
      <w:pPr>
        <w:pStyle w:val="TextBody"/>
        <w:bidi w:val="0"/>
        <w:spacing w:before="120" w:after="0"/>
        <w:jc w:val="left"/>
        <w:rPr>
          <w:rFonts w:ascii="Times New Roman" w:hAnsi="Times New Roman"/>
          <w:sz w:val="20"/>
        </w:rPr>
      </w:pPr>
      <w:r>
        <w:rPr>
          <w:rFonts w:ascii="Times New Roman" w:hAnsi="Times New Roman"/>
          <w:i/>
          <w:sz w:val="20"/>
        </w:rPr>
        <w:t>Legal Defeasance</w:t>
      </w:r>
      <w:r>
        <w:rPr>
          <w:rFonts w:ascii="Times New Roman" w:hAnsi="Times New Roman"/>
          <w:sz w:val="20"/>
        </w:rPr>
        <w:t xml:space="preserve">. The Indenture provides that we may be discharged from any and all obligations in respect of the Exchange Notes (except for certain obligations to register the transfer or exchange of the Exchange Notes, to replace stolen, lost or mutilated Exchange Notes, and to maintain paying agencies and certain provisions relating to the treatment of funds held by paying agents). We will be so discharged upon the deposit with the Trustee, in trust, of money and/or U.S. government obligations that, through the payment of interest and principal in accordance with their terms, will provide money in an amount sufficient in the opinion of a nationally recognized firm of independent public accountants to pay and discharge each installment of principal, premium and interest on and any mandatory sinking fund payments in respect of the Exchange Notes on the stated maturity of those payments in accordance with the terms of the Indenture and the Exchange Notes. </w:t>
      </w:r>
    </w:p>
    <w:p>
      <w:pPr>
        <w:pStyle w:val="TextBody"/>
        <w:bidi w:val="0"/>
        <w:spacing w:before="240" w:after="0"/>
        <w:jc w:val="left"/>
        <w:rPr>
          <w:rFonts w:ascii="Times New Roman" w:hAnsi="Times New Roman"/>
          <w:sz w:val="20"/>
        </w:rPr>
      </w:pPr>
      <w:r>
        <w:rPr>
          <w:rFonts w:ascii="Times New Roman" w:hAnsi="Times New Roman"/>
          <w:sz w:val="20"/>
        </w:rPr>
        <w:t xml:space="preserve">This discharge may occur only if, among other things, we have delivered to the Trustee an opinion of counsel stating that we have received from, or there has been published by, the U.S. Internal Revenue Service (“IRS”) a ruling or, since the date of execution of the Indenture, there has been a change in the applicable U.S. federal income tax law, in either case to the effect that, and based thereon such opinion shall confirm that, the holders and beneficial owners of the Exchange Notes will not recognize income, gain or loss for U.S. federal income tax purposes as a result of the deposit, defeasance and discharge and will be subject to U.S. federal income tax on the same amounts and in the same manner and at the same times as would have been the case if the deposit, defeasance and discharge had not occurred. </w:t>
      </w:r>
    </w:p>
    <w:p>
      <w:pPr>
        <w:pStyle w:val="TextBody"/>
        <w:bidi w:val="0"/>
        <w:spacing w:before="240" w:after="0"/>
        <w:jc w:val="left"/>
        <w:rPr>
          <w:rFonts w:ascii="Times New Roman" w:hAnsi="Times New Roman"/>
          <w:sz w:val="20"/>
        </w:rPr>
      </w:pPr>
      <w:r>
        <w:rPr>
          <w:rFonts w:ascii="Times New Roman" w:hAnsi="Times New Roman"/>
          <w:i/>
          <w:sz w:val="20"/>
        </w:rPr>
        <w:t>Defeasance of Certain Covenants</w:t>
      </w:r>
      <w:r>
        <w:rPr>
          <w:rFonts w:ascii="Times New Roman" w:hAnsi="Times New Roman"/>
          <w:sz w:val="20"/>
        </w:rPr>
        <w:t xml:space="preserve">. The Indenture provides that upon compliance with certain conditions: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omit to comply with most covenants set forth in the Indenture;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omission to comply with those covenants will not constitute a default or an event of default with respect to the Exchange Notes, or covenant defeasance.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conditions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depositing with the Trustee money and/or U.S. government obligations that, through the payment of interest and principal in accordance with their terms, will provide money in an amount sufficient in the opinion of a nationally recognized firm of independent public accountants to pay and discharge each installment of principal of, premium and interest on and any mandatory sinking fund payments in respect of the Exchange Notes on the stated maturity of those payments in accordance with the terms of the Indenture and the Exchange Notes;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delivering to the Trustee an opinion of counsel to the effect that the holders and beneficial owners of the Exchange Notes will not recognize income, gain or loss for U.S. federal income tax purposes as a result of the deposit and related covenant defeasance and will be subject to U.S. federal income tax on the same amounts and in the same manner and at the same times as would have been the case if the deposit and related covenant defeasance had not occurred.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Satisfaction and Discharge </w:t>
      </w:r>
    </w:p>
    <w:p>
      <w:pPr>
        <w:pStyle w:val="TextBody"/>
        <w:bidi w:val="0"/>
        <w:spacing w:before="120" w:after="0"/>
        <w:jc w:val="left"/>
        <w:rPr>
          <w:rFonts w:ascii="Times New Roman" w:hAnsi="Times New Roman"/>
          <w:sz w:val="20"/>
        </w:rPr>
      </w:pPr>
      <w:r>
        <w:rPr>
          <w:rFonts w:ascii="Times New Roman" w:hAnsi="Times New Roman"/>
          <w:sz w:val="20"/>
        </w:rPr>
        <w:t xml:space="preserve">The Indenture will be discharged and cease to be of any further effect (except as to the surviving rights of the Trustee and the Issuer’s obligations in connection therewith, as expressly provided for in the Indenture) as to all Exchange Notes then outstanding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delivered to the Trustee for cancellation all Exchange Notes (with certain limited exceptions);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Exchange Notes not previously delivered to the Trustee for cancellation have become due and payable, will become due and payable within one year, or are to be called for redemption within one year under arrangements satisfactory to the Trustee, and in any such case we have deposited with the Trustee as trust funds the entire amount sufficient to pay at maturity or upon redemption all of the principal, premium and interest due with respect to those Exchange Notes;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and if, in either case, we also pay or cause to be paid all other sums payable under the Indenture by us and deliver to the Trustee an officer’s certificate and opinion of counsel stating that all conditions precedent to the satisfaction and discharge of the Indenture have been complied with. </w:t>
      </w:r>
    </w:p>
    <w:p>
      <w:pPr>
        <w:pStyle w:val="TextBody"/>
        <w:bidi w:val="0"/>
        <w:spacing w:before="360" w:after="0"/>
        <w:jc w:val="left"/>
        <w:rPr>
          <w:rFonts w:ascii="Times New Roman" w:hAnsi="Times New Roman"/>
          <w:b/>
          <w:sz w:val="20"/>
        </w:rPr>
      </w:pPr>
      <w:r>
        <w:rPr>
          <w:rFonts w:ascii="Times New Roman" w:hAnsi="Times New Roman"/>
          <w:b/>
          <w:sz w:val="20"/>
        </w:rPr>
        <w:t xml:space="preserve">Book-Entry, Delivery and Form </w:t>
      </w:r>
    </w:p>
    <w:p>
      <w:pPr>
        <w:pStyle w:val="TextBody"/>
        <w:bidi w:val="0"/>
        <w:spacing w:before="120" w:after="0"/>
        <w:jc w:val="left"/>
        <w:rPr>
          <w:rFonts w:ascii="Times New Roman" w:hAnsi="Times New Roman"/>
          <w:sz w:val="20"/>
        </w:rPr>
      </w:pPr>
      <w:r>
        <w:rPr>
          <w:rFonts w:ascii="Times New Roman" w:hAnsi="Times New Roman"/>
          <w:sz w:val="20"/>
        </w:rPr>
        <w:t xml:space="preserve">The Exchange Notes will be issued in registered, global form in minimum denominations of $2,000 and integral multiples of $1,000 in excess thereof. The Outstanding Notes were issued only against payment in immediately available funds. </w:t>
      </w:r>
    </w:p>
    <w:p>
      <w:pPr>
        <w:pStyle w:val="TextBody"/>
        <w:bidi w:val="0"/>
        <w:spacing w:before="240" w:after="0"/>
        <w:jc w:val="left"/>
        <w:rPr>
          <w:rFonts w:ascii="Times New Roman" w:hAnsi="Times New Roman"/>
          <w:sz w:val="20"/>
        </w:rPr>
      </w:pPr>
      <w:r>
        <w:rPr>
          <w:rFonts w:ascii="Times New Roman" w:hAnsi="Times New Roman"/>
          <w:sz w:val="20"/>
        </w:rPr>
        <w:t xml:space="preserve">The global notes will be deposited upon issuance with the Trustee as custodian for DTC, and registered in the name of DTC or its nominee in each case for credit to an account of a direct or indirect participant in DTC as described below. Global notes may be transferred, in whole and not in part, only to another nominee of DTC or to a successor of DTC or its nominee. </w:t>
      </w:r>
    </w:p>
    <w:p>
      <w:pPr>
        <w:pStyle w:val="TextBody"/>
        <w:bidi w:val="0"/>
        <w:spacing w:before="240" w:after="0"/>
        <w:jc w:val="left"/>
        <w:rPr>
          <w:rFonts w:ascii="Times New Roman" w:hAnsi="Times New Roman"/>
          <w:sz w:val="20"/>
        </w:rPr>
      </w:pPr>
      <w:r>
        <w:rPr>
          <w:rFonts w:ascii="Times New Roman" w:hAnsi="Times New Roman"/>
          <w:sz w:val="20"/>
        </w:rPr>
        <w:t xml:space="preserve">Beneficial interests in the global notes may be held through the Euroclear System (“Euroclear”) and Clearstream Banking, S.A. (“Clearstream”) (as indirect participants in DTC). Beneficial interests in the global notes may not be exchanged for Exchange Notes in certificated form (“certificated notes”) except in the limited circumstances described below. See “—Exchange of Global Notes for Certificated Notes.” </w:t>
      </w:r>
    </w:p>
    <w:p>
      <w:pPr>
        <w:pStyle w:val="TextBody"/>
        <w:bidi w:val="0"/>
        <w:spacing w:before="240" w:after="0"/>
        <w:jc w:val="left"/>
        <w:rPr>
          <w:rFonts w:ascii="Times New Roman" w:hAnsi="Times New Roman"/>
          <w:sz w:val="20"/>
        </w:rPr>
      </w:pPr>
      <w:r>
        <w:rPr>
          <w:rFonts w:ascii="Times New Roman" w:hAnsi="Times New Roman"/>
          <w:sz w:val="20"/>
        </w:rPr>
        <w:t xml:space="preserve">Transfers of beneficial interests in the global notes will be subject to the applicable rules and procedures of DTC and its direct or indirect participants (including, if applicable, those of Euroclear and Clearstream), which may change from time to time. </w:t>
      </w:r>
    </w:p>
    <w:p>
      <w:pPr>
        <w:pStyle w:val="TextBody"/>
        <w:bidi w:val="0"/>
        <w:spacing w:before="360" w:after="0"/>
        <w:jc w:val="left"/>
        <w:rPr>
          <w:rFonts w:ascii="Times New Roman" w:hAnsi="Times New Roman"/>
          <w:b/>
          <w:i/>
          <w:sz w:val="20"/>
        </w:rPr>
      </w:pPr>
      <w:r>
        <w:rPr>
          <w:rFonts w:ascii="Times New Roman" w:hAnsi="Times New Roman"/>
          <w:b/>
          <w:i/>
          <w:sz w:val="20"/>
        </w:rPr>
        <w:t xml:space="preserve">Exchange of Global Notes for Certificated Notes </w:t>
      </w:r>
    </w:p>
    <w:p>
      <w:pPr>
        <w:pStyle w:val="TextBody"/>
        <w:bidi w:val="0"/>
        <w:spacing w:before="120" w:after="0"/>
        <w:jc w:val="left"/>
        <w:rPr>
          <w:rFonts w:ascii="Times New Roman" w:hAnsi="Times New Roman"/>
          <w:sz w:val="20"/>
        </w:rPr>
      </w:pPr>
      <w:r>
        <w:rPr>
          <w:rFonts w:ascii="Times New Roman" w:hAnsi="Times New Roman"/>
          <w:sz w:val="20"/>
        </w:rPr>
        <w:t xml:space="preserve">The global notes are exchangeable for certificated notes in definitive, fully registered form without interest coupons only in the following limited circumstances: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DTC (1) notifies us that it is unwilling or unable to act as a depositary for such global note or (2) ceases to be a clearing agency registered under the Exchange Act, and, in either case, we fail to appoint a successor depositary registered as a clearing agency under the Exchange Act within 90 days; 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at our option, notify the Trustee in writing that we elect to cause the issuance of the certificated notes.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all cases, certificated notes delivered in exchange for any global notes or beneficial interests therein will be registered in such names as DTC shall direct in writing in an aggregate principal amount equal to the principal amount of the global notes with like tenor and terms. </w:t>
      </w:r>
    </w:p>
    <w:p>
      <w:pPr>
        <w:pStyle w:val="TextBody"/>
        <w:bidi w:val="0"/>
        <w:spacing w:before="360" w:after="0"/>
        <w:jc w:val="left"/>
        <w:rPr>
          <w:rFonts w:ascii="Times New Roman" w:hAnsi="Times New Roman"/>
          <w:b/>
          <w:i/>
          <w:sz w:val="20"/>
        </w:rPr>
      </w:pPr>
      <w:r>
        <w:rPr>
          <w:rFonts w:ascii="Times New Roman" w:hAnsi="Times New Roman"/>
          <w:b/>
          <w:i/>
          <w:sz w:val="20"/>
        </w:rPr>
        <w:t xml:space="preserve">Depositary Procedures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description of the operations and procedures of DTC, Euroclear and Clearstream are provided solely as a matter of convenience. These operations and procedures are solely within the control of the respective settlement systems and are subject to changes by them. We do not take any responsibility for these operations and procedures and urge investors to contact the system or their participants directly to discuss these matters. </w:t>
      </w:r>
    </w:p>
    <w:p>
      <w:pPr>
        <w:pStyle w:val="TextBody"/>
        <w:bidi w:val="0"/>
        <w:spacing w:before="240" w:after="0"/>
        <w:jc w:val="left"/>
        <w:rPr>
          <w:rFonts w:ascii="Times New Roman" w:hAnsi="Times New Roman"/>
          <w:sz w:val="20"/>
        </w:rPr>
      </w:pPr>
      <w:r>
        <w:rPr>
          <w:rFonts w:ascii="Times New Roman" w:hAnsi="Times New Roman"/>
          <w:sz w:val="20"/>
        </w:rPr>
        <w:t xml:space="preserve">DTC has advised us that DTC is a limited-purpose trust company created to hold securities for its participating organizations (collectively, the “Participants”) and to facilitate the clearance and settlement of transactions in those securities between the Participants through electronic book-entry changes in accounts of its Participants. The Participants include securities brokers and dealers, banks, trust companies, clearing corporations and certain other organizations. Access to DTC’s system is also available to other entities such as banks, brokers, dealers and trust companies that clear through or maintain a custodial relationship with a Participant, either directly or indirectly (collectively, the “Indirect Participants”). Persons who are not Participants may beneficially own securities held by or on behalf of DTC only through the Participants or the Indirect Participants. The ownership interests in, and transfers of ownership interests in, each security held by or on behalf of DTC are recorded on the records of the Participants and Indirect Participants. </w:t>
      </w:r>
    </w:p>
    <w:p>
      <w:pPr>
        <w:pStyle w:val="TextBody"/>
        <w:bidi w:val="0"/>
        <w:spacing w:before="240" w:after="0"/>
        <w:jc w:val="left"/>
        <w:rPr>
          <w:rFonts w:ascii="Times New Roman" w:hAnsi="Times New Roman"/>
          <w:sz w:val="20"/>
        </w:rPr>
      </w:pPr>
      <w:r>
        <w:rPr>
          <w:rFonts w:ascii="Times New Roman" w:hAnsi="Times New Roman"/>
          <w:sz w:val="20"/>
        </w:rPr>
        <w:t xml:space="preserve">DTC has also advised us that, pursuant to procedures established by it: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deposit of the global notes, DTC will credit the accounts of the Participants designated by the Trustee with portions of the principal amount of the global notes;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ownership of these interests in the global notes will be shown on, and the transfer of ownership of these interests will be effected only through, records maintained by DTC (with respect to the Participants) or by the Participants and the Indirect Participants (with respect to other owners of beneficial interest in the global notes).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Investors in the global notes who are Participants may hold their interests therein directly through DTC. Investors in the global notes who are not Participants may hold their interests therein indirectly through organizations (including Euroclear and Clearstream) that are Participants in such system. Euroclear and Clearstream will hold interests in the global notes on behalf of their participants through customers’ securities accounts in their respective names on the books of their respective depositories, which are Euroclear Bank S.A./N.V., as operator of Euroclear, and Citibank, N.A., as operator of Clearstream. All interests in a global note, including those held through Euroclear or Clearstream, may be subject to the procedures and requirements of DTC. </w:t>
      </w:r>
    </w:p>
    <w:p>
      <w:pPr>
        <w:pStyle w:val="TextBody"/>
        <w:bidi w:val="0"/>
        <w:spacing w:before="240" w:after="0"/>
        <w:jc w:val="left"/>
        <w:rPr>
          <w:rFonts w:ascii="Times New Roman" w:hAnsi="Times New Roman"/>
          <w:sz w:val="20"/>
        </w:rPr>
      </w:pPr>
      <w:r>
        <w:rPr>
          <w:rFonts w:ascii="Times New Roman" w:hAnsi="Times New Roman"/>
          <w:sz w:val="20"/>
        </w:rPr>
        <w:t xml:space="preserve">Those interests held through Euroclear or Clearstream may also be subject to the procedures and requirements of such systems. </w:t>
      </w:r>
    </w:p>
    <w:p>
      <w:pPr>
        <w:pStyle w:val="TextBody"/>
        <w:bidi w:val="0"/>
        <w:spacing w:before="240" w:after="0"/>
        <w:jc w:val="left"/>
        <w:rPr>
          <w:rFonts w:ascii="Times New Roman" w:hAnsi="Times New Roman"/>
          <w:sz w:val="20"/>
        </w:rPr>
      </w:pPr>
      <w:r>
        <w:rPr>
          <w:rFonts w:ascii="Times New Roman" w:hAnsi="Times New Roman"/>
          <w:sz w:val="20"/>
        </w:rPr>
        <w:t xml:space="preserve">The laws of some states require that certain persons take physical delivery in definitive form of securities that they own. Consequently, the ability to transfer beneficial interests in a global note to such persons will be limited to that extent. Because DTC can act only on behalf of the Participants, which in turn act on behalf of the Indirect Participants, the ability of a person having beneficial interests in a global note to pledge such interests to persons that do not participate in the DTC system, or otherwise take actions in respect of such interests, may be affected by the lack of a physical certificate evidencing such interests.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Except as described above, owners of beneficial interests in the global notes will not have Exchange Notes registered in their names, will not receive physical delivery of Exchange Notes in certificated form and will not be considered the registered owners or “Holders” thereof under the Indenture for any purpose. </w:t>
      </w:r>
    </w:p>
    <w:p>
      <w:pPr>
        <w:pStyle w:val="TextBody"/>
        <w:bidi w:val="0"/>
        <w:spacing w:before="240" w:after="0"/>
        <w:jc w:val="left"/>
        <w:rPr>
          <w:rFonts w:ascii="Times New Roman" w:hAnsi="Times New Roman"/>
          <w:sz w:val="20"/>
        </w:rPr>
      </w:pPr>
      <w:r>
        <w:rPr>
          <w:rFonts w:ascii="Times New Roman" w:hAnsi="Times New Roman"/>
          <w:sz w:val="20"/>
        </w:rPr>
        <w:t xml:space="preserve">Payments in respect of the principal of, and interest, additional interest and premium, if any, on a global note registered in the name of DTC or its nominee will be payable to DTC in its capacity as the registered holder of the Exchange Notes under the Indenture. Under the terms of the Indenture, we and the Trustee will treat the persons in whose names the Exchange Notes, including the global notes, are registered as the owners of the Exchange Notes for the purpose of receiving payments and for all other purposes. Consequently, neither we nor the Trustee nor any of our respective agents has or will have any responsibility or liability for: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aspect of DTC’s records or any Participant’s or Indirect Participant’s records relating to, or payments made on account of, beneficial ownership interests in the global notes or for maintaining, supervising or reviewing any of DTC’s records or any Participant’s or Indirect Participant’s records relating to the beneficial ownership interests in the global notes;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matter relating to the actions and practices of DTC or any of its Participants or Indirect Participants.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DTC’s current practice, upon receipt of any payment in respect of securities such as the Exchange Notes (including principal and interest), is to credit the accounts of the relevant Participants with the payment on the payment date unless DTC has reason to believe it will not receive payment on such payment date. Each relevant Participant is credited with an amount proportionate to its beneficial ownership of an interest in the principal amount of the relevant security as shown on the records of DTC. Payments by the Participants and the Indirect Participants to the beneficial owners of Exchange Notes will be governed by standing instructions and customary practices and will be the responsibility of the Participants or the Indirect Participants and will not be the responsibility of DTC, the Trustee or us. Neither we nor the Trustee will be liable for any delay by DTC or any of the Participants or the Indirect Participants in identifying the beneficial owners of the Exchange Notes, and we and the Trustee may conclusively rely on and will be protected in relying on instructions from DTC or its nominee for all purposes. </w:t>
      </w:r>
    </w:p>
    <w:p>
      <w:pPr>
        <w:pStyle w:val="TextBody"/>
        <w:bidi w:val="0"/>
        <w:spacing w:before="240" w:after="0"/>
        <w:jc w:val="left"/>
        <w:rPr>
          <w:rFonts w:ascii="Times New Roman" w:hAnsi="Times New Roman"/>
          <w:sz w:val="20"/>
        </w:rPr>
      </w:pPr>
      <w:r>
        <w:rPr>
          <w:rFonts w:ascii="Times New Roman" w:hAnsi="Times New Roman"/>
          <w:sz w:val="20"/>
        </w:rPr>
        <w:t xml:space="preserve">Transfers between the Participants will be effected in accordance with DTC’s procedures and will be settled in same-day funds, and transfers between participants in Euroclear and Clearstream will be effected in accordance with their respective rules and operating procedures. </w:t>
      </w:r>
    </w:p>
    <w:p>
      <w:pPr>
        <w:pStyle w:val="TextBody"/>
        <w:bidi w:val="0"/>
        <w:spacing w:before="240" w:after="0"/>
        <w:jc w:val="left"/>
        <w:rPr>
          <w:rFonts w:ascii="Times New Roman" w:hAnsi="Times New Roman"/>
          <w:sz w:val="20"/>
        </w:rPr>
      </w:pPr>
      <w:r>
        <w:rPr>
          <w:rFonts w:ascii="Times New Roman" w:hAnsi="Times New Roman"/>
          <w:sz w:val="20"/>
        </w:rPr>
        <w:t xml:space="preserve">Cross-market transfers between the Participants in DTC, on the one hand, and Euroclear or Clearstream participants, on the other hand, will be effected through DTC in accordance with DTC’s rules on behalf of Euroclear or Clearstream, as the case may be, by their respective depositary; however, such cross-market transactions will require delivery of instructions to Euroclear or Clearstream, as the case may be, by the counterparty in such system in accordance with the rules and procedures and within the established deadlines (Brussels time) of such system. Euroclear or Clearstream, as the case may be, will, if the transaction meets its settlement requirements, deliver instructions to its respective depositary to take action to effect final settlement on its behalf by delivering or receiving interests in the relevant global note in DTC, and making or receiving payment in accordance with normal procedures for same-day funds settlement applicable to DTC. Euroclear participants and Clearstream participants may not deliver instructions directly to the depositories for Euroclear or Clearstream. </w:t>
      </w:r>
    </w:p>
    <w:p>
      <w:pPr>
        <w:pStyle w:val="TextBody"/>
        <w:bidi w:val="0"/>
        <w:spacing w:before="240" w:after="0"/>
        <w:jc w:val="left"/>
        <w:rPr>
          <w:rFonts w:ascii="Times New Roman" w:hAnsi="Times New Roman"/>
          <w:sz w:val="20"/>
        </w:rPr>
      </w:pPr>
      <w:r>
        <w:rPr>
          <w:rFonts w:ascii="Times New Roman" w:hAnsi="Times New Roman"/>
          <w:sz w:val="20"/>
        </w:rPr>
        <w:t xml:space="preserve">DTC has advised us that it will take any action permitted to be taken by a holder of Exchange Notes only at the direction of one or more Participants to whose account DTC has credited the interests in the global notes and only in respect of such portion of the aggregate principal amount of the notes as to which such Participant or Participants has or have given such direction. However, if there is an event of default under the Exchange Notes, DTC reserves the right to exchange the global notes for certificated notes, and to distribute such Exchange Notes to the Participants.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Although DTC, Euroclear and Clearstream have agreed to the foregoing procedures to facilitate transfers of interests in the global notes among participants in DTC, Euroclear and Clearstream, they are under no obligation to perform or to continue to perform such procedures, and may discontinue such procedures at any time. Neither we nor the Trustee nor any of our respective agents (including, without limitation, the Exchange Agent) will have any responsibility for the performance by DTC, Euroclear or Clearstream or their respective participants or indirect participants of their respective obligations under the rules and procedures governing their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Payment and Paying Agents </w:t>
      </w:r>
    </w:p>
    <w:p>
      <w:pPr>
        <w:pStyle w:val="TextBody"/>
        <w:bidi w:val="0"/>
        <w:spacing w:before="120" w:after="0"/>
        <w:jc w:val="left"/>
        <w:rPr>
          <w:rFonts w:ascii="Times New Roman" w:hAnsi="Times New Roman"/>
          <w:sz w:val="20"/>
        </w:rPr>
      </w:pPr>
      <w:r>
        <w:rPr>
          <w:rFonts w:ascii="Times New Roman" w:hAnsi="Times New Roman"/>
          <w:sz w:val="20"/>
        </w:rPr>
        <w:t xml:space="preserve">Payments on the global notes will be made in U.S. dollars by wire transfer. If we issue definitive Exchange Notes, the holders of definitive Exchange Notes will be able to receive payments of principal of and interest on their Exchange Notes at the office of our paying agent. Payment of principal of a definitive Exchange Note may be made only against surrender of the Exchange Note to our paying agent. We have the option, however, of making payments of interest by wire transfer or by mailing checks to the address of the holder appearing in the register of Exchange Note holders maintained by the registrar. </w:t>
      </w:r>
    </w:p>
    <w:p>
      <w:pPr>
        <w:pStyle w:val="TextBody"/>
        <w:bidi w:val="0"/>
        <w:spacing w:before="240" w:after="0"/>
        <w:jc w:val="left"/>
        <w:rPr>
          <w:rFonts w:ascii="Times New Roman" w:hAnsi="Times New Roman"/>
          <w:sz w:val="20"/>
        </w:rPr>
      </w:pPr>
      <w:r>
        <w:rPr>
          <w:rFonts w:ascii="Times New Roman" w:hAnsi="Times New Roman"/>
          <w:sz w:val="20"/>
        </w:rPr>
        <w:t xml:space="preserve">We will make any required interest payments to the person in whose name an Exchange Note is registered at the close of business on the record date for the interest payment. </w:t>
      </w:r>
    </w:p>
    <w:p>
      <w:pPr>
        <w:pStyle w:val="TextBody"/>
        <w:bidi w:val="0"/>
        <w:spacing w:before="240" w:after="0"/>
        <w:jc w:val="left"/>
        <w:rPr>
          <w:rFonts w:ascii="Times New Roman" w:hAnsi="Times New Roman"/>
          <w:sz w:val="20"/>
        </w:rPr>
      </w:pPr>
      <w:r>
        <w:rPr>
          <w:rFonts w:ascii="Times New Roman" w:hAnsi="Times New Roman"/>
          <w:sz w:val="20"/>
        </w:rPr>
        <w:t xml:space="preserve">The Trustee will be designated as our paying agent for payments on the Exchange Notes. We may from time to time designate additional paying agents, rescind the designation of any paying agent or approve a change in the office through which any paying agent acts.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Notices </w:t>
      </w:r>
    </w:p>
    <w:p>
      <w:pPr>
        <w:pStyle w:val="TextBody"/>
        <w:bidi w:val="0"/>
        <w:spacing w:before="120" w:after="0"/>
        <w:jc w:val="left"/>
        <w:rPr>
          <w:rFonts w:ascii="Times New Roman" w:hAnsi="Times New Roman"/>
          <w:sz w:val="20"/>
        </w:rPr>
      </w:pPr>
      <w:r>
        <w:rPr>
          <w:rFonts w:ascii="Times New Roman" w:hAnsi="Times New Roman"/>
          <w:sz w:val="20"/>
        </w:rPr>
        <w:t xml:space="preserve">Any notices required to be given to the holders of the Exchange Notes will be given to DTC, as the registered holder of the global notes. In the event that the global notes are exchanged for Exchange Notes in definitive form, notices to holders of the Exchange Notes will be delivered to the addresses that appear on the register of noteholders maintained by the registrar. </w:t>
      </w:r>
    </w:p>
    <w:p>
      <w:pPr>
        <w:pStyle w:val="TextBody"/>
        <w:bidi w:val="0"/>
        <w:spacing w:before="360" w:after="0"/>
        <w:jc w:val="left"/>
        <w:rPr>
          <w:rFonts w:ascii="Times New Roman" w:hAnsi="Times New Roman"/>
          <w:b/>
          <w:sz w:val="20"/>
        </w:rPr>
      </w:pPr>
      <w:r>
        <w:rPr>
          <w:rFonts w:ascii="Times New Roman" w:hAnsi="Times New Roman"/>
          <w:b/>
          <w:sz w:val="20"/>
        </w:rPr>
        <w:t xml:space="preserve">The Trustee </w:t>
      </w:r>
    </w:p>
    <w:p>
      <w:pPr>
        <w:pStyle w:val="TextBody"/>
        <w:bidi w:val="0"/>
        <w:spacing w:before="120" w:after="0"/>
        <w:jc w:val="left"/>
        <w:rPr>
          <w:rFonts w:ascii="Times New Roman" w:hAnsi="Times New Roman"/>
          <w:sz w:val="20"/>
        </w:rPr>
      </w:pPr>
      <w:r>
        <w:rPr>
          <w:rFonts w:ascii="Times New Roman" w:hAnsi="Times New Roman"/>
          <w:sz w:val="20"/>
        </w:rPr>
        <w:t xml:space="preserve">The Indenture provides that, except during the continuance of an event of default actually known to a responsible officer of the Trustee, the Trustee will perform only those duties that are specifically set forth in the Indenture and no others. If an event of default has occurred and is continuing that is actually known to a responsible officer of the Trustee, the Trustee shall exercise the rights and powers vested in it by the Indenture and use the same degree of care and skill in its exercise as a prudent person would exercise or use under the circumstances in the conduct of such person’s own affairs. </w:t>
      </w:r>
    </w:p>
    <w:p>
      <w:pPr>
        <w:pStyle w:val="TextBody"/>
        <w:bidi w:val="0"/>
        <w:spacing w:before="240" w:after="0"/>
        <w:jc w:val="left"/>
        <w:rPr>
          <w:rFonts w:ascii="Times New Roman" w:hAnsi="Times New Roman"/>
          <w:sz w:val="20"/>
        </w:rPr>
      </w:pPr>
      <w:r>
        <w:rPr>
          <w:rFonts w:ascii="Times New Roman" w:hAnsi="Times New Roman"/>
          <w:sz w:val="20"/>
        </w:rPr>
        <w:t xml:space="preserve">The Indenture and provisions of the Trust Indenture Act, incorporated by reference in the Indenture contain limitations on the rights of the Trustee, should it become our creditor, to obtain payment of claims in certain cases or to liquidate certain property received by it in respect of any such claim as security or otherwise. The Trustee is permitted to engage in other transactions with us or any of our affiliates. If the Trustee acquires any conflicting interest (as defined in the Indenture or in the Trust Indenture Act), it must eliminate that conflict or resign. </w:t>
      </w:r>
    </w:p>
    <w:p>
      <w:pPr>
        <w:pStyle w:val="TextBody"/>
        <w:bidi w:val="0"/>
        <w:spacing w:before="360" w:after="0"/>
        <w:jc w:val="left"/>
        <w:rPr>
          <w:rFonts w:ascii="Times New Roman" w:hAnsi="Times New Roman"/>
          <w:b/>
          <w:sz w:val="20"/>
        </w:rPr>
      </w:pPr>
      <w:r>
        <w:rPr>
          <w:rFonts w:ascii="Times New Roman" w:hAnsi="Times New Roman"/>
          <w:b/>
          <w:sz w:val="20"/>
        </w:rPr>
        <w:t xml:space="preserve">Governing Law </w:t>
      </w:r>
    </w:p>
    <w:p>
      <w:pPr>
        <w:pStyle w:val="TextBody"/>
        <w:bidi w:val="0"/>
        <w:spacing w:before="120" w:after="0"/>
        <w:jc w:val="left"/>
        <w:rPr>
          <w:rFonts w:ascii="Times New Roman" w:hAnsi="Times New Roman"/>
          <w:sz w:val="20"/>
        </w:rPr>
      </w:pPr>
      <w:r>
        <w:rPr>
          <w:rFonts w:ascii="Times New Roman" w:hAnsi="Times New Roman"/>
          <w:sz w:val="20"/>
        </w:rPr>
        <w:t xml:space="preserve">The Indenture and the Exchange Notes, including any claim or controversy arising out of or relating to the Indenture or the Exchange Notes, are governed by the laws of the State of New York.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3" w:name="tx154803_9"/>
      <w:bookmarkEnd w:id="13"/>
      <w:r>
        <w:rPr>
          <w:rFonts w:ascii="Times New Roman" w:hAnsi="Times New Roman"/>
          <w:b/>
          <w:sz w:val="20"/>
        </w:rPr>
        <w:t xml:space="preserve">CERTAIN U.S. FEDERAL INCOME TAX CONSIDERATIONS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a general discussion of certain U.S. federal income tax considerations relating to the exchange of Outstanding Notes for Exchange Notes in the Exchange Offer, but it does not purport to be a complete analysis of all potential tax considerations. This discussion is based on current provisions of the Code, the Treasury Regulations promulgated thereunder, administrative rulings and published positions of the IRS, and judicial interpretations of the foregoing, all as in effect as of the date hereof and all of which are subject to change or differing interpretations, possibly with retroactive effect. Any such change or interpretation could affect the accuracy of the statements and conclusions set forth herein. We have not sought and will not seek any rulings from the IRS with respect to the statements made and the conclusions reached in the following discussion, and accordingly, there can be no assurance that the IRS will not successfully challenge the tax consequences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This discussion applies only to holders that are beneficial owners of Outstanding Notes that purchased Outstanding Notes in the initial offering at their original “issue price” (the first price at which a substantial amount of the Outstanding Notes is sold for cash (excluding sales to bond houses, brokers, or similar persons or organizations acting in the capacity of underwriters, placement agents or wholesalers)) for cash and that hold such Outstanding Notes as “capital assets” within the meaning of Section 1221 of the Code (generally, property held for investment). This discussion does not address the tax considerations that may be relevant to subsequent purchasers of Outstanding Notes or Exchange Notes. This discussion is for general information purposes only and does not purport to address all aspects of U.S. federal income taxation that may be relevant to particular holders in light of their particular circumstances or status and it does not apply to holders subject to special rules under the U.S. federal income tax laws (including, for example, banks or other financial institutions, broker-dealers, traders in securities that elect mark-to-market tax treatment, insurance companies, Subchapter S corporations, grantor trusts, partnerships or other entities or arrangements treated as partnerships or other pass-through entities for U.S. federal income tax purposes (or investors therein), real estate investment trusts, regulated investment companies, insurance companies, corporations treated as “personal holding companies,” United States expatriates, tax-exempt organizations, persons liable for any alternative minimum tax, U.S. holders that have a functional currency other than the United States dollar, “controlled foreign corporations,” “passive foreign investment companies,” persons that are required to accelerate the recognition of any item of gross income as a result of such income being recognized on an “applicable financial statement” or persons who hold Outstanding Notes as part of a straddle, hedge, conversion or other risk reduction transaction or integrated investment). This discussion does not address any state, local or foreign tax consequences, nor does it address any U.S. federal tax considerations other than those pertaining to the income tax. In addition, this discussion does not address any tax consequences arising under the unearned income Medicare contribution tax pursuant to the Health Care and Education Reconciliation Act of 2010, nor any considerations with respect to any withholding required pursuant to the Foreign Account Tax Compliance Act of 2010 (including the Treasury Regulations promulgated thereunder and intergovernmental agreements entered into in connection therewith and any laws, regulations or practices adopted in connection with any such agreement). </w:t>
      </w:r>
    </w:p>
    <w:p>
      <w:pPr>
        <w:pStyle w:val="TextBody"/>
        <w:bidi w:val="0"/>
        <w:spacing w:before="240" w:after="0"/>
        <w:jc w:val="left"/>
        <w:rPr>
          <w:rFonts w:ascii="Times New Roman" w:hAnsi="Times New Roman"/>
          <w:sz w:val="20"/>
        </w:rPr>
      </w:pPr>
      <w:r>
        <w:rPr>
          <w:rFonts w:ascii="Times New Roman" w:hAnsi="Times New Roman"/>
          <w:sz w:val="20"/>
        </w:rPr>
        <w:t xml:space="preserve">If an entity or arrangement treated as a partnership for U.S. federal income tax purposes holds Outstanding Notes, the tax treatment of a person treated as a partner in such partnership will generally depend upon the status of the partner and the activities of the partnership. Persons that for U.S. federal income tax purposes are treated as a partner in a partnership holding Outstanding Notes should consult their tax advisors regarding the tax consequences to them of exchanging Outstanding Notes for Exchange Notes in the Exchange Offer. </w:t>
      </w:r>
    </w:p>
    <w:p>
      <w:pPr>
        <w:pStyle w:val="TextBody"/>
        <w:bidi w:val="0"/>
        <w:spacing w:before="120" w:after="0"/>
        <w:jc w:val="left"/>
        <w:rPr>
          <w:rFonts w:ascii="Times New Roman" w:hAnsi="Times New Roman"/>
          <w:b/>
          <w:sz w:val="20"/>
        </w:rPr>
      </w:pPr>
      <w:r>
        <w:rPr>
          <w:rFonts w:ascii="Times New Roman" w:hAnsi="Times New Roman"/>
          <w:b/>
          <w:sz w:val="20"/>
        </w:rPr>
        <w:t xml:space="preserve">THIS DISCUSSION IS FOR GENERAL INFORMATION PURPOSES ONLY AND IS NOT INTENDED TO CONSTITUTE A COMPLETE DESCRIPTION OF ALL TAX CONSEQUENCES RELATING TO THE EXCHANGE OF THE OUTSTANDING NOTES FOR EXCHANGE NOTES IN THE EXCHANGE OFFER. YOU ARE ADVISED TO CONSULT YOUR OWN TAX ADVISOR WITH RESPECT TO THE PARTICULAR U.S. FEDERAL INCOME TAX CONSEQUENCES TO YOU OF EXCHANGING THE OUTSTANDING NOTES FOR EXCHANGE NOTES IN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EXCHANGE OFFER AS WELL AS THE APPLICATION OF ANY NON-INCOME TAX LAWS OR ANY TAX CONSEQUENCES ARISING UNDER THE U.S. FEDERAL ESTATE, GIFT OR ALTERNATIVE MINIMUM TAX RULES OR UNDER THE LAWS OF ANY STATE, LOCAL, FOREIGN OR OTHER TAXING JURISDICTION OR UNDER ANY APPLICABLE TAX TREATY. </w:t>
      </w:r>
    </w:p>
    <w:p>
      <w:pPr>
        <w:pStyle w:val="TextBody"/>
        <w:bidi w:val="0"/>
        <w:spacing w:before="360" w:after="0"/>
        <w:jc w:val="left"/>
        <w:rPr>
          <w:rFonts w:ascii="Times New Roman" w:hAnsi="Times New Roman"/>
          <w:b/>
          <w:sz w:val="20"/>
        </w:rPr>
      </w:pPr>
      <w:r>
        <w:rPr>
          <w:rFonts w:ascii="Times New Roman" w:hAnsi="Times New Roman"/>
          <w:b/>
          <w:sz w:val="20"/>
        </w:rPr>
        <w:t xml:space="preserve">Exchange Offer </w:t>
      </w:r>
    </w:p>
    <w:p>
      <w:pPr>
        <w:pStyle w:val="TextBody"/>
        <w:bidi w:val="0"/>
        <w:spacing w:before="120" w:after="0"/>
        <w:jc w:val="left"/>
        <w:rPr>
          <w:rFonts w:ascii="Times New Roman" w:hAnsi="Times New Roman"/>
          <w:sz w:val="20"/>
        </w:rPr>
      </w:pPr>
      <w:r>
        <w:rPr>
          <w:rFonts w:ascii="Times New Roman" w:hAnsi="Times New Roman"/>
          <w:sz w:val="20"/>
        </w:rPr>
        <w:t xml:space="preserve">The exchange of Outstanding Notes for Exchange Notes in the Exchange Offer will not constitute a taxable exchange for U.S. federal income tax purposes. Consequently, you will not recognize gain or loss upon the receipt of Exchange Notes in the Exchange Offer, your basis in the Exchange Notes received in the Exchange Offer will be the same as your basis in the Outstanding Notes surrendered in exchange therefor immediately before the exchange, and your holding period in the Exchange Notes will include your holding period in the Outstanding Notes surrendered in exchange therefor.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4" w:name="tx154803_10"/>
      <w:bookmarkEnd w:id="14"/>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Each broker-dealer that receives Exchange Notes for its own account pursuant to the Exchange Offer must acknowledge that it will deliver a prospectus in connection with any resale of the Exchange Notes. This prospectus, as it may be amended or supplemented from time to time, may be used by a broker-dealer in connection with resales of Exchange Notes received in exchange for Outstanding Notes where the Outstanding Notes were acquired as a result of market-making activities or other trading activities. In addition, all dealers effecting transactions in the Exchange Notes may be required to deliver a prospectus. To the extent any such broker-dealer participates in the Exchange Offer, we have agreed that for a period of up to 180 days after the day the Exchange Offer expires (or such shorter period if a broker-dealer is no longer required to deliver a prospectus), we will make this prospectus, as amended or supplemented, available to such broker-dealer for use in connection with any such resale, and will deliver as many additional copies of this prospectus and each amendment or supplement to this prospectus and any documents incorporated by reference in this prospectus as such broker-dealer may request. </w:t>
      </w:r>
    </w:p>
    <w:p>
      <w:pPr>
        <w:pStyle w:val="TextBody"/>
        <w:bidi w:val="0"/>
        <w:spacing w:before="240" w:after="0"/>
        <w:jc w:val="left"/>
        <w:rPr>
          <w:rFonts w:ascii="Times New Roman" w:hAnsi="Times New Roman"/>
          <w:sz w:val="20"/>
        </w:rPr>
      </w:pPr>
      <w:r>
        <w:rPr>
          <w:rFonts w:ascii="Times New Roman" w:hAnsi="Times New Roman"/>
          <w:sz w:val="20"/>
        </w:rPr>
        <w:t xml:space="preserve">We will not receive any proceeds from any sale of Exchange Notes by broker-dealers. Exchange Notes received by broker-dealers for their own accounts pursuant to the Exchange Offer may be sold from time to time in one or more transactions in the over-the-counter market, in negotiated transactions, through the writing of options on the Exchange Notes or a combination of these methods of resale, at market prices prevailing at the time of resale, at prices related to the prevailing market prices or negotiated prices. Any resale may be made directly to purchasers or to or through brokers or dealers who may receive compensation in the form of commissions or concessions from any broker-dealer or the purchasers of any Exchange Notes. Any broker-dealer that resells Exchange Notes that were received by it for its own account pursuant to the Exchange Offer and any broker or dealer that participates in a distribution of the Exchange Notes may be deemed to be an “underwriter” within the meaning of the Securities Act and any profit on any resale of Exchange Notes and any commissions or concessions received by these persons may be deemed to be underwriting compensation under the Securities Act. By acknowledging that it will deliver and by delivering a prospectus, a broker-dealer will not be deemed to admit that it is an “underwriter” within the meaning of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We have agreed to pay all expenses incident to the Exchange Offer, including the expenses of one counsel for the holders of the Outstanding Notes, other than commissions or concessions of any brokers or dealers, and will indemnify the holders of Outstanding Notes, including any broker-dealers, against certain liabilities, including liabilities under the Securities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5" w:name="tx154803_11"/>
      <w:bookmarkEnd w:id="15"/>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Certain legal matters in connection with this Exchange Offer with respect to U.S. law will be passed upon for us by Wachtell, Lipton, Rosen &amp; Katz, New York, New York.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6" w:name="tx154803_12"/>
      <w:bookmarkEnd w:id="16"/>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and management’s assessment of the effectiveness of internal control over financial reporting (which is included in Management’s Report on Internal Control over Financial Reporting) incorporated in this prospectus by reference to the Annual Report on Form 10-K for the fiscal year ended November 2, 2025 have been so incorporated in reliance on the report of PricewaterhouseCoopers LLP, an independent registered public accounting firm, given on the authority of said firm as experts in auditing and accounting.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lineRule="atLeast" w:line="142" w:before="0" w:after="0"/>
        <w:jc w:val="left"/>
        <w:rPr>
          <w:bdr w:val="single" w:sz="16" w:space="1" w:color="000000"/>
        </w:rPr>
      </w:pPr>
      <w:r>
        <w:rPr>
          <w:bdr w:val="single" w:sz="16"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4815840" cy="69596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20"/>
                    <a:stretch>
                      <a:fillRect/>
                    </a:stretch>
                  </pic:blipFill>
                  <pic:spPr bwMode="auto">
                    <a:xfrm>
                      <a:off x="0" y="0"/>
                      <a:ext cx="4815840" cy="695960"/>
                    </a:xfrm>
                    <a:prstGeom prst="rect">
                      <a:avLst/>
                    </a:prstGeom>
                  </pic:spPr>
                </pic:pic>
              </a:graphicData>
            </a:graphic>
          </wp:inline>
        </w:drawing>
      </w:r>
      <w:r>
        <w:rPr/>
        <w:t xml:space="preserve"> </w:t>
      </w:r>
    </w:p>
    <w:p>
      <w:pPr>
        <w:pStyle w:val="TextBody"/>
        <w:bidi w:val="0"/>
        <w:spacing w:before="480" w:after="0"/>
        <w:jc w:val="center"/>
        <w:rPr>
          <w:rFonts w:ascii="Times New Roman" w:hAnsi="Times New Roman"/>
          <w:b/>
          <w:sz w:val="48"/>
        </w:rPr>
      </w:pPr>
      <w:r>
        <w:rPr>
          <w:rFonts w:ascii="Times New Roman" w:hAnsi="Times New Roman"/>
          <w:b/>
          <w:sz w:val="48"/>
        </w:rPr>
        <w:t xml:space="preserve">Broadcom Inc. </w:t>
      </w:r>
    </w:p>
    <w:p>
      <w:pPr>
        <w:pStyle w:val="TextBody"/>
        <w:bidi w:val="0"/>
        <w:spacing w:before="480" w:after="0"/>
        <w:jc w:val="center"/>
        <w:rPr>
          <w:rFonts w:ascii="Times New Roman" w:hAnsi="Times New Roman"/>
          <w:b/>
          <w:sz w:val="28"/>
        </w:rPr>
      </w:pPr>
      <w:r>
        <w:rPr>
          <w:rFonts w:ascii="Times New Roman" w:hAnsi="Times New Roman"/>
          <w:b/>
          <w:sz w:val="28"/>
        </w:rPr>
        <w:t xml:space="preserve">Exchange Offer for </w:t>
      </w:r>
    </w:p>
    <w:p>
      <w:pPr>
        <w:pStyle w:val="TextBody"/>
        <w:bidi w:val="0"/>
        <w:spacing w:before="480" w:after="0"/>
        <w:jc w:val="center"/>
        <w:rPr>
          <w:rFonts w:ascii="Times New Roman" w:hAnsi="Times New Roman"/>
          <w:b/>
          <w:sz w:val="28"/>
        </w:rPr>
      </w:pPr>
      <w:r>
        <w:rPr>
          <w:rFonts w:ascii="Times New Roman" w:hAnsi="Times New Roman"/>
          <w:b/>
          <w:sz w:val="28"/>
        </w:rPr>
        <w:t xml:space="preserve">Up to $654,004,000 4.926% Senior Notes due 2037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PROSPECTUS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4000" w:after="0"/>
        <w:jc w:val="center"/>
        <w:rPr/>
      </w:pPr>
      <w:r>
        <w:rPr/>
        <w:t>   </w:t>
      </w:r>
      <w:r>
        <w:rPr>
          <w:rFonts w:ascii="Times New Roman" w:hAnsi="Times New Roman"/>
          <w:b/>
          <w:sz w:val="20"/>
        </w:rPr>
        <w:t xml:space="preserve">, 2026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16" w:space="1" w:color="000000"/>
        </w:rPr>
      </w:pPr>
      <w:r>
        <w:rPr>
          <w:bdr w:val="single" w:sz="16" w:space="1" w:color="000000"/>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PART II </w:t>
      </w:r>
    </w:p>
    <w:p>
      <w:pPr>
        <w:pStyle w:val="TextBody"/>
        <w:bidi w:val="0"/>
        <w:spacing w:before="0" w:after="0"/>
        <w:jc w:val="center"/>
        <w:rPr>
          <w:rFonts w:ascii="Times New Roman" w:hAnsi="Times New Roman"/>
          <w:b/>
          <w:sz w:val="20"/>
        </w:rPr>
      </w:pPr>
      <w:r>
        <w:rPr>
          <w:rFonts w:ascii="Times New Roman" w:hAnsi="Times New Roman"/>
          <w:b/>
          <w:sz w:val="20"/>
        </w:rPr>
        <w:t xml:space="preserve">INFORMATION NOT REQUIRED IN PROSPECTUS </w:t>
      </w:r>
    </w:p>
    <w:p>
      <w:pPr>
        <w:pStyle w:val="TextBody"/>
        <w:bidi w:val="0"/>
        <w:spacing w:before="240" w:after="0"/>
        <w:jc w:val="left"/>
        <w:rPr>
          <w:rFonts w:ascii="Times New Roman" w:hAnsi="Times New Roman"/>
          <w:b/>
          <w:sz w:val="20"/>
        </w:rPr>
      </w:pPr>
      <w:r>
        <w:rPr>
          <w:rFonts w:ascii="Times New Roman" w:hAnsi="Times New Roman"/>
          <w:b/>
          <w:sz w:val="20"/>
        </w:rPr>
        <w:t xml:space="preserve">ITEM 20. INDEMNIFICATION OF DIRECTORS AND OFFICERS </w:t>
      </w:r>
    </w:p>
    <w:p>
      <w:pPr>
        <w:pStyle w:val="TextBody"/>
        <w:bidi w:val="0"/>
        <w:spacing w:before="120" w:after="0"/>
        <w:jc w:val="left"/>
        <w:rPr>
          <w:rFonts w:ascii="Times New Roman" w:hAnsi="Times New Roman"/>
          <w:sz w:val="20"/>
        </w:rPr>
      </w:pPr>
      <w:r>
        <w:rPr>
          <w:rFonts w:ascii="Times New Roman" w:hAnsi="Times New Roman"/>
          <w:sz w:val="20"/>
        </w:rPr>
        <w:t xml:space="preserve">Under Section 145 of the General Corporation Law of the State of Delaware (the “DGCL”), a corporation may indemnify any person who was or is a party or is threatened to be made a party to any threatened, pending or completed action, suit or proceeding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if he or she acted in good faith and in a manner he or she reasonably believed to be in or not opposed to the best interests of the corporation and, with respect to any criminal action or proceeding, had no reasonable cause to believe his or her conduct was unlawful. In the case of an action brought by or in the right of a corporation, the corporation may indemnify any person who was or is a party or is threatened to be made a party to any such threatened, pending or completed action by reason of the fact that the person is or was a director, officer, employee or agent of the corporation (or is or was serving at the request of the corporation as a director, officer, employee or agent of another corporation, partnership, joint venture, trust or other enterprise) only against expenses (including attorneys’ fees) actually and reasonably incurred by him or her in connection with the defense or settlement of such action if he or she acted in good faith and in a manner he or she reasonably believed to be in or not opposed to the best interests of the corporation, except that no indemnification may be made in respect of any claim, issue or matter as to which such person shall have been adjudged to be liable to the corporation unless and only to the extent the appropriate court finds that, in view of all the circumstances of the case, such person is fairly and reasonably entitled to indemnity for such expenses as the court shall deem proper. </w:t>
      </w:r>
    </w:p>
    <w:p>
      <w:pPr>
        <w:pStyle w:val="TextBody"/>
        <w:bidi w:val="0"/>
        <w:spacing w:before="240" w:after="0"/>
        <w:jc w:val="left"/>
        <w:rPr>
          <w:rFonts w:ascii="Times New Roman" w:hAnsi="Times New Roman"/>
          <w:sz w:val="20"/>
        </w:rPr>
      </w:pPr>
      <w:r>
        <w:rPr>
          <w:rFonts w:ascii="Times New Roman" w:hAnsi="Times New Roman"/>
          <w:sz w:val="20"/>
        </w:rPr>
        <w:t xml:space="preserve">Our Certificate of Incorporation provides that the directors and officers of Broadcom Inc. will be indemnified by Broadcom Inc. to the maximum extent permitted by Delaware law, as it now exists or may in the future be amended, against all expenses, liabilities and loss incurred in connection with their service as a director or officer on behalf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As permitted by Section 102(b)(7) of the DGCL, our Certificate of Incorporation provides that a director of Broadcom Inc. shall not be personally liable to Broadcom Inc. or its stockholders for monetary damages for breach of fiduciary duty as a director, except for such liability as is expressly not subject to limitation under the DGCL, as the same exists or may hereafter be amended to further limit or eliminate such liability. </w:t>
      </w:r>
    </w:p>
    <w:p>
      <w:pPr>
        <w:pStyle w:val="TextBody"/>
        <w:bidi w:val="0"/>
        <w:spacing w:before="240" w:after="0"/>
        <w:jc w:val="left"/>
        <w:rPr>
          <w:rFonts w:ascii="Times New Roman" w:hAnsi="Times New Roman"/>
          <w:sz w:val="20"/>
        </w:rPr>
      </w:pPr>
      <w:r>
        <w:rPr>
          <w:rFonts w:ascii="Times New Roman" w:hAnsi="Times New Roman"/>
          <w:sz w:val="20"/>
        </w:rPr>
        <w:t xml:space="preserve">Broadcom Inc. has also entered into certain indemnification agreements with its directors and officers. The indemnification agreements provide Broadcom Inc.’s directors and officers with further indemnification to the maximum extent permitted by the DGCL. </w:t>
      </w:r>
    </w:p>
    <w:p>
      <w:pPr>
        <w:pStyle w:val="TextBody"/>
        <w:bidi w:val="0"/>
        <w:spacing w:before="240" w:after="0"/>
        <w:jc w:val="left"/>
        <w:rPr>
          <w:rFonts w:ascii="Times New Roman" w:hAnsi="Times New Roman"/>
          <w:sz w:val="20"/>
        </w:rPr>
      </w:pPr>
      <w:r>
        <w:rPr>
          <w:rFonts w:ascii="Times New Roman" w:hAnsi="Times New Roman"/>
          <w:sz w:val="20"/>
        </w:rPr>
        <w:t xml:space="preserve">As permitted by Section 145(g) of the DGCL, Broadcom Inc. also maintains directors’ and officers’ insurance. </w:t>
      </w:r>
    </w:p>
    <w:p>
      <w:pPr>
        <w:pStyle w:val="TextBody"/>
        <w:bidi w:val="0"/>
        <w:spacing w:before="360" w:after="0"/>
        <w:jc w:val="left"/>
        <w:rPr>
          <w:rFonts w:ascii="Times New Roman" w:hAnsi="Times New Roman"/>
          <w:b/>
          <w:sz w:val="20"/>
        </w:rPr>
      </w:pPr>
      <w:r>
        <w:rPr>
          <w:rFonts w:ascii="Times New Roman" w:hAnsi="Times New Roman"/>
          <w:b/>
          <w:sz w:val="20"/>
        </w:rPr>
        <w:t xml:space="preserve">ITEM 21. EXHIBITS AND FINANCIAL STATEMENT SCHEDULES </w:t>
      </w:r>
    </w:p>
    <w:p>
      <w:pPr>
        <w:pStyle w:val="TextBody"/>
        <w:bidi w:val="0"/>
        <w:spacing w:before="120" w:after="0"/>
        <w:jc w:val="left"/>
        <w:rPr>
          <w:rFonts w:ascii="Times New Roman" w:hAnsi="Times New Roman"/>
          <w:sz w:val="20"/>
        </w:rPr>
      </w:pPr>
      <w:r>
        <w:rPr>
          <w:rFonts w:ascii="Times New Roman" w:hAnsi="Times New Roman"/>
          <w:sz w:val="20"/>
        </w:rPr>
        <w:t xml:space="preserve">(a) Exhibits </w:t>
      </w:r>
    </w:p>
    <w:p>
      <w:pPr>
        <w:pStyle w:val="TextBody"/>
        <w:bidi w:val="0"/>
        <w:spacing w:before="240" w:after="0"/>
        <w:jc w:val="left"/>
        <w:rPr>
          <w:rFonts w:ascii="Times New Roman" w:hAnsi="Times New Roman"/>
          <w:sz w:val="20"/>
        </w:rPr>
      </w:pPr>
      <w:r>
        <w:rPr>
          <w:rFonts w:ascii="Times New Roman" w:hAnsi="Times New Roman"/>
          <w:sz w:val="20"/>
        </w:rPr>
        <w:t xml:space="preserve">The exhibits listed below in the “Exhibit Index” are filed as part of, or are incorporated by reference in, this Registration Statement and are numbered in accordance with Item 601 of Regulation S-K. </w:t>
      </w:r>
    </w:p>
    <w:p>
      <w:pPr>
        <w:pStyle w:val="TextBody"/>
        <w:bidi w:val="0"/>
        <w:spacing w:before="240" w:after="0"/>
        <w:jc w:val="left"/>
        <w:rPr>
          <w:rFonts w:ascii="Times New Roman" w:hAnsi="Times New Roman"/>
          <w:sz w:val="20"/>
        </w:rPr>
      </w:pPr>
      <w:r>
        <w:rPr>
          <w:rFonts w:ascii="Times New Roman" w:hAnsi="Times New Roman"/>
          <w:sz w:val="20"/>
        </w:rPr>
        <w:t xml:space="preserve">(b) Financial Statement Schedules </w:t>
      </w:r>
    </w:p>
    <w:p>
      <w:pPr>
        <w:pStyle w:val="TextBody"/>
        <w:bidi w:val="0"/>
        <w:spacing w:before="240" w:after="0"/>
        <w:jc w:val="left"/>
        <w:rPr>
          <w:rFonts w:ascii="Times New Roman" w:hAnsi="Times New Roman"/>
          <w:sz w:val="20"/>
        </w:rPr>
      </w:pPr>
      <w:r>
        <w:rPr>
          <w:rFonts w:ascii="Times New Roman" w:hAnsi="Times New Roman"/>
          <w:sz w:val="20"/>
        </w:rPr>
        <w:t xml:space="preserve">Financial schedules are omitted because they are not applicable or the information is incorporated herein by reference.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ITEM 22. UNDERTAKINGS </w:t>
      </w:r>
    </w:p>
    <w:p>
      <w:pPr>
        <w:pStyle w:val="TextBody"/>
        <w:bidi w:val="0"/>
        <w:spacing w:before="120" w:after="0"/>
        <w:jc w:val="left"/>
        <w:rPr>
          <w:rFonts w:ascii="Times New Roman" w:hAnsi="Times New Roman"/>
          <w:sz w:val="20"/>
        </w:rPr>
      </w:pPr>
      <w:r>
        <w:rPr>
          <w:rFonts w:ascii="Times New Roman" w:hAnsi="Times New Roman"/>
          <w:sz w:val="20"/>
        </w:rPr>
        <w:t xml:space="preserve">(a) The undersigned registrant hereby undertakes: </w:t>
      </w:r>
    </w:p>
    <w:p>
      <w:pPr>
        <w:pStyle w:val="TextBody"/>
        <w:bidi w:val="0"/>
        <w:spacing w:before="120" w:after="0"/>
        <w:jc w:val="left"/>
        <w:rPr>
          <w:rFonts w:ascii="Times New Roman" w:hAnsi="Times New Roman"/>
          <w:sz w:val="20"/>
        </w:rPr>
      </w:pPr>
      <w:r>
        <w:rPr>
          <w:rFonts w:ascii="Times New Roman" w:hAnsi="Times New Roman"/>
          <w:sz w:val="20"/>
        </w:rPr>
        <w:t xml:space="preserve">(1) to file, during any period in which offers or sales are being made, a post-effective amendment to this registration statement: </w:t>
      </w:r>
    </w:p>
    <w:p>
      <w:pPr>
        <w:pStyle w:val="TextBody"/>
        <w:bidi w:val="0"/>
        <w:spacing w:before="120" w:after="0"/>
        <w:jc w:val="left"/>
        <w:rPr>
          <w:rFonts w:ascii="Times New Roman" w:hAnsi="Times New Roman"/>
          <w:sz w:val="20"/>
        </w:rPr>
      </w:pPr>
      <w:r>
        <w:rPr>
          <w:rFonts w:ascii="Times New Roman" w:hAnsi="Times New Roman"/>
          <w:sz w:val="20"/>
        </w:rPr>
        <w:t xml:space="preserve">(i) to include any prospectus required by Section 10(a)(3) of the Securities Act; </w:t>
      </w:r>
    </w:p>
    <w:p>
      <w:pPr>
        <w:pStyle w:val="TextBody"/>
        <w:bidi w:val="0"/>
        <w:spacing w:before="120" w:after="0"/>
        <w:jc w:val="left"/>
        <w:rPr>
          <w:rFonts w:ascii="Times New Roman" w:hAnsi="Times New Roman"/>
          <w:sz w:val="20"/>
        </w:rPr>
      </w:pPr>
      <w:r>
        <w:rPr>
          <w:rFonts w:ascii="Times New Roman" w:hAnsi="Times New Roman"/>
          <w:sz w:val="20"/>
        </w:rPr>
        <w:t xml:space="preserve">(ii)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 </w:t>
      </w:r>
    </w:p>
    <w:p>
      <w:pPr>
        <w:pStyle w:val="TextBody"/>
        <w:bidi w:val="0"/>
        <w:spacing w:before="120" w:after="0"/>
        <w:jc w:val="left"/>
        <w:rPr>
          <w:rFonts w:ascii="Times New Roman" w:hAnsi="Times New Roman"/>
          <w:sz w:val="20"/>
        </w:rPr>
      </w:pPr>
      <w:r>
        <w:rPr>
          <w:rFonts w:ascii="Times New Roman" w:hAnsi="Times New Roman"/>
          <w:sz w:val="20"/>
        </w:rPr>
        <w:t xml:space="preserve">(iii) to include any material information with respect to the plan of distribution not previously disclosed in the registration statement or any material change to such information in the registration statement; </w:t>
      </w:r>
    </w:p>
    <w:p>
      <w:pPr>
        <w:pStyle w:val="TextBody"/>
        <w:bidi w:val="0"/>
        <w:spacing w:before="120" w:after="0"/>
        <w:jc w:val="left"/>
        <w:rPr>
          <w:rFonts w:ascii="Times New Roman" w:hAnsi="Times New Roman"/>
          <w:sz w:val="20"/>
        </w:rPr>
      </w:pPr>
      <w:r>
        <w:rPr>
          <w:rFonts w:ascii="Times New Roman" w:hAnsi="Times New Roman"/>
          <w:sz w:val="20"/>
        </w:rPr>
        <w:t xml:space="preserve">(2) 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 </w:t>
      </w:r>
    </w:p>
    <w:p>
      <w:pPr>
        <w:pStyle w:val="TextBody"/>
        <w:bidi w:val="0"/>
        <w:spacing w:before="120" w:after="0"/>
        <w:jc w:val="left"/>
        <w:rPr>
          <w:rFonts w:ascii="Times New Roman" w:hAnsi="Times New Roman"/>
          <w:sz w:val="20"/>
        </w:rPr>
      </w:pPr>
      <w:r>
        <w:rPr>
          <w:rFonts w:ascii="Times New Roman" w:hAnsi="Times New Roman"/>
          <w:sz w:val="20"/>
        </w:rPr>
        <w:t xml:space="preserve">(3) to remove from registration by means of a post-effective amendment any of the securities being registered which remain unsold at the termination of the offering; </w:t>
      </w:r>
    </w:p>
    <w:p>
      <w:pPr>
        <w:pStyle w:val="TextBody"/>
        <w:bidi w:val="0"/>
        <w:spacing w:before="120" w:after="0"/>
        <w:jc w:val="left"/>
        <w:rPr>
          <w:rFonts w:ascii="Times New Roman" w:hAnsi="Times New Roman"/>
          <w:sz w:val="20"/>
        </w:rPr>
      </w:pPr>
      <w:r>
        <w:rPr>
          <w:rFonts w:ascii="Times New Roman" w:hAnsi="Times New Roman"/>
          <w:sz w:val="20"/>
        </w:rPr>
        <w:t xml:space="preserve">(4) that, for the purpose of determining liability under the Securities Act to any purchaser, 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 and </w:t>
      </w:r>
    </w:p>
    <w:p>
      <w:pPr>
        <w:pStyle w:val="TextBody"/>
        <w:bidi w:val="0"/>
        <w:spacing w:before="120" w:after="0"/>
        <w:jc w:val="left"/>
        <w:rPr>
          <w:rFonts w:ascii="Times New Roman" w:hAnsi="Times New Roman"/>
          <w:sz w:val="20"/>
        </w:rPr>
      </w:pPr>
      <w:r>
        <w:rPr>
          <w:rFonts w:ascii="Times New Roman" w:hAnsi="Times New Roman"/>
          <w:sz w:val="20"/>
        </w:rPr>
        <w:t xml:space="preserve">(5) 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 </w:t>
      </w:r>
    </w:p>
    <w:p>
      <w:pPr>
        <w:pStyle w:val="TextBody"/>
        <w:bidi w:val="0"/>
        <w:spacing w:before="120" w:after="0"/>
        <w:jc w:val="left"/>
        <w:rPr>
          <w:rFonts w:ascii="Times New Roman" w:hAnsi="Times New Roman"/>
          <w:sz w:val="20"/>
        </w:rPr>
      </w:pPr>
      <w:r>
        <w:rPr>
          <w:rFonts w:ascii="Times New Roman" w:hAnsi="Times New Roman"/>
          <w:sz w:val="20"/>
        </w:rPr>
        <w:t xml:space="preserve">(i) any preliminary prospectus or prospectus of the undersigned registrant relating to the offering required to be filed pursuant to Rule 424; </w:t>
      </w:r>
    </w:p>
    <w:p>
      <w:pPr>
        <w:pStyle w:val="TextBody"/>
        <w:bidi w:val="0"/>
        <w:spacing w:before="120" w:after="0"/>
        <w:jc w:val="left"/>
        <w:rPr>
          <w:rFonts w:ascii="Times New Roman" w:hAnsi="Times New Roman"/>
          <w:sz w:val="20"/>
        </w:rPr>
      </w:pPr>
      <w:r>
        <w:rPr>
          <w:rFonts w:ascii="Times New Roman" w:hAnsi="Times New Roman"/>
          <w:sz w:val="20"/>
        </w:rPr>
        <w:t xml:space="preserve">(ii) any free writing prospectus relating to the offering prepared by or on behalf of the undersigned registrant or used or referred to by the undersigned registrant; </w:t>
      </w:r>
    </w:p>
    <w:p>
      <w:pPr>
        <w:pStyle w:val="TextBody"/>
        <w:bidi w:val="0"/>
        <w:spacing w:before="120" w:after="0"/>
        <w:jc w:val="left"/>
        <w:rPr>
          <w:rFonts w:ascii="Times New Roman" w:hAnsi="Times New Roman"/>
          <w:sz w:val="20"/>
        </w:rPr>
      </w:pPr>
      <w:r>
        <w:rPr>
          <w:rFonts w:ascii="Times New Roman" w:hAnsi="Times New Roman"/>
          <w:sz w:val="20"/>
        </w:rPr>
        <w:t xml:space="preserve">(iii) the portion of any other free writing prospectus relating to the offering containing material information about the undersigned registrant or its securities provided by or on behalf of the undersigned registrant;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(iv) any other communication that is an offer in the offering made by the undersigned registrant to the purchaser. </w:t>
      </w:r>
    </w:p>
    <w:p>
      <w:pPr>
        <w:pStyle w:val="TextBody"/>
        <w:bidi w:val="0"/>
        <w:spacing w:before="240" w:after="0"/>
        <w:jc w:val="left"/>
        <w:rPr>
          <w:rFonts w:ascii="Times New Roman" w:hAnsi="Times New Roman"/>
          <w:sz w:val="20"/>
        </w:rPr>
      </w:pPr>
      <w:r>
        <w:rPr>
          <w:rFonts w:ascii="Times New Roman" w:hAnsi="Times New Roman"/>
          <w:sz w:val="20"/>
        </w:rPr>
        <w:t xml:space="preserve">(b) The undersigned registrant hereby undertakes that, for purposes of determining any liability under the Securities Act, each filing of such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 </w:t>
      </w:r>
    </w:p>
    <w:p>
      <w:pPr>
        <w:pStyle w:val="TextBody"/>
        <w:bidi w:val="0"/>
        <w:spacing w:before="240" w:after="0"/>
        <w:jc w:val="left"/>
        <w:rPr>
          <w:rFonts w:ascii="Times New Roman" w:hAnsi="Times New Roman"/>
          <w:sz w:val="20"/>
        </w:rPr>
      </w:pPr>
      <w:r>
        <w:rPr>
          <w:rFonts w:ascii="Times New Roman" w:hAnsi="Times New Roman"/>
          <w:sz w:val="20"/>
        </w:rPr>
        <w:t xml:space="preserve">(c) 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such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 </w:t>
      </w:r>
    </w:p>
    <w:p>
      <w:pPr>
        <w:pStyle w:val="TextBody"/>
        <w:bidi w:val="0"/>
        <w:spacing w:before="240" w:after="0"/>
        <w:jc w:val="left"/>
        <w:rPr>
          <w:rFonts w:ascii="Times New Roman" w:hAnsi="Times New Roman"/>
          <w:sz w:val="20"/>
        </w:rPr>
      </w:pPr>
      <w:r>
        <w:rPr>
          <w:rFonts w:ascii="Times New Roman" w:hAnsi="Times New Roman"/>
          <w:sz w:val="20"/>
        </w:rPr>
        <w:t xml:space="preserve">(d) The undersigned registrant hereby undertakes to respond to requests for information that is incorporated by reference into the prospectus pursuant to Items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 </w:t>
      </w:r>
    </w:p>
    <w:p>
      <w:pPr>
        <w:pStyle w:val="TextBody"/>
        <w:bidi w:val="0"/>
        <w:spacing w:before="240" w:after="0"/>
        <w:jc w:val="left"/>
        <w:rPr>
          <w:rFonts w:ascii="Times New Roman" w:hAnsi="Times New Roman"/>
          <w:sz w:val="20"/>
        </w:rPr>
      </w:pPr>
      <w:r>
        <w:rPr>
          <w:rFonts w:ascii="Times New Roman" w:hAnsi="Times New Roman"/>
          <w:sz w:val="20"/>
        </w:rPr>
        <w:t xml:space="preserve">(e) The undersigned registrant hereby undertakes to supply by means of a post-effective amendment all information concerning a transaction, and the company being acquired involved therein, that was not the subject of and included in the registration statement when it became effective.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EXHIBIT INDEX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91"/>
        <w:gridCol w:w="256"/>
        <w:gridCol w:w="3930"/>
        <w:gridCol w:w="177"/>
        <w:gridCol w:w="60"/>
        <w:gridCol w:w="656"/>
        <w:gridCol w:w="60"/>
        <w:gridCol w:w="177"/>
        <w:gridCol w:w="60"/>
        <w:gridCol w:w="747"/>
        <w:gridCol w:w="60"/>
        <w:gridCol w:w="177"/>
        <w:gridCol w:w="121"/>
        <w:gridCol w:w="652"/>
        <w:gridCol w:w="60"/>
        <w:gridCol w:w="177"/>
        <w:gridCol w:w="60"/>
        <w:gridCol w:w="685"/>
        <w:gridCol w:w="60"/>
        <w:gridCol w:w="177"/>
        <w:gridCol w:w="222"/>
        <w:gridCol w:w="770"/>
        <w:gridCol w:w="70"/>
      </w:tblGrid>
      <w:tr>
        <w:trPr/>
        <w:tc>
          <w:tcPr>
            <w:tcW w:w="791" w:type="dxa"/>
            <w:tcBorders/>
            <w:vAlign w:val="center"/>
          </w:tcPr>
          <w:p>
            <w:pPr>
              <w:pStyle w:val="TableContents"/>
              <w:bidi w:val="0"/>
              <w:spacing w:before="0" w:after="283"/>
              <w:jc w:val="left"/>
              <w:rPr>
                <w:sz w:val="4"/>
                <w:szCs w:val="4"/>
              </w:rPr>
            </w:pPr>
            <w:r>
              <w:rPr>
                <w:sz w:val="4"/>
                <w:szCs w:val="4"/>
              </w:rPr>
            </w:r>
          </w:p>
        </w:tc>
        <w:tc>
          <w:tcPr>
            <w:tcW w:w="256" w:type="dxa"/>
            <w:tcBorders/>
            <w:vAlign w:val="bottom"/>
          </w:tcPr>
          <w:p>
            <w:pPr>
              <w:pStyle w:val="TableContents"/>
              <w:bidi w:val="0"/>
              <w:spacing w:before="0" w:after="283"/>
              <w:jc w:val="left"/>
              <w:rPr>
                <w:sz w:val="4"/>
                <w:szCs w:val="4"/>
              </w:rPr>
            </w:pPr>
            <w:r>
              <w:rPr>
                <w:sz w:val="4"/>
                <w:szCs w:val="4"/>
              </w:rPr>
            </w:r>
          </w:p>
        </w:tc>
        <w:tc>
          <w:tcPr>
            <w:tcW w:w="3930" w:type="dxa"/>
            <w:tcBorders/>
            <w:vAlign w:val="center"/>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r>
      <w:tr>
        <w:trPr/>
        <w:tc>
          <w:tcPr>
            <w:tcW w:w="791"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393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3752"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Incorporated by Reference</w:t>
            </w:r>
          </w:p>
        </w:tc>
        <w:tc>
          <w:tcPr>
            <w:tcW w:w="6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992" w:type="dxa"/>
            <w:gridSpan w:val="2"/>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r>
      <w:tr>
        <w:trPr/>
        <w:tc>
          <w:tcPr>
            <w:tcW w:w="791" w:type="dxa"/>
            <w:tcBorders>
              <w:bottom w:val="single" w:sz="8" w:space="0" w:color="000000"/>
            </w:tcBorders>
            <w:tcMar>
              <w:bottom w:w="28" w:type="dxa"/>
            </w:tcMar>
            <w:vAlign w:val="bottom"/>
          </w:tcPr>
          <w:p>
            <w:pPr>
              <w:pStyle w:val="TableContents"/>
              <w:bidi w:val="0"/>
              <w:spacing w:before="0" w:after="283"/>
              <w:jc w:val="center"/>
              <w:rPr>
                <w:b/>
              </w:rPr>
            </w:pPr>
            <w:r>
              <w:rPr>
                <w:b/>
              </w:rPr>
              <w:t>Exhibit</w:t>
              <w:br/>
              <w:t>No.</w:t>
            </w:r>
          </w:p>
        </w:tc>
        <w:tc>
          <w:tcPr>
            <w:tcW w:w="256" w:type="dxa"/>
            <w:tcBorders/>
            <w:vAlign w:val="bottom"/>
          </w:tcPr>
          <w:p>
            <w:pPr>
              <w:pStyle w:val="TableContents"/>
              <w:bidi w:val="0"/>
              <w:spacing w:before="0" w:after="283"/>
              <w:jc w:val="left"/>
              <w:rPr/>
            </w:pPr>
            <w:r>
              <w:rPr/>
              <w:t>  </w:t>
            </w:r>
          </w:p>
        </w:tc>
        <w:tc>
          <w:tcPr>
            <w:tcW w:w="393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Description</w:t>
            </w:r>
          </w:p>
        </w:tc>
        <w:tc>
          <w:tcPr>
            <w:tcW w:w="177" w:type="dxa"/>
            <w:tcBorders/>
            <w:vAlign w:val="bottom"/>
          </w:tcPr>
          <w:p>
            <w:pPr>
              <w:pStyle w:val="TableContents"/>
              <w:bidi w:val="0"/>
              <w:spacing w:before="0" w:after="283"/>
              <w:jc w:val="left"/>
              <w:rPr/>
            </w:pPr>
            <w:r>
              <w:rPr/>
              <w:t>  </w:t>
            </w:r>
          </w:p>
        </w:tc>
        <w:tc>
          <w:tcPr>
            <w:tcW w:w="71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Form</w:t>
            </w:r>
          </w:p>
        </w:tc>
        <w:tc>
          <w:tcPr>
            <w:tcW w:w="6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80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File</w:t>
              <w:br/>
              <w:t>No.</w:t>
            </w:r>
          </w:p>
        </w:tc>
        <w:tc>
          <w:tcPr>
            <w:tcW w:w="6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77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Exhibit</w:t>
            </w:r>
          </w:p>
        </w:tc>
        <w:tc>
          <w:tcPr>
            <w:tcW w:w="6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7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Filing</w:t>
              <w:br/>
              <w:t>Date</w:t>
            </w:r>
          </w:p>
        </w:tc>
        <w:tc>
          <w:tcPr>
            <w:tcW w:w="6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99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Filed</w:t>
              <w:br/>
              <w:t>Herewith</w:t>
            </w:r>
          </w:p>
        </w:tc>
        <w:tc>
          <w:tcPr>
            <w:tcW w:w="70" w:type="dxa"/>
            <w:tcBorders/>
            <w:vAlign w:val="bottom"/>
          </w:tcPr>
          <w:p>
            <w:pPr>
              <w:pStyle w:val="TableContents"/>
              <w:bidi w:val="0"/>
              <w:spacing w:before="0" w:after="283"/>
              <w:jc w:val="left"/>
              <w:rPr/>
            </w:pPr>
            <w:r>
              <w:rPr/>
              <w:t> </w:t>
            </w:r>
          </w:p>
        </w:tc>
      </w:tr>
      <w:tr>
        <w:trPr>
          <w:trHeight w:val="120" w:hRule="atLeast"/>
        </w:trPr>
        <w:tc>
          <w:tcPr>
            <w:tcW w:w="791" w:type="dxa"/>
            <w:tcBorders/>
            <w:vAlign w:val="center"/>
          </w:tcPr>
          <w:p>
            <w:pPr>
              <w:pStyle w:val="TableContents"/>
              <w:bidi w:val="0"/>
              <w:spacing w:before="0" w:after="283"/>
              <w:jc w:val="left"/>
              <w:rPr>
                <w:sz w:val="4"/>
                <w:szCs w:val="4"/>
              </w:rPr>
            </w:pPr>
            <w:r>
              <w:rPr>
                <w:sz w:val="4"/>
                <w:szCs w:val="4"/>
              </w:rPr>
            </w:r>
          </w:p>
        </w:tc>
        <w:tc>
          <w:tcPr>
            <w:tcW w:w="4186" w:type="dxa"/>
            <w:gridSpan w:val="2"/>
            <w:tcBorders/>
            <w:vAlign w:val="center"/>
          </w:tcPr>
          <w:p>
            <w:pPr>
              <w:pStyle w:val="TableContents"/>
              <w:bidi w:val="0"/>
              <w:spacing w:before="0" w:after="283"/>
              <w:jc w:val="left"/>
              <w:rPr>
                <w:sz w:val="4"/>
                <w:szCs w:val="4"/>
              </w:rPr>
            </w:pPr>
            <w:r>
              <w:rPr>
                <w:sz w:val="4"/>
                <w:szCs w:val="4"/>
              </w:rPr>
            </w:r>
          </w:p>
        </w:tc>
        <w:tc>
          <w:tcPr>
            <w:tcW w:w="953" w:type="dxa"/>
            <w:gridSpan w:val="4"/>
            <w:tcBorders/>
            <w:vAlign w:val="center"/>
          </w:tcPr>
          <w:p>
            <w:pPr>
              <w:pStyle w:val="TableContents"/>
              <w:bidi w:val="0"/>
              <w:spacing w:before="0" w:after="283"/>
              <w:jc w:val="left"/>
              <w:rPr>
                <w:sz w:val="4"/>
                <w:szCs w:val="4"/>
              </w:rPr>
            </w:pPr>
            <w:r>
              <w:rPr>
                <w:sz w:val="4"/>
                <w:szCs w:val="4"/>
              </w:rPr>
            </w:r>
          </w:p>
        </w:tc>
        <w:tc>
          <w:tcPr>
            <w:tcW w:w="1044" w:type="dxa"/>
            <w:gridSpan w:val="4"/>
            <w:tcBorders/>
            <w:vAlign w:val="center"/>
          </w:tcPr>
          <w:p>
            <w:pPr>
              <w:pStyle w:val="TableContents"/>
              <w:bidi w:val="0"/>
              <w:spacing w:before="0" w:after="283"/>
              <w:jc w:val="left"/>
              <w:rPr>
                <w:sz w:val="4"/>
                <w:szCs w:val="4"/>
              </w:rPr>
            </w:pPr>
            <w:r>
              <w:rPr>
                <w:sz w:val="4"/>
                <w:szCs w:val="4"/>
              </w:rPr>
            </w:r>
          </w:p>
        </w:tc>
        <w:tc>
          <w:tcPr>
            <w:tcW w:w="1010" w:type="dxa"/>
            <w:gridSpan w:val="4"/>
            <w:tcBorders/>
            <w:vAlign w:val="center"/>
          </w:tcPr>
          <w:p>
            <w:pPr>
              <w:pStyle w:val="TableContents"/>
              <w:bidi w:val="0"/>
              <w:spacing w:before="0" w:after="283"/>
              <w:jc w:val="left"/>
              <w:rPr>
                <w:sz w:val="4"/>
                <w:szCs w:val="4"/>
              </w:rPr>
            </w:pPr>
            <w:r>
              <w:rPr>
                <w:sz w:val="4"/>
                <w:szCs w:val="4"/>
              </w:rPr>
            </w:r>
          </w:p>
        </w:tc>
        <w:tc>
          <w:tcPr>
            <w:tcW w:w="982" w:type="dxa"/>
            <w:gridSpan w:val="4"/>
            <w:tcBorders/>
            <w:vAlign w:val="center"/>
          </w:tcPr>
          <w:p>
            <w:pPr>
              <w:pStyle w:val="TableContents"/>
              <w:bidi w:val="0"/>
              <w:spacing w:before="0" w:after="283"/>
              <w:jc w:val="left"/>
              <w:rPr>
                <w:sz w:val="4"/>
                <w:szCs w:val="4"/>
              </w:rPr>
            </w:pPr>
            <w:r>
              <w:rPr>
                <w:sz w:val="4"/>
                <w:szCs w:val="4"/>
              </w:rPr>
            </w:r>
          </w:p>
        </w:tc>
        <w:tc>
          <w:tcPr>
            <w:tcW w:w="1239" w:type="dxa"/>
            <w:gridSpan w:val="4"/>
            <w:tcBorders/>
            <w:vAlign w:val="center"/>
          </w:tcPr>
          <w:p>
            <w:pPr>
              <w:pStyle w:val="TableContents"/>
              <w:bidi w:val="0"/>
              <w:spacing w:before="0" w:after="283"/>
              <w:jc w:val="left"/>
              <w:rPr>
                <w:sz w:val="4"/>
                <w:szCs w:val="4"/>
              </w:rPr>
            </w:pPr>
            <w:r>
              <w:rPr>
                <w:sz w:val="4"/>
                <w:szCs w:val="4"/>
              </w:rPr>
            </w:r>
          </w:p>
        </w:tc>
      </w:tr>
      <w:tr>
        <w:trPr/>
        <w:tc>
          <w:tcPr>
            <w:tcW w:w="791" w:type="dxa"/>
            <w:tcBorders/>
          </w:tcPr>
          <w:p>
            <w:pPr>
              <w:pStyle w:val="TableContents"/>
              <w:bidi w:val="0"/>
              <w:spacing w:before="0" w:after="283"/>
              <w:jc w:val="center"/>
              <w:rPr/>
            </w:pPr>
            <w:r>
              <w:rPr/>
              <w:t>3.1</w:t>
            </w:r>
          </w:p>
        </w:tc>
        <w:tc>
          <w:tcPr>
            <w:tcW w:w="256" w:type="dxa"/>
            <w:tcBorders/>
            <w:vAlign w:val="bottom"/>
          </w:tcPr>
          <w:p>
            <w:pPr>
              <w:pStyle w:val="TableContents"/>
              <w:bidi w:val="0"/>
              <w:spacing w:before="0" w:after="283"/>
              <w:jc w:val="left"/>
              <w:rPr/>
            </w:pPr>
            <w:r>
              <w:rPr/>
              <w:t>  </w:t>
            </w:r>
          </w:p>
        </w:tc>
        <w:tc>
          <w:tcPr>
            <w:tcW w:w="3930" w:type="dxa"/>
            <w:tcBorders/>
          </w:tcPr>
          <w:p>
            <w:pPr>
              <w:pStyle w:val="TableContents"/>
              <w:bidi w:val="0"/>
              <w:spacing w:before="0" w:after="283"/>
              <w:jc w:val="left"/>
              <w:rPr/>
            </w:pPr>
            <w:hyperlink r:id="rId21">
              <w:r>
                <w:rPr>
                  <w:rStyle w:val="InternetLink"/>
                </w:rPr>
                <w:t xml:space="preserve">Amended and Restated Certificate of Incorporation of Broadcom Inc. (including all amendments thereto). </w:t>
              </w:r>
            </w:hyperlink>
          </w:p>
        </w:tc>
        <w:tc>
          <w:tcPr>
            <w:tcW w:w="177"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656" w:type="dxa"/>
            <w:tcBorders/>
          </w:tcPr>
          <w:p>
            <w:pPr>
              <w:pStyle w:val="TableContents"/>
              <w:bidi w:val="0"/>
              <w:spacing w:before="0" w:after="283"/>
              <w:jc w:val="center"/>
              <w:rPr/>
            </w:pPr>
            <w:r>
              <w:rPr/>
              <w:t>10-Q</w:t>
            </w:r>
          </w:p>
        </w:tc>
        <w:tc>
          <w:tcPr>
            <w:tcW w:w="60" w:type="dxa"/>
            <w:tcBorders/>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747" w:type="dxa"/>
            <w:tcBorders/>
          </w:tcPr>
          <w:p>
            <w:pPr>
              <w:pStyle w:val="TableContents"/>
              <w:bidi w:val="0"/>
              <w:spacing w:before="0" w:after="283"/>
              <w:jc w:val="right"/>
              <w:rPr/>
            </w:pPr>
            <w:r>
              <w:rPr/>
              <w:t>001-38449</w:t>
            </w:r>
          </w:p>
        </w:tc>
        <w:tc>
          <w:tcPr>
            <w:tcW w:w="60" w:type="dxa"/>
            <w:tcBorders/>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21" w:type="dxa"/>
            <w:tcBorders/>
          </w:tcPr>
          <w:p>
            <w:pPr>
              <w:pStyle w:val="TableContents"/>
              <w:bidi w:val="0"/>
              <w:spacing w:before="0" w:after="283"/>
              <w:jc w:val="left"/>
              <w:rPr/>
            </w:pPr>
            <w:r>
              <w:rPr/>
              <w:t> </w:t>
            </w:r>
          </w:p>
        </w:tc>
        <w:tc>
          <w:tcPr>
            <w:tcW w:w="652" w:type="dxa"/>
            <w:tcBorders/>
          </w:tcPr>
          <w:p>
            <w:pPr>
              <w:pStyle w:val="TableContents"/>
              <w:bidi w:val="0"/>
              <w:spacing w:before="0" w:after="283"/>
              <w:jc w:val="right"/>
              <w:rPr/>
            </w:pPr>
            <w:r>
              <w:rPr/>
              <w:t>3.1</w:t>
            </w:r>
          </w:p>
        </w:tc>
        <w:tc>
          <w:tcPr>
            <w:tcW w:w="60" w:type="dxa"/>
            <w:tcBorders/>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685" w:type="dxa"/>
            <w:tcBorders/>
          </w:tcPr>
          <w:p>
            <w:pPr>
              <w:pStyle w:val="TableContents"/>
              <w:bidi w:val="0"/>
              <w:spacing w:before="0" w:after="283"/>
              <w:jc w:val="right"/>
              <w:rPr/>
            </w:pPr>
            <w:r>
              <w:rPr/>
              <w:t>09-11-2024</w:t>
            </w:r>
          </w:p>
        </w:tc>
        <w:tc>
          <w:tcPr>
            <w:tcW w:w="60" w:type="dxa"/>
            <w:tcBorders/>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222" w:type="dxa"/>
            <w:tcBorders/>
          </w:tcPr>
          <w:p>
            <w:pPr>
              <w:pStyle w:val="TableContents"/>
              <w:bidi w:val="0"/>
              <w:spacing w:before="0" w:after="283"/>
              <w:jc w:val="left"/>
              <w:rPr>
                <w:sz w:val="4"/>
                <w:szCs w:val="4"/>
              </w:rPr>
            </w:pPr>
            <w:r>
              <w:rPr>
                <w:sz w:val="4"/>
                <w:szCs w:val="4"/>
              </w:rPr>
            </w:r>
          </w:p>
        </w:tc>
        <w:tc>
          <w:tcPr>
            <w:tcW w:w="770" w:type="dxa"/>
            <w:tcBorders/>
          </w:tcPr>
          <w:p>
            <w:pPr>
              <w:pStyle w:val="TableContents"/>
              <w:bidi w:val="0"/>
              <w:spacing w:before="0" w:after="283"/>
              <w:jc w:val="left"/>
              <w:rPr>
                <w:sz w:val="4"/>
                <w:szCs w:val="4"/>
              </w:rPr>
            </w:pPr>
            <w:r>
              <w:rPr>
                <w:sz w:val="4"/>
                <w:szCs w:val="4"/>
              </w:rPr>
            </w:r>
          </w:p>
        </w:tc>
        <w:tc>
          <w:tcPr>
            <w:tcW w:w="70" w:type="dxa"/>
            <w:tcBorders/>
          </w:tcPr>
          <w:p>
            <w:pPr>
              <w:pStyle w:val="TableContents"/>
              <w:bidi w:val="0"/>
              <w:spacing w:before="0" w:after="283"/>
              <w:jc w:val="left"/>
              <w:rPr>
                <w:sz w:val="4"/>
                <w:szCs w:val="4"/>
              </w:rPr>
            </w:pPr>
            <w:r>
              <w:rPr>
                <w:sz w:val="4"/>
                <w:szCs w:val="4"/>
              </w:rPr>
            </w:r>
          </w:p>
        </w:tc>
      </w:tr>
      <w:tr>
        <w:trPr>
          <w:trHeight w:val="120" w:hRule="atLeast"/>
        </w:trPr>
        <w:tc>
          <w:tcPr>
            <w:tcW w:w="791" w:type="dxa"/>
            <w:tcBorders/>
            <w:vAlign w:val="center"/>
          </w:tcPr>
          <w:p>
            <w:pPr>
              <w:pStyle w:val="TableContents"/>
              <w:bidi w:val="0"/>
              <w:spacing w:before="0" w:after="283"/>
              <w:jc w:val="left"/>
              <w:rPr>
                <w:sz w:val="4"/>
                <w:szCs w:val="4"/>
              </w:rPr>
            </w:pPr>
            <w:r>
              <w:rPr>
                <w:sz w:val="4"/>
                <w:szCs w:val="4"/>
              </w:rPr>
            </w:r>
          </w:p>
        </w:tc>
        <w:tc>
          <w:tcPr>
            <w:tcW w:w="4186" w:type="dxa"/>
            <w:gridSpan w:val="2"/>
            <w:tcBorders/>
            <w:vAlign w:val="center"/>
          </w:tcPr>
          <w:p>
            <w:pPr>
              <w:pStyle w:val="TableContents"/>
              <w:bidi w:val="0"/>
              <w:spacing w:before="0" w:after="283"/>
              <w:jc w:val="left"/>
              <w:rPr>
                <w:sz w:val="4"/>
                <w:szCs w:val="4"/>
              </w:rPr>
            </w:pPr>
            <w:r>
              <w:rPr>
                <w:sz w:val="4"/>
                <w:szCs w:val="4"/>
              </w:rPr>
            </w:r>
          </w:p>
        </w:tc>
        <w:tc>
          <w:tcPr>
            <w:tcW w:w="953" w:type="dxa"/>
            <w:gridSpan w:val="4"/>
            <w:tcBorders/>
            <w:vAlign w:val="center"/>
          </w:tcPr>
          <w:p>
            <w:pPr>
              <w:pStyle w:val="TableContents"/>
              <w:bidi w:val="0"/>
              <w:spacing w:before="0" w:after="283"/>
              <w:jc w:val="left"/>
              <w:rPr>
                <w:sz w:val="4"/>
                <w:szCs w:val="4"/>
              </w:rPr>
            </w:pPr>
            <w:r>
              <w:rPr>
                <w:sz w:val="4"/>
                <w:szCs w:val="4"/>
              </w:rPr>
            </w:r>
          </w:p>
        </w:tc>
        <w:tc>
          <w:tcPr>
            <w:tcW w:w="1044" w:type="dxa"/>
            <w:gridSpan w:val="4"/>
            <w:tcBorders/>
            <w:vAlign w:val="center"/>
          </w:tcPr>
          <w:p>
            <w:pPr>
              <w:pStyle w:val="TableContents"/>
              <w:bidi w:val="0"/>
              <w:spacing w:before="0" w:after="283"/>
              <w:jc w:val="left"/>
              <w:rPr>
                <w:sz w:val="4"/>
                <w:szCs w:val="4"/>
              </w:rPr>
            </w:pPr>
            <w:r>
              <w:rPr>
                <w:sz w:val="4"/>
                <w:szCs w:val="4"/>
              </w:rPr>
            </w:r>
          </w:p>
        </w:tc>
        <w:tc>
          <w:tcPr>
            <w:tcW w:w="1010" w:type="dxa"/>
            <w:gridSpan w:val="4"/>
            <w:tcBorders/>
            <w:vAlign w:val="center"/>
          </w:tcPr>
          <w:p>
            <w:pPr>
              <w:pStyle w:val="TableContents"/>
              <w:bidi w:val="0"/>
              <w:spacing w:before="0" w:after="283"/>
              <w:jc w:val="left"/>
              <w:rPr>
                <w:sz w:val="4"/>
                <w:szCs w:val="4"/>
              </w:rPr>
            </w:pPr>
            <w:r>
              <w:rPr>
                <w:sz w:val="4"/>
                <w:szCs w:val="4"/>
              </w:rPr>
            </w:r>
          </w:p>
        </w:tc>
        <w:tc>
          <w:tcPr>
            <w:tcW w:w="982" w:type="dxa"/>
            <w:gridSpan w:val="4"/>
            <w:tcBorders/>
            <w:vAlign w:val="center"/>
          </w:tcPr>
          <w:p>
            <w:pPr>
              <w:pStyle w:val="TableContents"/>
              <w:bidi w:val="0"/>
              <w:spacing w:before="0" w:after="283"/>
              <w:jc w:val="left"/>
              <w:rPr>
                <w:sz w:val="4"/>
                <w:szCs w:val="4"/>
              </w:rPr>
            </w:pPr>
            <w:r>
              <w:rPr>
                <w:sz w:val="4"/>
                <w:szCs w:val="4"/>
              </w:rPr>
            </w:r>
          </w:p>
        </w:tc>
        <w:tc>
          <w:tcPr>
            <w:tcW w:w="1239" w:type="dxa"/>
            <w:gridSpan w:val="4"/>
            <w:tcBorders/>
            <w:vAlign w:val="center"/>
          </w:tcPr>
          <w:p>
            <w:pPr>
              <w:pStyle w:val="TableContents"/>
              <w:bidi w:val="0"/>
              <w:spacing w:before="0" w:after="283"/>
              <w:jc w:val="left"/>
              <w:rPr>
                <w:sz w:val="4"/>
                <w:szCs w:val="4"/>
              </w:rPr>
            </w:pPr>
            <w:r>
              <w:rPr>
                <w:sz w:val="4"/>
                <w:szCs w:val="4"/>
              </w:rPr>
            </w:r>
          </w:p>
        </w:tc>
      </w:tr>
      <w:tr>
        <w:trPr/>
        <w:tc>
          <w:tcPr>
            <w:tcW w:w="791" w:type="dxa"/>
            <w:tcBorders/>
          </w:tcPr>
          <w:p>
            <w:pPr>
              <w:pStyle w:val="TableContents"/>
              <w:bidi w:val="0"/>
              <w:spacing w:before="0" w:after="283"/>
              <w:jc w:val="center"/>
              <w:rPr/>
            </w:pPr>
            <w:r>
              <w:rPr/>
              <w:t>3.2</w:t>
            </w:r>
          </w:p>
        </w:tc>
        <w:tc>
          <w:tcPr>
            <w:tcW w:w="256" w:type="dxa"/>
            <w:tcBorders/>
            <w:vAlign w:val="bottom"/>
          </w:tcPr>
          <w:p>
            <w:pPr>
              <w:pStyle w:val="TableContents"/>
              <w:bidi w:val="0"/>
              <w:spacing w:before="0" w:after="283"/>
              <w:jc w:val="left"/>
              <w:rPr/>
            </w:pPr>
            <w:r>
              <w:rPr/>
              <w:t>  </w:t>
            </w:r>
          </w:p>
        </w:tc>
        <w:tc>
          <w:tcPr>
            <w:tcW w:w="3930" w:type="dxa"/>
            <w:tcBorders/>
          </w:tcPr>
          <w:p>
            <w:pPr>
              <w:pStyle w:val="TableContents"/>
              <w:bidi w:val="0"/>
              <w:spacing w:before="0" w:after="283"/>
              <w:jc w:val="left"/>
              <w:rPr/>
            </w:pPr>
            <w:hyperlink r:id="rId22">
              <w:r>
                <w:rPr>
                  <w:rStyle w:val="InternetLink"/>
                </w:rPr>
                <w:t xml:space="preserve">Amended and Restated Bylaws of Broadcom Inc. </w:t>
              </w:r>
            </w:hyperlink>
          </w:p>
        </w:tc>
        <w:tc>
          <w:tcPr>
            <w:tcW w:w="177"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656" w:type="dxa"/>
            <w:tcBorders/>
          </w:tcPr>
          <w:p>
            <w:pPr>
              <w:pStyle w:val="TableContents"/>
              <w:bidi w:val="0"/>
              <w:spacing w:before="0" w:after="283"/>
              <w:jc w:val="center"/>
              <w:rPr/>
            </w:pPr>
            <w:r>
              <w:rPr/>
              <w:t>8-K12B</w:t>
            </w:r>
          </w:p>
        </w:tc>
        <w:tc>
          <w:tcPr>
            <w:tcW w:w="60" w:type="dxa"/>
            <w:tcBorders/>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747" w:type="dxa"/>
            <w:tcBorders/>
          </w:tcPr>
          <w:p>
            <w:pPr>
              <w:pStyle w:val="TableContents"/>
              <w:bidi w:val="0"/>
              <w:spacing w:before="0" w:after="283"/>
              <w:jc w:val="right"/>
              <w:rPr/>
            </w:pPr>
            <w:r>
              <w:rPr/>
              <w:t>001-38449</w:t>
            </w:r>
          </w:p>
        </w:tc>
        <w:tc>
          <w:tcPr>
            <w:tcW w:w="60" w:type="dxa"/>
            <w:tcBorders/>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21" w:type="dxa"/>
            <w:tcBorders/>
          </w:tcPr>
          <w:p>
            <w:pPr>
              <w:pStyle w:val="TableContents"/>
              <w:bidi w:val="0"/>
              <w:spacing w:before="0" w:after="283"/>
              <w:jc w:val="left"/>
              <w:rPr/>
            </w:pPr>
            <w:r>
              <w:rPr/>
              <w:t> </w:t>
            </w:r>
          </w:p>
        </w:tc>
        <w:tc>
          <w:tcPr>
            <w:tcW w:w="652" w:type="dxa"/>
            <w:tcBorders/>
          </w:tcPr>
          <w:p>
            <w:pPr>
              <w:pStyle w:val="TableContents"/>
              <w:bidi w:val="0"/>
              <w:spacing w:before="0" w:after="283"/>
              <w:jc w:val="right"/>
              <w:rPr/>
            </w:pPr>
            <w:r>
              <w:rPr/>
              <w:t>3.2</w:t>
            </w:r>
          </w:p>
        </w:tc>
        <w:tc>
          <w:tcPr>
            <w:tcW w:w="60" w:type="dxa"/>
            <w:tcBorders/>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685" w:type="dxa"/>
            <w:tcBorders/>
          </w:tcPr>
          <w:p>
            <w:pPr>
              <w:pStyle w:val="TableContents"/>
              <w:bidi w:val="0"/>
              <w:spacing w:before="0" w:after="283"/>
              <w:jc w:val="right"/>
              <w:rPr/>
            </w:pPr>
            <w:r>
              <w:rPr/>
              <w:t>04-04-2018</w:t>
            </w:r>
          </w:p>
        </w:tc>
        <w:tc>
          <w:tcPr>
            <w:tcW w:w="60" w:type="dxa"/>
            <w:tcBorders/>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222" w:type="dxa"/>
            <w:tcBorders/>
          </w:tcPr>
          <w:p>
            <w:pPr>
              <w:pStyle w:val="TableContents"/>
              <w:bidi w:val="0"/>
              <w:spacing w:before="0" w:after="283"/>
              <w:jc w:val="left"/>
              <w:rPr>
                <w:sz w:val="4"/>
                <w:szCs w:val="4"/>
              </w:rPr>
            </w:pPr>
            <w:r>
              <w:rPr>
                <w:sz w:val="4"/>
                <w:szCs w:val="4"/>
              </w:rPr>
            </w:r>
          </w:p>
        </w:tc>
        <w:tc>
          <w:tcPr>
            <w:tcW w:w="770" w:type="dxa"/>
            <w:tcBorders/>
          </w:tcPr>
          <w:p>
            <w:pPr>
              <w:pStyle w:val="TableContents"/>
              <w:bidi w:val="0"/>
              <w:spacing w:before="0" w:after="283"/>
              <w:jc w:val="left"/>
              <w:rPr>
                <w:sz w:val="4"/>
                <w:szCs w:val="4"/>
              </w:rPr>
            </w:pPr>
            <w:r>
              <w:rPr>
                <w:sz w:val="4"/>
                <w:szCs w:val="4"/>
              </w:rPr>
            </w:r>
          </w:p>
        </w:tc>
        <w:tc>
          <w:tcPr>
            <w:tcW w:w="70" w:type="dxa"/>
            <w:tcBorders/>
          </w:tcPr>
          <w:p>
            <w:pPr>
              <w:pStyle w:val="TableContents"/>
              <w:bidi w:val="0"/>
              <w:spacing w:before="0" w:after="283"/>
              <w:jc w:val="left"/>
              <w:rPr>
                <w:sz w:val="4"/>
                <w:szCs w:val="4"/>
              </w:rPr>
            </w:pPr>
            <w:r>
              <w:rPr>
                <w:sz w:val="4"/>
                <w:szCs w:val="4"/>
              </w:rPr>
            </w:r>
          </w:p>
        </w:tc>
      </w:tr>
      <w:tr>
        <w:trPr>
          <w:trHeight w:val="120" w:hRule="atLeast"/>
        </w:trPr>
        <w:tc>
          <w:tcPr>
            <w:tcW w:w="791" w:type="dxa"/>
            <w:tcBorders/>
            <w:vAlign w:val="center"/>
          </w:tcPr>
          <w:p>
            <w:pPr>
              <w:pStyle w:val="TableContents"/>
              <w:bidi w:val="0"/>
              <w:spacing w:before="0" w:after="283"/>
              <w:jc w:val="left"/>
              <w:rPr>
                <w:sz w:val="4"/>
                <w:szCs w:val="4"/>
              </w:rPr>
            </w:pPr>
            <w:r>
              <w:rPr>
                <w:sz w:val="4"/>
                <w:szCs w:val="4"/>
              </w:rPr>
            </w:r>
          </w:p>
        </w:tc>
        <w:tc>
          <w:tcPr>
            <w:tcW w:w="4186" w:type="dxa"/>
            <w:gridSpan w:val="2"/>
            <w:tcBorders/>
            <w:vAlign w:val="center"/>
          </w:tcPr>
          <w:p>
            <w:pPr>
              <w:pStyle w:val="TableContents"/>
              <w:bidi w:val="0"/>
              <w:spacing w:before="0" w:after="283"/>
              <w:jc w:val="left"/>
              <w:rPr>
                <w:sz w:val="4"/>
                <w:szCs w:val="4"/>
              </w:rPr>
            </w:pPr>
            <w:r>
              <w:rPr>
                <w:sz w:val="4"/>
                <w:szCs w:val="4"/>
              </w:rPr>
            </w:r>
          </w:p>
        </w:tc>
        <w:tc>
          <w:tcPr>
            <w:tcW w:w="953" w:type="dxa"/>
            <w:gridSpan w:val="4"/>
            <w:tcBorders/>
            <w:vAlign w:val="center"/>
          </w:tcPr>
          <w:p>
            <w:pPr>
              <w:pStyle w:val="TableContents"/>
              <w:bidi w:val="0"/>
              <w:spacing w:before="0" w:after="283"/>
              <w:jc w:val="left"/>
              <w:rPr>
                <w:sz w:val="4"/>
                <w:szCs w:val="4"/>
              </w:rPr>
            </w:pPr>
            <w:r>
              <w:rPr>
                <w:sz w:val="4"/>
                <w:szCs w:val="4"/>
              </w:rPr>
            </w:r>
          </w:p>
        </w:tc>
        <w:tc>
          <w:tcPr>
            <w:tcW w:w="1044" w:type="dxa"/>
            <w:gridSpan w:val="4"/>
            <w:tcBorders/>
            <w:vAlign w:val="center"/>
          </w:tcPr>
          <w:p>
            <w:pPr>
              <w:pStyle w:val="TableContents"/>
              <w:bidi w:val="0"/>
              <w:spacing w:before="0" w:after="283"/>
              <w:jc w:val="left"/>
              <w:rPr>
                <w:sz w:val="4"/>
                <w:szCs w:val="4"/>
              </w:rPr>
            </w:pPr>
            <w:r>
              <w:rPr>
                <w:sz w:val="4"/>
                <w:szCs w:val="4"/>
              </w:rPr>
            </w:r>
          </w:p>
        </w:tc>
        <w:tc>
          <w:tcPr>
            <w:tcW w:w="1010" w:type="dxa"/>
            <w:gridSpan w:val="4"/>
            <w:tcBorders/>
            <w:vAlign w:val="center"/>
          </w:tcPr>
          <w:p>
            <w:pPr>
              <w:pStyle w:val="TableContents"/>
              <w:bidi w:val="0"/>
              <w:spacing w:before="0" w:after="283"/>
              <w:jc w:val="left"/>
              <w:rPr>
                <w:sz w:val="4"/>
                <w:szCs w:val="4"/>
              </w:rPr>
            </w:pPr>
            <w:r>
              <w:rPr>
                <w:sz w:val="4"/>
                <w:szCs w:val="4"/>
              </w:rPr>
            </w:r>
          </w:p>
        </w:tc>
        <w:tc>
          <w:tcPr>
            <w:tcW w:w="982" w:type="dxa"/>
            <w:gridSpan w:val="4"/>
            <w:tcBorders/>
            <w:vAlign w:val="center"/>
          </w:tcPr>
          <w:p>
            <w:pPr>
              <w:pStyle w:val="TableContents"/>
              <w:bidi w:val="0"/>
              <w:spacing w:before="0" w:after="283"/>
              <w:jc w:val="left"/>
              <w:rPr>
                <w:sz w:val="4"/>
                <w:szCs w:val="4"/>
              </w:rPr>
            </w:pPr>
            <w:r>
              <w:rPr>
                <w:sz w:val="4"/>
                <w:szCs w:val="4"/>
              </w:rPr>
            </w:r>
          </w:p>
        </w:tc>
        <w:tc>
          <w:tcPr>
            <w:tcW w:w="1239" w:type="dxa"/>
            <w:gridSpan w:val="4"/>
            <w:tcBorders/>
            <w:vAlign w:val="center"/>
          </w:tcPr>
          <w:p>
            <w:pPr>
              <w:pStyle w:val="TableContents"/>
              <w:bidi w:val="0"/>
              <w:spacing w:before="0" w:after="283"/>
              <w:jc w:val="left"/>
              <w:rPr>
                <w:sz w:val="4"/>
                <w:szCs w:val="4"/>
              </w:rPr>
            </w:pPr>
            <w:r>
              <w:rPr>
                <w:sz w:val="4"/>
                <w:szCs w:val="4"/>
              </w:rPr>
            </w:r>
          </w:p>
        </w:tc>
      </w:tr>
      <w:tr>
        <w:trPr/>
        <w:tc>
          <w:tcPr>
            <w:tcW w:w="791" w:type="dxa"/>
            <w:tcBorders/>
          </w:tcPr>
          <w:p>
            <w:pPr>
              <w:pStyle w:val="TableContents"/>
              <w:bidi w:val="0"/>
              <w:spacing w:before="0" w:after="283"/>
              <w:jc w:val="center"/>
              <w:rPr/>
            </w:pPr>
            <w:r>
              <w:rPr/>
              <w:t>4.1</w:t>
            </w:r>
          </w:p>
        </w:tc>
        <w:tc>
          <w:tcPr>
            <w:tcW w:w="256" w:type="dxa"/>
            <w:tcBorders/>
            <w:vAlign w:val="bottom"/>
          </w:tcPr>
          <w:p>
            <w:pPr>
              <w:pStyle w:val="TableContents"/>
              <w:bidi w:val="0"/>
              <w:spacing w:before="0" w:after="283"/>
              <w:jc w:val="left"/>
              <w:rPr/>
            </w:pPr>
            <w:r>
              <w:rPr/>
              <w:t>  </w:t>
            </w:r>
          </w:p>
        </w:tc>
        <w:tc>
          <w:tcPr>
            <w:tcW w:w="3930" w:type="dxa"/>
            <w:tcBorders/>
          </w:tcPr>
          <w:p>
            <w:pPr>
              <w:pStyle w:val="TableContents"/>
              <w:bidi w:val="0"/>
              <w:spacing w:before="0" w:after="283"/>
              <w:jc w:val="left"/>
              <w:rPr/>
            </w:pPr>
            <w:hyperlink r:id="rId23">
              <w:r>
                <w:rPr>
                  <w:rStyle w:val="InternetLink"/>
                </w:rPr>
                <w:t xml:space="preserve">Indenture, dated as of April 18, 2022, by and between the Issuer and Wilmington Trust, National Association, as trustee. </w:t>
              </w:r>
            </w:hyperlink>
          </w:p>
        </w:tc>
        <w:tc>
          <w:tcPr>
            <w:tcW w:w="177"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656" w:type="dxa"/>
            <w:tcBorders/>
          </w:tcPr>
          <w:p>
            <w:pPr>
              <w:pStyle w:val="TableContents"/>
              <w:bidi w:val="0"/>
              <w:spacing w:before="0" w:after="283"/>
              <w:jc w:val="center"/>
              <w:rPr/>
            </w:pPr>
            <w:r>
              <w:rPr/>
              <w:t>8-K</w:t>
            </w:r>
          </w:p>
        </w:tc>
        <w:tc>
          <w:tcPr>
            <w:tcW w:w="60" w:type="dxa"/>
            <w:tcBorders/>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747" w:type="dxa"/>
            <w:tcBorders/>
          </w:tcPr>
          <w:p>
            <w:pPr>
              <w:pStyle w:val="TableContents"/>
              <w:bidi w:val="0"/>
              <w:spacing w:before="0" w:after="283"/>
              <w:jc w:val="right"/>
              <w:rPr/>
            </w:pPr>
            <w:r>
              <w:rPr/>
              <w:t>001-38449</w:t>
            </w:r>
          </w:p>
        </w:tc>
        <w:tc>
          <w:tcPr>
            <w:tcW w:w="60" w:type="dxa"/>
            <w:tcBorders/>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21" w:type="dxa"/>
            <w:tcBorders/>
          </w:tcPr>
          <w:p>
            <w:pPr>
              <w:pStyle w:val="TableContents"/>
              <w:bidi w:val="0"/>
              <w:spacing w:before="0" w:after="283"/>
              <w:jc w:val="left"/>
              <w:rPr/>
            </w:pPr>
            <w:r>
              <w:rPr/>
              <w:t> </w:t>
            </w:r>
          </w:p>
        </w:tc>
        <w:tc>
          <w:tcPr>
            <w:tcW w:w="652" w:type="dxa"/>
            <w:tcBorders/>
          </w:tcPr>
          <w:p>
            <w:pPr>
              <w:pStyle w:val="TableContents"/>
              <w:bidi w:val="0"/>
              <w:spacing w:before="0" w:after="283"/>
              <w:jc w:val="right"/>
              <w:rPr/>
            </w:pPr>
            <w:r>
              <w:rPr/>
              <w:t>4.1</w:t>
            </w:r>
          </w:p>
        </w:tc>
        <w:tc>
          <w:tcPr>
            <w:tcW w:w="60" w:type="dxa"/>
            <w:tcBorders/>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685" w:type="dxa"/>
            <w:tcBorders/>
          </w:tcPr>
          <w:p>
            <w:pPr>
              <w:pStyle w:val="TableContents"/>
              <w:bidi w:val="0"/>
              <w:spacing w:before="0" w:after="283"/>
              <w:jc w:val="right"/>
              <w:rPr/>
            </w:pPr>
            <w:r>
              <w:rPr/>
              <w:t>04-18-2022</w:t>
            </w:r>
          </w:p>
        </w:tc>
        <w:tc>
          <w:tcPr>
            <w:tcW w:w="60" w:type="dxa"/>
            <w:tcBorders/>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222" w:type="dxa"/>
            <w:tcBorders/>
          </w:tcPr>
          <w:p>
            <w:pPr>
              <w:pStyle w:val="TableContents"/>
              <w:bidi w:val="0"/>
              <w:spacing w:before="0" w:after="283"/>
              <w:jc w:val="left"/>
              <w:rPr>
                <w:sz w:val="4"/>
                <w:szCs w:val="4"/>
              </w:rPr>
            </w:pPr>
            <w:r>
              <w:rPr>
                <w:sz w:val="4"/>
                <w:szCs w:val="4"/>
              </w:rPr>
            </w:r>
          </w:p>
        </w:tc>
        <w:tc>
          <w:tcPr>
            <w:tcW w:w="770" w:type="dxa"/>
            <w:tcBorders/>
          </w:tcPr>
          <w:p>
            <w:pPr>
              <w:pStyle w:val="TableContents"/>
              <w:bidi w:val="0"/>
              <w:spacing w:before="0" w:after="283"/>
              <w:jc w:val="left"/>
              <w:rPr>
                <w:sz w:val="4"/>
                <w:szCs w:val="4"/>
              </w:rPr>
            </w:pPr>
            <w:r>
              <w:rPr>
                <w:sz w:val="4"/>
                <w:szCs w:val="4"/>
              </w:rPr>
            </w:r>
          </w:p>
        </w:tc>
        <w:tc>
          <w:tcPr>
            <w:tcW w:w="70" w:type="dxa"/>
            <w:tcBorders/>
          </w:tcPr>
          <w:p>
            <w:pPr>
              <w:pStyle w:val="TableContents"/>
              <w:bidi w:val="0"/>
              <w:spacing w:before="0" w:after="283"/>
              <w:jc w:val="left"/>
              <w:rPr>
                <w:sz w:val="4"/>
                <w:szCs w:val="4"/>
              </w:rPr>
            </w:pPr>
            <w:r>
              <w:rPr>
                <w:sz w:val="4"/>
                <w:szCs w:val="4"/>
              </w:rPr>
            </w:r>
          </w:p>
        </w:tc>
      </w:tr>
      <w:tr>
        <w:trPr>
          <w:trHeight w:val="120" w:hRule="atLeast"/>
        </w:trPr>
        <w:tc>
          <w:tcPr>
            <w:tcW w:w="791" w:type="dxa"/>
            <w:tcBorders/>
            <w:vAlign w:val="center"/>
          </w:tcPr>
          <w:p>
            <w:pPr>
              <w:pStyle w:val="TableContents"/>
              <w:bidi w:val="0"/>
              <w:spacing w:before="0" w:after="283"/>
              <w:jc w:val="left"/>
              <w:rPr>
                <w:sz w:val="4"/>
                <w:szCs w:val="4"/>
              </w:rPr>
            </w:pPr>
            <w:r>
              <w:rPr>
                <w:sz w:val="4"/>
                <w:szCs w:val="4"/>
              </w:rPr>
            </w:r>
          </w:p>
        </w:tc>
        <w:tc>
          <w:tcPr>
            <w:tcW w:w="4186" w:type="dxa"/>
            <w:gridSpan w:val="2"/>
            <w:tcBorders/>
            <w:vAlign w:val="center"/>
          </w:tcPr>
          <w:p>
            <w:pPr>
              <w:pStyle w:val="TableContents"/>
              <w:bidi w:val="0"/>
              <w:spacing w:before="0" w:after="283"/>
              <w:jc w:val="left"/>
              <w:rPr>
                <w:sz w:val="4"/>
                <w:szCs w:val="4"/>
              </w:rPr>
            </w:pPr>
            <w:r>
              <w:rPr>
                <w:sz w:val="4"/>
                <w:szCs w:val="4"/>
              </w:rPr>
            </w:r>
          </w:p>
        </w:tc>
        <w:tc>
          <w:tcPr>
            <w:tcW w:w="953" w:type="dxa"/>
            <w:gridSpan w:val="4"/>
            <w:tcBorders/>
            <w:vAlign w:val="center"/>
          </w:tcPr>
          <w:p>
            <w:pPr>
              <w:pStyle w:val="TableContents"/>
              <w:bidi w:val="0"/>
              <w:spacing w:before="0" w:after="283"/>
              <w:jc w:val="left"/>
              <w:rPr>
                <w:sz w:val="4"/>
                <w:szCs w:val="4"/>
              </w:rPr>
            </w:pPr>
            <w:r>
              <w:rPr>
                <w:sz w:val="4"/>
                <w:szCs w:val="4"/>
              </w:rPr>
            </w:r>
          </w:p>
        </w:tc>
        <w:tc>
          <w:tcPr>
            <w:tcW w:w="1044" w:type="dxa"/>
            <w:gridSpan w:val="4"/>
            <w:tcBorders/>
            <w:vAlign w:val="center"/>
          </w:tcPr>
          <w:p>
            <w:pPr>
              <w:pStyle w:val="TableContents"/>
              <w:bidi w:val="0"/>
              <w:spacing w:before="0" w:after="283"/>
              <w:jc w:val="left"/>
              <w:rPr>
                <w:sz w:val="4"/>
                <w:szCs w:val="4"/>
              </w:rPr>
            </w:pPr>
            <w:r>
              <w:rPr>
                <w:sz w:val="4"/>
                <w:szCs w:val="4"/>
              </w:rPr>
            </w:r>
          </w:p>
        </w:tc>
        <w:tc>
          <w:tcPr>
            <w:tcW w:w="1010" w:type="dxa"/>
            <w:gridSpan w:val="4"/>
            <w:tcBorders/>
            <w:vAlign w:val="center"/>
          </w:tcPr>
          <w:p>
            <w:pPr>
              <w:pStyle w:val="TableContents"/>
              <w:bidi w:val="0"/>
              <w:spacing w:before="0" w:after="283"/>
              <w:jc w:val="left"/>
              <w:rPr>
                <w:sz w:val="4"/>
                <w:szCs w:val="4"/>
              </w:rPr>
            </w:pPr>
            <w:r>
              <w:rPr>
                <w:sz w:val="4"/>
                <w:szCs w:val="4"/>
              </w:rPr>
            </w:r>
          </w:p>
        </w:tc>
        <w:tc>
          <w:tcPr>
            <w:tcW w:w="982" w:type="dxa"/>
            <w:gridSpan w:val="4"/>
            <w:tcBorders/>
            <w:vAlign w:val="center"/>
          </w:tcPr>
          <w:p>
            <w:pPr>
              <w:pStyle w:val="TableContents"/>
              <w:bidi w:val="0"/>
              <w:spacing w:before="0" w:after="283"/>
              <w:jc w:val="left"/>
              <w:rPr>
                <w:sz w:val="4"/>
                <w:szCs w:val="4"/>
              </w:rPr>
            </w:pPr>
            <w:r>
              <w:rPr>
                <w:sz w:val="4"/>
                <w:szCs w:val="4"/>
              </w:rPr>
            </w:r>
          </w:p>
        </w:tc>
        <w:tc>
          <w:tcPr>
            <w:tcW w:w="1239" w:type="dxa"/>
            <w:gridSpan w:val="4"/>
            <w:tcBorders/>
            <w:vAlign w:val="center"/>
          </w:tcPr>
          <w:p>
            <w:pPr>
              <w:pStyle w:val="TableContents"/>
              <w:bidi w:val="0"/>
              <w:spacing w:before="0" w:after="283"/>
              <w:jc w:val="left"/>
              <w:rPr>
                <w:sz w:val="4"/>
                <w:szCs w:val="4"/>
              </w:rPr>
            </w:pPr>
            <w:r>
              <w:rPr>
                <w:sz w:val="4"/>
                <w:szCs w:val="4"/>
              </w:rPr>
            </w:r>
          </w:p>
        </w:tc>
      </w:tr>
      <w:tr>
        <w:trPr/>
        <w:tc>
          <w:tcPr>
            <w:tcW w:w="791" w:type="dxa"/>
            <w:tcBorders/>
          </w:tcPr>
          <w:p>
            <w:pPr>
              <w:pStyle w:val="TableContents"/>
              <w:bidi w:val="0"/>
              <w:spacing w:before="0" w:after="283"/>
              <w:jc w:val="center"/>
              <w:rPr/>
            </w:pPr>
            <w:r>
              <w:rPr/>
              <w:t>4.2</w:t>
            </w:r>
          </w:p>
        </w:tc>
        <w:tc>
          <w:tcPr>
            <w:tcW w:w="256" w:type="dxa"/>
            <w:tcBorders/>
            <w:vAlign w:val="bottom"/>
          </w:tcPr>
          <w:p>
            <w:pPr>
              <w:pStyle w:val="TableContents"/>
              <w:bidi w:val="0"/>
              <w:spacing w:before="0" w:after="283"/>
              <w:jc w:val="left"/>
              <w:rPr/>
            </w:pPr>
            <w:r>
              <w:rPr/>
              <w:t>  </w:t>
            </w:r>
          </w:p>
        </w:tc>
        <w:tc>
          <w:tcPr>
            <w:tcW w:w="3930" w:type="dxa"/>
            <w:tcBorders/>
          </w:tcPr>
          <w:p>
            <w:pPr>
              <w:pStyle w:val="TableContents"/>
              <w:bidi w:val="0"/>
              <w:spacing w:before="0" w:after="283"/>
              <w:jc w:val="left"/>
              <w:rPr/>
            </w:pPr>
            <w:hyperlink r:id="rId24">
              <w:r>
                <w:rPr>
                  <w:rStyle w:val="InternetLink"/>
                </w:rPr>
                <w:t xml:space="preserve">Form of 4.926% Senior Notes due 2037 (included in Exhibit 4.1). </w:t>
              </w:r>
            </w:hyperlink>
          </w:p>
        </w:tc>
        <w:tc>
          <w:tcPr>
            <w:tcW w:w="177"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656" w:type="dxa"/>
            <w:tcBorders/>
          </w:tcPr>
          <w:p>
            <w:pPr>
              <w:pStyle w:val="TableContents"/>
              <w:bidi w:val="0"/>
              <w:spacing w:before="0" w:after="283"/>
              <w:jc w:val="center"/>
              <w:rPr/>
            </w:pPr>
            <w:r>
              <w:rPr/>
              <w:t>8-K</w:t>
            </w:r>
          </w:p>
        </w:tc>
        <w:tc>
          <w:tcPr>
            <w:tcW w:w="60" w:type="dxa"/>
            <w:tcBorders/>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747" w:type="dxa"/>
            <w:tcBorders/>
          </w:tcPr>
          <w:p>
            <w:pPr>
              <w:pStyle w:val="TableContents"/>
              <w:bidi w:val="0"/>
              <w:spacing w:before="0" w:after="283"/>
              <w:jc w:val="right"/>
              <w:rPr/>
            </w:pPr>
            <w:r>
              <w:rPr/>
              <w:t>001-38449</w:t>
            </w:r>
          </w:p>
        </w:tc>
        <w:tc>
          <w:tcPr>
            <w:tcW w:w="60" w:type="dxa"/>
            <w:tcBorders/>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21" w:type="dxa"/>
            <w:tcBorders/>
          </w:tcPr>
          <w:p>
            <w:pPr>
              <w:pStyle w:val="TableContents"/>
              <w:bidi w:val="0"/>
              <w:spacing w:before="0" w:after="283"/>
              <w:jc w:val="left"/>
              <w:rPr/>
            </w:pPr>
            <w:r>
              <w:rPr/>
              <w:t> </w:t>
            </w:r>
          </w:p>
        </w:tc>
        <w:tc>
          <w:tcPr>
            <w:tcW w:w="652" w:type="dxa"/>
            <w:tcBorders/>
          </w:tcPr>
          <w:p>
            <w:pPr>
              <w:pStyle w:val="TableContents"/>
              <w:bidi w:val="0"/>
              <w:spacing w:before="0" w:after="283"/>
              <w:jc w:val="right"/>
              <w:rPr/>
            </w:pPr>
            <w:r>
              <w:rPr/>
              <w:t>4.1</w:t>
            </w:r>
          </w:p>
        </w:tc>
        <w:tc>
          <w:tcPr>
            <w:tcW w:w="60" w:type="dxa"/>
            <w:tcBorders/>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685" w:type="dxa"/>
            <w:tcBorders/>
          </w:tcPr>
          <w:p>
            <w:pPr>
              <w:pStyle w:val="TableContents"/>
              <w:bidi w:val="0"/>
              <w:spacing w:before="0" w:after="283"/>
              <w:jc w:val="right"/>
              <w:rPr/>
            </w:pPr>
            <w:r>
              <w:rPr/>
              <w:t>04-18-2022</w:t>
            </w:r>
          </w:p>
        </w:tc>
        <w:tc>
          <w:tcPr>
            <w:tcW w:w="60" w:type="dxa"/>
            <w:tcBorders/>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222" w:type="dxa"/>
            <w:tcBorders/>
          </w:tcPr>
          <w:p>
            <w:pPr>
              <w:pStyle w:val="TableContents"/>
              <w:bidi w:val="0"/>
              <w:spacing w:before="0" w:after="283"/>
              <w:jc w:val="left"/>
              <w:rPr>
                <w:sz w:val="4"/>
                <w:szCs w:val="4"/>
              </w:rPr>
            </w:pPr>
            <w:r>
              <w:rPr>
                <w:sz w:val="4"/>
                <w:szCs w:val="4"/>
              </w:rPr>
            </w:r>
          </w:p>
        </w:tc>
        <w:tc>
          <w:tcPr>
            <w:tcW w:w="770" w:type="dxa"/>
            <w:tcBorders/>
          </w:tcPr>
          <w:p>
            <w:pPr>
              <w:pStyle w:val="TableContents"/>
              <w:bidi w:val="0"/>
              <w:spacing w:before="0" w:after="283"/>
              <w:jc w:val="left"/>
              <w:rPr>
                <w:sz w:val="4"/>
                <w:szCs w:val="4"/>
              </w:rPr>
            </w:pPr>
            <w:r>
              <w:rPr>
                <w:sz w:val="4"/>
                <w:szCs w:val="4"/>
              </w:rPr>
            </w:r>
          </w:p>
        </w:tc>
        <w:tc>
          <w:tcPr>
            <w:tcW w:w="70" w:type="dxa"/>
            <w:tcBorders/>
          </w:tcPr>
          <w:p>
            <w:pPr>
              <w:pStyle w:val="TableContents"/>
              <w:bidi w:val="0"/>
              <w:spacing w:before="0" w:after="283"/>
              <w:jc w:val="left"/>
              <w:rPr>
                <w:sz w:val="4"/>
                <w:szCs w:val="4"/>
              </w:rPr>
            </w:pPr>
            <w:r>
              <w:rPr>
                <w:sz w:val="4"/>
                <w:szCs w:val="4"/>
              </w:rPr>
            </w:r>
          </w:p>
        </w:tc>
      </w:tr>
      <w:tr>
        <w:trPr>
          <w:trHeight w:val="120" w:hRule="atLeast"/>
        </w:trPr>
        <w:tc>
          <w:tcPr>
            <w:tcW w:w="791" w:type="dxa"/>
            <w:tcBorders/>
            <w:vAlign w:val="center"/>
          </w:tcPr>
          <w:p>
            <w:pPr>
              <w:pStyle w:val="TableContents"/>
              <w:bidi w:val="0"/>
              <w:spacing w:before="0" w:after="283"/>
              <w:jc w:val="left"/>
              <w:rPr>
                <w:sz w:val="4"/>
                <w:szCs w:val="4"/>
              </w:rPr>
            </w:pPr>
            <w:r>
              <w:rPr>
                <w:sz w:val="4"/>
                <w:szCs w:val="4"/>
              </w:rPr>
            </w:r>
          </w:p>
        </w:tc>
        <w:tc>
          <w:tcPr>
            <w:tcW w:w="4186" w:type="dxa"/>
            <w:gridSpan w:val="2"/>
            <w:tcBorders/>
            <w:vAlign w:val="center"/>
          </w:tcPr>
          <w:p>
            <w:pPr>
              <w:pStyle w:val="TableContents"/>
              <w:bidi w:val="0"/>
              <w:spacing w:before="0" w:after="283"/>
              <w:jc w:val="left"/>
              <w:rPr>
                <w:sz w:val="4"/>
                <w:szCs w:val="4"/>
              </w:rPr>
            </w:pPr>
            <w:r>
              <w:rPr>
                <w:sz w:val="4"/>
                <w:szCs w:val="4"/>
              </w:rPr>
            </w:r>
          </w:p>
        </w:tc>
        <w:tc>
          <w:tcPr>
            <w:tcW w:w="953" w:type="dxa"/>
            <w:gridSpan w:val="4"/>
            <w:tcBorders/>
            <w:vAlign w:val="center"/>
          </w:tcPr>
          <w:p>
            <w:pPr>
              <w:pStyle w:val="TableContents"/>
              <w:bidi w:val="0"/>
              <w:spacing w:before="0" w:after="283"/>
              <w:jc w:val="left"/>
              <w:rPr>
                <w:sz w:val="4"/>
                <w:szCs w:val="4"/>
              </w:rPr>
            </w:pPr>
            <w:r>
              <w:rPr>
                <w:sz w:val="4"/>
                <w:szCs w:val="4"/>
              </w:rPr>
            </w:r>
          </w:p>
        </w:tc>
        <w:tc>
          <w:tcPr>
            <w:tcW w:w="1044" w:type="dxa"/>
            <w:gridSpan w:val="4"/>
            <w:tcBorders/>
            <w:vAlign w:val="center"/>
          </w:tcPr>
          <w:p>
            <w:pPr>
              <w:pStyle w:val="TableContents"/>
              <w:bidi w:val="0"/>
              <w:spacing w:before="0" w:after="283"/>
              <w:jc w:val="left"/>
              <w:rPr>
                <w:sz w:val="4"/>
                <w:szCs w:val="4"/>
              </w:rPr>
            </w:pPr>
            <w:r>
              <w:rPr>
                <w:sz w:val="4"/>
                <w:szCs w:val="4"/>
              </w:rPr>
            </w:r>
          </w:p>
        </w:tc>
        <w:tc>
          <w:tcPr>
            <w:tcW w:w="1010" w:type="dxa"/>
            <w:gridSpan w:val="4"/>
            <w:tcBorders/>
            <w:vAlign w:val="center"/>
          </w:tcPr>
          <w:p>
            <w:pPr>
              <w:pStyle w:val="TableContents"/>
              <w:bidi w:val="0"/>
              <w:spacing w:before="0" w:after="283"/>
              <w:jc w:val="left"/>
              <w:rPr>
                <w:sz w:val="4"/>
                <w:szCs w:val="4"/>
              </w:rPr>
            </w:pPr>
            <w:r>
              <w:rPr>
                <w:sz w:val="4"/>
                <w:szCs w:val="4"/>
              </w:rPr>
            </w:r>
          </w:p>
        </w:tc>
        <w:tc>
          <w:tcPr>
            <w:tcW w:w="982" w:type="dxa"/>
            <w:gridSpan w:val="4"/>
            <w:tcBorders/>
            <w:vAlign w:val="center"/>
          </w:tcPr>
          <w:p>
            <w:pPr>
              <w:pStyle w:val="TableContents"/>
              <w:bidi w:val="0"/>
              <w:spacing w:before="0" w:after="283"/>
              <w:jc w:val="left"/>
              <w:rPr>
                <w:sz w:val="4"/>
                <w:szCs w:val="4"/>
              </w:rPr>
            </w:pPr>
            <w:r>
              <w:rPr>
                <w:sz w:val="4"/>
                <w:szCs w:val="4"/>
              </w:rPr>
            </w:r>
          </w:p>
        </w:tc>
        <w:tc>
          <w:tcPr>
            <w:tcW w:w="1239" w:type="dxa"/>
            <w:gridSpan w:val="4"/>
            <w:tcBorders/>
            <w:vAlign w:val="center"/>
          </w:tcPr>
          <w:p>
            <w:pPr>
              <w:pStyle w:val="TableContents"/>
              <w:bidi w:val="0"/>
              <w:spacing w:before="0" w:after="283"/>
              <w:jc w:val="left"/>
              <w:rPr>
                <w:sz w:val="4"/>
                <w:szCs w:val="4"/>
              </w:rPr>
            </w:pPr>
            <w:r>
              <w:rPr>
                <w:sz w:val="4"/>
                <w:szCs w:val="4"/>
              </w:rPr>
            </w:r>
          </w:p>
        </w:tc>
      </w:tr>
      <w:tr>
        <w:trPr/>
        <w:tc>
          <w:tcPr>
            <w:tcW w:w="791" w:type="dxa"/>
            <w:tcBorders/>
          </w:tcPr>
          <w:p>
            <w:pPr>
              <w:pStyle w:val="TableContents"/>
              <w:bidi w:val="0"/>
              <w:spacing w:before="0" w:after="283"/>
              <w:jc w:val="center"/>
              <w:rPr/>
            </w:pPr>
            <w:r>
              <w:rPr/>
              <w:t>4.3</w:t>
            </w:r>
          </w:p>
        </w:tc>
        <w:tc>
          <w:tcPr>
            <w:tcW w:w="256" w:type="dxa"/>
            <w:tcBorders/>
            <w:vAlign w:val="bottom"/>
          </w:tcPr>
          <w:p>
            <w:pPr>
              <w:pStyle w:val="TableContents"/>
              <w:bidi w:val="0"/>
              <w:spacing w:before="0" w:after="283"/>
              <w:jc w:val="left"/>
              <w:rPr/>
            </w:pPr>
            <w:r>
              <w:rPr/>
              <w:t>  </w:t>
            </w:r>
          </w:p>
        </w:tc>
        <w:tc>
          <w:tcPr>
            <w:tcW w:w="3930" w:type="dxa"/>
            <w:tcBorders/>
          </w:tcPr>
          <w:p>
            <w:pPr>
              <w:pStyle w:val="TableContents"/>
              <w:bidi w:val="0"/>
              <w:spacing w:before="0" w:after="283"/>
              <w:jc w:val="left"/>
              <w:rPr/>
            </w:pPr>
            <w:hyperlink r:id="rId25">
              <w:r>
                <w:rPr>
                  <w:rStyle w:val="InternetLink"/>
                </w:rPr>
                <w:t>Registration Rights Agreement, dated as of April  18, 2022, by and among the Issuer and Barclays Capital Inc., BBVA Securities Inc., BNP Paribas Securities Corp. and J.P. Morgan Securities LLC, as dealer managers.</w:t>
              </w:r>
            </w:hyperlink>
          </w:p>
        </w:tc>
        <w:tc>
          <w:tcPr>
            <w:tcW w:w="177"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656" w:type="dxa"/>
            <w:tcBorders/>
          </w:tcPr>
          <w:p>
            <w:pPr>
              <w:pStyle w:val="TableContents"/>
              <w:bidi w:val="0"/>
              <w:spacing w:before="0" w:after="283"/>
              <w:jc w:val="center"/>
              <w:rPr/>
            </w:pPr>
            <w:r>
              <w:rPr/>
              <w:t>8-K</w:t>
            </w:r>
          </w:p>
        </w:tc>
        <w:tc>
          <w:tcPr>
            <w:tcW w:w="60" w:type="dxa"/>
            <w:tcBorders/>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747" w:type="dxa"/>
            <w:tcBorders/>
          </w:tcPr>
          <w:p>
            <w:pPr>
              <w:pStyle w:val="TableContents"/>
              <w:bidi w:val="0"/>
              <w:spacing w:before="0" w:after="283"/>
              <w:jc w:val="right"/>
              <w:rPr/>
            </w:pPr>
            <w:r>
              <w:rPr/>
              <w:t>001-38449</w:t>
            </w:r>
          </w:p>
        </w:tc>
        <w:tc>
          <w:tcPr>
            <w:tcW w:w="60" w:type="dxa"/>
            <w:tcBorders/>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21" w:type="dxa"/>
            <w:tcBorders/>
          </w:tcPr>
          <w:p>
            <w:pPr>
              <w:pStyle w:val="TableContents"/>
              <w:bidi w:val="0"/>
              <w:spacing w:before="0" w:after="283"/>
              <w:jc w:val="left"/>
              <w:rPr/>
            </w:pPr>
            <w:r>
              <w:rPr/>
              <w:t> </w:t>
            </w:r>
          </w:p>
        </w:tc>
        <w:tc>
          <w:tcPr>
            <w:tcW w:w="652" w:type="dxa"/>
            <w:tcBorders/>
          </w:tcPr>
          <w:p>
            <w:pPr>
              <w:pStyle w:val="TableContents"/>
              <w:bidi w:val="0"/>
              <w:spacing w:before="0" w:after="283"/>
              <w:jc w:val="right"/>
              <w:rPr/>
            </w:pPr>
            <w:r>
              <w:rPr/>
              <w:t>4.3</w:t>
            </w:r>
          </w:p>
        </w:tc>
        <w:tc>
          <w:tcPr>
            <w:tcW w:w="60" w:type="dxa"/>
            <w:tcBorders/>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685" w:type="dxa"/>
            <w:tcBorders/>
          </w:tcPr>
          <w:p>
            <w:pPr>
              <w:pStyle w:val="TableContents"/>
              <w:bidi w:val="0"/>
              <w:spacing w:before="0" w:after="283"/>
              <w:jc w:val="right"/>
              <w:rPr/>
            </w:pPr>
            <w:r>
              <w:rPr/>
              <w:t>04-18-2022</w:t>
            </w:r>
          </w:p>
        </w:tc>
        <w:tc>
          <w:tcPr>
            <w:tcW w:w="60" w:type="dxa"/>
            <w:tcBorders/>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222" w:type="dxa"/>
            <w:tcBorders/>
          </w:tcPr>
          <w:p>
            <w:pPr>
              <w:pStyle w:val="TableContents"/>
              <w:bidi w:val="0"/>
              <w:spacing w:before="0" w:after="283"/>
              <w:jc w:val="left"/>
              <w:rPr>
                <w:sz w:val="4"/>
                <w:szCs w:val="4"/>
              </w:rPr>
            </w:pPr>
            <w:r>
              <w:rPr>
                <w:sz w:val="4"/>
                <w:szCs w:val="4"/>
              </w:rPr>
            </w:r>
          </w:p>
        </w:tc>
        <w:tc>
          <w:tcPr>
            <w:tcW w:w="770" w:type="dxa"/>
            <w:tcBorders/>
          </w:tcPr>
          <w:p>
            <w:pPr>
              <w:pStyle w:val="TableContents"/>
              <w:bidi w:val="0"/>
              <w:spacing w:before="0" w:after="283"/>
              <w:jc w:val="left"/>
              <w:rPr>
                <w:sz w:val="4"/>
                <w:szCs w:val="4"/>
              </w:rPr>
            </w:pPr>
            <w:r>
              <w:rPr>
                <w:sz w:val="4"/>
                <w:szCs w:val="4"/>
              </w:rPr>
            </w:r>
          </w:p>
        </w:tc>
        <w:tc>
          <w:tcPr>
            <w:tcW w:w="70" w:type="dxa"/>
            <w:tcBorders/>
          </w:tcPr>
          <w:p>
            <w:pPr>
              <w:pStyle w:val="TableContents"/>
              <w:bidi w:val="0"/>
              <w:spacing w:before="0" w:after="283"/>
              <w:jc w:val="left"/>
              <w:rPr>
                <w:sz w:val="4"/>
                <w:szCs w:val="4"/>
              </w:rPr>
            </w:pPr>
            <w:r>
              <w:rPr>
                <w:sz w:val="4"/>
                <w:szCs w:val="4"/>
              </w:rPr>
            </w:r>
          </w:p>
        </w:tc>
      </w:tr>
      <w:tr>
        <w:trPr>
          <w:trHeight w:val="120" w:hRule="atLeast"/>
        </w:trPr>
        <w:tc>
          <w:tcPr>
            <w:tcW w:w="791" w:type="dxa"/>
            <w:tcBorders/>
            <w:vAlign w:val="center"/>
          </w:tcPr>
          <w:p>
            <w:pPr>
              <w:pStyle w:val="TableContents"/>
              <w:bidi w:val="0"/>
              <w:spacing w:before="0" w:after="283"/>
              <w:jc w:val="left"/>
              <w:rPr>
                <w:sz w:val="4"/>
                <w:szCs w:val="4"/>
              </w:rPr>
            </w:pPr>
            <w:r>
              <w:rPr>
                <w:sz w:val="4"/>
                <w:szCs w:val="4"/>
              </w:rPr>
            </w:r>
          </w:p>
        </w:tc>
        <w:tc>
          <w:tcPr>
            <w:tcW w:w="4186" w:type="dxa"/>
            <w:gridSpan w:val="2"/>
            <w:tcBorders/>
            <w:vAlign w:val="center"/>
          </w:tcPr>
          <w:p>
            <w:pPr>
              <w:pStyle w:val="TableContents"/>
              <w:bidi w:val="0"/>
              <w:spacing w:before="0" w:after="283"/>
              <w:jc w:val="left"/>
              <w:rPr>
                <w:sz w:val="4"/>
                <w:szCs w:val="4"/>
              </w:rPr>
            </w:pPr>
            <w:r>
              <w:rPr>
                <w:sz w:val="4"/>
                <w:szCs w:val="4"/>
              </w:rPr>
            </w:r>
          </w:p>
        </w:tc>
        <w:tc>
          <w:tcPr>
            <w:tcW w:w="953" w:type="dxa"/>
            <w:gridSpan w:val="4"/>
            <w:tcBorders/>
            <w:vAlign w:val="center"/>
          </w:tcPr>
          <w:p>
            <w:pPr>
              <w:pStyle w:val="TableContents"/>
              <w:bidi w:val="0"/>
              <w:spacing w:before="0" w:after="283"/>
              <w:jc w:val="left"/>
              <w:rPr>
                <w:sz w:val="4"/>
                <w:szCs w:val="4"/>
              </w:rPr>
            </w:pPr>
            <w:r>
              <w:rPr>
                <w:sz w:val="4"/>
                <w:szCs w:val="4"/>
              </w:rPr>
            </w:r>
          </w:p>
        </w:tc>
        <w:tc>
          <w:tcPr>
            <w:tcW w:w="1044" w:type="dxa"/>
            <w:gridSpan w:val="4"/>
            <w:tcBorders/>
            <w:vAlign w:val="center"/>
          </w:tcPr>
          <w:p>
            <w:pPr>
              <w:pStyle w:val="TableContents"/>
              <w:bidi w:val="0"/>
              <w:spacing w:before="0" w:after="283"/>
              <w:jc w:val="left"/>
              <w:rPr>
                <w:sz w:val="4"/>
                <w:szCs w:val="4"/>
              </w:rPr>
            </w:pPr>
            <w:r>
              <w:rPr>
                <w:sz w:val="4"/>
                <w:szCs w:val="4"/>
              </w:rPr>
            </w:r>
          </w:p>
        </w:tc>
        <w:tc>
          <w:tcPr>
            <w:tcW w:w="1010" w:type="dxa"/>
            <w:gridSpan w:val="4"/>
            <w:tcBorders/>
            <w:vAlign w:val="center"/>
          </w:tcPr>
          <w:p>
            <w:pPr>
              <w:pStyle w:val="TableContents"/>
              <w:bidi w:val="0"/>
              <w:spacing w:before="0" w:after="283"/>
              <w:jc w:val="left"/>
              <w:rPr>
                <w:sz w:val="4"/>
                <w:szCs w:val="4"/>
              </w:rPr>
            </w:pPr>
            <w:r>
              <w:rPr>
                <w:sz w:val="4"/>
                <w:szCs w:val="4"/>
              </w:rPr>
            </w:r>
          </w:p>
        </w:tc>
        <w:tc>
          <w:tcPr>
            <w:tcW w:w="982" w:type="dxa"/>
            <w:gridSpan w:val="4"/>
            <w:tcBorders/>
            <w:vAlign w:val="center"/>
          </w:tcPr>
          <w:p>
            <w:pPr>
              <w:pStyle w:val="TableContents"/>
              <w:bidi w:val="0"/>
              <w:spacing w:before="0" w:after="283"/>
              <w:jc w:val="left"/>
              <w:rPr>
                <w:sz w:val="4"/>
                <w:szCs w:val="4"/>
              </w:rPr>
            </w:pPr>
            <w:r>
              <w:rPr>
                <w:sz w:val="4"/>
                <w:szCs w:val="4"/>
              </w:rPr>
            </w:r>
          </w:p>
        </w:tc>
        <w:tc>
          <w:tcPr>
            <w:tcW w:w="1239" w:type="dxa"/>
            <w:gridSpan w:val="4"/>
            <w:tcBorders/>
            <w:vAlign w:val="center"/>
          </w:tcPr>
          <w:p>
            <w:pPr>
              <w:pStyle w:val="TableContents"/>
              <w:bidi w:val="0"/>
              <w:spacing w:before="0" w:after="283"/>
              <w:jc w:val="left"/>
              <w:rPr>
                <w:sz w:val="4"/>
                <w:szCs w:val="4"/>
              </w:rPr>
            </w:pPr>
            <w:r>
              <w:rPr>
                <w:sz w:val="4"/>
                <w:szCs w:val="4"/>
              </w:rPr>
            </w:r>
          </w:p>
        </w:tc>
      </w:tr>
      <w:tr>
        <w:trPr/>
        <w:tc>
          <w:tcPr>
            <w:tcW w:w="791" w:type="dxa"/>
            <w:tcBorders/>
          </w:tcPr>
          <w:p>
            <w:pPr>
              <w:pStyle w:val="TableContents"/>
              <w:bidi w:val="0"/>
              <w:spacing w:before="0" w:after="283"/>
              <w:jc w:val="center"/>
              <w:rPr/>
            </w:pPr>
            <w:r>
              <w:rPr/>
              <w:t>5.1</w:t>
            </w:r>
          </w:p>
        </w:tc>
        <w:tc>
          <w:tcPr>
            <w:tcW w:w="256" w:type="dxa"/>
            <w:tcBorders/>
            <w:vAlign w:val="bottom"/>
          </w:tcPr>
          <w:p>
            <w:pPr>
              <w:pStyle w:val="TableContents"/>
              <w:bidi w:val="0"/>
              <w:spacing w:before="0" w:after="283"/>
              <w:jc w:val="left"/>
              <w:rPr/>
            </w:pPr>
            <w:r>
              <w:rPr/>
              <w:t>  </w:t>
            </w:r>
          </w:p>
        </w:tc>
        <w:tc>
          <w:tcPr>
            <w:tcW w:w="3930" w:type="dxa"/>
            <w:tcBorders/>
          </w:tcPr>
          <w:p>
            <w:pPr>
              <w:pStyle w:val="TableContents"/>
              <w:bidi w:val="0"/>
              <w:spacing w:before="0" w:after="283"/>
              <w:jc w:val="left"/>
              <w:rPr/>
            </w:pPr>
            <w:hyperlink w:anchor="d154803dex51.htm">
              <w:r>
                <w:rPr>
                  <w:rStyle w:val="InternetLink"/>
                </w:rPr>
                <w:t>Opinion of Wachtell, Lipton, Rosen &amp; Katz.</w:t>
              </w:r>
            </w:hyperlink>
          </w:p>
        </w:tc>
        <w:tc>
          <w:tcPr>
            <w:tcW w:w="177"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sz w:val="4"/>
                <w:szCs w:val="4"/>
              </w:rPr>
            </w:pPr>
            <w:r>
              <w:rPr>
                <w:sz w:val="4"/>
                <w:szCs w:val="4"/>
              </w:rPr>
            </w:r>
          </w:p>
        </w:tc>
        <w:tc>
          <w:tcPr>
            <w:tcW w:w="656"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sz w:val="4"/>
                <w:szCs w:val="4"/>
              </w:rPr>
            </w:pPr>
            <w:r>
              <w:rPr>
                <w:sz w:val="4"/>
                <w:szCs w:val="4"/>
              </w:rPr>
            </w:r>
          </w:p>
        </w:tc>
        <w:tc>
          <w:tcPr>
            <w:tcW w:w="747"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pPr>
            <w:r>
              <w:rPr/>
              <w:t>  </w:t>
            </w:r>
          </w:p>
        </w:tc>
        <w:tc>
          <w:tcPr>
            <w:tcW w:w="121" w:type="dxa"/>
            <w:tcBorders/>
          </w:tcPr>
          <w:p>
            <w:pPr>
              <w:pStyle w:val="TableContents"/>
              <w:bidi w:val="0"/>
              <w:spacing w:before="0" w:after="283"/>
              <w:jc w:val="left"/>
              <w:rPr>
                <w:sz w:val="4"/>
                <w:szCs w:val="4"/>
              </w:rPr>
            </w:pPr>
            <w:r>
              <w:rPr>
                <w:sz w:val="4"/>
                <w:szCs w:val="4"/>
              </w:rPr>
            </w:r>
          </w:p>
        </w:tc>
        <w:tc>
          <w:tcPr>
            <w:tcW w:w="652"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sz w:val="4"/>
                <w:szCs w:val="4"/>
              </w:rPr>
            </w:pPr>
            <w:r>
              <w:rPr>
                <w:sz w:val="4"/>
                <w:szCs w:val="4"/>
              </w:rPr>
            </w:r>
          </w:p>
        </w:tc>
        <w:tc>
          <w:tcPr>
            <w:tcW w:w="685"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pPr>
            <w:r>
              <w:rPr/>
              <w:t>  </w:t>
            </w:r>
          </w:p>
        </w:tc>
        <w:tc>
          <w:tcPr>
            <w:tcW w:w="222" w:type="dxa"/>
            <w:tcBorders/>
          </w:tcPr>
          <w:p>
            <w:pPr>
              <w:pStyle w:val="TableContents"/>
              <w:bidi w:val="0"/>
              <w:spacing w:before="0" w:after="283"/>
              <w:jc w:val="left"/>
              <w:rPr/>
            </w:pPr>
            <w:r>
              <w:rPr/>
              <w:t> </w:t>
            </w:r>
          </w:p>
        </w:tc>
        <w:tc>
          <w:tcPr>
            <w:tcW w:w="770" w:type="dxa"/>
            <w:tcBorders/>
          </w:tcPr>
          <w:p>
            <w:pPr>
              <w:pStyle w:val="TableContents"/>
              <w:bidi w:val="0"/>
              <w:spacing w:before="0" w:after="283"/>
              <w:jc w:val="right"/>
              <w:rPr/>
            </w:pPr>
            <w:r>
              <w:rPr/>
              <w:t>X</w:t>
            </w:r>
          </w:p>
        </w:tc>
        <w:tc>
          <w:tcPr>
            <w:tcW w:w="70" w:type="dxa"/>
            <w:tcBorders/>
          </w:tcPr>
          <w:p>
            <w:pPr>
              <w:pStyle w:val="TableContents"/>
              <w:bidi w:val="0"/>
              <w:spacing w:before="0" w:after="283"/>
              <w:jc w:val="left"/>
              <w:rPr/>
            </w:pPr>
            <w:r>
              <w:rPr/>
              <w:t> </w:t>
            </w:r>
          </w:p>
        </w:tc>
      </w:tr>
      <w:tr>
        <w:trPr>
          <w:trHeight w:val="120" w:hRule="atLeast"/>
        </w:trPr>
        <w:tc>
          <w:tcPr>
            <w:tcW w:w="791" w:type="dxa"/>
            <w:tcBorders/>
            <w:vAlign w:val="center"/>
          </w:tcPr>
          <w:p>
            <w:pPr>
              <w:pStyle w:val="TableContents"/>
              <w:bidi w:val="0"/>
              <w:spacing w:before="0" w:after="283"/>
              <w:jc w:val="left"/>
              <w:rPr>
                <w:sz w:val="4"/>
                <w:szCs w:val="4"/>
              </w:rPr>
            </w:pPr>
            <w:r>
              <w:rPr>
                <w:sz w:val="4"/>
                <w:szCs w:val="4"/>
              </w:rPr>
            </w:r>
          </w:p>
        </w:tc>
        <w:tc>
          <w:tcPr>
            <w:tcW w:w="4186" w:type="dxa"/>
            <w:gridSpan w:val="2"/>
            <w:tcBorders/>
            <w:vAlign w:val="center"/>
          </w:tcPr>
          <w:p>
            <w:pPr>
              <w:pStyle w:val="TableContents"/>
              <w:bidi w:val="0"/>
              <w:spacing w:before="0" w:after="283"/>
              <w:jc w:val="left"/>
              <w:rPr>
                <w:sz w:val="4"/>
                <w:szCs w:val="4"/>
              </w:rPr>
            </w:pPr>
            <w:r>
              <w:rPr>
                <w:sz w:val="4"/>
                <w:szCs w:val="4"/>
              </w:rPr>
            </w:r>
          </w:p>
        </w:tc>
        <w:tc>
          <w:tcPr>
            <w:tcW w:w="953" w:type="dxa"/>
            <w:gridSpan w:val="4"/>
            <w:tcBorders/>
            <w:vAlign w:val="center"/>
          </w:tcPr>
          <w:p>
            <w:pPr>
              <w:pStyle w:val="TableContents"/>
              <w:bidi w:val="0"/>
              <w:spacing w:before="0" w:after="283"/>
              <w:jc w:val="left"/>
              <w:rPr>
                <w:sz w:val="4"/>
                <w:szCs w:val="4"/>
              </w:rPr>
            </w:pPr>
            <w:r>
              <w:rPr>
                <w:sz w:val="4"/>
                <w:szCs w:val="4"/>
              </w:rPr>
            </w:r>
          </w:p>
        </w:tc>
        <w:tc>
          <w:tcPr>
            <w:tcW w:w="1044" w:type="dxa"/>
            <w:gridSpan w:val="4"/>
            <w:tcBorders/>
            <w:vAlign w:val="center"/>
          </w:tcPr>
          <w:p>
            <w:pPr>
              <w:pStyle w:val="TableContents"/>
              <w:bidi w:val="0"/>
              <w:spacing w:before="0" w:after="283"/>
              <w:jc w:val="left"/>
              <w:rPr>
                <w:sz w:val="4"/>
                <w:szCs w:val="4"/>
              </w:rPr>
            </w:pPr>
            <w:r>
              <w:rPr>
                <w:sz w:val="4"/>
                <w:szCs w:val="4"/>
              </w:rPr>
            </w:r>
          </w:p>
        </w:tc>
        <w:tc>
          <w:tcPr>
            <w:tcW w:w="1010" w:type="dxa"/>
            <w:gridSpan w:val="4"/>
            <w:tcBorders/>
            <w:vAlign w:val="center"/>
          </w:tcPr>
          <w:p>
            <w:pPr>
              <w:pStyle w:val="TableContents"/>
              <w:bidi w:val="0"/>
              <w:spacing w:before="0" w:after="283"/>
              <w:jc w:val="left"/>
              <w:rPr>
                <w:sz w:val="4"/>
                <w:szCs w:val="4"/>
              </w:rPr>
            </w:pPr>
            <w:r>
              <w:rPr>
                <w:sz w:val="4"/>
                <w:szCs w:val="4"/>
              </w:rPr>
            </w:r>
          </w:p>
        </w:tc>
        <w:tc>
          <w:tcPr>
            <w:tcW w:w="982" w:type="dxa"/>
            <w:gridSpan w:val="4"/>
            <w:tcBorders/>
            <w:vAlign w:val="center"/>
          </w:tcPr>
          <w:p>
            <w:pPr>
              <w:pStyle w:val="TableContents"/>
              <w:bidi w:val="0"/>
              <w:spacing w:before="0" w:after="283"/>
              <w:jc w:val="left"/>
              <w:rPr>
                <w:sz w:val="4"/>
                <w:szCs w:val="4"/>
              </w:rPr>
            </w:pPr>
            <w:r>
              <w:rPr>
                <w:sz w:val="4"/>
                <w:szCs w:val="4"/>
              </w:rPr>
            </w:r>
          </w:p>
        </w:tc>
        <w:tc>
          <w:tcPr>
            <w:tcW w:w="1239" w:type="dxa"/>
            <w:gridSpan w:val="4"/>
            <w:tcBorders/>
            <w:vAlign w:val="center"/>
          </w:tcPr>
          <w:p>
            <w:pPr>
              <w:pStyle w:val="TableContents"/>
              <w:bidi w:val="0"/>
              <w:spacing w:before="0" w:after="283"/>
              <w:jc w:val="left"/>
              <w:rPr>
                <w:sz w:val="4"/>
                <w:szCs w:val="4"/>
              </w:rPr>
            </w:pPr>
            <w:r>
              <w:rPr>
                <w:sz w:val="4"/>
                <w:szCs w:val="4"/>
              </w:rPr>
            </w:r>
          </w:p>
        </w:tc>
      </w:tr>
      <w:tr>
        <w:trPr/>
        <w:tc>
          <w:tcPr>
            <w:tcW w:w="791" w:type="dxa"/>
            <w:tcBorders/>
          </w:tcPr>
          <w:p>
            <w:pPr>
              <w:pStyle w:val="TableContents"/>
              <w:bidi w:val="0"/>
              <w:spacing w:before="0" w:after="283"/>
              <w:jc w:val="center"/>
              <w:rPr/>
            </w:pPr>
            <w:r>
              <w:rPr/>
              <w:t>21.1</w:t>
            </w:r>
          </w:p>
        </w:tc>
        <w:tc>
          <w:tcPr>
            <w:tcW w:w="256" w:type="dxa"/>
            <w:tcBorders/>
            <w:vAlign w:val="bottom"/>
          </w:tcPr>
          <w:p>
            <w:pPr>
              <w:pStyle w:val="TableContents"/>
              <w:bidi w:val="0"/>
              <w:spacing w:before="0" w:after="283"/>
              <w:jc w:val="left"/>
              <w:rPr/>
            </w:pPr>
            <w:r>
              <w:rPr/>
              <w:t>  </w:t>
            </w:r>
          </w:p>
        </w:tc>
        <w:tc>
          <w:tcPr>
            <w:tcW w:w="3930" w:type="dxa"/>
            <w:tcBorders/>
          </w:tcPr>
          <w:p>
            <w:pPr>
              <w:pStyle w:val="TableContents"/>
              <w:bidi w:val="0"/>
              <w:spacing w:before="0" w:after="283"/>
              <w:jc w:val="left"/>
              <w:rPr/>
            </w:pPr>
            <w:hyperlink w:anchor="d154803dex211.htm">
              <w:r>
                <w:rPr>
                  <w:rStyle w:val="InternetLink"/>
                </w:rPr>
                <w:t xml:space="preserve">List of Subsidiaries. </w:t>
              </w:r>
            </w:hyperlink>
          </w:p>
        </w:tc>
        <w:tc>
          <w:tcPr>
            <w:tcW w:w="177"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sz w:val="4"/>
                <w:szCs w:val="4"/>
              </w:rPr>
            </w:pPr>
            <w:r>
              <w:rPr>
                <w:sz w:val="4"/>
                <w:szCs w:val="4"/>
              </w:rPr>
            </w:r>
          </w:p>
        </w:tc>
        <w:tc>
          <w:tcPr>
            <w:tcW w:w="656"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sz w:val="4"/>
                <w:szCs w:val="4"/>
              </w:rPr>
            </w:pPr>
            <w:r>
              <w:rPr>
                <w:sz w:val="4"/>
                <w:szCs w:val="4"/>
              </w:rPr>
            </w:r>
          </w:p>
        </w:tc>
        <w:tc>
          <w:tcPr>
            <w:tcW w:w="747"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pPr>
            <w:r>
              <w:rPr/>
              <w:t>  </w:t>
            </w:r>
          </w:p>
        </w:tc>
        <w:tc>
          <w:tcPr>
            <w:tcW w:w="121" w:type="dxa"/>
            <w:tcBorders/>
          </w:tcPr>
          <w:p>
            <w:pPr>
              <w:pStyle w:val="TableContents"/>
              <w:bidi w:val="0"/>
              <w:spacing w:before="0" w:after="283"/>
              <w:jc w:val="left"/>
              <w:rPr>
                <w:sz w:val="4"/>
                <w:szCs w:val="4"/>
              </w:rPr>
            </w:pPr>
            <w:r>
              <w:rPr>
                <w:sz w:val="4"/>
                <w:szCs w:val="4"/>
              </w:rPr>
            </w:r>
          </w:p>
        </w:tc>
        <w:tc>
          <w:tcPr>
            <w:tcW w:w="652"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sz w:val="4"/>
                <w:szCs w:val="4"/>
              </w:rPr>
            </w:pPr>
            <w:r>
              <w:rPr>
                <w:sz w:val="4"/>
                <w:szCs w:val="4"/>
              </w:rPr>
            </w:r>
          </w:p>
        </w:tc>
        <w:tc>
          <w:tcPr>
            <w:tcW w:w="685"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pPr>
            <w:r>
              <w:rPr/>
              <w:t>  </w:t>
            </w:r>
          </w:p>
        </w:tc>
        <w:tc>
          <w:tcPr>
            <w:tcW w:w="222" w:type="dxa"/>
            <w:tcBorders/>
          </w:tcPr>
          <w:p>
            <w:pPr>
              <w:pStyle w:val="TableContents"/>
              <w:bidi w:val="0"/>
              <w:spacing w:before="0" w:after="283"/>
              <w:jc w:val="left"/>
              <w:rPr/>
            </w:pPr>
            <w:r>
              <w:rPr/>
              <w:t> </w:t>
            </w:r>
          </w:p>
        </w:tc>
        <w:tc>
          <w:tcPr>
            <w:tcW w:w="770" w:type="dxa"/>
            <w:tcBorders/>
          </w:tcPr>
          <w:p>
            <w:pPr>
              <w:pStyle w:val="TableContents"/>
              <w:bidi w:val="0"/>
              <w:spacing w:before="0" w:after="283"/>
              <w:jc w:val="right"/>
              <w:rPr/>
            </w:pPr>
            <w:r>
              <w:rPr/>
              <w:t>X</w:t>
            </w:r>
          </w:p>
        </w:tc>
        <w:tc>
          <w:tcPr>
            <w:tcW w:w="70" w:type="dxa"/>
            <w:tcBorders/>
          </w:tcPr>
          <w:p>
            <w:pPr>
              <w:pStyle w:val="TableContents"/>
              <w:bidi w:val="0"/>
              <w:spacing w:before="0" w:after="283"/>
              <w:jc w:val="left"/>
              <w:rPr/>
            </w:pPr>
            <w:r>
              <w:rPr/>
              <w:t> </w:t>
            </w:r>
          </w:p>
        </w:tc>
      </w:tr>
      <w:tr>
        <w:trPr>
          <w:trHeight w:val="120" w:hRule="atLeast"/>
        </w:trPr>
        <w:tc>
          <w:tcPr>
            <w:tcW w:w="791" w:type="dxa"/>
            <w:tcBorders/>
            <w:vAlign w:val="center"/>
          </w:tcPr>
          <w:p>
            <w:pPr>
              <w:pStyle w:val="TableContents"/>
              <w:bidi w:val="0"/>
              <w:spacing w:before="0" w:after="283"/>
              <w:jc w:val="left"/>
              <w:rPr>
                <w:sz w:val="4"/>
                <w:szCs w:val="4"/>
              </w:rPr>
            </w:pPr>
            <w:r>
              <w:rPr>
                <w:sz w:val="4"/>
                <w:szCs w:val="4"/>
              </w:rPr>
            </w:r>
          </w:p>
        </w:tc>
        <w:tc>
          <w:tcPr>
            <w:tcW w:w="4186" w:type="dxa"/>
            <w:gridSpan w:val="2"/>
            <w:tcBorders/>
            <w:vAlign w:val="center"/>
          </w:tcPr>
          <w:p>
            <w:pPr>
              <w:pStyle w:val="TableContents"/>
              <w:bidi w:val="0"/>
              <w:spacing w:before="0" w:after="283"/>
              <w:jc w:val="left"/>
              <w:rPr>
                <w:sz w:val="4"/>
                <w:szCs w:val="4"/>
              </w:rPr>
            </w:pPr>
            <w:r>
              <w:rPr>
                <w:sz w:val="4"/>
                <w:szCs w:val="4"/>
              </w:rPr>
            </w:r>
          </w:p>
        </w:tc>
        <w:tc>
          <w:tcPr>
            <w:tcW w:w="953" w:type="dxa"/>
            <w:gridSpan w:val="4"/>
            <w:tcBorders/>
            <w:vAlign w:val="center"/>
          </w:tcPr>
          <w:p>
            <w:pPr>
              <w:pStyle w:val="TableContents"/>
              <w:bidi w:val="0"/>
              <w:spacing w:before="0" w:after="283"/>
              <w:jc w:val="left"/>
              <w:rPr>
                <w:sz w:val="4"/>
                <w:szCs w:val="4"/>
              </w:rPr>
            </w:pPr>
            <w:r>
              <w:rPr>
                <w:sz w:val="4"/>
                <w:szCs w:val="4"/>
              </w:rPr>
            </w:r>
          </w:p>
        </w:tc>
        <w:tc>
          <w:tcPr>
            <w:tcW w:w="1044" w:type="dxa"/>
            <w:gridSpan w:val="4"/>
            <w:tcBorders/>
            <w:vAlign w:val="center"/>
          </w:tcPr>
          <w:p>
            <w:pPr>
              <w:pStyle w:val="TableContents"/>
              <w:bidi w:val="0"/>
              <w:spacing w:before="0" w:after="283"/>
              <w:jc w:val="left"/>
              <w:rPr>
                <w:sz w:val="4"/>
                <w:szCs w:val="4"/>
              </w:rPr>
            </w:pPr>
            <w:r>
              <w:rPr>
                <w:sz w:val="4"/>
                <w:szCs w:val="4"/>
              </w:rPr>
            </w:r>
          </w:p>
        </w:tc>
        <w:tc>
          <w:tcPr>
            <w:tcW w:w="1010" w:type="dxa"/>
            <w:gridSpan w:val="4"/>
            <w:tcBorders/>
            <w:vAlign w:val="center"/>
          </w:tcPr>
          <w:p>
            <w:pPr>
              <w:pStyle w:val="TableContents"/>
              <w:bidi w:val="0"/>
              <w:spacing w:before="0" w:after="283"/>
              <w:jc w:val="left"/>
              <w:rPr>
                <w:sz w:val="4"/>
                <w:szCs w:val="4"/>
              </w:rPr>
            </w:pPr>
            <w:r>
              <w:rPr>
                <w:sz w:val="4"/>
                <w:szCs w:val="4"/>
              </w:rPr>
            </w:r>
          </w:p>
        </w:tc>
        <w:tc>
          <w:tcPr>
            <w:tcW w:w="982" w:type="dxa"/>
            <w:gridSpan w:val="4"/>
            <w:tcBorders/>
            <w:vAlign w:val="center"/>
          </w:tcPr>
          <w:p>
            <w:pPr>
              <w:pStyle w:val="TableContents"/>
              <w:bidi w:val="0"/>
              <w:spacing w:before="0" w:after="283"/>
              <w:jc w:val="left"/>
              <w:rPr>
                <w:sz w:val="4"/>
                <w:szCs w:val="4"/>
              </w:rPr>
            </w:pPr>
            <w:r>
              <w:rPr>
                <w:sz w:val="4"/>
                <w:szCs w:val="4"/>
              </w:rPr>
            </w:r>
          </w:p>
        </w:tc>
        <w:tc>
          <w:tcPr>
            <w:tcW w:w="1239" w:type="dxa"/>
            <w:gridSpan w:val="4"/>
            <w:tcBorders/>
            <w:vAlign w:val="center"/>
          </w:tcPr>
          <w:p>
            <w:pPr>
              <w:pStyle w:val="TableContents"/>
              <w:bidi w:val="0"/>
              <w:spacing w:before="0" w:after="283"/>
              <w:jc w:val="left"/>
              <w:rPr>
                <w:sz w:val="4"/>
                <w:szCs w:val="4"/>
              </w:rPr>
            </w:pPr>
            <w:r>
              <w:rPr>
                <w:sz w:val="4"/>
                <w:szCs w:val="4"/>
              </w:rPr>
            </w:r>
          </w:p>
        </w:tc>
      </w:tr>
      <w:tr>
        <w:trPr/>
        <w:tc>
          <w:tcPr>
            <w:tcW w:w="791" w:type="dxa"/>
            <w:tcBorders/>
          </w:tcPr>
          <w:p>
            <w:pPr>
              <w:pStyle w:val="TableContents"/>
              <w:bidi w:val="0"/>
              <w:spacing w:before="0" w:after="283"/>
              <w:jc w:val="center"/>
              <w:rPr/>
            </w:pPr>
            <w:r>
              <w:rPr/>
              <w:t>23.1</w:t>
            </w:r>
          </w:p>
        </w:tc>
        <w:tc>
          <w:tcPr>
            <w:tcW w:w="256" w:type="dxa"/>
            <w:tcBorders/>
            <w:vAlign w:val="bottom"/>
          </w:tcPr>
          <w:p>
            <w:pPr>
              <w:pStyle w:val="TableContents"/>
              <w:bidi w:val="0"/>
              <w:spacing w:before="0" w:after="283"/>
              <w:jc w:val="left"/>
              <w:rPr/>
            </w:pPr>
            <w:r>
              <w:rPr/>
              <w:t>  </w:t>
            </w:r>
          </w:p>
        </w:tc>
        <w:tc>
          <w:tcPr>
            <w:tcW w:w="3930" w:type="dxa"/>
            <w:tcBorders/>
          </w:tcPr>
          <w:p>
            <w:pPr>
              <w:pStyle w:val="TableContents"/>
              <w:bidi w:val="0"/>
              <w:spacing w:before="0" w:after="283"/>
              <w:jc w:val="left"/>
              <w:rPr/>
            </w:pPr>
            <w:hyperlink w:anchor="d154803dex231.htm">
              <w:r>
                <w:rPr>
                  <w:rStyle w:val="InternetLink"/>
                </w:rPr>
                <w:t xml:space="preserve">Consent of PricewaterhouseCoopers LLP, independent registered public accounting firm. </w:t>
              </w:r>
            </w:hyperlink>
          </w:p>
        </w:tc>
        <w:tc>
          <w:tcPr>
            <w:tcW w:w="177"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sz w:val="4"/>
                <w:szCs w:val="4"/>
              </w:rPr>
            </w:pPr>
            <w:r>
              <w:rPr>
                <w:sz w:val="4"/>
                <w:szCs w:val="4"/>
              </w:rPr>
            </w:r>
          </w:p>
        </w:tc>
        <w:tc>
          <w:tcPr>
            <w:tcW w:w="656"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sz w:val="4"/>
                <w:szCs w:val="4"/>
              </w:rPr>
            </w:pPr>
            <w:r>
              <w:rPr>
                <w:sz w:val="4"/>
                <w:szCs w:val="4"/>
              </w:rPr>
            </w:r>
          </w:p>
        </w:tc>
        <w:tc>
          <w:tcPr>
            <w:tcW w:w="747"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pPr>
            <w:r>
              <w:rPr/>
              <w:t>  </w:t>
            </w:r>
          </w:p>
        </w:tc>
        <w:tc>
          <w:tcPr>
            <w:tcW w:w="121" w:type="dxa"/>
            <w:tcBorders/>
          </w:tcPr>
          <w:p>
            <w:pPr>
              <w:pStyle w:val="TableContents"/>
              <w:bidi w:val="0"/>
              <w:spacing w:before="0" w:after="283"/>
              <w:jc w:val="left"/>
              <w:rPr>
                <w:sz w:val="4"/>
                <w:szCs w:val="4"/>
              </w:rPr>
            </w:pPr>
            <w:r>
              <w:rPr>
                <w:sz w:val="4"/>
                <w:szCs w:val="4"/>
              </w:rPr>
            </w:r>
          </w:p>
        </w:tc>
        <w:tc>
          <w:tcPr>
            <w:tcW w:w="652"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sz w:val="4"/>
                <w:szCs w:val="4"/>
              </w:rPr>
            </w:pPr>
            <w:r>
              <w:rPr>
                <w:sz w:val="4"/>
                <w:szCs w:val="4"/>
              </w:rPr>
            </w:r>
          </w:p>
        </w:tc>
        <w:tc>
          <w:tcPr>
            <w:tcW w:w="685"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pPr>
            <w:r>
              <w:rPr/>
              <w:t>  </w:t>
            </w:r>
          </w:p>
        </w:tc>
        <w:tc>
          <w:tcPr>
            <w:tcW w:w="222" w:type="dxa"/>
            <w:tcBorders/>
          </w:tcPr>
          <w:p>
            <w:pPr>
              <w:pStyle w:val="TableContents"/>
              <w:bidi w:val="0"/>
              <w:spacing w:before="0" w:after="283"/>
              <w:jc w:val="left"/>
              <w:rPr/>
            </w:pPr>
            <w:r>
              <w:rPr/>
              <w:t> </w:t>
            </w:r>
          </w:p>
        </w:tc>
        <w:tc>
          <w:tcPr>
            <w:tcW w:w="770" w:type="dxa"/>
            <w:tcBorders/>
          </w:tcPr>
          <w:p>
            <w:pPr>
              <w:pStyle w:val="TableContents"/>
              <w:bidi w:val="0"/>
              <w:spacing w:before="0" w:after="283"/>
              <w:jc w:val="right"/>
              <w:rPr/>
            </w:pPr>
            <w:r>
              <w:rPr/>
              <w:t>X</w:t>
            </w:r>
          </w:p>
        </w:tc>
        <w:tc>
          <w:tcPr>
            <w:tcW w:w="70" w:type="dxa"/>
            <w:tcBorders/>
          </w:tcPr>
          <w:p>
            <w:pPr>
              <w:pStyle w:val="TableContents"/>
              <w:bidi w:val="0"/>
              <w:spacing w:before="0" w:after="283"/>
              <w:jc w:val="left"/>
              <w:rPr/>
            </w:pPr>
            <w:r>
              <w:rPr/>
              <w:t> </w:t>
            </w:r>
          </w:p>
        </w:tc>
      </w:tr>
      <w:tr>
        <w:trPr>
          <w:trHeight w:val="120" w:hRule="atLeast"/>
        </w:trPr>
        <w:tc>
          <w:tcPr>
            <w:tcW w:w="791" w:type="dxa"/>
            <w:tcBorders/>
            <w:vAlign w:val="center"/>
          </w:tcPr>
          <w:p>
            <w:pPr>
              <w:pStyle w:val="TableContents"/>
              <w:bidi w:val="0"/>
              <w:spacing w:before="0" w:after="283"/>
              <w:jc w:val="left"/>
              <w:rPr>
                <w:sz w:val="4"/>
                <w:szCs w:val="4"/>
              </w:rPr>
            </w:pPr>
            <w:r>
              <w:rPr>
                <w:sz w:val="4"/>
                <w:szCs w:val="4"/>
              </w:rPr>
            </w:r>
          </w:p>
        </w:tc>
        <w:tc>
          <w:tcPr>
            <w:tcW w:w="4186" w:type="dxa"/>
            <w:gridSpan w:val="2"/>
            <w:tcBorders/>
            <w:vAlign w:val="center"/>
          </w:tcPr>
          <w:p>
            <w:pPr>
              <w:pStyle w:val="TableContents"/>
              <w:bidi w:val="0"/>
              <w:spacing w:before="0" w:after="283"/>
              <w:jc w:val="left"/>
              <w:rPr>
                <w:sz w:val="4"/>
                <w:szCs w:val="4"/>
              </w:rPr>
            </w:pPr>
            <w:r>
              <w:rPr>
                <w:sz w:val="4"/>
                <w:szCs w:val="4"/>
              </w:rPr>
            </w:r>
          </w:p>
        </w:tc>
        <w:tc>
          <w:tcPr>
            <w:tcW w:w="953" w:type="dxa"/>
            <w:gridSpan w:val="4"/>
            <w:tcBorders/>
            <w:vAlign w:val="center"/>
          </w:tcPr>
          <w:p>
            <w:pPr>
              <w:pStyle w:val="TableContents"/>
              <w:bidi w:val="0"/>
              <w:spacing w:before="0" w:after="283"/>
              <w:jc w:val="left"/>
              <w:rPr>
                <w:sz w:val="4"/>
                <w:szCs w:val="4"/>
              </w:rPr>
            </w:pPr>
            <w:r>
              <w:rPr>
                <w:sz w:val="4"/>
                <w:szCs w:val="4"/>
              </w:rPr>
            </w:r>
          </w:p>
        </w:tc>
        <w:tc>
          <w:tcPr>
            <w:tcW w:w="1044" w:type="dxa"/>
            <w:gridSpan w:val="4"/>
            <w:tcBorders/>
            <w:vAlign w:val="center"/>
          </w:tcPr>
          <w:p>
            <w:pPr>
              <w:pStyle w:val="TableContents"/>
              <w:bidi w:val="0"/>
              <w:spacing w:before="0" w:after="283"/>
              <w:jc w:val="left"/>
              <w:rPr>
                <w:sz w:val="4"/>
                <w:szCs w:val="4"/>
              </w:rPr>
            </w:pPr>
            <w:r>
              <w:rPr>
                <w:sz w:val="4"/>
                <w:szCs w:val="4"/>
              </w:rPr>
            </w:r>
          </w:p>
        </w:tc>
        <w:tc>
          <w:tcPr>
            <w:tcW w:w="1010" w:type="dxa"/>
            <w:gridSpan w:val="4"/>
            <w:tcBorders/>
            <w:vAlign w:val="center"/>
          </w:tcPr>
          <w:p>
            <w:pPr>
              <w:pStyle w:val="TableContents"/>
              <w:bidi w:val="0"/>
              <w:spacing w:before="0" w:after="283"/>
              <w:jc w:val="left"/>
              <w:rPr>
                <w:sz w:val="4"/>
                <w:szCs w:val="4"/>
              </w:rPr>
            </w:pPr>
            <w:r>
              <w:rPr>
                <w:sz w:val="4"/>
                <w:szCs w:val="4"/>
              </w:rPr>
            </w:r>
          </w:p>
        </w:tc>
        <w:tc>
          <w:tcPr>
            <w:tcW w:w="982" w:type="dxa"/>
            <w:gridSpan w:val="4"/>
            <w:tcBorders/>
            <w:vAlign w:val="center"/>
          </w:tcPr>
          <w:p>
            <w:pPr>
              <w:pStyle w:val="TableContents"/>
              <w:bidi w:val="0"/>
              <w:spacing w:before="0" w:after="283"/>
              <w:jc w:val="left"/>
              <w:rPr>
                <w:sz w:val="4"/>
                <w:szCs w:val="4"/>
              </w:rPr>
            </w:pPr>
            <w:r>
              <w:rPr>
                <w:sz w:val="4"/>
                <w:szCs w:val="4"/>
              </w:rPr>
            </w:r>
          </w:p>
        </w:tc>
        <w:tc>
          <w:tcPr>
            <w:tcW w:w="1239" w:type="dxa"/>
            <w:gridSpan w:val="4"/>
            <w:tcBorders/>
            <w:vAlign w:val="center"/>
          </w:tcPr>
          <w:p>
            <w:pPr>
              <w:pStyle w:val="TableContents"/>
              <w:bidi w:val="0"/>
              <w:spacing w:before="0" w:after="283"/>
              <w:jc w:val="left"/>
              <w:rPr>
                <w:sz w:val="4"/>
                <w:szCs w:val="4"/>
              </w:rPr>
            </w:pPr>
            <w:r>
              <w:rPr>
                <w:sz w:val="4"/>
                <w:szCs w:val="4"/>
              </w:rPr>
            </w:r>
          </w:p>
        </w:tc>
      </w:tr>
      <w:tr>
        <w:trPr/>
        <w:tc>
          <w:tcPr>
            <w:tcW w:w="791" w:type="dxa"/>
            <w:tcBorders/>
          </w:tcPr>
          <w:p>
            <w:pPr>
              <w:pStyle w:val="TableContents"/>
              <w:bidi w:val="0"/>
              <w:spacing w:before="0" w:after="283"/>
              <w:jc w:val="center"/>
              <w:rPr/>
            </w:pPr>
            <w:r>
              <w:rPr/>
              <w:t>23.2</w:t>
            </w:r>
          </w:p>
        </w:tc>
        <w:tc>
          <w:tcPr>
            <w:tcW w:w="256" w:type="dxa"/>
            <w:tcBorders/>
            <w:vAlign w:val="bottom"/>
          </w:tcPr>
          <w:p>
            <w:pPr>
              <w:pStyle w:val="TableContents"/>
              <w:bidi w:val="0"/>
              <w:spacing w:before="0" w:after="283"/>
              <w:jc w:val="left"/>
              <w:rPr/>
            </w:pPr>
            <w:r>
              <w:rPr/>
              <w:t>  </w:t>
            </w:r>
          </w:p>
        </w:tc>
        <w:tc>
          <w:tcPr>
            <w:tcW w:w="3930" w:type="dxa"/>
            <w:tcBorders/>
          </w:tcPr>
          <w:p>
            <w:pPr>
              <w:pStyle w:val="TableContents"/>
              <w:bidi w:val="0"/>
              <w:spacing w:before="0" w:after="283"/>
              <w:jc w:val="left"/>
              <w:rPr/>
            </w:pPr>
            <w:hyperlink w:anchor="d154803dex51.htm">
              <w:r>
                <w:rPr>
                  <w:rStyle w:val="InternetLink"/>
                </w:rPr>
                <w:t xml:space="preserve">Consent of Wachtell, Lipton, Rosen &amp; Katz (included in Exhibit 5.1). </w:t>
              </w:r>
            </w:hyperlink>
          </w:p>
        </w:tc>
        <w:tc>
          <w:tcPr>
            <w:tcW w:w="177"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sz w:val="4"/>
                <w:szCs w:val="4"/>
              </w:rPr>
            </w:pPr>
            <w:r>
              <w:rPr>
                <w:sz w:val="4"/>
                <w:szCs w:val="4"/>
              </w:rPr>
            </w:r>
          </w:p>
        </w:tc>
        <w:tc>
          <w:tcPr>
            <w:tcW w:w="656"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sz w:val="4"/>
                <w:szCs w:val="4"/>
              </w:rPr>
            </w:pPr>
            <w:r>
              <w:rPr>
                <w:sz w:val="4"/>
                <w:szCs w:val="4"/>
              </w:rPr>
            </w:r>
          </w:p>
        </w:tc>
        <w:tc>
          <w:tcPr>
            <w:tcW w:w="747"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pPr>
            <w:r>
              <w:rPr/>
              <w:t>  </w:t>
            </w:r>
          </w:p>
        </w:tc>
        <w:tc>
          <w:tcPr>
            <w:tcW w:w="121" w:type="dxa"/>
            <w:tcBorders/>
          </w:tcPr>
          <w:p>
            <w:pPr>
              <w:pStyle w:val="TableContents"/>
              <w:bidi w:val="0"/>
              <w:spacing w:before="0" w:after="283"/>
              <w:jc w:val="left"/>
              <w:rPr>
                <w:sz w:val="4"/>
                <w:szCs w:val="4"/>
              </w:rPr>
            </w:pPr>
            <w:r>
              <w:rPr>
                <w:sz w:val="4"/>
                <w:szCs w:val="4"/>
              </w:rPr>
            </w:r>
          </w:p>
        </w:tc>
        <w:tc>
          <w:tcPr>
            <w:tcW w:w="652"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sz w:val="4"/>
                <w:szCs w:val="4"/>
              </w:rPr>
            </w:pPr>
            <w:r>
              <w:rPr>
                <w:sz w:val="4"/>
                <w:szCs w:val="4"/>
              </w:rPr>
            </w:r>
          </w:p>
        </w:tc>
        <w:tc>
          <w:tcPr>
            <w:tcW w:w="685"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pPr>
            <w:r>
              <w:rPr/>
              <w:t>  </w:t>
            </w:r>
          </w:p>
        </w:tc>
        <w:tc>
          <w:tcPr>
            <w:tcW w:w="222" w:type="dxa"/>
            <w:tcBorders/>
          </w:tcPr>
          <w:p>
            <w:pPr>
              <w:pStyle w:val="TableContents"/>
              <w:bidi w:val="0"/>
              <w:spacing w:before="0" w:after="283"/>
              <w:jc w:val="left"/>
              <w:rPr/>
            </w:pPr>
            <w:r>
              <w:rPr/>
              <w:t> </w:t>
            </w:r>
          </w:p>
        </w:tc>
        <w:tc>
          <w:tcPr>
            <w:tcW w:w="770" w:type="dxa"/>
            <w:tcBorders/>
          </w:tcPr>
          <w:p>
            <w:pPr>
              <w:pStyle w:val="TableContents"/>
              <w:bidi w:val="0"/>
              <w:spacing w:before="0" w:after="283"/>
              <w:jc w:val="right"/>
              <w:rPr/>
            </w:pPr>
            <w:r>
              <w:rPr/>
              <w:t>X</w:t>
            </w:r>
          </w:p>
        </w:tc>
        <w:tc>
          <w:tcPr>
            <w:tcW w:w="70" w:type="dxa"/>
            <w:tcBorders/>
          </w:tcPr>
          <w:p>
            <w:pPr>
              <w:pStyle w:val="TableContents"/>
              <w:bidi w:val="0"/>
              <w:spacing w:before="0" w:after="283"/>
              <w:jc w:val="left"/>
              <w:rPr/>
            </w:pPr>
            <w:r>
              <w:rPr/>
              <w:t> </w:t>
            </w:r>
          </w:p>
        </w:tc>
      </w:tr>
      <w:tr>
        <w:trPr>
          <w:trHeight w:val="120" w:hRule="atLeast"/>
        </w:trPr>
        <w:tc>
          <w:tcPr>
            <w:tcW w:w="791" w:type="dxa"/>
            <w:tcBorders/>
            <w:vAlign w:val="center"/>
          </w:tcPr>
          <w:p>
            <w:pPr>
              <w:pStyle w:val="TableContents"/>
              <w:bidi w:val="0"/>
              <w:spacing w:before="0" w:after="283"/>
              <w:jc w:val="left"/>
              <w:rPr>
                <w:sz w:val="4"/>
                <w:szCs w:val="4"/>
              </w:rPr>
            </w:pPr>
            <w:r>
              <w:rPr>
                <w:sz w:val="4"/>
                <w:szCs w:val="4"/>
              </w:rPr>
            </w:r>
          </w:p>
        </w:tc>
        <w:tc>
          <w:tcPr>
            <w:tcW w:w="4186" w:type="dxa"/>
            <w:gridSpan w:val="2"/>
            <w:tcBorders/>
            <w:vAlign w:val="center"/>
          </w:tcPr>
          <w:p>
            <w:pPr>
              <w:pStyle w:val="TableContents"/>
              <w:bidi w:val="0"/>
              <w:spacing w:before="0" w:after="283"/>
              <w:jc w:val="left"/>
              <w:rPr>
                <w:sz w:val="4"/>
                <w:szCs w:val="4"/>
              </w:rPr>
            </w:pPr>
            <w:r>
              <w:rPr>
                <w:sz w:val="4"/>
                <w:szCs w:val="4"/>
              </w:rPr>
            </w:r>
          </w:p>
        </w:tc>
        <w:tc>
          <w:tcPr>
            <w:tcW w:w="953" w:type="dxa"/>
            <w:gridSpan w:val="4"/>
            <w:tcBorders/>
            <w:vAlign w:val="center"/>
          </w:tcPr>
          <w:p>
            <w:pPr>
              <w:pStyle w:val="TableContents"/>
              <w:bidi w:val="0"/>
              <w:spacing w:before="0" w:after="283"/>
              <w:jc w:val="left"/>
              <w:rPr>
                <w:sz w:val="4"/>
                <w:szCs w:val="4"/>
              </w:rPr>
            </w:pPr>
            <w:r>
              <w:rPr>
                <w:sz w:val="4"/>
                <w:szCs w:val="4"/>
              </w:rPr>
            </w:r>
          </w:p>
        </w:tc>
        <w:tc>
          <w:tcPr>
            <w:tcW w:w="1044" w:type="dxa"/>
            <w:gridSpan w:val="4"/>
            <w:tcBorders/>
            <w:vAlign w:val="center"/>
          </w:tcPr>
          <w:p>
            <w:pPr>
              <w:pStyle w:val="TableContents"/>
              <w:bidi w:val="0"/>
              <w:spacing w:before="0" w:after="283"/>
              <w:jc w:val="left"/>
              <w:rPr>
                <w:sz w:val="4"/>
                <w:szCs w:val="4"/>
              </w:rPr>
            </w:pPr>
            <w:r>
              <w:rPr>
                <w:sz w:val="4"/>
                <w:szCs w:val="4"/>
              </w:rPr>
            </w:r>
          </w:p>
        </w:tc>
        <w:tc>
          <w:tcPr>
            <w:tcW w:w="1010" w:type="dxa"/>
            <w:gridSpan w:val="4"/>
            <w:tcBorders/>
            <w:vAlign w:val="center"/>
          </w:tcPr>
          <w:p>
            <w:pPr>
              <w:pStyle w:val="TableContents"/>
              <w:bidi w:val="0"/>
              <w:spacing w:before="0" w:after="283"/>
              <w:jc w:val="left"/>
              <w:rPr>
                <w:sz w:val="4"/>
                <w:szCs w:val="4"/>
              </w:rPr>
            </w:pPr>
            <w:r>
              <w:rPr>
                <w:sz w:val="4"/>
                <w:szCs w:val="4"/>
              </w:rPr>
            </w:r>
          </w:p>
        </w:tc>
        <w:tc>
          <w:tcPr>
            <w:tcW w:w="982" w:type="dxa"/>
            <w:gridSpan w:val="4"/>
            <w:tcBorders/>
            <w:vAlign w:val="center"/>
          </w:tcPr>
          <w:p>
            <w:pPr>
              <w:pStyle w:val="TableContents"/>
              <w:bidi w:val="0"/>
              <w:spacing w:before="0" w:after="283"/>
              <w:jc w:val="left"/>
              <w:rPr>
                <w:sz w:val="4"/>
                <w:szCs w:val="4"/>
              </w:rPr>
            </w:pPr>
            <w:r>
              <w:rPr>
                <w:sz w:val="4"/>
                <w:szCs w:val="4"/>
              </w:rPr>
            </w:r>
          </w:p>
        </w:tc>
        <w:tc>
          <w:tcPr>
            <w:tcW w:w="1239" w:type="dxa"/>
            <w:gridSpan w:val="4"/>
            <w:tcBorders/>
            <w:vAlign w:val="center"/>
          </w:tcPr>
          <w:p>
            <w:pPr>
              <w:pStyle w:val="TableContents"/>
              <w:bidi w:val="0"/>
              <w:spacing w:before="0" w:after="283"/>
              <w:jc w:val="left"/>
              <w:rPr>
                <w:sz w:val="4"/>
                <w:szCs w:val="4"/>
              </w:rPr>
            </w:pPr>
            <w:r>
              <w:rPr>
                <w:sz w:val="4"/>
                <w:szCs w:val="4"/>
              </w:rPr>
            </w:r>
          </w:p>
        </w:tc>
      </w:tr>
      <w:tr>
        <w:trPr/>
        <w:tc>
          <w:tcPr>
            <w:tcW w:w="791" w:type="dxa"/>
            <w:tcBorders/>
          </w:tcPr>
          <w:p>
            <w:pPr>
              <w:pStyle w:val="TableContents"/>
              <w:bidi w:val="0"/>
              <w:spacing w:before="0" w:after="283"/>
              <w:jc w:val="center"/>
              <w:rPr/>
            </w:pPr>
            <w:r>
              <w:rPr/>
              <w:t>24.1</w:t>
            </w:r>
          </w:p>
        </w:tc>
        <w:tc>
          <w:tcPr>
            <w:tcW w:w="256" w:type="dxa"/>
            <w:tcBorders/>
            <w:vAlign w:val="bottom"/>
          </w:tcPr>
          <w:p>
            <w:pPr>
              <w:pStyle w:val="TableContents"/>
              <w:bidi w:val="0"/>
              <w:spacing w:before="0" w:after="283"/>
              <w:jc w:val="left"/>
              <w:rPr/>
            </w:pPr>
            <w:r>
              <w:rPr/>
              <w:t>  </w:t>
            </w:r>
          </w:p>
        </w:tc>
        <w:tc>
          <w:tcPr>
            <w:tcW w:w="3930" w:type="dxa"/>
            <w:tcBorders/>
          </w:tcPr>
          <w:p>
            <w:pPr>
              <w:pStyle w:val="TableContents"/>
              <w:bidi w:val="0"/>
              <w:spacing w:before="0" w:after="283"/>
              <w:jc w:val="left"/>
              <w:rPr/>
            </w:pPr>
            <w:hyperlink w:anchor="sig">
              <w:r>
                <w:rPr>
                  <w:rStyle w:val="InternetLink"/>
                </w:rPr>
                <w:t xml:space="preserve">Powers of Attorney (included on signature pages). </w:t>
              </w:r>
            </w:hyperlink>
          </w:p>
        </w:tc>
        <w:tc>
          <w:tcPr>
            <w:tcW w:w="177"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sz w:val="4"/>
                <w:szCs w:val="4"/>
              </w:rPr>
            </w:pPr>
            <w:r>
              <w:rPr>
                <w:sz w:val="4"/>
                <w:szCs w:val="4"/>
              </w:rPr>
            </w:r>
          </w:p>
        </w:tc>
        <w:tc>
          <w:tcPr>
            <w:tcW w:w="656"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sz w:val="4"/>
                <w:szCs w:val="4"/>
              </w:rPr>
            </w:pPr>
            <w:r>
              <w:rPr>
                <w:sz w:val="4"/>
                <w:szCs w:val="4"/>
              </w:rPr>
            </w:r>
          </w:p>
        </w:tc>
        <w:tc>
          <w:tcPr>
            <w:tcW w:w="747"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pPr>
            <w:r>
              <w:rPr/>
              <w:t>  </w:t>
            </w:r>
          </w:p>
        </w:tc>
        <w:tc>
          <w:tcPr>
            <w:tcW w:w="121" w:type="dxa"/>
            <w:tcBorders/>
          </w:tcPr>
          <w:p>
            <w:pPr>
              <w:pStyle w:val="TableContents"/>
              <w:bidi w:val="0"/>
              <w:spacing w:before="0" w:after="283"/>
              <w:jc w:val="left"/>
              <w:rPr>
                <w:sz w:val="4"/>
                <w:szCs w:val="4"/>
              </w:rPr>
            </w:pPr>
            <w:r>
              <w:rPr>
                <w:sz w:val="4"/>
                <w:szCs w:val="4"/>
              </w:rPr>
            </w:r>
          </w:p>
        </w:tc>
        <w:tc>
          <w:tcPr>
            <w:tcW w:w="652"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sz w:val="4"/>
                <w:szCs w:val="4"/>
              </w:rPr>
            </w:pPr>
            <w:r>
              <w:rPr>
                <w:sz w:val="4"/>
                <w:szCs w:val="4"/>
              </w:rPr>
            </w:r>
          </w:p>
        </w:tc>
        <w:tc>
          <w:tcPr>
            <w:tcW w:w="685"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pPr>
            <w:r>
              <w:rPr/>
              <w:t>  </w:t>
            </w:r>
          </w:p>
        </w:tc>
        <w:tc>
          <w:tcPr>
            <w:tcW w:w="222" w:type="dxa"/>
            <w:tcBorders/>
          </w:tcPr>
          <w:p>
            <w:pPr>
              <w:pStyle w:val="TableContents"/>
              <w:bidi w:val="0"/>
              <w:spacing w:before="0" w:after="283"/>
              <w:jc w:val="left"/>
              <w:rPr/>
            </w:pPr>
            <w:r>
              <w:rPr/>
              <w:t> </w:t>
            </w:r>
          </w:p>
        </w:tc>
        <w:tc>
          <w:tcPr>
            <w:tcW w:w="770" w:type="dxa"/>
            <w:tcBorders/>
          </w:tcPr>
          <w:p>
            <w:pPr>
              <w:pStyle w:val="TableContents"/>
              <w:bidi w:val="0"/>
              <w:spacing w:before="0" w:after="283"/>
              <w:jc w:val="right"/>
              <w:rPr/>
            </w:pPr>
            <w:r>
              <w:rPr/>
              <w:t>X</w:t>
            </w:r>
          </w:p>
        </w:tc>
        <w:tc>
          <w:tcPr>
            <w:tcW w:w="70" w:type="dxa"/>
            <w:tcBorders/>
          </w:tcPr>
          <w:p>
            <w:pPr>
              <w:pStyle w:val="TableContents"/>
              <w:bidi w:val="0"/>
              <w:spacing w:before="0" w:after="283"/>
              <w:jc w:val="left"/>
              <w:rPr/>
            </w:pPr>
            <w:r>
              <w:rPr/>
              <w:t> </w:t>
            </w:r>
          </w:p>
        </w:tc>
      </w:tr>
      <w:tr>
        <w:trPr>
          <w:trHeight w:val="120" w:hRule="atLeast"/>
        </w:trPr>
        <w:tc>
          <w:tcPr>
            <w:tcW w:w="791" w:type="dxa"/>
            <w:tcBorders/>
            <w:vAlign w:val="center"/>
          </w:tcPr>
          <w:p>
            <w:pPr>
              <w:pStyle w:val="TableContents"/>
              <w:bidi w:val="0"/>
              <w:spacing w:before="0" w:after="283"/>
              <w:jc w:val="left"/>
              <w:rPr>
                <w:sz w:val="4"/>
                <w:szCs w:val="4"/>
              </w:rPr>
            </w:pPr>
            <w:r>
              <w:rPr>
                <w:sz w:val="4"/>
                <w:szCs w:val="4"/>
              </w:rPr>
            </w:r>
          </w:p>
        </w:tc>
        <w:tc>
          <w:tcPr>
            <w:tcW w:w="4186" w:type="dxa"/>
            <w:gridSpan w:val="2"/>
            <w:tcBorders/>
            <w:vAlign w:val="center"/>
          </w:tcPr>
          <w:p>
            <w:pPr>
              <w:pStyle w:val="TableContents"/>
              <w:bidi w:val="0"/>
              <w:spacing w:before="0" w:after="283"/>
              <w:jc w:val="left"/>
              <w:rPr>
                <w:sz w:val="4"/>
                <w:szCs w:val="4"/>
              </w:rPr>
            </w:pPr>
            <w:r>
              <w:rPr>
                <w:sz w:val="4"/>
                <w:szCs w:val="4"/>
              </w:rPr>
            </w:r>
          </w:p>
        </w:tc>
        <w:tc>
          <w:tcPr>
            <w:tcW w:w="953" w:type="dxa"/>
            <w:gridSpan w:val="4"/>
            <w:tcBorders/>
            <w:vAlign w:val="center"/>
          </w:tcPr>
          <w:p>
            <w:pPr>
              <w:pStyle w:val="TableContents"/>
              <w:bidi w:val="0"/>
              <w:spacing w:before="0" w:after="283"/>
              <w:jc w:val="left"/>
              <w:rPr>
                <w:sz w:val="4"/>
                <w:szCs w:val="4"/>
              </w:rPr>
            </w:pPr>
            <w:r>
              <w:rPr>
                <w:sz w:val="4"/>
                <w:szCs w:val="4"/>
              </w:rPr>
            </w:r>
          </w:p>
        </w:tc>
        <w:tc>
          <w:tcPr>
            <w:tcW w:w="1044" w:type="dxa"/>
            <w:gridSpan w:val="4"/>
            <w:tcBorders/>
            <w:vAlign w:val="center"/>
          </w:tcPr>
          <w:p>
            <w:pPr>
              <w:pStyle w:val="TableContents"/>
              <w:bidi w:val="0"/>
              <w:spacing w:before="0" w:after="283"/>
              <w:jc w:val="left"/>
              <w:rPr>
                <w:sz w:val="4"/>
                <w:szCs w:val="4"/>
              </w:rPr>
            </w:pPr>
            <w:r>
              <w:rPr>
                <w:sz w:val="4"/>
                <w:szCs w:val="4"/>
              </w:rPr>
            </w:r>
          </w:p>
        </w:tc>
        <w:tc>
          <w:tcPr>
            <w:tcW w:w="1010" w:type="dxa"/>
            <w:gridSpan w:val="4"/>
            <w:tcBorders/>
            <w:vAlign w:val="center"/>
          </w:tcPr>
          <w:p>
            <w:pPr>
              <w:pStyle w:val="TableContents"/>
              <w:bidi w:val="0"/>
              <w:spacing w:before="0" w:after="283"/>
              <w:jc w:val="left"/>
              <w:rPr>
                <w:sz w:val="4"/>
                <w:szCs w:val="4"/>
              </w:rPr>
            </w:pPr>
            <w:r>
              <w:rPr>
                <w:sz w:val="4"/>
                <w:szCs w:val="4"/>
              </w:rPr>
            </w:r>
          </w:p>
        </w:tc>
        <w:tc>
          <w:tcPr>
            <w:tcW w:w="982" w:type="dxa"/>
            <w:gridSpan w:val="4"/>
            <w:tcBorders/>
            <w:vAlign w:val="center"/>
          </w:tcPr>
          <w:p>
            <w:pPr>
              <w:pStyle w:val="TableContents"/>
              <w:bidi w:val="0"/>
              <w:spacing w:before="0" w:after="283"/>
              <w:jc w:val="left"/>
              <w:rPr>
                <w:sz w:val="4"/>
                <w:szCs w:val="4"/>
              </w:rPr>
            </w:pPr>
            <w:r>
              <w:rPr>
                <w:sz w:val="4"/>
                <w:szCs w:val="4"/>
              </w:rPr>
            </w:r>
          </w:p>
        </w:tc>
        <w:tc>
          <w:tcPr>
            <w:tcW w:w="1239" w:type="dxa"/>
            <w:gridSpan w:val="4"/>
            <w:tcBorders/>
            <w:vAlign w:val="center"/>
          </w:tcPr>
          <w:p>
            <w:pPr>
              <w:pStyle w:val="TableContents"/>
              <w:bidi w:val="0"/>
              <w:spacing w:before="0" w:after="283"/>
              <w:jc w:val="left"/>
              <w:rPr>
                <w:sz w:val="4"/>
                <w:szCs w:val="4"/>
              </w:rPr>
            </w:pPr>
            <w:r>
              <w:rPr>
                <w:sz w:val="4"/>
                <w:szCs w:val="4"/>
              </w:rPr>
            </w:r>
          </w:p>
        </w:tc>
      </w:tr>
      <w:tr>
        <w:trPr/>
        <w:tc>
          <w:tcPr>
            <w:tcW w:w="791" w:type="dxa"/>
            <w:tcBorders/>
          </w:tcPr>
          <w:p>
            <w:pPr>
              <w:pStyle w:val="TableContents"/>
              <w:bidi w:val="0"/>
              <w:spacing w:before="0" w:after="283"/>
              <w:jc w:val="center"/>
              <w:rPr/>
            </w:pPr>
            <w:r>
              <w:rPr/>
              <w:t>25.1</w:t>
            </w:r>
          </w:p>
        </w:tc>
        <w:tc>
          <w:tcPr>
            <w:tcW w:w="256" w:type="dxa"/>
            <w:tcBorders/>
            <w:vAlign w:val="bottom"/>
          </w:tcPr>
          <w:p>
            <w:pPr>
              <w:pStyle w:val="TableContents"/>
              <w:bidi w:val="0"/>
              <w:spacing w:before="0" w:after="283"/>
              <w:jc w:val="left"/>
              <w:rPr/>
            </w:pPr>
            <w:r>
              <w:rPr/>
              <w:t>  </w:t>
            </w:r>
          </w:p>
        </w:tc>
        <w:tc>
          <w:tcPr>
            <w:tcW w:w="3930" w:type="dxa"/>
            <w:tcBorders/>
          </w:tcPr>
          <w:p>
            <w:pPr>
              <w:pStyle w:val="TableContents"/>
              <w:bidi w:val="0"/>
              <w:spacing w:before="0" w:after="283"/>
              <w:jc w:val="left"/>
              <w:rPr/>
            </w:pPr>
            <w:hyperlink w:anchor="d154803dex251.htm">
              <w:r>
                <w:rPr>
                  <w:rStyle w:val="InternetLink"/>
                </w:rPr>
                <w:t xml:space="preserve">Form T-1 Statement of Eligibility and Qualification of the Trustee under the Trust Indenture Act of 1939. </w:t>
              </w:r>
            </w:hyperlink>
          </w:p>
        </w:tc>
        <w:tc>
          <w:tcPr>
            <w:tcW w:w="177"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sz w:val="4"/>
                <w:szCs w:val="4"/>
              </w:rPr>
            </w:pPr>
            <w:r>
              <w:rPr>
                <w:sz w:val="4"/>
                <w:szCs w:val="4"/>
              </w:rPr>
            </w:r>
          </w:p>
        </w:tc>
        <w:tc>
          <w:tcPr>
            <w:tcW w:w="656"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sz w:val="4"/>
                <w:szCs w:val="4"/>
              </w:rPr>
            </w:pPr>
            <w:r>
              <w:rPr>
                <w:sz w:val="4"/>
                <w:szCs w:val="4"/>
              </w:rPr>
            </w:r>
          </w:p>
        </w:tc>
        <w:tc>
          <w:tcPr>
            <w:tcW w:w="747"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pPr>
            <w:r>
              <w:rPr/>
              <w:t>  </w:t>
            </w:r>
          </w:p>
        </w:tc>
        <w:tc>
          <w:tcPr>
            <w:tcW w:w="121" w:type="dxa"/>
            <w:tcBorders/>
          </w:tcPr>
          <w:p>
            <w:pPr>
              <w:pStyle w:val="TableContents"/>
              <w:bidi w:val="0"/>
              <w:spacing w:before="0" w:after="283"/>
              <w:jc w:val="left"/>
              <w:rPr>
                <w:sz w:val="4"/>
                <w:szCs w:val="4"/>
              </w:rPr>
            </w:pPr>
            <w:r>
              <w:rPr>
                <w:sz w:val="4"/>
                <w:szCs w:val="4"/>
              </w:rPr>
            </w:r>
          </w:p>
        </w:tc>
        <w:tc>
          <w:tcPr>
            <w:tcW w:w="652"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sz w:val="4"/>
                <w:szCs w:val="4"/>
              </w:rPr>
            </w:pPr>
            <w:r>
              <w:rPr>
                <w:sz w:val="4"/>
                <w:szCs w:val="4"/>
              </w:rPr>
            </w:r>
          </w:p>
        </w:tc>
        <w:tc>
          <w:tcPr>
            <w:tcW w:w="685"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pPr>
            <w:r>
              <w:rPr/>
              <w:t>  </w:t>
            </w:r>
          </w:p>
        </w:tc>
        <w:tc>
          <w:tcPr>
            <w:tcW w:w="222" w:type="dxa"/>
            <w:tcBorders/>
          </w:tcPr>
          <w:p>
            <w:pPr>
              <w:pStyle w:val="TableContents"/>
              <w:bidi w:val="0"/>
              <w:spacing w:before="0" w:after="283"/>
              <w:jc w:val="left"/>
              <w:rPr/>
            </w:pPr>
            <w:r>
              <w:rPr/>
              <w:t> </w:t>
            </w:r>
          </w:p>
        </w:tc>
        <w:tc>
          <w:tcPr>
            <w:tcW w:w="770" w:type="dxa"/>
            <w:tcBorders/>
          </w:tcPr>
          <w:p>
            <w:pPr>
              <w:pStyle w:val="TableContents"/>
              <w:bidi w:val="0"/>
              <w:spacing w:before="0" w:after="283"/>
              <w:jc w:val="right"/>
              <w:rPr/>
            </w:pPr>
            <w:r>
              <w:rPr/>
              <w:t>X</w:t>
            </w:r>
          </w:p>
        </w:tc>
        <w:tc>
          <w:tcPr>
            <w:tcW w:w="70" w:type="dxa"/>
            <w:tcBorders/>
          </w:tcPr>
          <w:p>
            <w:pPr>
              <w:pStyle w:val="TableContents"/>
              <w:bidi w:val="0"/>
              <w:spacing w:before="0" w:after="283"/>
              <w:jc w:val="left"/>
              <w:rPr/>
            </w:pPr>
            <w:r>
              <w:rPr/>
              <w:t> </w:t>
            </w:r>
          </w:p>
        </w:tc>
      </w:tr>
      <w:tr>
        <w:trPr>
          <w:trHeight w:val="120" w:hRule="atLeast"/>
        </w:trPr>
        <w:tc>
          <w:tcPr>
            <w:tcW w:w="791" w:type="dxa"/>
            <w:tcBorders/>
            <w:vAlign w:val="center"/>
          </w:tcPr>
          <w:p>
            <w:pPr>
              <w:pStyle w:val="TableContents"/>
              <w:bidi w:val="0"/>
              <w:spacing w:before="0" w:after="283"/>
              <w:jc w:val="left"/>
              <w:rPr>
                <w:sz w:val="4"/>
                <w:szCs w:val="4"/>
              </w:rPr>
            </w:pPr>
            <w:r>
              <w:rPr>
                <w:sz w:val="4"/>
                <w:szCs w:val="4"/>
              </w:rPr>
            </w:r>
          </w:p>
        </w:tc>
        <w:tc>
          <w:tcPr>
            <w:tcW w:w="4186" w:type="dxa"/>
            <w:gridSpan w:val="2"/>
            <w:tcBorders/>
            <w:vAlign w:val="center"/>
          </w:tcPr>
          <w:p>
            <w:pPr>
              <w:pStyle w:val="TableContents"/>
              <w:bidi w:val="0"/>
              <w:spacing w:before="0" w:after="283"/>
              <w:jc w:val="left"/>
              <w:rPr>
                <w:sz w:val="4"/>
                <w:szCs w:val="4"/>
              </w:rPr>
            </w:pPr>
            <w:r>
              <w:rPr>
                <w:sz w:val="4"/>
                <w:szCs w:val="4"/>
              </w:rPr>
            </w:r>
          </w:p>
        </w:tc>
        <w:tc>
          <w:tcPr>
            <w:tcW w:w="953" w:type="dxa"/>
            <w:gridSpan w:val="4"/>
            <w:tcBorders/>
            <w:vAlign w:val="center"/>
          </w:tcPr>
          <w:p>
            <w:pPr>
              <w:pStyle w:val="TableContents"/>
              <w:bidi w:val="0"/>
              <w:spacing w:before="0" w:after="283"/>
              <w:jc w:val="left"/>
              <w:rPr>
                <w:sz w:val="4"/>
                <w:szCs w:val="4"/>
              </w:rPr>
            </w:pPr>
            <w:r>
              <w:rPr>
                <w:sz w:val="4"/>
                <w:szCs w:val="4"/>
              </w:rPr>
            </w:r>
          </w:p>
        </w:tc>
        <w:tc>
          <w:tcPr>
            <w:tcW w:w="1044" w:type="dxa"/>
            <w:gridSpan w:val="4"/>
            <w:tcBorders/>
            <w:vAlign w:val="center"/>
          </w:tcPr>
          <w:p>
            <w:pPr>
              <w:pStyle w:val="TableContents"/>
              <w:bidi w:val="0"/>
              <w:spacing w:before="0" w:after="283"/>
              <w:jc w:val="left"/>
              <w:rPr>
                <w:sz w:val="4"/>
                <w:szCs w:val="4"/>
              </w:rPr>
            </w:pPr>
            <w:r>
              <w:rPr>
                <w:sz w:val="4"/>
                <w:szCs w:val="4"/>
              </w:rPr>
            </w:r>
          </w:p>
        </w:tc>
        <w:tc>
          <w:tcPr>
            <w:tcW w:w="1010" w:type="dxa"/>
            <w:gridSpan w:val="4"/>
            <w:tcBorders/>
            <w:vAlign w:val="center"/>
          </w:tcPr>
          <w:p>
            <w:pPr>
              <w:pStyle w:val="TableContents"/>
              <w:bidi w:val="0"/>
              <w:spacing w:before="0" w:after="283"/>
              <w:jc w:val="left"/>
              <w:rPr>
                <w:sz w:val="4"/>
                <w:szCs w:val="4"/>
              </w:rPr>
            </w:pPr>
            <w:r>
              <w:rPr>
                <w:sz w:val="4"/>
                <w:szCs w:val="4"/>
              </w:rPr>
            </w:r>
          </w:p>
        </w:tc>
        <w:tc>
          <w:tcPr>
            <w:tcW w:w="982" w:type="dxa"/>
            <w:gridSpan w:val="4"/>
            <w:tcBorders/>
            <w:vAlign w:val="center"/>
          </w:tcPr>
          <w:p>
            <w:pPr>
              <w:pStyle w:val="TableContents"/>
              <w:bidi w:val="0"/>
              <w:spacing w:before="0" w:after="283"/>
              <w:jc w:val="left"/>
              <w:rPr>
                <w:sz w:val="4"/>
                <w:szCs w:val="4"/>
              </w:rPr>
            </w:pPr>
            <w:r>
              <w:rPr>
                <w:sz w:val="4"/>
                <w:szCs w:val="4"/>
              </w:rPr>
            </w:r>
          </w:p>
        </w:tc>
        <w:tc>
          <w:tcPr>
            <w:tcW w:w="1239" w:type="dxa"/>
            <w:gridSpan w:val="4"/>
            <w:tcBorders/>
            <w:vAlign w:val="center"/>
          </w:tcPr>
          <w:p>
            <w:pPr>
              <w:pStyle w:val="TableContents"/>
              <w:bidi w:val="0"/>
              <w:spacing w:before="0" w:after="283"/>
              <w:jc w:val="left"/>
              <w:rPr>
                <w:sz w:val="4"/>
                <w:szCs w:val="4"/>
              </w:rPr>
            </w:pPr>
            <w:r>
              <w:rPr>
                <w:sz w:val="4"/>
                <w:szCs w:val="4"/>
              </w:rPr>
            </w:r>
          </w:p>
        </w:tc>
      </w:tr>
      <w:tr>
        <w:trPr/>
        <w:tc>
          <w:tcPr>
            <w:tcW w:w="791" w:type="dxa"/>
            <w:tcBorders/>
          </w:tcPr>
          <w:p>
            <w:pPr>
              <w:pStyle w:val="TableContents"/>
              <w:bidi w:val="0"/>
              <w:spacing w:before="0" w:after="283"/>
              <w:jc w:val="center"/>
              <w:rPr/>
            </w:pPr>
            <w:r>
              <w:rPr/>
              <w:t>99.1</w:t>
            </w:r>
          </w:p>
        </w:tc>
        <w:tc>
          <w:tcPr>
            <w:tcW w:w="256" w:type="dxa"/>
            <w:tcBorders/>
            <w:vAlign w:val="bottom"/>
          </w:tcPr>
          <w:p>
            <w:pPr>
              <w:pStyle w:val="TableContents"/>
              <w:bidi w:val="0"/>
              <w:spacing w:before="0" w:after="283"/>
              <w:jc w:val="left"/>
              <w:rPr/>
            </w:pPr>
            <w:r>
              <w:rPr/>
              <w:t>  </w:t>
            </w:r>
          </w:p>
        </w:tc>
        <w:tc>
          <w:tcPr>
            <w:tcW w:w="3930" w:type="dxa"/>
            <w:tcBorders/>
          </w:tcPr>
          <w:p>
            <w:pPr>
              <w:pStyle w:val="TableContents"/>
              <w:bidi w:val="0"/>
              <w:spacing w:before="0" w:after="283"/>
              <w:jc w:val="left"/>
              <w:rPr/>
            </w:pPr>
            <w:hyperlink w:anchor="d154803dex991.htm">
              <w:r>
                <w:rPr>
                  <w:rStyle w:val="InternetLink"/>
                </w:rPr>
                <w:t xml:space="preserve">Form of Letter to DTC Participants Regarding the Exchange Offer. </w:t>
              </w:r>
            </w:hyperlink>
          </w:p>
        </w:tc>
        <w:tc>
          <w:tcPr>
            <w:tcW w:w="177"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sz w:val="4"/>
                <w:szCs w:val="4"/>
              </w:rPr>
            </w:pPr>
            <w:r>
              <w:rPr>
                <w:sz w:val="4"/>
                <w:szCs w:val="4"/>
              </w:rPr>
            </w:r>
          </w:p>
        </w:tc>
        <w:tc>
          <w:tcPr>
            <w:tcW w:w="656"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sz w:val="4"/>
                <w:szCs w:val="4"/>
              </w:rPr>
            </w:pPr>
            <w:r>
              <w:rPr>
                <w:sz w:val="4"/>
                <w:szCs w:val="4"/>
              </w:rPr>
            </w:r>
          </w:p>
        </w:tc>
        <w:tc>
          <w:tcPr>
            <w:tcW w:w="747"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pPr>
            <w:r>
              <w:rPr/>
              <w:t>  </w:t>
            </w:r>
          </w:p>
        </w:tc>
        <w:tc>
          <w:tcPr>
            <w:tcW w:w="121" w:type="dxa"/>
            <w:tcBorders/>
          </w:tcPr>
          <w:p>
            <w:pPr>
              <w:pStyle w:val="TableContents"/>
              <w:bidi w:val="0"/>
              <w:spacing w:before="0" w:after="283"/>
              <w:jc w:val="left"/>
              <w:rPr>
                <w:sz w:val="4"/>
                <w:szCs w:val="4"/>
              </w:rPr>
            </w:pPr>
            <w:r>
              <w:rPr>
                <w:sz w:val="4"/>
                <w:szCs w:val="4"/>
              </w:rPr>
            </w:r>
          </w:p>
        </w:tc>
        <w:tc>
          <w:tcPr>
            <w:tcW w:w="652"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sz w:val="4"/>
                <w:szCs w:val="4"/>
              </w:rPr>
            </w:pPr>
            <w:r>
              <w:rPr>
                <w:sz w:val="4"/>
                <w:szCs w:val="4"/>
              </w:rPr>
            </w:r>
          </w:p>
        </w:tc>
        <w:tc>
          <w:tcPr>
            <w:tcW w:w="685"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pPr>
            <w:r>
              <w:rPr/>
              <w:t>  </w:t>
            </w:r>
          </w:p>
        </w:tc>
        <w:tc>
          <w:tcPr>
            <w:tcW w:w="222" w:type="dxa"/>
            <w:tcBorders/>
          </w:tcPr>
          <w:p>
            <w:pPr>
              <w:pStyle w:val="TableContents"/>
              <w:bidi w:val="0"/>
              <w:spacing w:before="0" w:after="283"/>
              <w:jc w:val="left"/>
              <w:rPr/>
            </w:pPr>
            <w:r>
              <w:rPr/>
              <w:t> </w:t>
            </w:r>
          </w:p>
        </w:tc>
        <w:tc>
          <w:tcPr>
            <w:tcW w:w="770" w:type="dxa"/>
            <w:tcBorders/>
          </w:tcPr>
          <w:p>
            <w:pPr>
              <w:pStyle w:val="TableContents"/>
              <w:bidi w:val="0"/>
              <w:spacing w:before="0" w:after="283"/>
              <w:jc w:val="right"/>
              <w:rPr/>
            </w:pPr>
            <w:r>
              <w:rPr/>
              <w:t>X</w:t>
            </w:r>
          </w:p>
        </w:tc>
        <w:tc>
          <w:tcPr>
            <w:tcW w:w="70" w:type="dxa"/>
            <w:tcBorders/>
          </w:tcPr>
          <w:p>
            <w:pPr>
              <w:pStyle w:val="TableContents"/>
              <w:bidi w:val="0"/>
              <w:spacing w:before="0" w:after="283"/>
              <w:jc w:val="left"/>
              <w:rPr/>
            </w:pPr>
            <w:r>
              <w:rPr/>
              <w:t> </w:t>
            </w:r>
          </w:p>
        </w:tc>
      </w:tr>
      <w:tr>
        <w:trPr>
          <w:trHeight w:val="120" w:hRule="atLeast"/>
        </w:trPr>
        <w:tc>
          <w:tcPr>
            <w:tcW w:w="791" w:type="dxa"/>
            <w:tcBorders/>
            <w:vAlign w:val="center"/>
          </w:tcPr>
          <w:p>
            <w:pPr>
              <w:pStyle w:val="TableContents"/>
              <w:bidi w:val="0"/>
              <w:spacing w:before="0" w:after="283"/>
              <w:jc w:val="left"/>
              <w:rPr>
                <w:sz w:val="4"/>
                <w:szCs w:val="4"/>
              </w:rPr>
            </w:pPr>
            <w:r>
              <w:rPr>
                <w:sz w:val="4"/>
                <w:szCs w:val="4"/>
              </w:rPr>
            </w:r>
          </w:p>
        </w:tc>
        <w:tc>
          <w:tcPr>
            <w:tcW w:w="4186" w:type="dxa"/>
            <w:gridSpan w:val="2"/>
            <w:tcBorders/>
            <w:vAlign w:val="center"/>
          </w:tcPr>
          <w:p>
            <w:pPr>
              <w:pStyle w:val="TableContents"/>
              <w:bidi w:val="0"/>
              <w:spacing w:before="0" w:after="283"/>
              <w:jc w:val="left"/>
              <w:rPr>
                <w:sz w:val="4"/>
                <w:szCs w:val="4"/>
              </w:rPr>
            </w:pPr>
            <w:r>
              <w:rPr>
                <w:sz w:val="4"/>
                <w:szCs w:val="4"/>
              </w:rPr>
            </w:r>
          </w:p>
        </w:tc>
        <w:tc>
          <w:tcPr>
            <w:tcW w:w="953" w:type="dxa"/>
            <w:gridSpan w:val="4"/>
            <w:tcBorders/>
            <w:vAlign w:val="center"/>
          </w:tcPr>
          <w:p>
            <w:pPr>
              <w:pStyle w:val="TableContents"/>
              <w:bidi w:val="0"/>
              <w:spacing w:before="0" w:after="283"/>
              <w:jc w:val="left"/>
              <w:rPr>
                <w:sz w:val="4"/>
                <w:szCs w:val="4"/>
              </w:rPr>
            </w:pPr>
            <w:r>
              <w:rPr>
                <w:sz w:val="4"/>
                <w:szCs w:val="4"/>
              </w:rPr>
            </w:r>
          </w:p>
        </w:tc>
        <w:tc>
          <w:tcPr>
            <w:tcW w:w="1044" w:type="dxa"/>
            <w:gridSpan w:val="4"/>
            <w:tcBorders/>
            <w:vAlign w:val="center"/>
          </w:tcPr>
          <w:p>
            <w:pPr>
              <w:pStyle w:val="TableContents"/>
              <w:bidi w:val="0"/>
              <w:spacing w:before="0" w:after="283"/>
              <w:jc w:val="left"/>
              <w:rPr>
                <w:sz w:val="4"/>
                <w:szCs w:val="4"/>
              </w:rPr>
            </w:pPr>
            <w:r>
              <w:rPr>
                <w:sz w:val="4"/>
                <w:szCs w:val="4"/>
              </w:rPr>
            </w:r>
          </w:p>
        </w:tc>
        <w:tc>
          <w:tcPr>
            <w:tcW w:w="1010" w:type="dxa"/>
            <w:gridSpan w:val="4"/>
            <w:tcBorders/>
            <w:vAlign w:val="center"/>
          </w:tcPr>
          <w:p>
            <w:pPr>
              <w:pStyle w:val="TableContents"/>
              <w:bidi w:val="0"/>
              <w:spacing w:before="0" w:after="283"/>
              <w:jc w:val="left"/>
              <w:rPr>
                <w:sz w:val="4"/>
                <w:szCs w:val="4"/>
              </w:rPr>
            </w:pPr>
            <w:r>
              <w:rPr>
                <w:sz w:val="4"/>
                <w:szCs w:val="4"/>
              </w:rPr>
            </w:r>
          </w:p>
        </w:tc>
        <w:tc>
          <w:tcPr>
            <w:tcW w:w="982" w:type="dxa"/>
            <w:gridSpan w:val="4"/>
            <w:tcBorders/>
            <w:vAlign w:val="center"/>
          </w:tcPr>
          <w:p>
            <w:pPr>
              <w:pStyle w:val="TableContents"/>
              <w:bidi w:val="0"/>
              <w:spacing w:before="0" w:after="283"/>
              <w:jc w:val="left"/>
              <w:rPr>
                <w:sz w:val="4"/>
                <w:szCs w:val="4"/>
              </w:rPr>
            </w:pPr>
            <w:r>
              <w:rPr>
                <w:sz w:val="4"/>
                <w:szCs w:val="4"/>
              </w:rPr>
            </w:r>
          </w:p>
        </w:tc>
        <w:tc>
          <w:tcPr>
            <w:tcW w:w="1239" w:type="dxa"/>
            <w:gridSpan w:val="4"/>
            <w:tcBorders/>
            <w:vAlign w:val="center"/>
          </w:tcPr>
          <w:p>
            <w:pPr>
              <w:pStyle w:val="TableContents"/>
              <w:bidi w:val="0"/>
              <w:spacing w:before="0" w:after="283"/>
              <w:jc w:val="left"/>
              <w:rPr>
                <w:sz w:val="4"/>
                <w:szCs w:val="4"/>
              </w:rPr>
            </w:pPr>
            <w:r>
              <w:rPr>
                <w:sz w:val="4"/>
                <w:szCs w:val="4"/>
              </w:rPr>
            </w:r>
          </w:p>
        </w:tc>
      </w:tr>
      <w:tr>
        <w:trPr/>
        <w:tc>
          <w:tcPr>
            <w:tcW w:w="791" w:type="dxa"/>
            <w:tcBorders/>
          </w:tcPr>
          <w:p>
            <w:pPr>
              <w:pStyle w:val="TableContents"/>
              <w:bidi w:val="0"/>
              <w:spacing w:before="0" w:after="283"/>
              <w:jc w:val="center"/>
              <w:rPr/>
            </w:pPr>
            <w:r>
              <w:rPr/>
              <w:t>99.2</w:t>
            </w:r>
          </w:p>
        </w:tc>
        <w:tc>
          <w:tcPr>
            <w:tcW w:w="256" w:type="dxa"/>
            <w:tcBorders/>
            <w:vAlign w:val="bottom"/>
          </w:tcPr>
          <w:p>
            <w:pPr>
              <w:pStyle w:val="TableContents"/>
              <w:bidi w:val="0"/>
              <w:spacing w:before="0" w:after="283"/>
              <w:jc w:val="left"/>
              <w:rPr/>
            </w:pPr>
            <w:r>
              <w:rPr/>
              <w:t>  </w:t>
            </w:r>
          </w:p>
        </w:tc>
        <w:tc>
          <w:tcPr>
            <w:tcW w:w="3930" w:type="dxa"/>
            <w:tcBorders/>
          </w:tcPr>
          <w:p>
            <w:pPr>
              <w:pStyle w:val="TableContents"/>
              <w:bidi w:val="0"/>
              <w:spacing w:before="0" w:after="283"/>
              <w:jc w:val="left"/>
              <w:rPr/>
            </w:pPr>
            <w:hyperlink w:anchor="d154803dex992.htm">
              <w:r>
                <w:rPr>
                  <w:rStyle w:val="InternetLink"/>
                </w:rPr>
                <w:t xml:space="preserve">Form of Letter to Beneficial Holders Regarding the Exchange Offer. </w:t>
              </w:r>
            </w:hyperlink>
          </w:p>
        </w:tc>
        <w:tc>
          <w:tcPr>
            <w:tcW w:w="177"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sz w:val="4"/>
                <w:szCs w:val="4"/>
              </w:rPr>
            </w:pPr>
            <w:r>
              <w:rPr>
                <w:sz w:val="4"/>
                <w:szCs w:val="4"/>
              </w:rPr>
            </w:r>
          </w:p>
        </w:tc>
        <w:tc>
          <w:tcPr>
            <w:tcW w:w="656"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sz w:val="4"/>
                <w:szCs w:val="4"/>
              </w:rPr>
            </w:pPr>
            <w:r>
              <w:rPr>
                <w:sz w:val="4"/>
                <w:szCs w:val="4"/>
              </w:rPr>
            </w:r>
          </w:p>
        </w:tc>
        <w:tc>
          <w:tcPr>
            <w:tcW w:w="747"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pPr>
            <w:r>
              <w:rPr/>
              <w:t>  </w:t>
            </w:r>
          </w:p>
        </w:tc>
        <w:tc>
          <w:tcPr>
            <w:tcW w:w="121" w:type="dxa"/>
            <w:tcBorders/>
          </w:tcPr>
          <w:p>
            <w:pPr>
              <w:pStyle w:val="TableContents"/>
              <w:bidi w:val="0"/>
              <w:spacing w:before="0" w:after="283"/>
              <w:jc w:val="left"/>
              <w:rPr>
                <w:sz w:val="4"/>
                <w:szCs w:val="4"/>
              </w:rPr>
            </w:pPr>
            <w:r>
              <w:rPr>
                <w:sz w:val="4"/>
                <w:szCs w:val="4"/>
              </w:rPr>
            </w:r>
          </w:p>
        </w:tc>
        <w:tc>
          <w:tcPr>
            <w:tcW w:w="652"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sz w:val="4"/>
                <w:szCs w:val="4"/>
              </w:rPr>
            </w:pPr>
            <w:r>
              <w:rPr>
                <w:sz w:val="4"/>
                <w:szCs w:val="4"/>
              </w:rPr>
            </w:r>
          </w:p>
        </w:tc>
        <w:tc>
          <w:tcPr>
            <w:tcW w:w="685"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pPr>
            <w:r>
              <w:rPr/>
              <w:t>  </w:t>
            </w:r>
          </w:p>
        </w:tc>
        <w:tc>
          <w:tcPr>
            <w:tcW w:w="222" w:type="dxa"/>
            <w:tcBorders/>
          </w:tcPr>
          <w:p>
            <w:pPr>
              <w:pStyle w:val="TableContents"/>
              <w:bidi w:val="0"/>
              <w:spacing w:before="0" w:after="283"/>
              <w:jc w:val="left"/>
              <w:rPr/>
            </w:pPr>
            <w:r>
              <w:rPr/>
              <w:t> </w:t>
            </w:r>
          </w:p>
        </w:tc>
        <w:tc>
          <w:tcPr>
            <w:tcW w:w="770" w:type="dxa"/>
            <w:tcBorders/>
          </w:tcPr>
          <w:p>
            <w:pPr>
              <w:pStyle w:val="TableContents"/>
              <w:bidi w:val="0"/>
              <w:spacing w:before="0" w:after="283"/>
              <w:jc w:val="right"/>
              <w:rPr/>
            </w:pPr>
            <w:r>
              <w:rPr/>
              <w:t>X</w:t>
            </w:r>
          </w:p>
        </w:tc>
        <w:tc>
          <w:tcPr>
            <w:tcW w:w="70" w:type="dxa"/>
            <w:tcBorders/>
          </w:tcPr>
          <w:p>
            <w:pPr>
              <w:pStyle w:val="TableContents"/>
              <w:bidi w:val="0"/>
              <w:spacing w:before="0" w:after="283"/>
              <w:jc w:val="left"/>
              <w:rPr/>
            </w:pPr>
            <w:r>
              <w:rPr/>
              <w:t> </w:t>
            </w:r>
          </w:p>
        </w:tc>
      </w:tr>
      <w:tr>
        <w:trPr>
          <w:trHeight w:val="120" w:hRule="atLeast"/>
        </w:trPr>
        <w:tc>
          <w:tcPr>
            <w:tcW w:w="791" w:type="dxa"/>
            <w:tcBorders/>
            <w:vAlign w:val="center"/>
          </w:tcPr>
          <w:p>
            <w:pPr>
              <w:pStyle w:val="TableContents"/>
              <w:bidi w:val="0"/>
              <w:spacing w:before="0" w:after="283"/>
              <w:jc w:val="left"/>
              <w:rPr>
                <w:sz w:val="4"/>
                <w:szCs w:val="4"/>
              </w:rPr>
            </w:pPr>
            <w:r>
              <w:rPr>
                <w:sz w:val="4"/>
                <w:szCs w:val="4"/>
              </w:rPr>
            </w:r>
          </w:p>
        </w:tc>
        <w:tc>
          <w:tcPr>
            <w:tcW w:w="4186" w:type="dxa"/>
            <w:gridSpan w:val="2"/>
            <w:tcBorders/>
            <w:vAlign w:val="center"/>
          </w:tcPr>
          <w:p>
            <w:pPr>
              <w:pStyle w:val="TableContents"/>
              <w:bidi w:val="0"/>
              <w:spacing w:before="0" w:after="283"/>
              <w:jc w:val="left"/>
              <w:rPr>
                <w:sz w:val="4"/>
                <w:szCs w:val="4"/>
              </w:rPr>
            </w:pPr>
            <w:r>
              <w:rPr>
                <w:sz w:val="4"/>
                <w:szCs w:val="4"/>
              </w:rPr>
            </w:r>
          </w:p>
        </w:tc>
        <w:tc>
          <w:tcPr>
            <w:tcW w:w="953" w:type="dxa"/>
            <w:gridSpan w:val="4"/>
            <w:tcBorders/>
            <w:vAlign w:val="center"/>
          </w:tcPr>
          <w:p>
            <w:pPr>
              <w:pStyle w:val="TableContents"/>
              <w:bidi w:val="0"/>
              <w:spacing w:before="0" w:after="283"/>
              <w:jc w:val="left"/>
              <w:rPr>
                <w:sz w:val="4"/>
                <w:szCs w:val="4"/>
              </w:rPr>
            </w:pPr>
            <w:r>
              <w:rPr>
                <w:sz w:val="4"/>
                <w:szCs w:val="4"/>
              </w:rPr>
            </w:r>
          </w:p>
        </w:tc>
        <w:tc>
          <w:tcPr>
            <w:tcW w:w="1044" w:type="dxa"/>
            <w:gridSpan w:val="4"/>
            <w:tcBorders/>
            <w:vAlign w:val="center"/>
          </w:tcPr>
          <w:p>
            <w:pPr>
              <w:pStyle w:val="TableContents"/>
              <w:bidi w:val="0"/>
              <w:spacing w:before="0" w:after="283"/>
              <w:jc w:val="left"/>
              <w:rPr>
                <w:sz w:val="4"/>
                <w:szCs w:val="4"/>
              </w:rPr>
            </w:pPr>
            <w:r>
              <w:rPr>
                <w:sz w:val="4"/>
                <w:szCs w:val="4"/>
              </w:rPr>
            </w:r>
          </w:p>
        </w:tc>
        <w:tc>
          <w:tcPr>
            <w:tcW w:w="1010" w:type="dxa"/>
            <w:gridSpan w:val="4"/>
            <w:tcBorders/>
            <w:vAlign w:val="center"/>
          </w:tcPr>
          <w:p>
            <w:pPr>
              <w:pStyle w:val="TableContents"/>
              <w:bidi w:val="0"/>
              <w:spacing w:before="0" w:after="283"/>
              <w:jc w:val="left"/>
              <w:rPr>
                <w:sz w:val="4"/>
                <w:szCs w:val="4"/>
              </w:rPr>
            </w:pPr>
            <w:r>
              <w:rPr>
                <w:sz w:val="4"/>
                <w:szCs w:val="4"/>
              </w:rPr>
            </w:r>
          </w:p>
        </w:tc>
        <w:tc>
          <w:tcPr>
            <w:tcW w:w="982" w:type="dxa"/>
            <w:gridSpan w:val="4"/>
            <w:tcBorders/>
            <w:vAlign w:val="center"/>
          </w:tcPr>
          <w:p>
            <w:pPr>
              <w:pStyle w:val="TableContents"/>
              <w:bidi w:val="0"/>
              <w:spacing w:before="0" w:after="283"/>
              <w:jc w:val="left"/>
              <w:rPr>
                <w:sz w:val="4"/>
                <w:szCs w:val="4"/>
              </w:rPr>
            </w:pPr>
            <w:r>
              <w:rPr>
                <w:sz w:val="4"/>
                <w:szCs w:val="4"/>
              </w:rPr>
            </w:r>
          </w:p>
        </w:tc>
        <w:tc>
          <w:tcPr>
            <w:tcW w:w="1239" w:type="dxa"/>
            <w:gridSpan w:val="4"/>
            <w:tcBorders/>
            <w:vAlign w:val="center"/>
          </w:tcPr>
          <w:p>
            <w:pPr>
              <w:pStyle w:val="TableContents"/>
              <w:bidi w:val="0"/>
              <w:spacing w:before="0" w:after="283"/>
              <w:jc w:val="left"/>
              <w:rPr>
                <w:sz w:val="4"/>
                <w:szCs w:val="4"/>
              </w:rPr>
            </w:pPr>
            <w:r>
              <w:rPr>
                <w:sz w:val="4"/>
                <w:szCs w:val="4"/>
              </w:rPr>
            </w:r>
          </w:p>
        </w:tc>
      </w:tr>
      <w:tr>
        <w:trPr/>
        <w:tc>
          <w:tcPr>
            <w:tcW w:w="791" w:type="dxa"/>
            <w:tcBorders/>
          </w:tcPr>
          <w:p>
            <w:pPr>
              <w:pStyle w:val="TableContents"/>
              <w:bidi w:val="0"/>
              <w:spacing w:before="0" w:after="283"/>
              <w:jc w:val="center"/>
              <w:rPr/>
            </w:pPr>
            <w:r>
              <w:rPr/>
              <w:t>107</w:t>
            </w:r>
          </w:p>
        </w:tc>
        <w:tc>
          <w:tcPr>
            <w:tcW w:w="256" w:type="dxa"/>
            <w:tcBorders/>
            <w:vAlign w:val="bottom"/>
          </w:tcPr>
          <w:p>
            <w:pPr>
              <w:pStyle w:val="TableContents"/>
              <w:bidi w:val="0"/>
              <w:spacing w:before="0" w:after="283"/>
              <w:jc w:val="left"/>
              <w:rPr/>
            </w:pPr>
            <w:r>
              <w:rPr/>
              <w:t>  </w:t>
            </w:r>
          </w:p>
        </w:tc>
        <w:tc>
          <w:tcPr>
            <w:tcW w:w="3930" w:type="dxa"/>
            <w:tcBorders/>
          </w:tcPr>
          <w:p>
            <w:pPr>
              <w:pStyle w:val="TableContents"/>
              <w:bidi w:val="0"/>
              <w:spacing w:before="0" w:after="283"/>
              <w:jc w:val="left"/>
              <w:rPr/>
            </w:pPr>
            <w:hyperlink w:anchor="d154803dexfilingfees.htm">
              <w:r>
                <w:rPr>
                  <w:rStyle w:val="InternetLink"/>
                </w:rPr>
                <w:t xml:space="preserve">Filing Fee Table. </w:t>
              </w:r>
            </w:hyperlink>
          </w:p>
        </w:tc>
        <w:tc>
          <w:tcPr>
            <w:tcW w:w="177"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sz w:val="4"/>
                <w:szCs w:val="4"/>
              </w:rPr>
            </w:pPr>
            <w:r>
              <w:rPr>
                <w:sz w:val="4"/>
                <w:szCs w:val="4"/>
              </w:rPr>
            </w:r>
          </w:p>
        </w:tc>
        <w:tc>
          <w:tcPr>
            <w:tcW w:w="656"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sz w:val="4"/>
                <w:szCs w:val="4"/>
              </w:rPr>
            </w:pPr>
            <w:r>
              <w:rPr>
                <w:sz w:val="4"/>
                <w:szCs w:val="4"/>
              </w:rPr>
            </w:r>
          </w:p>
        </w:tc>
        <w:tc>
          <w:tcPr>
            <w:tcW w:w="747"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pPr>
            <w:r>
              <w:rPr/>
              <w:t>  </w:t>
            </w:r>
          </w:p>
        </w:tc>
        <w:tc>
          <w:tcPr>
            <w:tcW w:w="121" w:type="dxa"/>
            <w:tcBorders/>
          </w:tcPr>
          <w:p>
            <w:pPr>
              <w:pStyle w:val="TableContents"/>
              <w:bidi w:val="0"/>
              <w:spacing w:before="0" w:after="283"/>
              <w:jc w:val="left"/>
              <w:rPr>
                <w:sz w:val="4"/>
                <w:szCs w:val="4"/>
              </w:rPr>
            </w:pPr>
            <w:r>
              <w:rPr>
                <w:sz w:val="4"/>
                <w:szCs w:val="4"/>
              </w:rPr>
            </w:r>
          </w:p>
        </w:tc>
        <w:tc>
          <w:tcPr>
            <w:tcW w:w="652"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sz w:val="4"/>
                <w:szCs w:val="4"/>
              </w:rPr>
            </w:pPr>
            <w:r>
              <w:rPr>
                <w:sz w:val="4"/>
                <w:szCs w:val="4"/>
              </w:rPr>
            </w:r>
          </w:p>
        </w:tc>
        <w:tc>
          <w:tcPr>
            <w:tcW w:w="685"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pPr>
            <w:r>
              <w:rPr/>
              <w:t>  </w:t>
            </w:r>
          </w:p>
        </w:tc>
        <w:tc>
          <w:tcPr>
            <w:tcW w:w="222" w:type="dxa"/>
            <w:tcBorders/>
          </w:tcPr>
          <w:p>
            <w:pPr>
              <w:pStyle w:val="TableContents"/>
              <w:bidi w:val="0"/>
              <w:spacing w:before="0" w:after="283"/>
              <w:jc w:val="left"/>
              <w:rPr/>
            </w:pPr>
            <w:r>
              <w:rPr/>
              <w:t> </w:t>
            </w:r>
          </w:p>
        </w:tc>
        <w:tc>
          <w:tcPr>
            <w:tcW w:w="770" w:type="dxa"/>
            <w:tcBorders/>
          </w:tcPr>
          <w:p>
            <w:pPr>
              <w:pStyle w:val="TableContents"/>
              <w:bidi w:val="0"/>
              <w:spacing w:before="0" w:after="283"/>
              <w:jc w:val="right"/>
              <w:rPr/>
            </w:pPr>
            <w:r>
              <w:rPr/>
              <w:t>X</w:t>
            </w:r>
          </w:p>
        </w:tc>
        <w:tc>
          <w:tcPr>
            <w:tcW w:w="70" w:type="dxa"/>
            <w:tcBorders/>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7" w:name="sig"/>
      <w:bookmarkEnd w:id="17"/>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the registrant has duly caused this registration statement to be signed on its behalf by the undersigned, thereunto duly authorized, in the City of Palo Alto, State of California, on the 10th day of September,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6"/>
        <w:gridCol w:w="60"/>
        <w:gridCol w:w="3626"/>
      </w:tblGrid>
      <w:tr>
        <w:trPr/>
        <w:tc>
          <w:tcPr>
            <w:tcW w:w="39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BROADCOM INC.</w:t>
            </w:r>
          </w:p>
        </w:tc>
      </w:tr>
      <w:tr>
        <w:trPr>
          <w:trHeight w:val="240" w:hRule="atLeast"/>
        </w:trPr>
        <w:tc>
          <w:tcPr>
            <w:tcW w:w="396" w:type="dxa"/>
            <w:tcBorders/>
            <w:vAlign w:val="center"/>
          </w:tcPr>
          <w:p>
            <w:pPr>
              <w:pStyle w:val="TableContents"/>
              <w:bidi w:val="0"/>
              <w:spacing w:before="0" w:after="283"/>
              <w:jc w:val="left"/>
              <w:rPr>
                <w:sz w:val="4"/>
                <w:szCs w:val="4"/>
              </w:rPr>
            </w:pPr>
            <w:r>
              <w:rPr>
                <w:sz w:val="4"/>
                <w:szCs w:val="4"/>
              </w:rPr>
            </w:r>
          </w:p>
        </w:tc>
        <w:tc>
          <w:tcPr>
            <w:tcW w:w="3686" w:type="dxa"/>
            <w:gridSpan w:val="2"/>
            <w:tcBorders/>
            <w:vAlign w:val="center"/>
          </w:tcPr>
          <w:p>
            <w:pPr>
              <w:pStyle w:val="TableContents"/>
              <w:bidi w:val="0"/>
              <w:spacing w:before="0" w:after="283"/>
              <w:jc w:val="left"/>
              <w:rPr>
                <w:sz w:val="4"/>
                <w:szCs w:val="4"/>
              </w:rPr>
            </w:pPr>
            <w:r>
              <w:rPr>
                <w:sz w:val="4"/>
                <w:szCs w:val="4"/>
              </w:rPr>
            </w:r>
          </w:p>
        </w:tc>
      </w:tr>
      <w:tr>
        <w:trPr/>
        <w:tc>
          <w:tcPr>
            <w:tcW w:w="396"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6" w:type="dxa"/>
            <w:tcBorders>
              <w:bottom w:val="single" w:sz="2" w:space="0" w:color="000000"/>
            </w:tcBorders>
            <w:tcMar>
              <w:bottom w:w="28" w:type="dxa"/>
            </w:tcMar>
          </w:tcPr>
          <w:p>
            <w:pPr>
              <w:pStyle w:val="TableContents"/>
              <w:bidi w:val="0"/>
              <w:spacing w:before="0" w:after="283"/>
              <w:jc w:val="left"/>
              <w:rPr/>
            </w:pPr>
            <w:r>
              <w:rPr/>
              <w:t>/s/ Amie Thuener</w:t>
            </w:r>
          </w:p>
        </w:tc>
      </w:tr>
      <w:tr>
        <w:trPr/>
        <w:tc>
          <w:tcPr>
            <w:tcW w:w="39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6" w:type="dxa"/>
            <w:tcBorders/>
          </w:tcPr>
          <w:p>
            <w:pPr>
              <w:pStyle w:val="TableContents"/>
              <w:bidi w:val="0"/>
              <w:spacing w:before="0" w:after="283"/>
              <w:jc w:val="left"/>
              <w:rPr/>
            </w:pPr>
            <w:r>
              <w:rPr/>
              <w:t>Amie Thuener</w:t>
            </w:r>
          </w:p>
        </w:tc>
      </w:tr>
      <w:tr>
        <w:trPr/>
        <w:tc>
          <w:tcPr>
            <w:tcW w:w="39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6" w:type="dxa"/>
            <w:tcBorders/>
          </w:tcPr>
          <w:p>
            <w:pPr>
              <w:pStyle w:val="TableContents"/>
              <w:bidi w:val="0"/>
              <w:spacing w:before="0" w:after="283"/>
              <w:jc w:val="left"/>
              <w:rPr/>
            </w:pPr>
            <w:r>
              <w:rPr/>
              <w:t xml:space="preserve">Chief Financial Officer </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POWER OF ATTORNEY </w:t>
      </w:r>
    </w:p>
    <w:p>
      <w:pPr>
        <w:pStyle w:val="TextBody"/>
        <w:bidi w:val="0"/>
        <w:spacing w:before="240" w:after="0"/>
        <w:jc w:val="left"/>
        <w:rPr>
          <w:rFonts w:ascii="Times New Roman" w:hAnsi="Times New Roman"/>
          <w:sz w:val="20"/>
        </w:rPr>
      </w:pPr>
      <w:r>
        <w:rPr>
          <w:rFonts w:ascii="Times New Roman" w:hAnsi="Times New Roman"/>
          <w:sz w:val="20"/>
        </w:rPr>
        <w:t xml:space="preserve">Each person whose individual signature appears below hereby authorizes and appoints Hock E. Tan, Amie Thuener and Mark Brazeal, and each of them, with full power of substitution and resubstitution and full power to act without the other, as his or her true and lawful attorney-in-fact and agent to act in his or her name, place and stead and to execute in the name and on behalf of each person, individually and in each capacity stated below, and to file any and all amendments to this Registration Statement, including any and all post-effective amendments and amendments thereto, and to file the same, with all exhibits thereto, and other documents in connection therewith, with the Securities and Exchange Commission, granting unto said attorneys-in-fact and agents, and each of them, full power and authority to do and perform each and every act and thing, ratifying and confirming all that said attorneys-in-fact and agents or any of them or their or his or her substitute or substitutes may lawfully do or cause to be done by virtue thereof. This power of attorney may be executed in counterparts.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this registration statement has been signed by the following persons in the capacities and on the dates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482"/>
        <w:gridCol w:w="96"/>
        <w:gridCol w:w="5601"/>
        <w:gridCol w:w="96"/>
        <w:gridCol w:w="1930"/>
      </w:tblGrid>
      <w:tr>
        <w:trPr/>
        <w:tc>
          <w:tcPr>
            <w:tcW w:w="2482" w:type="dxa"/>
            <w:tcBorders/>
            <w:vAlign w:val="center"/>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sz w:val="4"/>
                <w:szCs w:val="4"/>
              </w:rPr>
            </w:pPr>
            <w:r>
              <w:rPr>
                <w:sz w:val="4"/>
                <w:szCs w:val="4"/>
              </w:rPr>
            </w:r>
          </w:p>
        </w:tc>
        <w:tc>
          <w:tcPr>
            <w:tcW w:w="5601" w:type="dxa"/>
            <w:tcBorders/>
            <w:vAlign w:val="center"/>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sz w:val="4"/>
                <w:szCs w:val="4"/>
              </w:rPr>
            </w:pPr>
            <w:r>
              <w:rPr>
                <w:sz w:val="4"/>
                <w:szCs w:val="4"/>
              </w:rPr>
            </w:r>
          </w:p>
        </w:tc>
        <w:tc>
          <w:tcPr>
            <w:tcW w:w="1930" w:type="dxa"/>
            <w:tcBorders/>
            <w:vAlign w:val="center"/>
          </w:tcPr>
          <w:p>
            <w:pPr>
              <w:pStyle w:val="TableContents"/>
              <w:bidi w:val="0"/>
              <w:spacing w:before="0" w:after="283"/>
              <w:jc w:val="left"/>
              <w:rPr>
                <w:sz w:val="4"/>
                <w:szCs w:val="4"/>
              </w:rPr>
            </w:pPr>
            <w:r>
              <w:rPr>
                <w:sz w:val="4"/>
                <w:szCs w:val="4"/>
              </w:rPr>
            </w:r>
          </w:p>
        </w:tc>
      </w:tr>
      <w:tr>
        <w:trPr/>
        <w:tc>
          <w:tcPr>
            <w:tcW w:w="2482"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Name</w:t>
            </w:r>
          </w:p>
        </w:tc>
        <w:tc>
          <w:tcPr>
            <w:tcW w:w="96" w:type="dxa"/>
            <w:tcBorders/>
            <w:vAlign w:val="bottom"/>
          </w:tcPr>
          <w:p>
            <w:pPr>
              <w:pStyle w:val="TableContents"/>
              <w:bidi w:val="0"/>
              <w:spacing w:before="0" w:after="283"/>
              <w:jc w:val="left"/>
              <w:rPr/>
            </w:pPr>
            <w:r>
              <w:rPr/>
              <w:t> </w:t>
            </w:r>
          </w:p>
        </w:tc>
        <w:tc>
          <w:tcPr>
            <w:tcW w:w="560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96" w:type="dxa"/>
            <w:tcBorders/>
            <w:vAlign w:val="bottom"/>
          </w:tcPr>
          <w:p>
            <w:pPr>
              <w:pStyle w:val="TableContents"/>
              <w:bidi w:val="0"/>
              <w:spacing w:before="0" w:after="283"/>
              <w:jc w:val="left"/>
              <w:rPr/>
            </w:pPr>
            <w:r>
              <w:rPr/>
              <w:t> </w:t>
            </w:r>
          </w:p>
        </w:tc>
        <w:tc>
          <w:tcPr>
            <w:tcW w:w="193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rHeight w:val="240" w:hRule="atLeast"/>
        </w:trPr>
        <w:tc>
          <w:tcPr>
            <w:tcW w:w="2482" w:type="dxa"/>
            <w:tcBorders/>
            <w:vAlign w:val="center"/>
          </w:tcPr>
          <w:p>
            <w:pPr>
              <w:pStyle w:val="TableContents"/>
              <w:bidi w:val="0"/>
              <w:spacing w:before="0" w:after="283"/>
              <w:jc w:val="left"/>
              <w:rPr>
                <w:sz w:val="4"/>
                <w:szCs w:val="4"/>
              </w:rPr>
            </w:pPr>
            <w:r>
              <w:rPr>
                <w:sz w:val="4"/>
                <w:szCs w:val="4"/>
              </w:rPr>
            </w:r>
          </w:p>
        </w:tc>
        <w:tc>
          <w:tcPr>
            <w:tcW w:w="5697" w:type="dxa"/>
            <w:gridSpan w:val="2"/>
            <w:tcBorders/>
            <w:vAlign w:val="center"/>
          </w:tcPr>
          <w:p>
            <w:pPr>
              <w:pStyle w:val="TableContents"/>
              <w:bidi w:val="0"/>
              <w:spacing w:before="0" w:after="283"/>
              <w:jc w:val="left"/>
              <w:rPr>
                <w:sz w:val="4"/>
                <w:szCs w:val="4"/>
              </w:rPr>
            </w:pPr>
            <w:r>
              <w:rPr>
                <w:sz w:val="4"/>
                <w:szCs w:val="4"/>
              </w:rPr>
            </w:r>
          </w:p>
        </w:tc>
        <w:tc>
          <w:tcPr>
            <w:tcW w:w="2026" w:type="dxa"/>
            <w:gridSpan w:val="2"/>
            <w:tcBorders/>
            <w:vAlign w:val="center"/>
          </w:tcPr>
          <w:p>
            <w:pPr>
              <w:pStyle w:val="TableContents"/>
              <w:bidi w:val="0"/>
              <w:spacing w:before="0" w:after="283"/>
              <w:jc w:val="left"/>
              <w:rPr>
                <w:sz w:val="4"/>
                <w:szCs w:val="4"/>
              </w:rPr>
            </w:pPr>
            <w:r>
              <w:rPr>
                <w:sz w:val="4"/>
                <w:szCs w:val="4"/>
              </w:rPr>
            </w:r>
          </w:p>
        </w:tc>
      </w:tr>
      <w:tr>
        <w:trPr/>
        <w:tc>
          <w:tcPr>
            <w:tcW w:w="2482"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Hock E. Tan</w:t>
            </w:r>
          </w:p>
          <w:p>
            <w:pPr>
              <w:pStyle w:val="TableContents"/>
              <w:bidi w:val="0"/>
              <w:spacing w:before="0" w:after="20"/>
              <w:jc w:val="center"/>
              <w:rPr>
                <w:rFonts w:ascii="Times New Roman" w:hAnsi="Times New Roman"/>
                <w:sz w:val="20"/>
              </w:rPr>
            </w:pPr>
            <w:r>
              <w:rPr>
                <w:rFonts w:ascii="Times New Roman" w:hAnsi="Times New Roman"/>
                <w:sz w:val="20"/>
              </w:rPr>
              <w:t>Hock E. Tan</w:t>
            </w:r>
          </w:p>
        </w:tc>
        <w:tc>
          <w:tcPr>
            <w:tcW w:w="96" w:type="dxa"/>
            <w:tcBorders/>
            <w:vAlign w:val="bottom"/>
          </w:tcPr>
          <w:p>
            <w:pPr>
              <w:pStyle w:val="TableContents"/>
              <w:bidi w:val="0"/>
              <w:spacing w:before="0" w:after="283"/>
              <w:jc w:val="left"/>
              <w:rPr/>
            </w:pPr>
            <w:r>
              <w:rPr/>
              <w:t> </w:t>
            </w:r>
          </w:p>
        </w:tc>
        <w:tc>
          <w:tcPr>
            <w:tcW w:w="5601" w:type="dxa"/>
            <w:tcBorders/>
          </w:tcPr>
          <w:p>
            <w:pPr>
              <w:pStyle w:val="TableContents"/>
              <w:bidi w:val="0"/>
              <w:spacing w:before="0" w:after="0"/>
              <w:jc w:val="center"/>
              <w:rPr>
                <w:rFonts w:ascii="Times New Roman" w:hAnsi="Times New Roman"/>
                <w:sz w:val="20"/>
              </w:rPr>
            </w:pPr>
            <w:r>
              <w:rPr>
                <w:rFonts w:ascii="Times New Roman" w:hAnsi="Times New Roman"/>
                <w:sz w:val="20"/>
              </w:rPr>
              <w:t>President, Chief Executive Officer and Director</w:t>
            </w:r>
          </w:p>
          <w:p>
            <w:pPr>
              <w:pStyle w:val="TableContents"/>
              <w:bidi w:val="0"/>
              <w:spacing w:before="0" w:after="20"/>
              <w:jc w:val="center"/>
              <w:rPr>
                <w:rFonts w:ascii="Times New Roman" w:hAnsi="Times New Roman"/>
                <w:sz w:val="20"/>
              </w:rPr>
            </w:pPr>
            <w:r>
              <w:rPr>
                <w:rFonts w:ascii="Times New Roman" w:hAnsi="Times New Roman"/>
                <w:sz w:val="20"/>
              </w:rPr>
              <w:t>(Principal Executive Officer)</w:t>
            </w:r>
          </w:p>
        </w:tc>
        <w:tc>
          <w:tcPr>
            <w:tcW w:w="96" w:type="dxa"/>
            <w:tcBorders/>
            <w:vAlign w:val="bottom"/>
          </w:tcPr>
          <w:p>
            <w:pPr>
              <w:pStyle w:val="TableContents"/>
              <w:bidi w:val="0"/>
              <w:spacing w:before="0" w:after="283"/>
              <w:jc w:val="left"/>
              <w:rPr/>
            </w:pPr>
            <w:r>
              <w:rPr/>
              <w:t> </w:t>
            </w:r>
          </w:p>
        </w:tc>
        <w:tc>
          <w:tcPr>
            <w:tcW w:w="1930" w:type="dxa"/>
            <w:tcBorders/>
          </w:tcPr>
          <w:p>
            <w:pPr>
              <w:pStyle w:val="TableContents"/>
              <w:bidi w:val="0"/>
              <w:spacing w:before="0" w:after="283"/>
              <w:jc w:val="center"/>
              <w:rPr/>
            </w:pPr>
            <w:r>
              <w:rPr/>
              <w:t>September 10, 2026</w:t>
            </w:r>
          </w:p>
        </w:tc>
      </w:tr>
      <w:tr>
        <w:trPr>
          <w:trHeight w:val="240" w:hRule="atLeast"/>
        </w:trPr>
        <w:tc>
          <w:tcPr>
            <w:tcW w:w="2482" w:type="dxa"/>
            <w:tcBorders/>
            <w:vAlign w:val="center"/>
          </w:tcPr>
          <w:p>
            <w:pPr>
              <w:pStyle w:val="TableContents"/>
              <w:bidi w:val="0"/>
              <w:spacing w:before="0" w:after="283"/>
              <w:jc w:val="left"/>
              <w:rPr>
                <w:sz w:val="4"/>
                <w:szCs w:val="4"/>
              </w:rPr>
            </w:pPr>
            <w:r>
              <w:rPr>
                <w:sz w:val="4"/>
                <w:szCs w:val="4"/>
              </w:rPr>
            </w:r>
          </w:p>
        </w:tc>
        <w:tc>
          <w:tcPr>
            <w:tcW w:w="5697" w:type="dxa"/>
            <w:gridSpan w:val="2"/>
            <w:tcBorders/>
            <w:vAlign w:val="center"/>
          </w:tcPr>
          <w:p>
            <w:pPr>
              <w:pStyle w:val="TableContents"/>
              <w:bidi w:val="0"/>
              <w:spacing w:before="0" w:after="283"/>
              <w:jc w:val="left"/>
              <w:rPr>
                <w:sz w:val="4"/>
                <w:szCs w:val="4"/>
              </w:rPr>
            </w:pPr>
            <w:r>
              <w:rPr>
                <w:sz w:val="4"/>
                <w:szCs w:val="4"/>
              </w:rPr>
            </w:r>
          </w:p>
        </w:tc>
        <w:tc>
          <w:tcPr>
            <w:tcW w:w="2026" w:type="dxa"/>
            <w:gridSpan w:val="2"/>
            <w:tcBorders/>
            <w:vAlign w:val="center"/>
          </w:tcPr>
          <w:p>
            <w:pPr>
              <w:pStyle w:val="TableContents"/>
              <w:bidi w:val="0"/>
              <w:spacing w:before="0" w:after="283"/>
              <w:jc w:val="left"/>
              <w:rPr>
                <w:sz w:val="4"/>
                <w:szCs w:val="4"/>
              </w:rPr>
            </w:pPr>
            <w:r>
              <w:rPr>
                <w:sz w:val="4"/>
                <w:szCs w:val="4"/>
              </w:rPr>
            </w:r>
          </w:p>
        </w:tc>
      </w:tr>
      <w:tr>
        <w:trPr/>
        <w:tc>
          <w:tcPr>
            <w:tcW w:w="2482"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Amie Thuener</w:t>
            </w:r>
          </w:p>
          <w:p>
            <w:pPr>
              <w:pStyle w:val="TableContents"/>
              <w:bidi w:val="0"/>
              <w:spacing w:before="0" w:after="20"/>
              <w:jc w:val="center"/>
              <w:rPr>
                <w:rFonts w:ascii="Times New Roman" w:hAnsi="Times New Roman"/>
                <w:sz w:val="20"/>
              </w:rPr>
            </w:pPr>
            <w:r>
              <w:rPr>
                <w:rFonts w:ascii="Times New Roman" w:hAnsi="Times New Roman"/>
                <w:sz w:val="20"/>
              </w:rPr>
              <w:t>Amie Thuener</w:t>
            </w:r>
          </w:p>
        </w:tc>
        <w:tc>
          <w:tcPr>
            <w:tcW w:w="96" w:type="dxa"/>
            <w:tcBorders/>
            <w:vAlign w:val="bottom"/>
          </w:tcPr>
          <w:p>
            <w:pPr>
              <w:pStyle w:val="TableContents"/>
              <w:bidi w:val="0"/>
              <w:spacing w:before="0" w:after="283"/>
              <w:jc w:val="left"/>
              <w:rPr/>
            </w:pPr>
            <w:r>
              <w:rPr/>
              <w:t> </w:t>
            </w:r>
          </w:p>
        </w:tc>
        <w:tc>
          <w:tcPr>
            <w:tcW w:w="5601" w:type="dxa"/>
            <w:tcBorders/>
          </w:tcPr>
          <w:p>
            <w:pPr>
              <w:pStyle w:val="TableContents"/>
              <w:bidi w:val="0"/>
              <w:spacing w:before="0" w:after="0"/>
              <w:jc w:val="center"/>
              <w:rPr>
                <w:rFonts w:ascii="Times New Roman" w:hAnsi="Times New Roman"/>
                <w:sz w:val="20"/>
              </w:rPr>
            </w:pPr>
            <w:r>
              <w:rPr>
                <w:rFonts w:ascii="Times New Roman" w:hAnsi="Times New Roman"/>
                <w:sz w:val="20"/>
              </w:rPr>
              <w:t>Chief Financial Officer</w:t>
            </w:r>
          </w:p>
          <w:p>
            <w:pPr>
              <w:pStyle w:val="TableContents"/>
              <w:bidi w:val="0"/>
              <w:spacing w:before="0" w:after="20"/>
              <w:jc w:val="center"/>
              <w:rPr>
                <w:rFonts w:ascii="Times New Roman" w:hAnsi="Times New Roman"/>
                <w:sz w:val="20"/>
              </w:rPr>
            </w:pPr>
            <w:r>
              <w:rPr>
                <w:rFonts w:ascii="Times New Roman" w:hAnsi="Times New Roman"/>
                <w:sz w:val="20"/>
              </w:rPr>
              <w:t>(Principal Financial Officer and Principal Accounting Officer)</w:t>
            </w:r>
          </w:p>
        </w:tc>
        <w:tc>
          <w:tcPr>
            <w:tcW w:w="96" w:type="dxa"/>
            <w:tcBorders/>
            <w:vAlign w:val="bottom"/>
          </w:tcPr>
          <w:p>
            <w:pPr>
              <w:pStyle w:val="TableContents"/>
              <w:bidi w:val="0"/>
              <w:spacing w:before="0" w:after="283"/>
              <w:jc w:val="left"/>
              <w:rPr/>
            </w:pPr>
            <w:r>
              <w:rPr/>
              <w:t> </w:t>
            </w:r>
          </w:p>
        </w:tc>
        <w:tc>
          <w:tcPr>
            <w:tcW w:w="1930" w:type="dxa"/>
            <w:tcBorders/>
          </w:tcPr>
          <w:p>
            <w:pPr>
              <w:pStyle w:val="TableContents"/>
              <w:bidi w:val="0"/>
              <w:spacing w:before="0" w:after="283"/>
              <w:jc w:val="center"/>
              <w:rPr/>
            </w:pPr>
            <w:r>
              <w:rPr/>
              <w:t>September 10, 2026</w:t>
            </w:r>
          </w:p>
        </w:tc>
      </w:tr>
      <w:tr>
        <w:trPr>
          <w:trHeight w:val="240" w:hRule="atLeast"/>
        </w:trPr>
        <w:tc>
          <w:tcPr>
            <w:tcW w:w="2482" w:type="dxa"/>
            <w:tcBorders/>
            <w:vAlign w:val="center"/>
          </w:tcPr>
          <w:p>
            <w:pPr>
              <w:pStyle w:val="TableContents"/>
              <w:bidi w:val="0"/>
              <w:spacing w:before="0" w:after="283"/>
              <w:jc w:val="left"/>
              <w:rPr>
                <w:sz w:val="4"/>
                <w:szCs w:val="4"/>
              </w:rPr>
            </w:pPr>
            <w:r>
              <w:rPr>
                <w:sz w:val="4"/>
                <w:szCs w:val="4"/>
              </w:rPr>
            </w:r>
          </w:p>
        </w:tc>
        <w:tc>
          <w:tcPr>
            <w:tcW w:w="5697" w:type="dxa"/>
            <w:gridSpan w:val="2"/>
            <w:tcBorders/>
            <w:vAlign w:val="center"/>
          </w:tcPr>
          <w:p>
            <w:pPr>
              <w:pStyle w:val="TableContents"/>
              <w:bidi w:val="0"/>
              <w:spacing w:before="0" w:after="283"/>
              <w:jc w:val="left"/>
              <w:rPr>
                <w:sz w:val="4"/>
                <w:szCs w:val="4"/>
              </w:rPr>
            </w:pPr>
            <w:r>
              <w:rPr>
                <w:sz w:val="4"/>
                <w:szCs w:val="4"/>
              </w:rPr>
            </w:r>
          </w:p>
        </w:tc>
        <w:tc>
          <w:tcPr>
            <w:tcW w:w="2026" w:type="dxa"/>
            <w:gridSpan w:val="2"/>
            <w:tcBorders/>
            <w:vAlign w:val="center"/>
          </w:tcPr>
          <w:p>
            <w:pPr>
              <w:pStyle w:val="TableContents"/>
              <w:bidi w:val="0"/>
              <w:spacing w:before="0" w:after="283"/>
              <w:jc w:val="left"/>
              <w:rPr>
                <w:sz w:val="4"/>
                <w:szCs w:val="4"/>
              </w:rPr>
            </w:pPr>
            <w:r>
              <w:rPr>
                <w:sz w:val="4"/>
                <w:szCs w:val="4"/>
              </w:rPr>
            </w:r>
          </w:p>
        </w:tc>
      </w:tr>
      <w:tr>
        <w:trPr/>
        <w:tc>
          <w:tcPr>
            <w:tcW w:w="2482"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Harry L. You</w:t>
            </w:r>
          </w:p>
          <w:p>
            <w:pPr>
              <w:pStyle w:val="TableContents"/>
              <w:bidi w:val="0"/>
              <w:spacing w:before="0" w:after="20"/>
              <w:jc w:val="center"/>
              <w:rPr>
                <w:rFonts w:ascii="Times New Roman" w:hAnsi="Times New Roman"/>
                <w:sz w:val="20"/>
              </w:rPr>
            </w:pPr>
            <w:r>
              <w:rPr>
                <w:rFonts w:ascii="Times New Roman" w:hAnsi="Times New Roman"/>
                <w:sz w:val="20"/>
              </w:rPr>
              <w:t>Harry L. You</w:t>
            </w:r>
          </w:p>
        </w:tc>
        <w:tc>
          <w:tcPr>
            <w:tcW w:w="96" w:type="dxa"/>
            <w:tcBorders/>
            <w:vAlign w:val="bottom"/>
          </w:tcPr>
          <w:p>
            <w:pPr>
              <w:pStyle w:val="TableContents"/>
              <w:bidi w:val="0"/>
              <w:spacing w:before="0" w:after="283"/>
              <w:jc w:val="left"/>
              <w:rPr/>
            </w:pPr>
            <w:r>
              <w:rPr/>
              <w:t> </w:t>
            </w:r>
          </w:p>
        </w:tc>
        <w:tc>
          <w:tcPr>
            <w:tcW w:w="5601" w:type="dxa"/>
            <w:tcBorders/>
          </w:tcPr>
          <w:p>
            <w:pPr>
              <w:pStyle w:val="TableContents"/>
              <w:bidi w:val="0"/>
              <w:spacing w:before="0" w:after="283"/>
              <w:jc w:val="center"/>
              <w:rPr/>
            </w:pPr>
            <w:r>
              <w:rPr/>
              <w:t>Chairman of the Board of Directors</w:t>
            </w:r>
          </w:p>
        </w:tc>
        <w:tc>
          <w:tcPr>
            <w:tcW w:w="96" w:type="dxa"/>
            <w:tcBorders/>
            <w:vAlign w:val="bottom"/>
          </w:tcPr>
          <w:p>
            <w:pPr>
              <w:pStyle w:val="TableContents"/>
              <w:bidi w:val="0"/>
              <w:spacing w:before="0" w:after="283"/>
              <w:jc w:val="left"/>
              <w:rPr/>
            </w:pPr>
            <w:r>
              <w:rPr/>
              <w:t> </w:t>
            </w:r>
          </w:p>
        </w:tc>
        <w:tc>
          <w:tcPr>
            <w:tcW w:w="1930" w:type="dxa"/>
            <w:tcBorders/>
          </w:tcPr>
          <w:p>
            <w:pPr>
              <w:pStyle w:val="TableContents"/>
              <w:bidi w:val="0"/>
              <w:spacing w:before="0" w:after="283"/>
              <w:jc w:val="center"/>
              <w:rPr/>
            </w:pPr>
            <w:r>
              <w:rPr/>
              <w:t>September 10, 2026</w:t>
            </w:r>
          </w:p>
        </w:tc>
      </w:tr>
      <w:tr>
        <w:trPr>
          <w:trHeight w:val="240" w:hRule="atLeast"/>
        </w:trPr>
        <w:tc>
          <w:tcPr>
            <w:tcW w:w="2482" w:type="dxa"/>
            <w:tcBorders/>
            <w:vAlign w:val="center"/>
          </w:tcPr>
          <w:p>
            <w:pPr>
              <w:pStyle w:val="TableContents"/>
              <w:bidi w:val="0"/>
              <w:spacing w:before="0" w:after="283"/>
              <w:jc w:val="left"/>
              <w:rPr>
                <w:sz w:val="4"/>
                <w:szCs w:val="4"/>
              </w:rPr>
            </w:pPr>
            <w:r>
              <w:rPr>
                <w:sz w:val="4"/>
                <w:szCs w:val="4"/>
              </w:rPr>
            </w:r>
          </w:p>
        </w:tc>
        <w:tc>
          <w:tcPr>
            <w:tcW w:w="5697" w:type="dxa"/>
            <w:gridSpan w:val="2"/>
            <w:tcBorders/>
            <w:vAlign w:val="center"/>
          </w:tcPr>
          <w:p>
            <w:pPr>
              <w:pStyle w:val="TableContents"/>
              <w:bidi w:val="0"/>
              <w:spacing w:before="0" w:after="283"/>
              <w:jc w:val="left"/>
              <w:rPr>
                <w:sz w:val="4"/>
                <w:szCs w:val="4"/>
              </w:rPr>
            </w:pPr>
            <w:r>
              <w:rPr>
                <w:sz w:val="4"/>
                <w:szCs w:val="4"/>
              </w:rPr>
            </w:r>
          </w:p>
        </w:tc>
        <w:tc>
          <w:tcPr>
            <w:tcW w:w="2026" w:type="dxa"/>
            <w:gridSpan w:val="2"/>
            <w:tcBorders/>
            <w:vAlign w:val="center"/>
          </w:tcPr>
          <w:p>
            <w:pPr>
              <w:pStyle w:val="TableContents"/>
              <w:bidi w:val="0"/>
              <w:spacing w:before="0" w:after="283"/>
              <w:jc w:val="left"/>
              <w:rPr>
                <w:sz w:val="4"/>
                <w:szCs w:val="4"/>
              </w:rPr>
            </w:pPr>
            <w:r>
              <w:rPr>
                <w:sz w:val="4"/>
                <w:szCs w:val="4"/>
              </w:rPr>
            </w:r>
          </w:p>
        </w:tc>
      </w:tr>
      <w:tr>
        <w:trPr/>
        <w:tc>
          <w:tcPr>
            <w:tcW w:w="2482"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Diane M. Bryant</w:t>
            </w:r>
          </w:p>
          <w:p>
            <w:pPr>
              <w:pStyle w:val="TableContents"/>
              <w:bidi w:val="0"/>
              <w:spacing w:before="0" w:after="20"/>
              <w:jc w:val="center"/>
              <w:rPr>
                <w:rFonts w:ascii="Times New Roman" w:hAnsi="Times New Roman"/>
                <w:sz w:val="20"/>
              </w:rPr>
            </w:pPr>
            <w:r>
              <w:rPr>
                <w:rFonts w:ascii="Times New Roman" w:hAnsi="Times New Roman"/>
                <w:sz w:val="20"/>
              </w:rPr>
              <w:t>Diane M. Bryant</w:t>
            </w:r>
          </w:p>
        </w:tc>
        <w:tc>
          <w:tcPr>
            <w:tcW w:w="96" w:type="dxa"/>
            <w:tcBorders/>
            <w:vAlign w:val="bottom"/>
          </w:tcPr>
          <w:p>
            <w:pPr>
              <w:pStyle w:val="TableContents"/>
              <w:bidi w:val="0"/>
              <w:spacing w:before="0" w:after="283"/>
              <w:jc w:val="left"/>
              <w:rPr/>
            </w:pPr>
            <w:r>
              <w:rPr/>
              <w:t> </w:t>
            </w:r>
          </w:p>
        </w:tc>
        <w:tc>
          <w:tcPr>
            <w:tcW w:w="5601" w:type="dxa"/>
            <w:tcBorders/>
          </w:tcPr>
          <w:p>
            <w:pPr>
              <w:pStyle w:val="TableContents"/>
              <w:bidi w:val="0"/>
              <w:spacing w:before="0" w:after="283"/>
              <w:jc w:val="center"/>
              <w:rPr/>
            </w:pPr>
            <w:r>
              <w:rPr/>
              <w:t>Director</w:t>
            </w:r>
          </w:p>
        </w:tc>
        <w:tc>
          <w:tcPr>
            <w:tcW w:w="96" w:type="dxa"/>
            <w:tcBorders/>
            <w:vAlign w:val="bottom"/>
          </w:tcPr>
          <w:p>
            <w:pPr>
              <w:pStyle w:val="TableContents"/>
              <w:bidi w:val="0"/>
              <w:spacing w:before="0" w:after="283"/>
              <w:jc w:val="left"/>
              <w:rPr/>
            </w:pPr>
            <w:r>
              <w:rPr/>
              <w:t> </w:t>
            </w:r>
          </w:p>
        </w:tc>
        <w:tc>
          <w:tcPr>
            <w:tcW w:w="1930" w:type="dxa"/>
            <w:tcBorders/>
          </w:tcPr>
          <w:p>
            <w:pPr>
              <w:pStyle w:val="TableContents"/>
              <w:bidi w:val="0"/>
              <w:spacing w:before="0" w:after="283"/>
              <w:jc w:val="center"/>
              <w:rPr/>
            </w:pPr>
            <w:r>
              <w:rPr/>
              <w:t>September 10, 2026</w:t>
            </w:r>
          </w:p>
        </w:tc>
      </w:tr>
      <w:tr>
        <w:trPr>
          <w:trHeight w:val="240" w:hRule="atLeast"/>
        </w:trPr>
        <w:tc>
          <w:tcPr>
            <w:tcW w:w="2482" w:type="dxa"/>
            <w:tcBorders/>
            <w:vAlign w:val="center"/>
          </w:tcPr>
          <w:p>
            <w:pPr>
              <w:pStyle w:val="TableContents"/>
              <w:bidi w:val="0"/>
              <w:spacing w:before="0" w:after="283"/>
              <w:jc w:val="left"/>
              <w:rPr>
                <w:sz w:val="4"/>
                <w:szCs w:val="4"/>
              </w:rPr>
            </w:pPr>
            <w:r>
              <w:rPr>
                <w:sz w:val="4"/>
                <w:szCs w:val="4"/>
              </w:rPr>
            </w:r>
          </w:p>
        </w:tc>
        <w:tc>
          <w:tcPr>
            <w:tcW w:w="5697" w:type="dxa"/>
            <w:gridSpan w:val="2"/>
            <w:tcBorders/>
            <w:vAlign w:val="center"/>
          </w:tcPr>
          <w:p>
            <w:pPr>
              <w:pStyle w:val="TableContents"/>
              <w:bidi w:val="0"/>
              <w:spacing w:before="0" w:after="283"/>
              <w:jc w:val="left"/>
              <w:rPr>
                <w:sz w:val="4"/>
                <w:szCs w:val="4"/>
              </w:rPr>
            </w:pPr>
            <w:r>
              <w:rPr>
                <w:sz w:val="4"/>
                <w:szCs w:val="4"/>
              </w:rPr>
            </w:r>
          </w:p>
        </w:tc>
        <w:tc>
          <w:tcPr>
            <w:tcW w:w="2026" w:type="dxa"/>
            <w:gridSpan w:val="2"/>
            <w:tcBorders/>
            <w:vAlign w:val="center"/>
          </w:tcPr>
          <w:p>
            <w:pPr>
              <w:pStyle w:val="TableContents"/>
              <w:bidi w:val="0"/>
              <w:spacing w:before="0" w:after="283"/>
              <w:jc w:val="left"/>
              <w:rPr>
                <w:sz w:val="4"/>
                <w:szCs w:val="4"/>
              </w:rPr>
            </w:pPr>
            <w:r>
              <w:rPr>
                <w:sz w:val="4"/>
                <w:szCs w:val="4"/>
              </w:rPr>
            </w:r>
          </w:p>
        </w:tc>
      </w:tr>
      <w:tr>
        <w:trPr/>
        <w:tc>
          <w:tcPr>
            <w:tcW w:w="2482"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Gayla J. Delly</w:t>
            </w:r>
          </w:p>
          <w:p>
            <w:pPr>
              <w:pStyle w:val="TableContents"/>
              <w:bidi w:val="0"/>
              <w:spacing w:before="0" w:after="20"/>
              <w:jc w:val="center"/>
              <w:rPr>
                <w:rFonts w:ascii="Times New Roman" w:hAnsi="Times New Roman"/>
                <w:sz w:val="20"/>
              </w:rPr>
            </w:pPr>
            <w:r>
              <w:rPr>
                <w:rFonts w:ascii="Times New Roman" w:hAnsi="Times New Roman"/>
                <w:sz w:val="20"/>
              </w:rPr>
              <w:t>Gayla J. Delly</w:t>
            </w:r>
          </w:p>
        </w:tc>
        <w:tc>
          <w:tcPr>
            <w:tcW w:w="96" w:type="dxa"/>
            <w:tcBorders/>
            <w:vAlign w:val="bottom"/>
          </w:tcPr>
          <w:p>
            <w:pPr>
              <w:pStyle w:val="TableContents"/>
              <w:bidi w:val="0"/>
              <w:spacing w:before="0" w:after="283"/>
              <w:jc w:val="left"/>
              <w:rPr/>
            </w:pPr>
            <w:r>
              <w:rPr/>
              <w:t> </w:t>
            </w:r>
          </w:p>
        </w:tc>
        <w:tc>
          <w:tcPr>
            <w:tcW w:w="5601" w:type="dxa"/>
            <w:tcBorders/>
          </w:tcPr>
          <w:p>
            <w:pPr>
              <w:pStyle w:val="TableContents"/>
              <w:bidi w:val="0"/>
              <w:spacing w:before="0" w:after="283"/>
              <w:jc w:val="center"/>
              <w:rPr/>
            </w:pPr>
            <w:r>
              <w:rPr/>
              <w:t>Director</w:t>
            </w:r>
          </w:p>
        </w:tc>
        <w:tc>
          <w:tcPr>
            <w:tcW w:w="96" w:type="dxa"/>
            <w:tcBorders/>
            <w:vAlign w:val="bottom"/>
          </w:tcPr>
          <w:p>
            <w:pPr>
              <w:pStyle w:val="TableContents"/>
              <w:bidi w:val="0"/>
              <w:spacing w:before="0" w:after="283"/>
              <w:jc w:val="left"/>
              <w:rPr/>
            </w:pPr>
            <w:r>
              <w:rPr/>
              <w:t> </w:t>
            </w:r>
          </w:p>
        </w:tc>
        <w:tc>
          <w:tcPr>
            <w:tcW w:w="1930" w:type="dxa"/>
            <w:tcBorders/>
          </w:tcPr>
          <w:p>
            <w:pPr>
              <w:pStyle w:val="TableContents"/>
              <w:bidi w:val="0"/>
              <w:spacing w:before="0" w:after="283"/>
              <w:jc w:val="center"/>
              <w:rPr/>
            </w:pPr>
            <w:r>
              <w:rPr/>
              <w:t>September 10, 2026</w:t>
            </w:r>
          </w:p>
        </w:tc>
      </w:tr>
      <w:tr>
        <w:trPr>
          <w:trHeight w:val="240" w:hRule="atLeast"/>
        </w:trPr>
        <w:tc>
          <w:tcPr>
            <w:tcW w:w="2482" w:type="dxa"/>
            <w:tcBorders/>
            <w:vAlign w:val="center"/>
          </w:tcPr>
          <w:p>
            <w:pPr>
              <w:pStyle w:val="TableContents"/>
              <w:bidi w:val="0"/>
              <w:spacing w:before="0" w:after="283"/>
              <w:jc w:val="left"/>
              <w:rPr>
                <w:sz w:val="4"/>
                <w:szCs w:val="4"/>
              </w:rPr>
            </w:pPr>
            <w:r>
              <w:rPr>
                <w:sz w:val="4"/>
                <w:szCs w:val="4"/>
              </w:rPr>
            </w:r>
          </w:p>
        </w:tc>
        <w:tc>
          <w:tcPr>
            <w:tcW w:w="5697" w:type="dxa"/>
            <w:gridSpan w:val="2"/>
            <w:tcBorders/>
            <w:vAlign w:val="center"/>
          </w:tcPr>
          <w:p>
            <w:pPr>
              <w:pStyle w:val="TableContents"/>
              <w:bidi w:val="0"/>
              <w:spacing w:before="0" w:after="283"/>
              <w:jc w:val="left"/>
              <w:rPr>
                <w:sz w:val="4"/>
                <w:szCs w:val="4"/>
              </w:rPr>
            </w:pPr>
            <w:r>
              <w:rPr>
                <w:sz w:val="4"/>
                <w:szCs w:val="4"/>
              </w:rPr>
            </w:r>
          </w:p>
        </w:tc>
        <w:tc>
          <w:tcPr>
            <w:tcW w:w="2026" w:type="dxa"/>
            <w:gridSpan w:val="2"/>
            <w:tcBorders/>
            <w:vAlign w:val="center"/>
          </w:tcPr>
          <w:p>
            <w:pPr>
              <w:pStyle w:val="TableContents"/>
              <w:bidi w:val="0"/>
              <w:spacing w:before="0" w:after="283"/>
              <w:jc w:val="left"/>
              <w:rPr>
                <w:sz w:val="4"/>
                <w:szCs w:val="4"/>
              </w:rPr>
            </w:pPr>
            <w:r>
              <w:rPr>
                <w:sz w:val="4"/>
                <w:szCs w:val="4"/>
              </w:rPr>
            </w:r>
          </w:p>
        </w:tc>
      </w:tr>
      <w:tr>
        <w:trPr/>
        <w:tc>
          <w:tcPr>
            <w:tcW w:w="2482"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Kenneth Y. Hao</w:t>
            </w:r>
          </w:p>
          <w:p>
            <w:pPr>
              <w:pStyle w:val="TableContents"/>
              <w:bidi w:val="0"/>
              <w:spacing w:before="0" w:after="20"/>
              <w:jc w:val="center"/>
              <w:rPr>
                <w:rFonts w:ascii="Times New Roman" w:hAnsi="Times New Roman"/>
                <w:sz w:val="20"/>
              </w:rPr>
            </w:pPr>
            <w:r>
              <w:rPr>
                <w:rFonts w:ascii="Times New Roman" w:hAnsi="Times New Roman"/>
                <w:sz w:val="20"/>
              </w:rPr>
              <w:t>Kenneth Y. Hao</w:t>
            </w:r>
          </w:p>
        </w:tc>
        <w:tc>
          <w:tcPr>
            <w:tcW w:w="96" w:type="dxa"/>
            <w:tcBorders/>
            <w:vAlign w:val="bottom"/>
          </w:tcPr>
          <w:p>
            <w:pPr>
              <w:pStyle w:val="TableContents"/>
              <w:bidi w:val="0"/>
              <w:spacing w:before="0" w:after="283"/>
              <w:jc w:val="left"/>
              <w:rPr/>
            </w:pPr>
            <w:r>
              <w:rPr/>
              <w:t> </w:t>
            </w:r>
          </w:p>
        </w:tc>
        <w:tc>
          <w:tcPr>
            <w:tcW w:w="5601" w:type="dxa"/>
            <w:tcBorders/>
          </w:tcPr>
          <w:p>
            <w:pPr>
              <w:pStyle w:val="TableContents"/>
              <w:bidi w:val="0"/>
              <w:spacing w:before="0" w:after="283"/>
              <w:jc w:val="center"/>
              <w:rPr/>
            </w:pPr>
            <w:r>
              <w:rPr/>
              <w:t>Director</w:t>
            </w:r>
          </w:p>
        </w:tc>
        <w:tc>
          <w:tcPr>
            <w:tcW w:w="96" w:type="dxa"/>
            <w:tcBorders/>
            <w:vAlign w:val="bottom"/>
          </w:tcPr>
          <w:p>
            <w:pPr>
              <w:pStyle w:val="TableContents"/>
              <w:bidi w:val="0"/>
              <w:spacing w:before="0" w:after="283"/>
              <w:jc w:val="left"/>
              <w:rPr/>
            </w:pPr>
            <w:r>
              <w:rPr/>
              <w:t> </w:t>
            </w:r>
          </w:p>
        </w:tc>
        <w:tc>
          <w:tcPr>
            <w:tcW w:w="1930" w:type="dxa"/>
            <w:tcBorders/>
          </w:tcPr>
          <w:p>
            <w:pPr>
              <w:pStyle w:val="TableContents"/>
              <w:bidi w:val="0"/>
              <w:spacing w:before="0" w:after="283"/>
              <w:jc w:val="center"/>
              <w:rPr/>
            </w:pPr>
            <w:r>
              <w:rPr/>
              <w:t>September 10, 2026</w:t>
            </w:r>
          </w:p>
        </w:tc>
      </w:tr>
      <w:tr>
        <w:trPr>
          <w:trHeight w:val="240" w:hRule="atLeast"/>
        </w:trPr>
        <w:tc>
          <w:tcPr>
            <w:tcW w:w="2482" w:type="dxa"/>
            <w:tcBorders/>
            <w:vAlign w:val="center"/>
          </w:tcPr>
          <w:p>
            <w:pPr>
              <w:pStyle w:val="TableContents"/>
              <w:bidi w:val="0"/>
              <w:spacing w:before="0" w:after="283"/>
              <w:jc w:val="left"/>
              <w:rPr>
                <w:sz w:val="4"/>
                <w:szCs w:val="4"/>
              </w:rPr>
            </w:pPr>
            <w:r>
              <w:rPr>
                <w:sz w:val="4"/>
                <w:szCs w:val="4"/>
              </w:rPr>
            </w:r>
          </w:p>
        </w:tc>
        <w:tc>
          <w:tcPr>
            <w:tcW w:w="5697" w:type="dxa"/>
            <w:gridSpan w:val="2"/>
            <w:tcBorders/>
            <w:vAlign w:val="center"/>
          </w:tcPr>
          <w:p>
            <w:pPr>
              <w:pStyle w:val="TableContents"/>
              <w:bidi w:val="0"/>
              <w:spacing w:before="0" w:after="283"/>
              <w:jc w:val="left"/>
              <w:rPr>
                <w:sz w:val="4"/>
                <w:szCs w:val="4"/>
              </w:rPr>
            </w:pPr>
            <w:r>
              <w:rPr>
                <w:sz w:val="4"/>
                <w:szCs w:val="4"/>
              </w:rPr>
            </w:r>
          </w:p>
        </w:tc>
        <w:tc>
          <w:tcPr>
            <w:tcW w:w="2026" w:type="dxa"/>
            <w:gridSpan w:val="2"/>
            <w:tcBorders/>
            <w:vAlign w:val="center"/>
          </w:tcPr>
          <w:p>
            <w:pPr>
              <w:pStyle w:val="TableContents"/>
              <w:bidi w:val="0"/>
              <w:spacing w:before="0" w:after="283"/>
              <w:jc w:val="left"/>
              <w:rPr>
                <w:sz w:val="4"/>
                <w:szCs w:val="4"/>
              </w:rPr>
            </w:pPr>
            <w:r>
              <w:rPr>
                <w:sz w:val="4"/>
                <w:szCs w:val="4"/>
              </w:rPr>
            </w:r>
          </w:p>
        </w:tc>
      </w:tr>
      <w:tr>
        <w:trPr/>
        <w:tc>
          <w:tcPr>
            <w:tcW w:w="2482"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Check Kian Low</w:t>
            </w:r>
          </w:p>
          <w:p>
            <w:pPr>
              <w:pStyle w:val="TableContents"/>
              <w:bidi w:val="0"/>
              <w:spacing w:before="0" w:after="20"/>
              <w:jc w:val="center"/>
              <w:rPr>
                <w:rFonts w:ascii="Times New Roman" w:hAnsi="Times New Roman"/>
                <w:sz w:val="20"/>
              </w:rPr>
            </w:pPr>
            <w:r>
              <w:rPr>
                <w:rFonts w:ascii="Times New Roman" w:hAnsi="Times New Roman"/>
                <w:sz w:val="20"/>
              </w:rPr>
              <w:t>Check Kian Low</w:t>
            </w:r>
          </w:p>
        </w:tc>
        <w:tc>
          <w:tcPr>
            <w:tcW w:w="96" w:type="dxa"/>
            <w:tcBorders/>
            <w:vAlign w:val="bottom"/>
          </w:tcPr>
          <w:p>
            <w:pPr>
              <w:pStyle w:val="TableContents"/>
              <w:bidi w:val="0"/>
              <w:spacing w:before="0" w:after="283"/>
              <w:jc w:val="left"/>
              <w:rPr/>
            </w:pPr>
            <w:r>
              <w:rPr/>
              <w:t> </w:t>
            </w:r>
          </w:p>
        </w:tc>
        <w:tc>
          <w:tcPr>
            <w:tcW w:w="5601" w:type="dxa"/>
            <w:tcBorders/>
          </w:tcPr>
          <w:p>
            <w:pPr>
              <w:pStyle w:val="TableContents"/>
              <w:bidi w:val="0"/>
              <w:spacing w:before="0" w:after="283"/>
              <w:jc w:val="center"/>
              <w:rPr/>
            </w:pPr>
            <w:r>
              <w:rPr/>
              <w:t>Director</w:t>
            </w:r>
          </w:p>
        </w:tc>
        <w:tc>
          <w:tcPr>
            <w:tcW w:w="96" w:type="dxa"/>
            <w:tcBorders/>
            <w:vAlign w:val="bottom"/>
          </w:tcPr>
          <w:p>
            <w:pPr>
              <w:pStyle w:val="TableContents"/>
              <w:bidi w:val="0"/>
              <w:spacing w:before="0" w:after="283"/>
              <w:jc w:val="left"/>
              <w:rPr/>
            </w:pPr>
            <w:r>
              <w:rPr/>
              <w:t> </w:t>
            </w:r>
          </w:p>
        </w:tc>
        <w:tc>
          <w:tcPr>
            <w:tcW w:w="1930" w:type="dxa"/>
            <w:tcBorders/>
          </w:tcPr>
          <w:p>
            <w:pPr>
              <w:pStyle w:val="TableContents"/>
              <w:bidi w:val="0"/>
              <w:spacing w:before="0" w:after="283"/>
              <w:jc w:val="center"/>
              <w:rPr/>
            </w:pPr>
            <w:r>
              <w:rPr/>
              <w:t>September 10, 2026</w:t>
            </w:r>
          </w:p>
        </w:tc>
      </w:tr>
      <w:tr>
        <w:trPr>
          <w:trHeight w:val="240" w:hRule="atLeast"/>
        </w:trPr>
        <w:tc>
          <w:tcPr>
            <w:tcW w:w="2482" w:type="dxa"/>
            <w:tcBorders/>
            <w:vAlign w:val="center"/>
          </w:tcPr>
          <w:p>
            <w:pPr>
              <w:pStyle w:val="TableContents"/>
              <w:bidi w:val="0"/>
              <w:spacing w:before="0" w:after="283"/>
              <w:jc w:val="left"/>
              <w:rPr>
                <w:sz w:val="4"/>
                <w:szCs w:val="4"/>
              </w:rPr>
            </w:pPr>
            <w:r>
              <w:rPr>
                <w:sz w:val="4"/>
                <w:szCs w:val="4"/>
              </w:rPr>
            </w:r>
          </w:p>
        </w:tc>
        <w:tc>
          <w:tcPr>
            <w:tcW w:w="5697" w:type="dxa"/>
            <w:gridSpan w:val="2"/>
            <w:tcBorders/>
            <w:vAlign w:val="center"/>
          </w:tcPr>
          <w:p>
            <w:pPr>
              <w:pStyle w:val="TableContents"/>
              <w:bidi w:val="0"/>
              <w:spacing w:before="0" w:after="283"/>
              <w:jc w:val="left"/>
              <w:rPr>
                <w:sz w:val="4"/>
                <w:szCs w:val="4"/>
              </w:rPr>
            </w:pPr>
            <w:r>
              <w:rPr>
                <w:sz w:val="4"/>
                <w:szCs w:val="4"/>
              </w:rPr>
            </w:r>
          </w:p>
        </w:tc>
        <w:tc>
          <w:tcPr>
            <w:tcW w:w="2026" w:type="dxa"/>
            <w:gridSpan w:val="2"/>
            <w:tcBorders/>
            <w:vAlign w:val="center"/>
          </w:tcPr>
          <w:p>
            <w:pPr>
              <w:pStyle w:val="TableContents"/>
              <w:bidi w:val="0"/>
              <w:spacing w:before="0" w:after="283"/>
              <w:jc w:val="left"/>
              <w:rPr>
                <w:sz w:val="4"/>
                <w:szCs w:val="4"/>
              </w:rPr>
            </w:pPr>
            <w:r>
              <w:rPr>
                <w:sz w:val="4"/>
                <w:szCs w:val="4"/>
              </w:rPr>
            </w:r>
          </w:p>
        </w:tc>
      </w:tr>
      <w:tr>
        <w:trPr/>
        <w:tc>
          <w:tcPr>
            <w:tcW w:w="2482"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Justine F. Page</w:t>
            </w:r>
          </w:p>
          <w:p>
            <w:pPr>
              <w:pStyle w:val="TableContents"/>
              <w:bidi w:val="0"/>
              <w:spacing w:before="0" w:after="20"/>
              <w:jc w:val="center"/>
              <w:rPr>
                <w:rFonts w:ascii="Times New Roman" w:hAnsi="Times New Roman"/>
                <w:sz w:val="20"/>
              </w:rPr>
            </w:pPr>
            <w:r>
              <w:rPr>
                <w:rFonts w:ascii="Times New Roman" w:hAnsi="Times New Roman"/>
                <w:sz w:val="20"/>
              </w:rPr>
              <w:t>Justine F. Page</w:t>
            </w:r>
          </w:p>
        </w:tc>
        <w:tc>
          <w:tcPr>
            <w:tcW w:w="96" w:type="dxa"/>
            <w:tcBorders/>
            <w:vAlign w:val="bottom"/>
          </w:tcPr>
          <w:p>
            <w:pPr>
              <w:pStyle w:val="TableContents"/>
              <w:bidi w:val="0"/>
              <w:spacing w:before="0" w:after="283"/>
              <w:jc w:val="left"/>
              <w:rPr/>
            </w:pPr>
            <w:r>
              <w:rPr/>
              <w:t> </w:t>
            </w:r>
          </w:p>
        </w:tc>
        <w:tc>
          <w:tcPr>
            <w:tcW w:w="5601" w:type="dxa"/>
            <w:tcBorders/>
          </w:tcPr>
          <w:p>
            <w:pPr>
              <w:pStyle w:val="TableContents"/>
              <w:bidi w:val="0"/>
              <w:spacing w:before="0" w:after="283"/>
              <w:jc w:val="center"/>
              <w:rPr/>
            </w:pPr>
            <w:r>
              <w:rPr/>
              <w:t>Director</w:t>
            </w:r>
          </w:p>
        </w:tc>
        <w:tc>
          <w:tcPr>
            <w:tcW w:w="96" w:type="dxa"/>
            <w:tcBorders/>
            <w:vAlign w:val="bottom"/>
          </w:tcPr>
          <w:p>
            <w:pPr>
              <w:pStyle w:val="TableContents"/>
              <w:bidi w:val="0"/>
              <w:spacing w:before="0" w:after="283"/>
              <w:jc w:val="left"/>
              <w:rPr/>
            </w:pPr>
            <w:r>
              <w:rPr/>
              <w:t> </w:t>
            </w:r>
          </w:p>
        </w:tc>
        <w:tc>
          <w:tcPr>
            <w:tcW w:w="1930" w:type="dxa"/>
            <w:tcBorders/>
          </w:tcPr>
          <w:p>
            <w:pPr>
              <w:pStyle w:val="TableContents"/>
              <w:bidi w:val="0"/>
              <w:spacing w:before="0" w:after="283"/>
              <w:jc w:val="center"/>
              <w:rPr/>
            </w:pPr>
            <w:r>
              <w:rPr/>
              <w:t>September 10, 2026</w:t>
            </w:r>
          </w:p>
        </w:tc>
      </w:tr>
      <w:tr>
        <w:trPr>
          <w:trHeight w:val="240" w:hRule="atLeast"/>
        </w:trPr>
        <w:tc>
          <w:tcPr>
            <w:tcW w:w="2482" w:type="dxa"/>
            <w:tcBorders/>
            <w:vAlign w:val="center"/>
          </w:tcPr>
          <w:p>
            <w:pPr>
              <w:pStyle w:val="TableContents"/>
              <w:bidi w:val="0"/>
              <w:spacing w:before="0" w:after="283"/>
              <w:jc w:val="left"/>
              <w:rPr>
                <w:sz w:val="4"/>
                <w:szCs w:val="4"/>
              </w:rPr>
            </w:pPr>
            <w:r>
              <w:rPr>
                <w:sz w:val="4"/>
                <w:szCs w:val="4"/>
              </w:rPr>
            </w:r>
          </w:p>
        </w:tc>
        <w:tc>
          <w:tcPr>
            <w:tcW w:w="5697" w:type="dxa"/>
            <w:gridSpan w:val="2"/>
            <w:tcBorders/>
            <w:vAlign w:val="center"/>
          </w:tcPr>
          <w:p>
            <w:pPr>
              <w:pStyle w:val="TableContents"/>
              <w:bidi w:val="0"/>
              <w:spacing w:before="0" w:after="283"/>
              <w:jc w:val="left"/>
              <w:rPr>
                <w:sz w:val="4"/>
                <w:szCs w:val="4"/>
              </w:rPr>
            </w:pPr>
            <w:r>
              <w:rPr>
                <w:sz w:val="4"/>
                <w:szCs w:val="4"/>
              </w:rPr>
            </w:r>
          </w:p>
        </w:tc>
        <w:tc>
          <w:tcPr>
            <w:tcW w:w="2026" w:type="dxa"/>
            <w:gridSpan w:val="2"/>
            <w:tcBorders/>
            <w:vAlign w:val="center"/>
          </w:tcPr>
          <w:p>
            <w:pPr>
              <w:pStyle w:val="TableContents"/>
              <w:bidi w:val="0"/>
              <w:spacing w:before="0" w:after="283"/>
              <w:jc w:val="left"/>
              <w:rPr>
                <w:sz w:val="4"/>
                <w:szCs w:val="4"/>
              </w:rPr>
            </w:pPr>
            <w:r>
              <w:rPr>
                <w:sz w:val="4"/>
                <w:szCs w:val="4"/>
              </w:rPr>
            </w:r>
          </w:p>
        </w:tc>
      </w:tr>
      <w:tr>
        <w:trPr/>
        <w:tc>
          <w:tcPr>
            <w:tcW w:w="2482"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Henry Samueli</w:t>
            </w:r>
          </w:p>
          <w:p>
            <w:pPr>
              <w:pStyle w:val="TableContents"/>
              <w:bidi w:val="0"/>
              <w:spacing w:before="0" w:after="20"/>
              <w:jc w:val="center"/>
              <w:rPr>
                <w:rFonts w:ascii="Times New Roman" w:hAnsi="Times New Roman"/>
                <w:sz w:val="20"/>
              </w:rPr>
            </w:pPr>
            <w:r>
              <w:rPr>
                <w:rFonts w:ascii="Times New Roman" w:hAnsi="Times New Roman"/>
                <w:sz w:val="20"/>
              </w:rPr>
              <w:t>Henry Samueli</w:t>
            </w:r>
          </w:p>
        </w:tc>
        <w:tc>
          <w:tcPr>
            <w:tcW w:w="96" w:type="dxa"/>
            <w:tcBorders/>
            <w:vAlign w:val="bottom"/>
          </w:tcPr>
          <w:p>
            <w:pPr>
              <w:pStyle w:val="TableContents"/>
              <w:bidi w:val="0"/>
              <w:spacing w:before="0" w:after="283"/>
              <w:jc w:val="left"/>
              <w:rPr/>
            </w:pPr>
            <w:r>
              <w:rPr/>
              <w:t> </w:t>
            </w:r>
          </w:p>
        </w:tc>
        <w:tc>
          <w:tcPr>
            <w:tcW w:w="5601" w:type="dxa"/>
            <w:tcBorders/>
          </w:tcPr>
          <w:p>
            <w:pPr>
              <w:pStyle w:val="TableContents"/>
              <w:bidi w:val="0"/>
              <w:spacing w:before="0" w:after="283"/>
              <w:jc w:val="center"/>
              <w:rPr/>
            </w:pPr>
            <w:r>
              <w:rPr/>
              <w:t>Director</w:t>
            </w:r>
          </w:p>
        </w:tc>
        <w:tc>
          <w:tcPr>
            <w:tcW w:w="96" w:type="dxa"/>
            <w:tcBorders/>
            <w:vAlign w:val="bottom"/>
          </w:tcPr>
          <w:p>
            <w:pPr>
              <w:pStyle w:val="TableContents"/>
              <w:bidi w:val="0"/>
              <w:spacing w:before="0" w:after="283"/>
              <w:jc w:val="left"/>
              <w:rPr/>
            </w:pPr>
            <w:r>
              <w:rPr/>
              <w:t> </w:t>
            </w:r>
          </w:p>
        </w:tc>
        <w:tc>
          <w:tcPr>
            <w:tcW w:w="1930" w:type="dxa"/>
            <w:tcBorders/>
          </w:tcPr>
          <w:p>
            <w:pPr>
              <w:pStyle w:val="TableContents"/>
              <w:bidi w:val="0"/>
              <w:spacing w:before="0" w:after="283"/>
              <w:jc w:val="center"/>
              <w:rPr/>
            </w:pPr>
            <w:r>
              <w:rPr/>
              <w:t>September 10, 2026</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II-5 </w:t>
      </w:r>
    </w:p>
    <w:p>
      <w:pPr>
        <w:pStyle w:val="TextBody"/>
        <w:bidi w:val="0"/>
        <w:spacing w:before="0" w:after="0"/>
        <w:jc w:val="right"/>
        <w:rPr>
          <w:rFonts w:ascii="Times New Roman" w:hAnsi="Times New Roman"/>
          <w:b/>
          <w:sz w:val="20"/>
        </w:rPr>
      </w:pPr>
      <w:bookmarkStart w:id="18" w:name="d154803dex51.htm"/>
      <w:bookmarkStart w:id="19" w:name="ksd154803dex51"/>
      <w:bookmarkEnd w:id="18"/>
      <w:bookmarkEnd w:id="19"/>
      <w:r>
        <w:rPr>
          <w:rFonts w:ascii="Times New Roman" w:hAnsi="Times New Roman"/>
          <w:b/>
          <w:sz w:val="20"/>
        </w:rPr>
        <w:t xml:space="preserve">Exhibit 5.1 </w:t>
      </w:r>
      <w:r>
        <w:br w:type="page"/>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Letterhead of Wachtell, Lipton, Rosen</w:t>
      </w:r>
      <w:r>
        <w:rPr>
          <w:rFonts w:ascii="Times New Roman" w:hAnsi="Times New Roman"/>
          <w:sz w:val="20"/>
        </w:rPr>
        <w:t> </w:t>
      </w:r>
      <w:r>
        <w:rPr>
          <w:rFonts w:ascii="Times New Roman" w:hAnsi="Times New Roman"/>
          <w:i/>
          <w:sz w:val="20"/>
        </w:rPr>
        <w:t>&amp; Katz</w:t>
      </w:r>
      <w:r>
        <w:rPr>
          <w:rFonts w:ascii="Times New Roman" w:hAnsi="Times New Roman"/>
          <w:sz w:val="20"/>
        </w:rPr>
        <w:t xml:space="preserve">] </w:t>
      </w:r>
    </w:p>
    <w:p>
      <w:pPr>
        <w:pStyle w:val="TextBody"/>
        <w:bidi w:val="0"/>
        <w:spacing w:before="120" w:after="0"/>
        <w:jc w:val="center"/>
        <w:rPr>
          <w:rFonts w:ascii="Times New Roman" w:hAnsi="Times New Roman"/>
          <w:sz w:val="20"/>
        </w:rPr>
      </w:pPr>
      <w:r>
        <w:rPr>
          <w:rFonts w:ascii="Times New Roman" w:hAnsi="Times New Roman"/>
          <w:sz w:val="20"/>
        </w:rPr>
        <w:t xml:space="preserve">September 10, 2026 </w:t>
      </w:r>
    </w:p>
    <w:p>
      <w:pPr>
        <w:pStyle w:val="TextBody"/>
        <w:bidi w:val="0"/>
        <w:spacing w:before="240" w:after="0"/>
        <w:jc w:val="left"/>
        <w:rPr>
          <w:rFonts w:ascii="Times New Roman" w:hAnsi="Times New Roman"/>
          <w:sz w:val="20"/>
        </w:rPr>
      </w:pPr>
      <w:r>
        <w:rPr>
          <w:rFonts w:ascii="Times New Roman" w:hAnsi="Times New Roman"/>
          <w:sz w:val="20"/>
        </w:rPr>
        <w:t xml:space="preserve">BROADCOM INC. </w:t>
      </w:r>
    </w:p>
    <w:p>
      <w:pPr>
        <w:pStyle w:val="TextBody"/>
        <w:bidi w:val="0"/>
        <w:spacing w:before="0" w:after="0"/>
        <w:jc w:val="left"/>
        <w:rPr>
          <w:rFonts w:ascii="Times New Roman" w:hAnsi="Times New Roman"/>
          <w:sz w:val="20"/>
        </w:rPr>
      </w:pPr>
      <w:r>
        <w:rPr>
          <w:rFonts w:ascii="Times New Roman" w:hAnsi="Times New Roman"/>
          <w:sz w:val="20"/>
        </w:rPr>
        <w:t xml:space="preserve">3421 Hillview Avenue </w:t>
      </w:r>
    </w:p>
    <w:p>
      <w:pPr>
        <w:pStyle w:val="TextBody"/>
        <w:bidi w:val="0"/>
        <w:spacing w:before="0" w:after="0"/>
        <w:jc w:val="left"/>
        <w:rPr>
          <w:rFonts w:ascii="Times New Roman" w:hAnsi="Times New Roman"/>
          <w:sz w:val="20"/>
        </w:rPr>
      </w:pPr>
      <w:r>
        <w:rPr>
          <w:rFonts w:ascii="Times New Roman" w:hAnsi="Times New Roman"/>
          <w:sz w:val="20"/>
        </w:rPr>
        <w:t xml:space="preserve">Palo Alto, California 94304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We have acted as special counsel to Broadcom Inc., a Delaware corporation (the “</w:t>
      </w:r>
      <w:r>
        <w:rPr>
          <w:rFonts w:ascii="Times New Roman" w:hAnsi="Times New Roman"/>
          <w:b/>
          <w:sz w:val="20"/>
        </w:rPr>
        <w:t>Company</w:t>
      </w:r>
      <w:r>
        <w:rPr>
          <w:rFonts w:ascii="Times New Roman" w:hAnsi="Times New Roman"/>
          <w:sz w:val="20"/>
        </w:rPr>
        <w:t>”), in connection with the registration, pursuant to a registration statement on Form S-4 (the “</w:t>
      </w:r>
      <w:r>
        <w:rPr>
          <w:rFonts w:ascii="Times New Roman" w:hAnsi="Times New Roman"/>
          <w:b/>
          <w:sz w:val="20"/>
        </w:rPr>
        <w:t>Registration Statement</w:t>
      </w:r>
      <w:r>
        <w:rPr>
          <w:rFonts w:ascii="Times New Roman" w:hAnsi="Times New Roman"/>
          <w:sz w:val="20"/>
        </w:rPr>
        <w:t>”), initially filed by the Company with the U.S. Securities and Exchange Commission under the U.S. Securities Act of 1933, as amended (the “</w:t>
      </w:r>
      <w:r>
        <w:rPr>
          <w:rFonts w:ascii="Times New Roman" w:hAnsi="Times New Roman"/>
          <w:b/>
          <w:sz w:val="20"/>
        </w:rPr>
        <w:t>Act</w:t>
      </w:r>
      <w:r>
        <w:rPr>
          <w:rFonts w:ascii="Times New Roman" w:hAnsi="Times New Roman"/>
          <w:sz w:val="20"/>
        </w:rPr>
        <w:t>”), on September 10, 2026 relating to the proposed offer by the Company to exchange (the “</w:t>
      </w:r>
      <w:r>
        <w:rPr>
          <w:rFonts w:ascii="Times New Roman" w:hAnsi="Times New Roman"/>
          <w:b/>
          <w:sz w:val="20"/>
        </w:rPr>
        <w:t>Exchange Offer</w:t>
      </w:r>
      <w:r>
        <w:rPr>
          <w:rFonts w:ascii="Times New Roman" w:hAnsi="Times New Roman"/>
          <w:sz w:val="20"/>
        </w:rPr>
        <w:t>”) an aggregate principal amount of up to $654,004,000 of the Company’s outstanding 4.926% Senior Notes due 2037 (the “</w:t>
      </w:r>
      <w:r>
        <w:rPr>
          <w:rFonts w:ascii="Times New Roman" w:hAnsi="Times New Roman"/>
          <w:b/>
          <w:sz w:val="20"/>
        </w:rPr>
        <w:t>Old Notes</w:t>
      </w:r>
      <w:r>
        <w:rPr>
          <w:rFonts w:ascii="Times New Roman" w:hAnsi="Times New Roman"/>
          <w:sz w:val="20"/>
        </w:rPr>
        <w:t>”) for an equal principal amount of the Company’s registered 4.926% Senior Notes due 2037 (the “</w:t>
      </w:r>
      <w:r>
        <w:rPr>
          <w:rFonts w:ascii="Times New Roman" w:hAnsi="Times New Roman"/>
          <w:b/>
          <w:sz w:val="20"/>
        </w:rPr>
        <w:t>Exchange Notes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The Old Notes were issued, and the Exchange Notes will be issued, under the indenture, dated as of April 18, 2022 (the “</w:t>
      </w:r>
      <w:r>
        <w:rPr>
          <w:rFonts w:ascii="Times New Roman" w:hAnsi="Times New Roman"/>
          <w:b/>
          <w:sz w:val="20"/>
        </w:rPr>
        <w:t>Indenture</w:t>
      </w:r>
      <w:r>
        <w:rPr>
          <w:rFonts w:ascii="Times New Roman" w:hAnsi="Times New Roman"/>
          <w:sz w:val="20"/>
        </w:rPr>
        <w:t>”), by and between the Company and Wilmington Trust, National Association, as trustee (the “</w:t>
      </w:r>
      <w:r>
        <w:rPr>
          <w:rFonts w:ascii="Times New Roman" w:hAnsi="Times New Roman"/>
          <w:b/>
          <w:sz w:val="20"/>
        </w:rPr>
        <w:t>Trustee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is proposing the Exchange Offer in accordance with the terms of a Registration Rights Agreement with respect to the Old Notes, by and among the Company and Barclays Capital Inc., BBVA Securities Inc., BNP Paribas Securities Corp. and J.P. Morgan Securities LLC, as dealer managers, dated as of April 18, 2022. </w:t>
      </w:r>
    </w:p>
    <w:p>
      <w:pPr>
        <w:pStyle w:val="TextBody"/>
        <w:bidi w:val="0"/>
        <w:spacing w:before="240" w:after="0"/>
        <w:jc w:val="left"/>
        <w:rPr>
          <w:rFonts w:ascii="Times New Roman" w:hAnsi="Times New Roman"/>
          <w:sz w:val="20"/>
        </w:rPr>
      </w:pPr>
      <w:r>
        <w:rPr>
          <w:rFonts w:ascii="Times New Roman" w:hAnsi="Times New Roman"/>
          <w:sz w:val="20"/>
        </w:rPr>
        <w:t>We have examined and relied on originals or copies certified or otherwise identified to our satisfaction of such documents, corporate records, certificates of the Company and public officials and other instruments as we have deemed necessary or appropriate for the purposes of this letter, including (a) the Registration Statement; (b) the Indenture; (c) the forms of the Exchange Notes; (d) a copy of the Amended and Restated Certificate of Incorporation of the Company, as amended, and a copy of the Amended and Restated Bylaws of the Company, each as set forth in the certificate of the Secretary of the Company, dated September 10, 2026; (e) minutes and resolutions of the Board of Directors of the Company relating to the issuance of the Exchange Notes; and (f) such other corporate records, certificates and other documents and such matters of law, in each case, as we have deemed necessary or appropriate. In such examination, we have assumed (i) the authenticity of original documents and the genuineness of all signatures; (ii) the conformity to the originals of all documents submitted to us as copies; and (iii) the truth, accuracy and completeness of the information, representations and warranties contained in the agreements, records, documents, instruments and certificates we have reviewed. We have assumed that the terms of the Exchange Notes have been established so as not to, and that the execution and delivery by the parties thereto and the performance of such parties’ obligations under the Exchange Notes will not, breach, contravene, violate, conflict with or constitute a default under (1) any law, rule or regulation to which any party thereto is subject (excepting the laws of the State of New York, the General Corporation Law of the State of Delaware (the “</w:t>
      </w:r>
      <w:r>
        <w:rPr>
          <w:rFonts w:ascii="Times New Roman" w:hAnsi="Times New Roman"/>
          <w:b/>
          <w:sz w:val="20"/>
        </w:rPr>
        <w:t>DGCL</w:t>
      </w:r>
      <w:r>
        <w:rPr>
          <w:rFonts w:ascii="Times New Roman" w:hAnsi="Times New Roman"/>
          <w:sz w:val="20"/>
        </w:rPr>
        <w:t xml:space="preserve">”) and the federal securities laws of the United States of America as such laws apply to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2524125" cy="1333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26"/>
                    <a:stretch>
                      <a:fillRect/>
                    </a:stretch>
                  </pic:blipFill>
                  <pic:spPr bwMode="auto">
                    <a:xfrm>
                      <a:off x="0" y="0"/>
                      <a:ext cx="2524125" cy="133350"/>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BROADCOM INC. </w:t>
      </w:r>
    </w:p>
    <w:p>
      <w:pPr>
        <w:pStyle w:val="TextBody"/>
        <w:bidi w:val="0"/>
        <w:spacing w:before="0" w:after="0"/>
        <w:jc w:val="left"/>
        <w:rPr>
          <w:rFonts w:ascii="Times New Roman" w:hAnsi="Times New Roman"/>
          <w:sz w:val="20"/>
        </w:rPr>
      </w:pPr>
      <w:r>
        <w:rPr>
          <w:rFonts w:ascii="Times New Roman" w:hAnsi="Times New Roman"/>
          <w:sz w:val="20"/>
        </w:rPr>
        <w:t xml:space="preserve">September 10, 2026 </w:t>
      </w:r>
    </w:p>
    <w:p>
      <w:pPr>
        <w:pStyle w:val="TextBody"/>
        <w:bidi w:val="0"/>
        <w:spacing w:before="0" w:after="0"/>
        <w:jc w:val="left"/>
        <w:rPr>
          <w:rFonts w:ascii="Times New Roman" w:hAnsi="Times New Roman"/>
          <w:sz w:val="20"/>
        </w:rPr>
      </w:pPr>
      <w:r>
        <w:rPr>
          <w:rFonts w:ascii="Times New Roman" w:hAnsi="Times New Roman"/>
          <w:sz w:val="20"/>
        </w:rPr>
        <w:t xml:space="preserve">Page 2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Company); (2) any judicial or regulatory order or decree of any governmental authority; or (3) any consent, approval, license, authorization or validation of, or filing, recording or registration with any governmental authority. We also have assumed that the Indenture and the Exchange Notes are the valid and legally binding obligation of the Trustee. As to any facts material to the opinion expressed herein that we did not independently establish or verify, we have relied upon statements and representations of officers and other representatives of the Company and others. We have further assumed the legal capacity of all natural persons, the genuineness of all signatures, the authenticity of all documents submitted to us as originals, the conformity to original documents of all documents submitted to us as certified, facsimile, conformed, electronic or photostatic copies, and the authenticity of the originals of such copies. </w:t>
      </w:r>
    </w:p>
    <w:p>
      <w:pPr>
        <w:pStyle w:val="TextBody"/>
        <w:bidi w:val="0"/>
        <w:spacing w:before="240" w:after="0"/>
        <w:jc w:val="left"/>
        <w:rPr>
          <w:rFonts w:ascii="Times New Roman" w:hAnsi="Times New Roman"/>
          <w:sz w:val="20"/>
        </w:rPr>
      </w:pPr>
      <w:r>
        <w:rPr>
          <w:rFonts w:ascii="Times New Roman" w:hAnsi="Times New Roman"/>
          <w:sz w:val="20"/>
        </w:rPr>
        <w:t xml:space="preserve">We are members of the Bar of the State of New York, and we have not considered, and we express no opinion as to, the laws of any jurisdiction other than the laws of the State of New York, the DGCL (including the statutory provisions and all applicable provisions of the Delaware Constitution and reported judicial decisions interpreting these laws) and the federal securities laws of the United States of America, in each case as in effect on the date hereof. </w:t>
      </w:r>
    </w:p>
    <w:p>
      <w:pPr>
        <w:pStyle w:val="TextBody"/>
        <w:bidi w:val="0"/>
        <w:spacing w:before="240" w:after="0"/>
        <w:jc w:val="left"/>
        <w:rPr>
          <w:rFonts w:ascii="Times New Roman" w:hAnsi="Times New Roman"/>
          <w:sz w:val="20"/>
        </w:rPr>
      </w:pPr>
      <w:r>
        <w:rPr>
          <w:rFonts w:ascii="Times New Roman" w:hAnsi="Times New Roman"/>
          <w:sz w:val="20"/>
        </w:rPr>
        <w:t xml:space="preserve">Based upon the foregoing, and subject to the assumptions, limitations, qualifications, exceptions and comments set forth in this letter, we advise you that, in our opinion, when (i) the Registration Statement has become effective under the Act, (ii) the Old Notes have been exchanged in the manner described in the prospectus forming a part of the Registration Statement, (iii) the Exchange Notes have been duly executed, authenticated, issued and delivered by the Company in accordance with the terms of the Indenture against receipt of the Old Notes surrendered in exchange therefor, (iv) the Indenture has been duly qualified under the Trust Indenture Act of 1939, as amended, and (v) applicable provisions of “blue sky” laws have been complied with, the Exchange Notes proposed to be issued pursuant to the Exchange Offer will constitute valid and legally binding obligations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opinion set forth above is subject to the effects of (a) bankruptcy, insolvency, fraudulent conveyance, reorganization, moratorium and other similar laws relating to or affecting the enforcement of creditors’ rights generally; (b) general equitable principles (whether considered in a proceeding in equity or at law); (c) an implied covenant of good faith and fair dealing; (d) provisions of law that require that a judgment for money damages rendered by a court in the United States be expressed only in United States dollars; (e) limitations by any governmental authority that limit, delay or prohibit the making of payments outside the United States; and (f) generally applicable laws that (i) provide for the enforcement of oral waivers or modifications where a material change of position in reliance thereon has occurred or provide that a course of performance may operate as a waiver, (ii) limit the availability of a remedy under certain circumstances where another remedy has been elected, (iii) limit the enforceability of provisions releasing, exculpating or exempting a party from, or requiring indemnification of a party for, liability for its own action or inaction, to the extent the action or inaction involves negligence, gross negligence, recklessness, willful misconduct or unlawful conduct, (iv) may, where less than all of a contract may be unenforceable, limit the enforceability of the balance of the contract to circumstances in which the unenforceable portion is not an essential part of the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2524125" cy="1333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27"/>
                    <a:stretch>
                      <a:fillRect/>
                    </a:stretch>
                  </pic:blipFill>
                  <pic:spPr bwMode="auto">
                    <a:xfrm>
                      <a:off x="0" y="0"/>
                      <a:ext cx="2524125" cy="133350"/>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BROADCOM INC. </w:t>
      </w:r>
    </w:p>
    <w:p>
      <w:pPr>
        <w:pStyle w:val="TextBody"/>
        <w:bidi w:val="0"/>
        <w:spacing w:before="0" w:after="0"/>
        <w:jc w:val="left"/>
        <w:rPr>
          <w:rFonts w:ascii="Times New Roman" w:hAnsi="Times New Roman"/>
          <w:sz w:val="20"/>
        </w:rPr>
      </w:pPr>
      <w:r>
        <w:rPr>
          <w:rFonts w:ascii="Times New Roman" w:hAnsi="Times New Roman"/>
          <w:sz w:val="20"/>
        </w:rPr>
        <w:t xml:space="preserve">September 10, 2026 </w:t>
      </w:r>
    </w:p>
    <w:p>
      <w:pPr>
        <w:pStyle w:val="TextBody"/>
        <w:bidi w:val="0"/>
        <w:spacing w:before="0" w:after="0"/>
        <w:jc w:val="left"/>
        <w:rPr>
          <w:rFonts w:ascii="Times New Roman" w:hAnsi="Times New Roman"/>
          <w:sz w:val="20"/>
        </w:rPr>
      </w:pPr>
      <w:r>
        <w:rPr>
          <w:rFonts w:ascii="Times New Roman" w:hAnsi="Times New Roman"/>
          <w:sz w:val="20"/>
        </w:rPr>
        <w:t xml:space="preserve">Page 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agreed-upon exchange, (v) may limit the enforceability of provisions providing for compounded interest, imposing increased interest rates or late payment charges upon delinquency in payment or default or providing for liquidated damages or for premiums upon acceleration, or (vi) limit the waiver of rights under usury laws. Furthermore, the manner in which any particular issue relating to the opinions would be treated in any actual court case would depend in part on facts and circumstances particular to the case and would also depend on how the court involved chose to exercise the wide discretionary authority generally available to it. We express no opinion as to the effect of Section 210(p) of the Dodd-Frank Wall Street Reform and Consumer Protection Act of 2010, as amended. </w:t>
      </w:r>
    </w:p>
    <w:p>
      <w:pPr>
        <w:pStyle w:val="TextBody"/>
        <w:bidi w:val="0"/>
        <w:spacing w:before="240" w:after="0"/>
        <w:jc w:val="left"/>
        <w:rPr>
          <w:rFonts w:ascii="Times New Roman" w:hAnsi="Times New Roman"/>
          <w:sz w:val="20"/>
        </w:rPr>
      </w:pPr>
      <w:r>
        <w:rPr>
          <w:rFonts w:ascii="Times New Roman" w:hAnsi="Times New Roman"/>
          <w:sz w:val="20"/>
        </w:rPr>
        <w:t xml:space="preserve">We express no opinion as to whether, or the extent to which, the laws of any particular jurisdiction apply to the subject matter hereof, including, without limitation, the enforceability of the governing law provisions contained in the Exchange Notes and the Indenture. We express no opinion as to the ability of another court, federal or state, to accept jurisdiction and/or venue in the event the chosen court is unavailable for any reason, including, without limitation, natural disaster, act of God, human health or safety reasons or otherwise (including a pandemic). </w:t>
      </w:r>
    </w:p>
    <w:p>
      <w:pPr>
        <w:pStyle w:val="TextBody"/>
        <w:bidi w:val="0"/>
        <w:spacing w:before="240" w:after="0"/>
        <w:jc w:val="left"/>
        <w:rPr>
          <w:rFonts w:ascii="Times New Roman" w:hAnsi="Times New Roman"/>
          <w:sz w:val="20"/>
        </w:rPr>
      </w:pPr>
      <w:r>
        <w:rPr>
          <w:rFonts w:ascii="Times New Roman" w:hAnsi="Times New Roman"/>
          <w:sz w:val="20"/>
        </w:rPr>
        <w:t xml:space="preserve">This letter speaks only as of its date and is delivered in accordance with the requirements of Item 601(b)(5) of Regulation S-K under the Act. We hereby consent to the filing of a copy of this letter as an exhibit to the Registration Statement, and to the use of our name in the prospectus forming a part of the Registration Statement under the caption “Legal Matters.” In giving this consent, we do not thereby admit that we are within the category of persons whose consent is required under Section 7 of the Act.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Very truly yours,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 Wachtell, Lipton, Rosen &amp; Katz</w:t>
            </w:r>
          </w:p>
        </w:tc>
      </w:tr>
    </w:tbl>
    <w:p>
      <w:pPr>
        <w:pStyle w:val="TextBody"/>
        <w:bidi w:val="0"/>
        <w:spacing w:before="0" w:after="0"/>
        <w:jc w:val="right"/>
        <w:rPr>
          <w:rFonts w:ascii="Times New Roman" w:hAnsi="Times New Roman"/>
          <w:b/>
          <w:sz w:val="20"/>
        </w:rPr>
      </w:pPr>
      <w:bookmarkStart w:id="20" w:name="d154803dex211.htm"/>
      <w:bookmarkStart w:id="21" w:name="ksd154803dex211"/>
      <w:bookmarkEnd w:id="20"/>
      <w:bookmarkEnd w:id="21"/>
      <w:r>
        <w:rPr>
          <w:rFonts w:ascii="Times New Roman" w:hAnsi="Times New Roman"/>
          <w:b/>
          <w:sz w:val="20"/>
        </w:rPr>
        <w:t xml:space="preserve">EXHIBIT 21.1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List of Significant Subsidiaries </w:t>
      </w:r>
    </w:p>
    <w:p>
      <w:pPr>
        <w:pStyle w:val="TextBody"/>
        <w:bidi w:val="0"/>
        <w:spacing w:before="120" w:after="0"/>
        <w:jc w:val="center"/>
        <w:rPr>
          <w:rFonts w:ascii="Times New Roman" w:hAnsi="Times New Roman"/>
          <w:b/>
          <w:sz w:val="20"/>
        </w:rPr>
      </w:pPr>
      <w:r>
        <w:rPr>
          <w:rFonts w:ascii="Times New Roman" w:hAnsi="Times New Roman"/>
          <w:b/>
          <w:sz w:val="20"/>
        </w:rPr>
        <w:t xml:space="preserve">As of August 2, 2026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477"/>
        <w:gridCol w:w="120"/>
        <w:gridCol w:w="3608"/>
      </w:tblGrid>
      <w:tr>
        <w:trPr/>
        <w:tc>
          <w:tcPr>
            <w:tcW w:w="647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608" w:type="dxa"/>
            <w:tcBorders/>
            <w:vAlign w:val="center"/>
          </w:tcPr>
          <w:p>
            <w:pPr>
              <w:pStyle w:val="TableContents"/>
              <w:bidi w:val="0"/>
              <w:spacing w:before="0" w:after="283"/>
              <w:jc w:val="left"/>
              <w:rPr>
                <w:sz w:val="4"/>
                <w:szCs w:val="4"/>
              </w:rPr>
            </w:pPr>
            <w:r>
              <w:rPr>
                <w:sz w:val="4"/>
                <w:szCs w:val="4"/>
              </w:rPr>
            </w:r>
          </w:p>
        </w:tc>
      </w:tr>
      <w:tr>
        <w:trPr/>
        <w:tc>
          <w:tcPr>
            <w:tcW w:w="6477" w:type="dxa"/>
            <w:tcBorders/>
            <w:vAlign w:val="bottom"/>
          </w:tcPr>
          <w:p>
            <w:pPr>
              <w:pStyle w:val="TableContents"/>
              <w:pBdr>
                <w:bottom w:val="single" w:sz="8" w:space="1" w:color="000000"/>
              </w:pBdr>
              <w:bidi w:val="0"/>
              <w:spacing w:before="0" w:after="0"/>
              <w:jc w:val="left"/>
              <w:rPr>
                <w:rFonts w:ascii="Times New Roman" w:hAnsi="Times New Roman"/>
                <w:b/>
                <w:sz w:val="20"/>
              </w:rPr>
            </w:pPr>
            <w:r>
              <w:rPr>
                <w:rFonts w:ascii="Times New Roman" w:hAnsi="Times New Roman"/>
                <w:b/>
                <w:sz w:val="20"/>
              </w:rPr>
              <w:t>Name of Subsidiary</w:t>
            </w:r>
          </w:p>
        </w:tc>
        <w:tc>
          <w:tcPr>
            <w:tcW w:w="120" w:type="dxa"/>
            <w:tcBorders/>
            <w:vAlign w:val="bottom"/>
          </w:tcPr>
          <w:p>
            <w:pPr>
              <w:pStyle w:val="TableContents"/>
              <w:bidi w:val="0"/>
              <w:spacing w:before="0" w:after="283"/>
              <w:jc w:val="left"/>
              <w:rPr/>
            </w:pPr>
            <w:r>
              <w:rPr/>
              <w:t>  </w:t>
            </w:r>
          </w:p>
        </w:tc>
        <w:tc>
          <w:tcPr>
            <w:tcW w:w="3608" w:type="dxa"/>
            <w:tcBorders/>
            <w:vAlign w:val="bottom"/>
          </w:tcPr>
          <w:p>
            <w:pPr>
              <w:pStyle w:val="TableContents"/>
              <w:pBdr>
                <w:bottom w:val="single" w:sz="8" w:space="1" w:color="000000"/>
              </w:pBdr>
              <w:bidi w:val="0"/>
              <w:spacing w:before="0" w:after="0"/>
              <w:jc w:val="left"/>
              <w:rPr>
                <w:rFonts w:ascii="Times New Roman" w:hAnsi="Times New Roman"/>
                <w:b/>
                <w:sz w:val="20"/>
              </w:rPr>
            </w:pPr>
            <w:r>
              <w:rPr>
                <w:rFonts w:ascii="Times New Roman" w:hAnsi="Times New Roman"/>
                <w:b/>
                <w:sz w:val="20"/>
              </w:rPr>
              <w:t>Country of Incorporation</w:t>
            </w:r>
          </w:p>
        </w:tc>
      </w:tr>
      <w:tr>
        <w:trPr>
          <w:trHeight w:val="75" w:hRule="atLeast"/>
        </w:trPr>
        <w:tc>
          <w:tcPr>
            <w:tcW w:w="6477" w:type="dxa"/>
            <w:tcBorders/>
            <w:vAlign w:val="center"/>
          </w:tcPr>
          <w:p>
            <w:pPr>
              <w:pStyle w:val="TableContents"/>
              <w:bidi w:val="0"/>
              <w:spacing w:before="0" w:after="283"/>
              <w:jc w:val="left"/>
              <w:rPr>
                <w:sz w:val="4"/>
                <w:szCs w:val="4"/>
              </w:rPr>
            </w:pPr>
            <w:r>
              <w:rPr>
                <w:sz w:val="4"/>
                <w:szCs w:val="4"/>
              </w:rPr>
            </w:r>
          </w:p>
        </w:tc>
        <w:tc>
          <w:tcPr>
            <w:tcW w:w="3728" w:type="dxa"/>
            <w:gridSpan w:val="2"/>
            <w:tcBorders/>
            <w:vAlign w:val="center"/>
          </w:tcPr>
          <w:p>
            <w:pPr>
              <w:pStyle w:val="TableContents"/>
              <w:bidi w:val="0"/>
              <w:spacing w:before="0" w:after="283"/>
              <w:jc w:val="left"/>
              <w:rPr>
                <w:sz w:val="4"/>
                <w:szCs w:val="4"/>
              </w:rPr>
            </w:pPr>
            <w:r>
              <w:rPr>
                <w:sz w:val="4"/>
                <w:szCs w:val="4"/>
              </w:rPr>
            </w:r>
          </w:p>
        </w:tc>
      </w:tr>
      <w:tr>
        <w:trPr/>
        <w:tc>
          <w:tcPr>
            <w:tcW w:w="6477" w:type="dxa"/>
            <w:tcBorders/>
          </w:tcPr>
          <w:p>
            <w:pPr>
              <w:pStyle w:val="TableContents"/>
              <w:bidi w:val="0"/>
              <w:spacing w:before="0" w:after="283"/>
              <w:jc w:val="left"/>
              <w:rPr/>
            </w:pPr>
            <w:r>
              <w:rPr/>
              <w:t>Avago Technologies International Sales Pte. Limited</w:t>
            </w:r>
          </w:p>
        </w:tc>
        <w:tc>
          <w:tcPr>
            <w:tcW w:w="120" w:type="dxa"/>
            <w:tcBorders/>
            <w:vAlign w:val="bottom"/>
          </w:tcPr>
          <w:p>
            <w:pPr>
              <w:pStyle w:val="TableContents"/>
              <w:bidi w:val="0"/>
              <w:spacing w:before="0" w:after="283"/>
              <w:jc w:val="left"/>
              <w:rPr/>
            </w:pPr>
            <w:r>
              <w:rPr/>
              <w:t>  </w:t>
            </w:r>
          </w:p>
        </w:tc>
        <w:tc>
          <w:tcPr>
            <w:tcW w:w="3608" w:type="dxa"/>
            <w:tcBorders/>
          </w:tcPr>
          <w:p>
            <w:pPr>
              <w:pStyle w:val="TableContents"/>
              <w:bidi w:val="0"/>
              <w:spacing w:before="0" w:after="283"/>
              <w:jc w:val="left"/>
              <w:rPr/>
            </w:pPr>
            <w:r>
              <w:rPr/>
              <w:t>Singapore</w:t>
            </w:r>
          </w:p>
        </w:tc>
      </w:tr>
      <w:tr>
        <w:trPr>
          <w:trHeight w:val="75" w:hRule="atLeast"/>
        </w:trPr>
        <w:tc>
          <w:tcPr>
            <w:tcW w:w="6477" w:type="dxa"/>
            <w:tcBorders/>
            <w:vAlign w:val="center"/>
          </w:tcPr>
          <w:p>
            <w:pPr>
              <w:pStyle w:val="TableContents"/>
              <w:bidi w:val="0"/>
              <w:spacing w:before="0" w:after="283"/>
              <w:jc w:val="left"/>
              <w:rPr>
                <w:sz w:val="4"/>
                <w:szCs w:val="4"/>
              </w:rPr>
            </w:pPr>
            <w:r>
              <w:rPr>
                <w:sz w:val="4"/>
                <w:szCs w:val="4"/>
              </w:rPr>
            </w:r>
          </w:p>
        </w:tc>
        <w:tc>
          <w:tcPr>
            <w:tcW w:w="3728" w:type="dxa"/>
            <w:gridSpan w:val="2"/>
            <w:tcBorders/>
            <w:vAlign w:val="center"/>
          </w:tcPr>
          <w:p>
            <w:pPr>
              <w:pStyle w:val="TableContents"/>
              <w:bidi w:val="0"/>
              <w:spacing w:before="0" w:after="283"/>
              <w:jc w:val="left"/>
              <w:rPr>
                <w:sz w:val="4"/>
                <w:szCs w:val="4"/>
              </w:rPr>
            </w:pPr>
            <w:r>
              <w:rPr>
                <w:sz w:val="4"/>
                <w:szCs w:val="4"/>
              </w:rPr>
            </w:r>
          </w:p>
        </w:tc>
      </w:tr>
      <w:tr>
        <w:trPr/>
        <w:tc>
          <w:tcPr>
            <w:tcW w:w="6477" w:type="dxa"/>
            <w:tcBorders/>
          </w:tcPr>
          <w:p>
            <w:pPr>
              <w:pStyle w:val="TableContents"/>
              <w:bidi w:val="0"/>
              <w:spacing w:before="0" w:after="283"/>
              <w:jc w:val="left"/>
              <w:rPr/>
            </w:pPr>
            <w:r>
              <w:rPr/>
              <w:t>Avago Technologies U.S. Inc.</w:t>
            </w:r>
          </w:p>
        </w:tc>
        <w:tc>
          <w:tcPr>
            <w:tcW w:w="120" w:type="dxa"/>
            <w:tcBorders/>
            <w:vAlign w:val="bottom"/>
          </w:tcPr>
          <w:p>
            <w:pPr>
              <w:pStyle w:val="TableContents"/>
              <w:bidi w:val="0"/>
              <w:spacing w:before="0" w:after="283"/>
              <w:jc w:val="left"/>
              <w:rPr/>
            </w:pPr>
            <w:r>
              <w:rPr/>
              <w:t>  </w:t>
            </w:r>
          </w:p>
        </w:tc>
        <w:tc>
          <w:tcPr>
            <w:tcW w:w="3608" w:type="dxa"/>
            <w:tcBorders/>
          </w:tcPr>
          <w:p>
            <w:pPr>
              <w:pStyle w:val="TableContents"/>
              <w:bidi w:val="0"/>
              <w:spacing w:before="0" w:after="283"/>
              <w:jc w:val="left"/>
              <w:rPr/>
            </w:pPr>
            <w:r>
              <w:rPr/>
              <w:t>Delaware (U.S.A.)</w:t>
            </w:r>
          </w:p>
        </w:tc>
      </w:tr>
      <w:tr>
        <w:trPr>
          <w:trHeight w:val="75" w:hRule="atLeast"/>
        </w:trPr>
        <w:tc>
          <w:tcPr>
            <w:tcW w:w="6477" w:type="dxa"/>
            <w:tcBorders/>
            <w:vAlign w:val="center"/>
          </w:tcPr>
          <w:p>
            <w:pPr>
              <w:pStyle w:val="TableContents"/>
              <w:bidi w:val="0"/>
              <w:spacing w:before="0" w:after="283"/>
              <w:jc w:val="left"/>
              <w:rPr>
                <w:sz w:val="4"/>
                <w:szCs w:val="4"/>
              </w:rPr>
            </w:pPr>
            <w:r>
              <w:rPr>
                <w:sz w:val="4"/>
                <w:szCs w:val="4"/>
              </w:rPr>
            </w:r>
          </w:p>
        </w:tc>
        <w:tc>
          <w:tcPr>
            <w:tcW w:w="3728" w:type="dxa"/>
            <w:gridSpan w:val="2"/>
            <w:tcBorders/>
            <w:vAlign w:val="center"/>
          </w:tcPr>
          <w:p>
            <w:pPr>
              <w:pStyle w:val="TableContents"/>
              <w:bidi w:val="0"/>
              <w:spacing w:before="0" w:after="283"/>
              <w:jc w:val="left"/>
              <w:rPr>
                <w:sz w:val="4"/>
                <w:szCs w:val="4"/>
              </w:rPr>
            </w:pPr>
            <w:r>
              <w:rPr>
                <w:sz w:val="4"/>
                <w:szCs w:val="4"/>
              </w:rPr>
            </w:r>
          </w:p>
        </w:tc>
      </w:tr>
      <w:tr>
        <w:trPr/>
        <w:tc>
          <w:tcPr>
            <w:tcW w:w="6477" w:type="dxa"/>
            <w:tcBorders/>
          </w:tcPr>
          <w:p>
            <w:pPr>
              <w:pStyle w:val="TableContents"/>
              <w:bidi w:val="0"/>
              <w:spacing w:before="0" w:after="283"/>
              <w:jc w:val="left"/>
              <w:rPr/>
            </w:pPr>
            <w:r>
              <w:rPr/>
              <w:t>Broadcom Corporation</w:t>
            </w:r>
          </w:p>
        </w:tc>
        <w:tc>
          <w:tcPr>
            <w:tcW w:w="120" w:type="dxa"/>
            <w:tcBorders/>
            <w:vAlign w:val="bottom"/>
          </w:tcPr>
          <w:p>
            <w:pPr>
              <w:pStyle w:val="TableContents"/>
              <w:bidi w:val="0"/>
              <w:spacing w:before="0" w:after="283"/>
              <w:jc w:val="left"/>
              <w:rPr/>
            </w:pPr>
            <w:r>
              <w:rPr/>
              <w:t>  </w:t>
            </w:r>
          </w:p>
        </w:tc>
        <w:tc>
          <w:tcPr>
            <w:tcW w:w="3608" w:type="dxa"/>
            <w:tcBorders/>
          </w:tcPr>
          <w:p>
            <w:pPr>
              <w:pStyle w:val="TableContents"/>
              <w:bidi w:val="0"/>
              <w:spacing w:before="0" w:after="283"/>
              <w:jc w:val="left"/>
              <w:rPr/>
            </w:pPr>
            <w:r>
              <w:rPr/>
              <w:t>California (U.S.A.)</w:t>
            </w:r>
          </w:p>
        </w:tc>
      </w:tr>
      <w:tr>
        <w:trPr>
          <w:trHeight w:val="75" w:hRule="atLeast"/>
        </w:trPr>
        <w:tc>
          <w:tcPr>
            <w:tcW w:w="6477" w:type="dxa"/>
            <w:tcBorders/>
            <w:vAlign w:val="center"/>
          </w:tcPr>
          <w:p>
            <w:pPr>
              <w:pStyle w:val="TableContents"/>
              <w:bidi w:val="0"/>
              <w:spacing w:before="0" w:after="283"/>
              <w:jc w:val="left"/>
              <w:rPr>
                <w:sz w:val="4"/>
                <w:szCs w:val="4"/>
              </w:rPr>
            </w:pPr>
            <w:r>
              <w:rPr>
                <w:sz w:val="4"/>
                <w:szCs w:val="4"/>
              </w:rPr>
            </w:r>
          </w:p>
        </w:tc>
        <w:tc>
          <w:tcPr>
            <w:tcW w:w="3728" w:type="dxa"/>
            <w:gridSpan w:val="2"/>
            <w:tcBorders/>
            <w:vAlign w:val="center"/>
          </w:tcPr>
          <w:p>
            <w:pPr>
              <w:pStyle w:val="TableContents"/>
              <w:bidi w:val="0"/>
              <w:spacing w:before="0" w:after="283"/>
              <w:jc w:val="left"/>
              <w:rPr>
                <w:sz w:val="4"/>
                <w:szCs w:val="4"/>
              </w:rPr>
            </w:pPr>
            <w:r>
              <w:rPr>
                <w:sz w:val="4"/>
                <w:szCs w:val="4"/>
              </w:rPr>
            </w:r>
          </w:p>
        </w:tc>
      </w:tr>
      <w:tr>
        <w:trPr/>
        <w:tc>
          <w:tcPr>
            <w:tcW w:w="6477" w:type="dxa"/>
            <w:tcBorders/>
          </w:tcPr>
          <w:p>
            <w:pPr>
              <w:pStyle w:val="TableContents"/>
              <w:bidi w:val="0"/>
              <w:spacing w:before="0" w:after="283"/>
              <w:jc w:val="left"/>
              <w:rPr/>
            </w:pPr>
            <w:r>
              <w:rPr/>
              <w:t>Broadcom Singapore Pte Ltd</w:t>
            </w:r>
          </w:p>
        </w:tc>
        <w:tc>
          <w:tcPr>
            <w:tcW w:w="120" w:type="dxa"/>
            <w:tcBorders/>
            <w:vAlign w:val="bottom"/>
          </w:tcPr>
          <w:p>
            <w:pPr>
              <w:pStyle w:val="TableContents"/>
              <w:bidi w:val="0"/>
              <w:spacing w:before="0" w:after="283"/>
              <w:jc w:val="left"/>
              <w:rPr/>
            </w:pPr>
            <w:r>
              <w:rPr/>
              <w:t>  </w:t>
            </w:r>
          </w:p>
        </w:tc>
        <w:tc>
          <w:tcPr>
            <w:tcW w:w="3608" w:type="dxa"/>
            <w:tcBorders/>
          </w:tcPr>
          <w:p>
            <w:pPr>
              <w:pStyle w:val="TableContents"/>
              <w:bidi w:val="0"/>
              <w:spacing w:before="0" w:after="283"/>
              <w:jc w:val="left"/>
              <w:rPr/>
            </w:pPr>
            <w:r>
              <w:rPr/>
              <w:t>Singapore</w:t>
            </w:r>
          </w:p>
        </w:tc>
      </w:tr>
      <w:tr>
        <w:trPr>
          <w:trHeight w:val="75" w:hRule="atLeast"/>
        </w:trPr>
        <w:tc>
          <w:tcPr>
            <w:tcW w:w="6477" w:type="dxa"/>
            <w:tcBorders/>
            <w:vAlign w:val="center"/>
          </w:tcPr>
          <w:p>
            <w:pPr>
              <w:pStyle w:val="TableContents"/>
              <w:bidi w:val="0"/>
              <w:spacing w:before="0" w:after="283"/>
              <w:jc w:val="left"/>
              <w:rPr>
                <w:sz w:val="4"/>
                <w:szCs w:val="4"/>
              </w:rPr>
            </w:pPr>
            <w:r>
              <w:rPr>
                <w:sz w:val="4"/>
                <w:szCs w:val="4"/>
              </w:rPr>
            </w:r>
          </w:p>
        </w:tc>
        <w:tc>
          <w:tcPr>
            <w:tcW w:w="3728" w:type="dxa"/>
            <w:gridSpan w:val="2"/>
            <w:tcBorders/>
            <w:vAlign w:val="center"/>
          </w:tcPr>
          <w:p>
            <w:pPr>
              <w:pStyle w:val="TableContents"/>
              <w:bidi w:val="0"/>
              <w:spacing w:before="0" w:after="283"/>
              <w:jc w:val="left"/>
              <w:rPr>
                <w:sz w:val="4"/>
                <w:szCs w:val="4"/>
              </w:rPr>
            </w:pPr>
            <w:r>
              <w:rPr>
                <w:sz w:val="4"/>
                <w:szCs w:val="4"/>
              </w:rPr>
            </w:r>
          </w:p>
        </w:tc>
      </w:tr>
      <w:tr>
        <w:trPr/>
        <w:tc>
          <w:tcPr>
            <w:tcW w:w="6477" w:type="dxa"/>
            <w:tcBorders/>
          </w:tcPr>
          <w:p>
            <w:pPr>
              <w:pStyle w:val="TableContents"/>
              <w:bidi w:val="0"/>
              <w:spacing w:before="0" w:after="283"/>
              <w:jc w:val="left"/>
              <w:rPr/>
            </w:pPr>
            <w:r>
              <w:rPr/>
              <w:t>Broadcom Technologies, Inc.</w:t>
            </w:r>
          </w:p>
        </w:tc>
        <w:tc>
          <w:tcPr>
            <w:tcW w:w="120" w:type="dxa"/>
            <w:tcBorders/>
            <w:vAlign w:val="bottom"/>
          </w:tcPr>
          <w:p>
            <w:pPr>
              <w:pStyle w:val="TableContents"/>
              <w:bidi w:val="0"/>
              <w:spacing w:before="0" w:after="283"/>
              <w:jc w:val="left"/>
              <w:rPr/>
            </w:pPr>
            <w:r>
              <w:rPr/>
              <w:t>  </w:t>
            </w:r>
          </w:p>
        </w:tc>
        <w:tc>
          <w:tcPr>
            <w:tcW w:w="3608" w:type="dxa"/>
            <w:tcBorders/>
          </w:tcPr>
          <w:p>
            <w:pPr>
              <w:pStyle w:val="TableContents"/>
              <w:bidi w:val="0"/>
              <w:spacing w:before="0" w:after="283"/>
              <w:jc w:val="left"/>
              <w:rPr/>
            </w:pPr>
            <w:r>
              <w:rPr/>
              <w:t>Delaware (U.S.A.)</w:t>
            </w:r>
          </w:p>
        </w:tc>
      </w:tr>
      <w:tr>
        <w:trPr>
          <w:trHeight w:val="75" w:hRule="atLeast"/>
        </w:trPr>
        <w:tc>
          <w:tcPr>
            <w:tcW w:w="6477" w:type="dxa"/>
            <w:tcBorders/>
            <w:vAlign w:val="center"/>
          </w:tcPr>
          <w:p>
            <w:pPr>
              <w:pStyle w:val="TableContents"/>
              <w:bidi w:val="0"/>
              <w:spacing w:before="0" w:after="283"/>
              <w:jc w:val="left"/>
              <w:rPr>
                <w:sz w:val="4"/>
                <w:szCs w:val="4"/>
              </w:rPr>
            </w:pPr>
            <w:r>
              <w:rPr>
                <w:sz w:val="4"/>
                <w:szCs w:val="4"/>
              </w:rPr>
            </w:r>
          </w:p>
        </w:tc>
        <w:tc>
          <w:tcPr>
            <w:tcW w:w="3728" w:type="dxa"/>
            <w:gridSpan w:val="2"/>
            <w:tcBorders/>
            <w:vAlign w:val="center"/>
          </w:tcPr>
          <w:p>
            <w:pPr>
              <w:pStyle w:val="TableContents"/>
              <w:bidi w:val="0"/>
              <w:spacing w:before="0" w:after="283"/>
              <w:jc w:val="left"/>
              <w:rPr>
                <w:sz w:val="4"/>
                <w:szCs w:val="4"/>
              </w:rPr>
            </w:pPr>
            <w:r>
              <w:rPr>
                <w:sz w:val="4"/>
                <w:szCs w:val="4"/>
              </w:rPr>
            </w:r>
          </w:p>
        </w:tc>
      </w:tr>
      <w:tr>
        <w:trPr/>
        <w:tc>
          <w:tcPr>
            <w:tcW w:w="6477" w:type="dxa"/>
            <w:tcBorders/>
          </w:tcPr>
          <w:p>
            <w:pPr>
              <w:pStyle w:val="TableContents"/>
              <w:bidi w:val="0"/>
              <w:spacing w:before="0" w:after="283"/>
              <w:jc w:val="left"/>
              <w:rPr/>
            </w:pPr>
            <w:r>
              <w:rPr/>
              <w:t>CA, Inc.</w:t>
            </w:r>
          </w:p>
        </w:tc>
        <w:tc>
          <w:tcPr>
            <w:tcW w:w="120" w:type="dxa"/>
            <w:tcBorders/>
            <w:vAlign w:val="bottom"/>
          </w:tcPr>
          <w:p>
            <w:pPr>
              <w:pStyle w:val="TableContents"/>
              <w:bidi w:val="0"/>
              <w:spacing w:before="0" w:after="283"/>
              <w:jc w:val="left"/>
              <w:rPr/>
            </w:pPr>
            <w:r>
              <w:rPr/>
              <w:t>  </w:t>
            </w:r>
          </w:p>
        </w:tc>
        <w:tc>
          <w:tcPr>
            <w:tcW w:w="3608" w:type="dxa"/>
            <w:tcBorders/>
          </w:tcPr>
          <w:p>
            <w:pPr>
              <w:pStyle w:val="TableContents"/>
              <w:bidi w:val="0"/>
              <w:spacing w:before="0" w:after="283"/>
              <w:jc w:val="left"/>
              <w:rPr/>
            </w:pPr>
            <w:r>
              <w:rPr/>
              <w:t>Delaware (U.S.A.)</w:t>
            </w:r>
          </w:p>
        </w:tc>
      </w:tr>
      <w:tr>
        <w:trPr>
          <w:trHeight w:val="75" w:hRule="atLeast"/>
        </w:trPr>
        <w:tc>
          <w:tcPr>
            <w:tcW w:w="6477" w:type="dxa"/>
            <w:tcBorders/>
            <w:vAlign w:val="center"/>
          </w:tcPr>
          <w:p>
            <w:pPr>
              <w:pStyle w:val="TableContents"/>
              <w:bidi w:val="0"/>
              <w:spacing w:before="0" w:after="283"/>
              <w:jc w:val="left"/>
              <w:rPr>
                <w:sz w:val="4"/>
                <w:szCs w:val="4"/>
              </w:rPr>
            </w:pPr>
            <w:r>
              <w:rPr>
                <w:sz w:val="4"/>
                <w:szCs w:val="4"/>
              </w:rPr>
            </w:r>
          </w:p>
        </w:tc>
        <w:tc>
          <w:tcPr>
            <w:tcW w:w="3728" w:type="dxa"/>
            <w:gridSpan w:val="2"/>
            <w:tcBorders/>
            <w:vAlign w:val="center"/>
          </w:tcPr>
          <w:p>
            <w:pPr>
              <w:pStyle w:val="TableContents"/>
              <w:bidi w:val="0"/>
              <w:spacing w:before="0" w:after="283"/>
              <w:jc w:val="left"/>
              <w:rPr>
                <w:sz w:val="4"/>
                <w:szCs w:val="4"/>
              </w:rPr>
            </w:pPr>
            <w:r>
              <w:rPr>
                <w:sz w:val="4"/>
                <w:szCs w:val="4"/>
              </w:rPr>
            </w:r>
          </w:p>
        </w:tc>
      </w:tr>
      <w:tr>
        <w:trPr/>
        <w:tc>
          <w:tcPr>
            <w:tcW w:w="6477" w:type="dxa"/>
            <w:tcBorders/>
          </w:tcPr>
          <w:p>
            <w:pPr>
              <w:pStyle w:val="TableContents"/>
              <w:bidi w:val="0"/>
              <w:spacing w:before="0" w:after="283"/>
              <w:jc w:val="left"/>
              <w:rPr/>
            </w:pPr>
            <w:r>
              <w:rPr/>
              <w:t>VMware International Unlimited Company</w:t>
            </w:r>
          </w:p>
        </w:tc>
        <w:tc>
          <w:tcPr>
            <w:tcW w:w="120" w:type="dxa"/>
            <w:tcBorders/>
            <w:vAlign w:val="bottom"/>
          </w:tcPr>
          <w:p>
            <w:pPr>
              <w:pStyle w:val="TableContents"/>
              <w:bidi w:val="0"/>
              <w:spacing w:before="0" w:after="283"/>
              <w:jc w:val="left"/>
              <w:rPr/>
            </w:pPr>
            <w:r>
              <w:rPr/>
              <w:t>  </w:t>
            </w:r>
          </w:p>
        </w:tc>
        <w:tc>
          <w:tcPr>
            <w:tcW w:w="3608" w:type="dxa"/>
            <w:tcBorders/>
          </w:tcPr>
          <w:p>
            <w:pPr>
              <w:pStyle w:val="TableContents"/>
              <w:bidi w:val="0"/>
              <w:spacing w:before="0" w:after="283"/>
              <w:jc w:val="left"/>
              <w:rPr/>
            </w:pPr>
            <w:r>
              <w:rPr/>
              <w:t>Ireland</w:t>
            </w:r>
          </w:p>
        </w:tc>
      </w:tr>
      <w:tr>
        <w:trPr>
          <w:trHeight w:val="75" w:hRule="atLeast"/>
        </w:trPr>
        <w:tc>
          <w:tcPr>
            <w:tcW w:w="6477" w:type="dxa"/>
            <w:tcBorders/>
            <w:vAlign w:val="center"/>
          </w:tcPr>
          <w:p>
            <w:pPr>
              <w:pStyle w:val="TableContents"/>
              <w:bidi w:val="0"/>
              <w:spacing w:before="0" w:after="283"/>
              <w:jc w:val="left"/>
              <w:rPr>
                <w:sz w:val="4"/>
                <w:szCs w:val="4"/>
              </w:rPr>
            </w:pPr>
            <w:r>
              <w:rPr>
                <w:sz w:val="4"/>
                <w:szCs w:val="4"/>
              </w:rPr>
            </w:r>
          </w:p>
        </w:tc>
        <w:tc>
          <w:tcPr>
            <w:tcW w:w="3728" w:type="dxa"/>
            <w:gridSpan w:val="2"/>
            <w:tcBorders/>
            <w:vAlign w:val="center"/>
          </w:tcPr>
          <w:p>
            <w:pPr>
              <w:pStyle w:val="TableContents"/>
              <w:bidi w:val="0"/>
              <w:spacing w:before="0" w:after="283"/>
              <w:jc w:val="left"/>
              <w:rPr>
                <w:sz w:val="4"/>
                <w:szCs w:val="4"/>
              </w:rPr>
            </w:pPr>
            <w:r>
              <w:rPr>
                <w:sz w:val="4"/>
                <w:szCs w:val="4"/>
              </w:rPr>
            </w:r>
          </w:p>
        </w:tc>
      </w:tr>
      <w:tr>
        <w:trPr/>
        <w:tc>
          <w:tcPr>
            <w:tcW w:w="6477" w:type="dxa"/>
            <w:tcBorders/>
          </w:tcPr>
          <w:p>
            <w:pPr>
              <w:pStyle w:val="TableContents"/>
              <w:bidi w:val="0"/>
              <w:spacing w:before="0" w:after="283"/>
              <w:jc w:val="left"/>
              <w:rPr/>
            </w:pPr>
            <w:r>
              <w:rPr/>
              <w:t>VMware LLC</w:t>
            </w:r>
          </w:p>
        </w:tc>
        <w:tc>
          <w:tcPr>
            <w:tcW w:w="120" w:type="dxa"/>
            <w:tcBorders/>
            <w:vAlign w:val="bottom"/>
          </w:tcPr>
          <w:p>
            <w:pPr>
              <w:pStyle w:val="TableContents"/>
              <w:bidi w:val="0"/>
              <w:spacing w:before="0" w:after="283"/>
              <w:jc w:val="left"/>
              <w:rPr/>
            </w:pPr>
            <w:r>
              <w:rPr/>
              <w:t>  </w:t>
            </w:r>
          </w:p>
        </w:tc>
        <w:tc>
          <w:tcPr>
            <w:tcW w:w="3608" w:type="dxa"/>
            <w:tcBorders/>
          </w:tcPr>
          <w:p>
            <w:pPr>
              <w:pStyle w:val="TableContents"/>
              <w:bidi w:val="0"/>
              <w:spacing w:before="0" w:after="283"/>
              <w:jc w:val="left"/>
              <w:rPr/>
            </w:pPr>
            <w:r>
              <w:rPr/>
              <w:t>Delaware (U.S.A.)</w:t>
            </w:r>
          </w:p>
        </w:tc>
      </w:tr>
      <w:tr>
        <w:trPr>
          <w:trHeight w:val="75" w:hRule="atLeast"/>
        </w:trPr>
        <w:tc>
          <w:tcPr>
            <w:tcW w:w="6477" w:type="dxa"/>
            <w:tcBorders/>
            <w:vAlign w:val="center"/>
          </w:tcPr>
          <w:p>
            <w:pPr>
              <w:pStyle w:val="TableContents"/>
              <w:bidi w:val="0"/>
              <w:spacing w:before="0" w:after="283"/>
              <w:jc w:val="left"/>
              <w:rPr>
                <w:sz w:val="4"/>
                <w:szCs w:val="4"/>
              </w:rPr>
            </w:pPr>
            <w:r>
              <w:rPr>
                <w:sz w:val="4"/>
                <w:szCs w:val="4"/>
              </w:rPr>
            </w:r>
          </w:p>
        </w:tc>
        <w:tc>
          <w:tcPr>
            <w:tcW w:w="3728" w:type="dxa"/>
            <w:gridSpan w:val="2"/>
            <w:tcBorders/>
            <w:vAlign w:val="center"/>
          </w:tcPr>
          <w:p>
            <w:pPr>
              <w:pStyle w:val="TableContents"/>
              <w:bidi w:val="0"/>
              <w:spacing w:before="0" w:after="283"/>
              <w:jc w:val="left"/>
              <w:rPr>
                <w:sz w:val="4"/>
                <w:szCs w:val="4"/>
              </w:rPr>
            </w:pPr>
            <w:r>
              <w:rPr>
                <w:sz w:val="4"/>
                <w:szCs w:val="4"/>
              </w:rPr>
            </w:r>
          </w:p>
        </w:tc>
      </w:tr>
      <w:tr>
        <w:trPr/>
        <w:tc>
          <w:tcPr>
            <w:tcW w:w="6477" w:type="dxa"/>
            <w:tcBorders/>
          </w:tcPr>
          <w:p>
            <w:pPr>
              <w:pStyle w:val="TableContents"/>
              <w:bidi w:val="0"/>
              <w:spacing w:before="0" w:after="283"/>
              <w:jc w:val="left"/>
              <w:rPr/>
            </w:pPr>
            <w:r>
              <w:rPr/>
              <w:t>VMware Global, Inc.</w:t>
            </w:r>
          </w:p>
        </w:tc>
        <w:tc>
          <w:tcPr>
            <w:tcW w:w="120" w:type="dxa"/>
            <w:tcBorders/>
            <w:vAlign w:val="bottom"/>
          </w:tcPr>
          <w:p>
            <w:pPr>
              <w:pStyle w:val="TableContents"/>
              <w:bidi w:val="0"/>
              <w:spacing w:before="0" w:after="283"/>
              <w:jc w:val="left"/>
              <w:rPr/>
            </w:pPr>
            <w:r>
              <w:rPr/>
              <w:t>  </w:t>
            </w:r>
          </w:p>
        </w:tc>
        <w:tc>
          <w:tcPr>
            <w:tcW w:w="3608" w:type="dxa"/>
            <w:tcBorders/>
          </w:tcPr>
          <w:p>
            <w:pPr>
              <w:pStyle w:val="TableContents"/>
              <w:bidi w:val="0"/>
              <w:spacing w:before="0" w:after="283"/>
              <w:jc w:val="left"/>
              <w:rPr/>
            </w:pPr>
            <w:r>
              <w:rPr/>
              <w:t>Delaware (U.S.A.)</w:t>
            </w:r>
          </w:p>
        </w:tc>
      </w:tr>
      <w:tr>
        <w:trPr>
          <w:trHeight w:val="75" w:hRule="atLeast"/>
        </w:trPr>
        <w:tc>
          <w:tcPr>
            <w:tcW w:w="6477" w:type="dxa"/>
            <w:tcBorders/>
            <w:vAlign w:val="center"/>
          </w:tcPr>
          <w:p>
            <w:pPr>
              <w:pStyle w:val="TableContents"/>
              <w:bidi w:val="0"/>
              <w:spacing w:before="0" w:after="283"/>
              <w:jc w:val="left"/>
              <w:rPr>
                <w:sz w:val="4"/>
                <w:szCs w:val="4"/>
              </w:rPr>
            </w:pPr>
            <w:r>
              <w:rPr>
                <w:sz w:val="4"/>
                <w:szCs w:val="4"/>
              </w:rPr>
            </w:r>
          </w:p>
        </w:tc>
        <w:tc>
          <w:tcPr>
            <w:tcW w:w="3728" w:type="dxa"/>
            <w:gridSpan w:val="2"/>
            <w:tcBorders/>
            <w:vAlign w:val="center"/>
          </w:tcPr>
          <w:p>
            <w:pPr>
              <w:pStyle w:val="TableContents"/>
              <w:bidi w:val="0"/>
              <w:spacing w:before="0" w:after="283"/>
              <w:jc w:val="left"/>
              <w:rPr>
                <w:sz w:val="4"/>
                <w:szCs w:val="4"/>
              </w:rPr>
            </w:pPr>
            <w:r>
              <w:rPr>
                <w:sz w:val="4"/>
                <w:szCs w:val="4"/>
              </w:rPr>
            </w:r>
          </w:p>
        </w:tc>
      </w:tr>
      <w:tr>
        <w:trPr/>
        <w:tc>
          <w:tcPr>
            <w:tcW w:w="6477" w:type="dxa"/>
            <w:tcBorders/>
          </w:tcPr>
          <w:p>
            <w:pPr>
              <w:pStyle w:val="TableContents"/>
              <w:bidi w:val="0"/>
              <w:spacing w:before="0" w:after="283"/>
              <w:jc w:val="left"/>
              <w:rPr/>
            </w:pPr>
            <w:r>
              <w:rPr/>
              <w:t>VMware Management Inc.</w:t>
            </w:r>
          </w:p>
        </w:tc>
        <w:tc>
          <w:tcPr>
            <w:tcW w:w="120" w:type="dxa"/>
            <w:tcBorders/>
            <w:vAlign w:val="bottom"/>
          </w:tcPr>
          <w:p>
            <w:pPr>
              <w:pStyle w:val="TableContents"/>
              <w:bidi w:val="0"/>
              <w:spacing w:before="0" w:after="283"/>
              <w:jc w:val="left"/>
              <w:rPr/>
            </w:pPr>
            <w:r>
              <w:rPr/>
              <w:t>  </w:t>
            </w:r>
          </w:p>
        </w:tc>
        <w:tc>
          <w:tcPr>
            <w:tcW w:w="3608" w:type="dxa"/>
            <w:tcBorders/>
          </w:tcPr>
          <w:p>
            <w:pPr>
              <w:pStyle w:val="TableContents"/>
              <w:bidi w:val="0"/>
              <w:spacing w:before="0" w:after="283"/>
              <w:jc w:val="left"/>
              <w:rPr/>
            </w:pPr>
            <w:r>
              <w:rPr/>
              <w:t>Delaware (U.S.A.)</w:t>
            </w:r>
          </w:p>
        </w:tc>
      </w:tr>
    </w:tbl>
    <w:p>
      <w:pPr>
        <w:pStyle w:val="TextBody"/>
        <w:bidi w:val="0"/>
        <w:spacing w:before="0" w:after="0"/>
        <w:jc w:val="right"/>
        <w:rPr>
          <w:rFonts w:ascii="Times New Roman" w:hAnsi="Times New Roman"/>
          <w:b/>
          <w:sz w:val="20"/>
        </w:rPr>
      </w:pPr>
      <w:bookmarkStart w:id="22" w:name="d154803dex231.htm"/>
      <w:bookmarkStart w:id="23" w:name="ksd154803dex231"/>
      <w:bookmarkEnd w:id="22"/>
      <w:bookmarkEnd w:id="23"/>
      <w:r>
        <w:rPr>
          <w:rFonts w:ascii="Times New Roman" w:hAnsi="Times New Roman"/>
          <w:b/>
          <w:sz w:val="20"/>
        </w:rPr>
        <w:t xml:space="preserve">Exhibit 23.1 </w:t>
      </w:r>
      <w:r>
        <w:br w:type="page"/>
      </w:r>
    </w:p>
    <w:p>
      <w:pPr>
        <w:pStyle w:val="TextBody"/>
        <w:bidi w:val="0"/>
        <w:spacing w:before="240" w:after="0"/>
        <w:jc w:val="center"/>
        <w:rPr>
          <w:rFonts w:ascii="Times New Roman" w:hAnsi="Times New Roman"/>
          <w:sz w:val="20"/>
        </w:rPr>
      </w:pPr>
      <w:r>
        <w:rPr>
          <w:rFonts w:ascii="Times New Roman" w:hAnsi="Times New Roman"/>
          <w:sz w:val="20"/>
        </w:rPr>
        <w:t xml:space="preserve">CONSENT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hereby consent to the incorporation by reference in this Registration Statement on Form S-4 of Broadcom Inc. of our report dated December 18, 2025 relating to the financial statements, financial statement schedule and the effectiveness of internal control over financial reporting, which appears in Broadcom Inc.’s Annual Report on Form 10-K for the year ended November 2, 2025. We also consent to the reference to us under the heading “Experts” in such Registration Statement.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 PricewaterhouseCoopers LLP</w:t>
            </w:r>
          </w:p>
        </w:tc>
      </w:tr>
      <w:tr>
        <w:trPr/>
        <w:tc>
          <w:tcPr>
            <w:tcW w:w="4082" w:type="dxa"/>
            <w:tcBorders/>
          </w:tcPr>
          <w:p>
            <w:pPr>
              <w:pStyle w:val="TableContents"/>
              <w:bidi w:val="0"/>
              <w:spacing w:before="0" w:after="283"/>
              <w:jc w:val="left"/>
              <w:rPr/>
            </w:pPr>
            <w:r>
              <w:rPr/>
              <w:t>San Jose, California</w:t>
            </w:r>
          </w:p>
        </w:tc>
      </w:tr>
      <w:tr>
        <w:trPr/>
        <w:tc>
          <w:tcPr>
            <w:tcW w:w="4082" w:type="dxa"/>
            <w:tcBorders/>
            <w:vAlign w:val="bottom"/>
          </w:tcPr>
          <w:p>
            <w:pPr>
              <w:pStyle w:val="TableContents"/>
              <w:bidi w:val="0"/>
              <w:spacing w:before="0" w:after="283"/>
              <w:jc w:val="left"/>
              <w:rPr/>
            </w:pPr>
            <w:r>
              <w:rPr/>
              <w:t>September 9, 2026</w:t>
            </w:r>
          </w:p>
        </w:tc>
      </w:tr>
    </w:tbl>
    <w:p>
      <w:pPr>
        <w:pStyle w:val="TextBody"/>
        <w:bidi w:val="0"/>
        <w:spacing w:before="0" w:after="0"/>
        <w:jc w:val="right"/>
        <w:rPr>
          <w:rFonts w:ascii="Times New Roman" w:hAnsi="Times New Roman"/>
          <w:b/>
          <w:sz w:val="20"/>
        </w:rPr>
      </w:pPr>
      <w:bookmarkStart w:id="24" w:name="d154803dex251.htm"/>
      <w:bookmarkStart w:id="25" w:name="ksd154803dex251"/>
      <w:bookmarkEnd w:id="24"/>
      <w:bookmarkEnd w:id="25"/>
      <w:r>
        <w:rPr>
          <w:rFonts w:ascii="Times New Roman" w:hAnsi="Times New Roman"/>
          <w:b/>
          <w:sz w:val="20"/>
        </w:rPr>
        <w:t xml:space="preserve">Exhibit 25.1 </w:t>
      </w:r>
      <w:r>
        <w:br w:type="page"/>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240" w:after="0"/>
        <w:jc w:val="center"/>
        <w:rPr>
          <w:rFonts w:ascii="Times New Roman" w:hAnsi="Times New Roman"/>
          <w:b/>
          <w:sz w:val="36"/>
        </w:rPr>
      </w:pPr>
      <w:r>
        <w:rPr>
          <w:rFonts w:ascii="Times New Roman" w:hAnsi="Times New Roman"/>
          <w:b/>
          <w:sz w:val="36"/>
        </w:rPr>
        <w:t xml:space="preserve">FORM T-1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29"/>
        <w:gridCol w:w="227"/>
        <w:gridCol w:w="9749"/>
      </w:tblGrid>
      <w:tr>
        <w:trPr/>
        <w:tc>
          <w:tcPr>
            <w:tcW w:w="229" w:type="dxa"/>
            <w:tcBorders/>
            <w:vAlign w:val="center"/>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sz w:val="4"/>
                <w:szCs w:val="4"/>
              </w:rPr>
            </w:pPr>
            <w:r>
              <w:rPr>
                <w:sz w:val="4"/>
                <w:szCs w:val="4"/>
              </w:rPr>
            </w:r>
          </w:p>
        </w:tc>
        <w:tc>
          <w:tcPr>
            <w:tcW w:w="9749" w:type="dxa"/>
            <w:tcBorders/>
            <w:vAlign w:val="center"/>
          </w:tcPr>
          <w:p>
            <w:pPr>
              <w:pStyle w:val="TableContents"/>
              <w:bidi w:val="0"/>
              <w:spacing w:before="0" w:after="283"/>
              <w:jc w:val="left"/>
              <w:rPr>
                <w:sz w:val="4"/>
                <w:szCs w:val="4"/>
              </w:rPr>
            </w:pPr>
            <w:r>
              <w:rPr>
                <w:sz w:val="4"/>
                <w:szCs w:val="4"/>
              </w:rPr>
            </w:r>
          </w:p>
        </w:tc>
      </w:tr>
      <w:tr>
        <w:trPr/>
        <w:tc>
          <w:tcPr>
            <w:tcW w:w="229" w:type="dxa"/>
            <w:tcBorders/>
          </w:tcPr>
          <w:p>
            <w:pPr>
              <w:pStyle w:val="TableContents"/>
              <w:bidi w:val="0"/>
              <w:spacing w:before="0" w:after="283"/>
              <w:jc w:val="left"/>
              <w:rPr/>
            </w:pPr>
            <w:r>
              <w:rPr/>
              <w:t>☐</w:t>
            </w:r>
          </w:p>
        </w:tc>
        <w:tc>
          <w:tcPr>
            <w:tcW w:w="227" w:type="dxa"/>
            <w:tcBorders/>
            <w:vAlign w:val="bottom"/>
          </w:tcPr>
          <w:p>
            <w:pPr>
              <w:pStyle w:val="TableContents"/>
              <w:bidi w:val="0"/>
              <w:spacing w:before="0" w:after="283"/>
              <w:jc w:val="left"/>
              <w:rPr/>
            </w:pPr>
            <w:r>
              <w:rPr/>
              <w:t>  </w:t>
            </w:r>
          </w:p>
        </w:tc>
        <w:tc>
          <w:tcPr>
            <w:tcW w:w="9749" w:type="dxa"/>
            <w:tcBorders/>
            <w:vAlign w:val="bottom"/>
          </w:tcPr>
          <w:p>
            <w:pPr>
              <w:pStyle w:val="TableContents"/>
              <w:bidi w:val="0"/>
              <w:spacing w:before="0" w:after="283"/>
              <w:jc w:val="left"/>
              <w:rPr/>
            </w:pPr>
            <w:r>
              <w:rPr/>
              <w:t>Check if an Application to Determine Eligibility of a Trustee Pursuant to Section 305(b)(2)</w:t>
            </w:r>
          </w:p>
        </w:tc>
      </w:tr>
    </w:tbl>
    <w:p>
      <w:pPr>
        <w:pStyle w:val="TextBody"/>
        <w:bidi w:val="0"/>
        <w:spacing w:before="240" w:after="0"/>
        <w:jc w:val="center"/>
        <w:rPr>
          <w:rFonts w:ascii="Times New Roman" w:hAnsi="Times New Roman"/>
          <w:b/>
          <w:sz w:val="40"/>
        </w:rPr>
      </w:pPr>
      <w:r>
        <w:rPr>
          <w:rFonts w:ascii="Times New Roman" w:hAnsi="Times New Roman"/>
          <w:b/>
          <w:sz w:val="40"/>
        </w:rPr>
        <w:t xml:space="preserve">WILMINGTON TRUST, NATIONAL ASSOCIATION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trustee as specified in its charter) </w:t>
      </w:r>
    </w:p>
    <w:p>
      <w:pPr>
        <w:pStyle w:val="TextBody"/>
        <w:bidi w:val="0"/>
        <w:spacing w:before="240" w:after="0"/>
        <w:jc w:val="center"/>
        <w:rPr>
          <w:rFonts w:ascii="Times New Roman" w:hAnsi="Times New Roman"/>
          <w:b/>
          <w:sz w:val="20"/>
        </w:rPr>
      </w:pPr>
      <w:r>
        <w:rPr>
          <w:rFonts w:ascii="Times New Roman" w:hAnsi="Times New Roman"/>
          <w:b/>
          <w:sz w:val="20"/>
        </w:rPr>
        <w:t xml:space="preserve">16-1486454 </w:t>
      </w:r>
    </w:p>
    <w:p>
      <w:pPr>
        <w:pStyle w:val="TextBody"/>
        <w:bidi w:val="0"/>
        <w:spacing w:before="0" w:after="0"/>
        <w:jc w:val="center"/>
        <w:rPr>
          <w:rFonts w:ascii="Times New Roman" w:hAnsi="Times New Roman"/>
          <w:b/>
          <w:sz w:val="16"/>
        </w:rPr>
      </w:pPr>
      <w:r>
        <w:rPr>
          <w:rFonts w:ascii="Times New Roman" w:hAnsi="Times New Roman"/>
          <w:b/>
          <w:sz w:val="16"/>
        </w:rPr>
        <w:t xml:space="preserve">(I.R.S. employer </w:t>
      </w:r>
    </w:p>
    <w:p>
      <w:pPr>
        <w:pStyle w:val="TextBody"/>
        <w:bidi w:val="0"/>
        <w:spacing w:before="0" w:after="0"/>
        <w:jc w:val="center"/>
        <w:rPr>
          <w:rFonts w:ascii="Times New Roman" w:hAnsi="Times New Roman"/>
          <w:b/>
          <w:sz w:val="16"/>
        </w:rPr>
      </w:pPr>
      <w:r>
        <w:rPr>
          <w:rFonts w:ascii="Times New Roman" w:hAnsi="Times New Roman"/>
          <w:b/>
          <w:sz w:val="16"/>
        </w:rPr>
        <w:t xml:space="preserve">identification no.) </w:t>
      </w:r>
    </w:p>
    <w:p>
      <w:pPr>
        <w:pStyle w:val="TextBody"/>
        <w:bidi w:val="0"/>
        <w:spacing w:before="240" w:after="0"/>
        <w:jc w:val="center"/>
        <w:rPr>
          <w:rFonts w:ascii="Times New Roman" w:hAnsi="Times New Roman"/>
          <w:b/>
          <w:sz w:val="20"/>
        </w:rPr>
      </w:pPr>
      <w:r>
        <w:rPr>
          <w:rFonts w:ascii="Times New Roman" w:hAnsi="Times New Roman"/>
          <w:b/>
          <w:sz w:val="20"/>
        </w:rPr>
        <w:t xml:space="preserve">1100 North Market Street </w:t>
      </w:r>
    </w:p>
    <w:p>
      <w:pPr>
        <w:pStyle w:val="TextBody"/>
        <w:bidi w:val="0"/>
        <w:spacing w:before="0" w:after="0"/>
        <w:jc w:val="center"/>
        <w:rPr>
          <w:rFonts w:ascii="Times New Roman" w:hAnsi="Times New Roman"/>
          <w:b/>
          <w:sz w:val="20"/>
        </w:rPr>
      </w:pPr>
      <w:r>
        <w:rPr>
          <w:rFonts w:ascii="Times New Roman" w:hAnsi="Times New Roman"/>
          <w:b/>
          <w:sz w:val="20"/>
        </w:rPr>
        <w:t xml:space="preserve">Wilmington, DE 19890-0001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offices) </w:t>
      </w:r>
    </w:p>
    <w:p>
      <w:pPr>
        <w:pStyle w:val="TextBody"/>
        <w:bidi w:val="0"/>
        <w:spacing w:before="240" w:after="0"/>
        <w:jc w:val="center"/>
        <w:rPr>
          <w:rFonts w:ascii="Times New Roman" w:hAnsi="Times New Roman"/>
          <w:b/>
          <w:sz w:val="20"/>
        </w:rPr>
      </w:pPr>
      <w:r>
        <w:rPr>
          <w:rFonts w:ascii="Times New Roman" w:hAnsi="Times New Roman"/>
          <w:b/>
          <w:sz w:val="20"/>
        </w:rPr>
        <w:t xml:space="preserve">Kyle Barry </w:t>
      </w:r>
    </w:p>
    <w:p>
      <w:pPr>
        <w:pStyle w:val="TextBody"/>
        <w:bidi w:val="0"/>
        <w:spacing w:before="0" w:after="0"/>
        <w:jc w:val="center"/>
        <w:rPr>
          <w:rFonts w:ascii="Times New Roman" w:hAnsi="Times New Roman"/>
          <w:b/>
          <w:sz w:val="20"/>
        </w:rPr>
      </w:pPr>
      <w:r>
        <w:rPr>
          <w:rFonts w:ascii="Times New Roman" w:hAnsi="Times New Roman"/>
          <w:b/>
          <w:sz w:val="20"/>
        </w:rPr>
        <w:t xml:space="preserve">Senior Vice President </w:t>
      </w:r>
    </w:p>
    <w:p>
      <w:pPr>
        <w:pStyle w:val="TextBody"/>
        <w:bidi w:val="0"/>
        <w:spacing w:before="0" w:after="0"/>
        <w:jc w:val="center"/>
        <w:rPr>
          <w:rFonts w:ascii="Times New Roman" w:hAnsi="Times New Roman"/>
          <w:b/>
          <w:sz w:val="20"/>
        </w:rPr>
      </w:pPr>
      <w:r>
        <w:rPr>
          <w:rFonts w:ascii="Times New Roman" w:hAnsi="Times New Roman"/>
          <w:b/>
          <w:sz w:val="20"/>
        </w:rPr>
        <w:t xml:space="preserve">Wilmington Trust Company </w:t>
      </w:r>
    </w:p>
    <w:p>
      <w:pPr>
        <w:pStyle w:val="TextBody"/>
        <w:bidi w:val="0"/>
        <w:spacing w:before="0" w:after="0"/>
        <w:jc w:val="center"/>
        <w:rPr>
          <w:rFonts w:ascii="Times New Roman" w:hAnsi="Times New Roman"/>
          <w:b/>
          <w:sz w:val="20"/>
        </w:rPr>
      </w:pPr>
      <w:r>
        <w:rPr>
          <w:rFonts w:ascii="Times New Roman" w:hAnsi="Times New Roman"/>
          <w:b/>
          <w:sz w:val="20"/>
        </w:rPr>
        <w:t xml:space="preserve">285 Delaware Ave. </w:t>
      </w:r>
    </w:p>
    <w:p>
      <w:pPr>
        <w:pStyle w:val="TextBody"/>
        <w:bidi w:val="0"/>
        <w:spacing w:before="0" w:after="0"/>
        <w:jc w:val="center"/>
        <w:rPr>
          <w:rFonts w:ascii="Times New Roman" w:hAnsi="Times New Roman"/>
          <w:b/>
          <w:sz w:val="20"/>
        </w:rPr>
      </w:pPr>
      <w:r>
        <w:rPr>
          <w:rFonts w:ascii="Times New Roman" w:hAnsi="Times New Roman"/>
          <w:b/>
          <w:sz w:val="20"/>
        </w:rPr>
        <w:t xml:space="preserve">Buffalo, NY 14202 </w:t>
      </w:r>
    </w:p>
    <w:p>
      <w:pPr>
        <w:pStyle w:val="TextBody"/>
        <w:bidi w:val="0"/>
        <w:spacing w:before="0" w:after="0"/>
        <w:jc w:val="center"/>
        <w:rPr>
          <w:rFonts w:ascii="Times New Roman" w:hAnsi="Times New Roman"/>
          <w:b/>
          <w:sz w:val="20"/>
        </w:rPr>
      </w:pPr>
      <w:r>
        <w:rPr>
          <w:rFonts w:ascii="Times New Roman" w:hAnsi="Times New Roman"/>
          <w:b/>
          <w:sz w:val="20"/>
        </w:rPr>
        <w:t xml:space="preserve">(716) 839-6909 </w:t>
      </w:r>
    </w:p>
    <w:p>
      <w:pPr>
        <w:pStyle w:val="TextBody"/>
        <w:bidi w:val="0"/>
        <w:spacing w:before="0" w:after="0"/>
        <w:jc w:val="center"/>
        <w:rPr>
          <w:rFonts w:ascii="Times New Roman" w:hAnsi="Times New Roman"/>
          <w:b/>
          <w:sz w:val="16"/>
        </w:rPr>
      </w:pPr>
      <w:r>
        <w:rPr>
          <w:rFonts w:ascii="Times New Roman" w:hAnsi="Times New Roman"/>
          <w:b/>
          <w:sz w:val="16"/>
        </w:rPr>
        <w:t xml:space="preserve">(Name, address and telephone number of agent for service) </w:t>
      </w:r>
    </w:p>
    <w:p>
      <w:pPr>
        <w:pStyle w:val="TextBody"/>
        <w:bidi w:val="0"/>
        <w:spacing w:before="240" w:after="0"/>
        <w:jc w:val="center"/>
        <w:rPr>
          <w:rFonts w:ascii="Times New Roman" w:hAnsi="Times New Roman"/>
          <w:b/>
          <w:sz w:val="20"/>
        </w:rPr>
      </w:pPr>
      <w:r>
        <w:rPr>
          <w:rFonts w:ascii="Times New Roman" w:hAnsi="Times New Roman"/>
          <w:b/>
          <w:sz w:val="20"/>
        </w:rPr>
        <w:t xml:space="preserve">Broadcom Inc. </w:t>
      </w:r>
    </w:p>
    <w:p>
      <w:pPr>
        <w:pStyle w:val="TextBody"/>
        <w:bidi w:val="0"/>
        <w:spacing w:before="0" w:after="0"/>
        <w:jc w:val="center"/>
        <w:rPr>
          <w:rFonts w:ascii="Times New Roman" w:hAnsi="Times New Roman"/>
          <w:b/>
          <w:sz w:val="16"/>
        </w:rPr>
      </w:pPr>
      <w:r>
        <w:rPr>
          <w:rFonts w:ascii="Times New Roman" w:hAnsi="Times New Roman"/>
          <w:b/>
          <w:sz w:val="16"/>
        </w:rPr>
        <w:t xml:space="preserve">(Exact name of obligor as specified in its charter)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4"/>
        <w:gridCol w:w="102"/>
        <w:gridCol w:w="4949"/>
      </w:tblGrid>
      <w:tr>
        <w:trPr/>
        <w:tc>
          <w:tcPr>
            <w:tcW w:w="5154"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bottom"/>
          </w:tcPr>
          <w:p>
            <w:pPr>
              <w:pStyle w:val="TableContents"/>
              <w:bidi w:val="0"/>
              <w:spacing w:before="0" w:after="283"/>
              <w:jc w:val="left"/>
              <w:rPr/>
            </w:pPr>
            <w:r>
              <w:rPr/>
              <w:t> </w:t>
            </w:r>
          </w:p>
        </w:tc>
      </w:tr>
      <w:tr>
        <w:trPr/>
        <w:tc>
          <w:tcPr>
            <w:tcW w:w="5154" w:type="dxa"/>
            <w:tcBorders/>
          </w:tcPr>
          <w:p>
            <w:pPr>
              <w:pStyle w:val="TableContents"/>
              <w:bidi w:val="0"/>
              <w:spacing w:before="0" w:after="283"/>
              <w:jc w:val="center"/>
              <w:rPr>
                <w:b/>
              </w:rPr>
            </w:pPr>
            <w:r>
              <w:rPr>
                <w:b/>
              </w:rPr>
              <w:t>Delaware</w:t>
            </w:r>
          </w:p>
        </w:tc>
        <w:tc>
          <w:tcPr>
            <w:tcW w:w="102"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35-2617337</w:t>
            </w:r>
          </w:p>
        </w:tc>
      </w:tr>
      <w:tr>
        <w:trPr/>
        <w:tc>
          <w:tcPr>
            <w:tcW w:w="5154" w:type="dxa"/>
            <w:tcBorders/>
          </w:tcPr>
          <w:p>
            <w:pPr>
              <w:pStyle w:val="TableContents"/>
              <w:bidi w:val="0"/>
              <w:spacing w:before="0" w:after="283"/>
              <w:jc w:val="center"/>
              <w:rPr>
                <w:b/>
              </w:rPr>
            </w:pPr>
            <w:r>
              <w:rPr>
                <w:b/>
              </w:rPr>
              <w:t>(State or other jurisdiction of incorporation or organization)</w:t>
            </w:r>
          </w:p>
        </w:tc>
        <w:tc>
          <w:tcPr>
            <w:tcW w:w="102"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(I.R.S. Employer Identification No.)</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3421 Hillview Avenue </w:t>
      </w:r>
    </w:p>
    <w:p>
      <w:pPr>
        <w:pStyle w:val="TextBody"/>
        <w:bidi w:val="0"/>
        <w:spacing w:before="0" w:after="0"/>
        <w:jc w:val="center"/>
        <w:rPr>
          <w:rFonts w:ascii="Times New Roman" w:hAnsi="Times New Roman"/>
          <w:b/>
          <w:sz w:val="20"/>
        </w:rPr>
      </w:pPr>
      <w:r>
        <w:rPr>
          <w:rFonts w:ascii="Times New Roman" w:hAnsi="Times New Roman"/>
          <w:b/>
          <w:sz w:val="20"/>
        </w:rPr>
        <w:t xml:space="preserve">Palo Alto, California 94304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offices, including zip code) </w:t>
      </w:r>
    </w:p>
    <w:p>
      <w:pPr>
        <w:pStyle w:val="TextBody"/>
        <w:bidi w:val="0"/>
        <w:spacing w:before="240" w:after="0"/>
        <w:jc w:val="center"/>
        <w:rPr>
          <w:rFonts w:ascii="Times New Roman" w:hAnsi="Times New Roman"/>
          <w:b/>
          <w:sz w:val="20"/>
        </w:rPr>
      </w:pPr>
      <w:r>
        <w:rPr>
          <w:rFonts w:ascii="Times New Roman" w:hAnsi="Times New Roman"/>
          <w:b/>
          <w:sz w:val="20"/>
        </w:rPr>
        <w:t xml:space="preserve">4.926% Senior Notes due 2037 </w:t>
      </w:r>
    </w:p>
    <w:p>
      <w:pPr>
        <w:pStyle w:val="TextBody"/>
        <w:bidi w:val="0"/>
        <w:spacing w:before="0" w:after="0"/>
        <w:jc w:val="center"/>
        <w:rPr>
          <w:rFonts w:ascii="Times New Roman" w:hAnsi="Times New Roman"/>
          <w:b/>
          <w:sz w:val="16"/>
        </w:rPr>
      </w:pPr>
      <w:r>
        <w:rPr>
          <w:rFonts w:ascii="Times New Roman" w:hAnsi="Times New Roman"/>
          <w:b/>
          <w:sz w:val="16"/>
        </w:rPr>
        <w:t xml:space="preserve">(Title of the indenture securities)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1. GENERAL INFORMATION. </w:t>
      </w:r>
    </w:p>
    <w:p>
      <w:pPr>
        <w:pStyle w:val="TextBody"/>
        <w:bidi w:val="0"/>
        <w:spacing w:before="120" w:after="0"/>
        <w:jc w:val="left"/>
        <w:rPr>
          <w:rFonts w:ascii="Times New Roman" w:hAnsi="Times New Roman"/>
          <w:sz w:val="20"/>
        </w:rPr>
      </w:pPr>
      <w:r>
        <w:rPr>
          <w:rFonts w:ascii="Times New Roman" w:hAnsi="Times New Roman"/>
          <w:sz w:val="20"/>
        </w:rPr>
        <w:t xml:space="preserve">Furnish the following information as to the trustee: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(a)</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Name and address of each examining or supervising authority to which it is subject. </w:t>
            </w:r>
          </w:p>
        </w:tc>
      </w:tr>
    </w:tbl>
    <w:p>
      <w:pPr>
        <w:pStyle w:val="TextBody"/>
        <w:bidi w:val="0"/>
        <w:spacing w:before="120" w:after="0"/>
        <w:jc w:val="left"/>
        <w:rPr>
          <w:rFonts w:ascii="Times New Roman" w:hAnsi="Times New Roman"/>
          <w:sz w:val="20"/>
        </w:rPr>
      </w:pPr>
      <w:r>
        <w:rPr>
          <w:rFonts w:ascii="Times New Roman" w:hAnsi="Times New Roman"/>
          <w:sz w:val="20"/>
        </w:rPr>
        <w:t xml:space="preserve">Comptroller of Currency, Washington, D.C. </w:t>
      </w:r>
    </w:p>
    <w:p>
      <w:pPr>
        <w:pStyle w:val="TextBody"/>
        <w:bidi w:val="0"/>
        <w:spacing w:before="0" w:after="0"/>
        <w:jc w:val="left"/>
        <w:rPr>
          <w:rFonts w:ascii="Times New Roman" w:hAnsi="Times New Roman"/>
          <w:sz w:val="20"/>
        </w:rPr>
      </w:pPr>
      <w:r>
        <w:rPr>
          <w:rFonts w:ascii="Times New Roman" w:hAnsi="Times New Roman"/>
          <w:sz w:val="20"/>
        </w:rPr>
        <w:t xml:space="preserve">Federal Deposit Insurance Corporation, Washington, D.C.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6"/>
        <w:gridCol w:w="8881"/>
      </w:tblGrid>
      <w:tr>
        <w:trPr/>
        <w:tc>
          <w:tcPr>
            <w:tcW w:w="918"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(b)</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it is authorized to exercise corporate trust powers.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trustee is authorized to exercise corporate trust powers. </w:t>
      </w:r>
    </w:p>
    <w:p>
      <w:pPr>
        <w:pStyle w:val="TextBody"/>
        <w:bidi w:val="0"/>
        <w:spacing w:before="360" w:after="0"/>
        <w:jc w:val="left"/>
        <w:rPr>
          <w:rFonts w:ascii="Times New Roman" w:hAnsi="Times New Roman"/>
          <w:b/>
          <w:sz w:val="20"/>
        </w:rPr>
      </w:pPr>
      <w:r>
        <w:rPr>
          <w:rFonts w:ascii="Times New Roman" w:hAnsi="Times New Roman"/>
          <w:b/>
          <w:sz w:val="20"/>
        </w:rPr>
        <w:t xml:space="preserve">ITEM 2. AFFILIATIONS WITH THE OBLIGOR. </w:t>
      </w:r>
    </w:p>
    <w:p>
      <w:pPr>
        <w:pStyle w:val="TextBody"/>
        <w:bidi w:val="0"/>
        <w:spacing w:before="120" w:after="0"/>
        <w:jc w:val="left"/>
        <w:rPr>
          <w:rFonts w:ascii="Times New Roman" w:hAnsi="Times New Roman"/>
          <w:sz w:val="20"/>
        </w:rPr>
      </w:pPr>
      <w:r>
        <w:rPr>
          <w:rFonts w:ascii="Times New Roman" w:hAnsi="Times New Roman"/>
          <w:sz w:val="20"/>
        </w:rPr>
        <w:t xml:space="preserve">If the obligor is an affiliate of the trustee, describe each affiliation: </w:t>
      </w:r>
    </w:p>
    <w:p>
      <w:pPr>
        <w:pStyle w:val="TextBody"/>
        <w:bidi w:val="0"/>
        <w:spacing w:before="120" w:after="0"/>
        <w:jc w:val="left"/>
        <w:rPr>
          <w:rFonts w:ascii="Times New Roman" w:hAnsi="Times New Roman"/>
          <w:sz w:val="20"/>
        </w:rPr>
      </w:pPr>
      <w:r>
        <w:rPr>
          <w:rFonts w:ascii="Times New Roman" w:hAnsi="Times New Roman"/>
          <w:sz w:val="20"/>
        </w:rPr>
        <w:t xml:space="preserve">Based upon an examination of the books and records of the trustee and information available to the trustee, the obligor is not an affiliate of the trustee.  </w:t>
      </w:r>
    </w:p>
    <w:p>
      <w:pPr>
        <w:pStyle w:val="TextBody"/>
        <w:bidi w:val="0"/>
        <w:spacing w:before="240" w:after="0"/>
        <w:jc w:val="left"/>
        <w:rPr>
          <w:rFonts w:ascii="Times New Roman" w:hAnsi="Times New Roman"/>
          <w:sz w:val="20"/>
        </w:rPr>
      </w:pPr>
      <w:r>
        <w:rPr>
          <w:rFonts w:ascii="Times New Roman" w:hAnsi="Times New Roman"/>
          <w:b/>
          <w:sz w:val="20"/>
        </w:rPr>
        <w:t xml:space="preserve">ITEM 3 – 15. </w:t>
      </w:r>
      <w:r>
        <w:rPr>
          <w:rFonts w:ascii="Times New Roman" w:hAnsi="Times New Roman"/>
          <w:sz w:val="20"/>
        </w:rPr>
        <w:t xml:space="preserve">Not applicable. </w:t>
      </w:r>
    </w:p>
    <w:p>
      <w:pPr>
        <w:pStyle w:val="TextBody"/>
        <w:bidi w:val="0"/>
        <w:spacing w:before="360" w:after="0"/>
        <w:jc w:val="left"/>
        <w:rPr>
          <w:rFonts w:ascii="Times New Roman" w:hAnsi="Times New Roman"/>
          <w:b/>
          <w:sz w:val="20"/>
        </w:rPr>
      </w:pPr>
      <w:r>
        <w:rPr>
          <w:rFonts w:ascii="Times New Roman" w:hAnsi="Times New Roman"/>
          <w:b/>
          <w:sz w:val="20"/>
        </w:rPr>
        <w:t xml:space="preserve">ITEM 16. LIST OF EXHIBITS. </w:t>
      </w:r>
    </w:p>
    <w:p>
      <w:pPr>
        <w:pStyle w:val="TextBody"/>
        <w:bidi w:val="0"/>
        <w:spacing w:before="120" w:after="0"/>
        <w:jc w:val="left"/>
        <w:rPr>
          <w:rFonts w:ascii="Times New Roman" w:hAnsi="Times New Roman"/>
          <w:sz w:val="20"/>
        </w:rPr>
      </w:pPr>
      <w:r>
        <w:rPr>
          <w:rFonts w:ascii="Times New Roman" w:hAnsi="Times New Roman"/>
          <w:sz w:val="20"/>
        </w:rPr>
        <w:t xml:space="preserve">Listed below are all exhibits filed as part of this Statement of Eligibility and Qualification.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8"/>
        <w:gridCol w:w="9292"/>
      </w:tblGrid>
      <w:tr>
        <w:trPr/>
        <w:tc>
          <w:tcPr>
            <w:tcW w:w="40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1.</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copy of the Charter for Wilmington Trust, National Association.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8"/>
        <w:gridCol w:w="9292"/>
      </w:tblGrid>
      <w:tr>
        <w:trPr/>
        <w:tc>
          <w:tcPr>
            <w:tcW w:w="40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2.</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authority of Wilmington Trust, National Association to commence business was granted under the Charter for Wilmington Trust, National Association, incorporated herein by reference to Exhibit 1 above.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7"/>
        <w:gridCol w:w="9291"/>
      </w:tblGrid>
      <w:tr>
        <w:trPr/>
        <w:tc>
          <w:tcPr>
            <w:tcW w:w="407" w:type="dxa"/>
            <w:tcBorders/>
            <w:vAlign w:val="center"/>
          </w:tcPr>
          <w:p>
            <w:pPr>
              <w:pStyle w:val="TableContents"/>
              <w:bidi w:val="0"/>
              <w:spacing w:before="0" w:after="283"/>
              <w:jc w:val="left"/>
              <w:rPr/>
            </w:pPr>
            <w:r>
              <w:rPr/>
              <w:t> </w:t>
            </w:r>
          </w:p>
        </w:tc>
        <w:tc>
          <w:tcPr>
            <w:tcW w:w="507" w:type="dxa"/>
            <w:tcBorders/>
          </w:tcPr>
          <w:p>
            <w:pPr>
              <w:pStyle w:val="TableContents"/>
              <w:bidi w:val="0"/>
              <w:spacing w:before="0" w:after="283"/>
              <w:jc w:val="left"/>
              <w:rPr/>
            </w:pPr>
            <w:r>
              <w:rPr/>
              <w:t>3.</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authorization to exercise corporate trust powers was granted under the Charter for Wilmington Trust, National Association, incorporated herein by reference to Exhibit 1 above.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4.</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copy of the existing By-Laws of Trustee, as now in effect, incorporated herein by reference to Exhibit 4 of this Form T-1.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5.</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 applicable.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6.</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consent of Wilmington Trust, National Association as required by Section 321(b) of the Trust Indenture Act of 1939, attached hereto as Exhibit 6 of this Form T-1.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7.</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Current Report of the Condition of Wilmington Trust, National Association, published pursuant to law or the requirements of its supervising or examining authority, attached hereto as Exhibit 7 of this Form T-1.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8.</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 applicable.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9.</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 applicable.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Trust Indenture Act of 1939, as amended, the trustee, Wilmington Trust, National Association, a national banking association organized and existing under the laws of the United States of America, has duly caused this Statement of Eligibility to be signed on its behalf by the undersigned, thereunto duly authorized, all in the City of Minneapolis and State of Minnesota on the 9th day of September,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7"/>
        <w:gridCol w:w="60"/>
        <w:gridCol w:w="3625"/>
      </w:tblGrid>
      <w:tr>
        <w:trPr/>
        <w:tc>
          <w:tcPr>
            <w:tcW w:w="39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WILMINGTON TRUST, NATIONAL ASSOCIATION</w:t>
            </w:r>
          </w:p>
        </w:tc>
      </w:tr>
      <w:tr>
        <w:trPr>
          <w:trHeight w:val="240" w:hRule="atLeast"/>
        </w:trPr>
        <w:tc>
          <w:tcPr>
            <w:tcW w:w="397" w:type="dxa"/>
            <w:tcBorders/>
            <w:vAlign w:val="center"/>
          </w:tcPr>
          <w:p>
            <w:pPr>
              <w:pStyle w:val="TableContents"/>
              <w:bidi w:val="0"/>
              <w:spacing w:before="0" w:after="283"/>
              <w:jc w:val="left"/>
              <w:rPr>
                <w:sz w:val="4"/>
                <w:szCs w:val="4"/>
              </w:rPr>
            </w:pPr>
            <w:r>
              <w:rPr>
                <w:sz w:val="4"/>
                <w:szCs w:val="4"/>
              </w:rPr>
            </w:r>
          </w:p>
        </w:tc>
        <w:tc>
          <w:tcPr>
            <w:tcW w:w="3685" w:type="dxa"/>
            <w:gridSpan w:val="2"/>
            <w:tcBorders/>
            <w:vAlign w:val="center"/>
          </w:tcPr>
          <w:p>
            <w:pPr>
              <w:pStyle w:val="TableContents"/>
              <w:bidi w:val="0"/>
              <w:spacing w:before="0" w:after="283"/>
              <w:jc w:val="left"/>
              <w:rPr>
                <w:sz w:val="4"/>
                <w:szCs w:val="4"/>
              </w:rPr>
            </w:pPr>
            <w:r>
              <w:rPr>
                <w:sz w:val="4"/>
                <w:szCs w:val="4"/>
              </w:rPr>
            </w:r>
          </w:p>
        </w:tc>
      </w:tr>
      <w:tr>
        <w:trPr/>
        <w:tc>
          <w:tcPr>
            <w:tcW w:w="397"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5" w:type="dxa"/>
            <w:tcBorders>
              <w:bottom w:val="single" w:sz="2" w:space="0" w:color="000000"/>
            </w:tcBorders>
            <w:tcMar>
              <w:bottom w:w="28" w:type="dxa"/>
            </w:tcMar>
          </w:tcPr>
          <w:p>
            <w:pPr>
              <w:pStyle w:val="TableContents"/>
              <w:bidi w:val="0"/>
              <w:spacing w:before="0" w:after="283"/>
              <w:jc w:val="left"/>
              <w:rPr/>
            </w:pPr>
            <w:r>
              <w:rPr/>
              <w:t>/s/ Jane Schweiger</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Name: Jane Schweiger</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Title: Vice President</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1 </w:t>
      </w:r>
    </w:p>
    <w:p>
      <w:pPr>
        <w:pStyle w:val="TextBody"/>
        <w:bidi w:val="0"/>
        <w:spacing w:before="120" w:after="0"/>
        <w:jc w:val="center"/>
        <w:rPr>
          <w:rFonts w:ascii="Times New Roman" w:hAnsi="Times New Roman"/>
          <w:b/>
          <w:sz w:val="20"/>
        </w:rPr>
      </w:pPr>
      <w:r>
        <w:rPr>
          <w:rFonts w:ascii="Times New Roman" w:hAnsi="Times New Roman"/>
          <w:b/>
          <w:sz w:val="20"/>
        </w:rPr>
        <w:t xml:space="preserve">CHARTER OF WILMINGTON TRUST, NATIONAL ASSOCIATION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ARTICLES OF ASSOCIATION </w:t>
      </w:r>
    </w:p>
    <w:p>
      <w:pPr>
        <w:pStyle w:val="TextBody"/>
        <w:bidi w:val="0"/>
        <w:spacing w:before="0" w:after="0"/>
        <w:jc w:val="center"/>
        <w:rPr>
          <w:rFonts w:ascii="Times New Roman" w:hAnsi="Times New Roman"/>
          <w:b/>
          <w:sz w:val="20"/>
        </w:rPr>
      </w:pPr>
      <w:r>
        <w:rPr>
          <w:rFonts w:ascii="Times New Roman" w:hAnsi="Times New Roman"/>
          <w:b/>
          <w:sz w:val="20"/>
        </w:rPr>
        <w:t xml:space="preserve">OF </w:t>
      </w:r>
    </w:p>
    <w:p>
      <w:pPr>
        <w:pStyle w:val="TextBody"/>
        <w:bidi w:val="0"/>
        <w:spacing w:before="0" w:after="0"/>
        <w:jc w:val="center"/>
        <w:rPr>
          <w:rFonts w:ascii="Times New Roman" w:hAnsi="Times New Roman"/>
          <w:b/>
          <w:sz w:val="20"/>
        </w:rPr>
      </w:pPr>
      <w:r>
        <w:rPr>
          <w:rFonts w:ascii="Times New Roman" w:hAnsi="Times New Roman"/>
          <w:b/>
          <w:sz w:val="20"/>
        </w:rPr>
        <w:t xml:space="preserve">WILMINGTON TRUST, NATIONAL ASSOCIATION </w:t>
      </w:r>
    </w:p>
    <w:p>
      <w:pPr>
        <w:pStyle w:val="TextBody"/>
        <w:bidi w:val="0"/>
        <w:spacing w:before="240" w:after="0"/>
        <w:jc w:val="left"/>
        <w:rPr>
          <w:rFonts w:ascii="Times New Roman" w:hAnsi="Times New Roman"/>
          <w:sz w:val="20"/>
        </w:rPr>
      </w:pPr>
      <w:r>
        <w:rPr>
          <w:rFonts w:ascii="Times New Roman" w:hAnsi="Times New Roman"/>
          <w:sz w:val="20"/>
        </w:rPr>
        <w:t xml:space="preserve">For the purpose of organizing an association to perform any lawful activities of national banks, the undersigned do enter into the following articles of association: </w:t>
      </w:r>
    </w:p>
    <w:p>
      <w:pPr>
        <w:pStyle w:val="TextBody"/>
        <w:bidi w:val="0"/>
        <w:spacing w:before="120" w:after="0"/>
        <w:jc w:val="left"/>
        <w:rPr>
          <w:rFonts w:ascii="Times New Roman" w:hAnsi="Times New Roman"/>
          <w:sz w:val="20"/>
        </w:rPr>
      </w:pPr>
      <w:r>
        <w:rPr>
          <w:rFonts w:ascii="Times New Roman" w:hAnsi="Times New Roman"/>
          <w:sz w:val="20"/>
        </w:rPr>
        <w:t xml:space="preserve">FIRST.    The title of this association shall be Wilmington Trust, National Association. </w:t>
      </w:r>
    </w:p>
    <w:p>
      <w:pPr>
        <w:pStyle w:val="TextBody"/>
        <w:bidi w:val="0"/>
        <w:spacing w:before="240" w:after="0"/>
        <w:jc w:val="left"/>
        <w:rPr>
          <w:rFonts w:ascii="Times New Roman" w:hAnsi="Times New Roman"/>
          <w:sz w:val="20"/>
        </w:rPr>
      </w:pPr>
      <w:r>
        <w:rPr>
          <w:rFonts w:ascii="Times New Roman" w:hAnsi="Times New Roman"/>
          <w:sz w:val="20"/>
        </w:rPr>
        <w:t xml:space="preserve">SECOND.    The main office of the association shall be in the City of Wilmington, County of New Castle, State of Delaware. The general business of the association shall be conducted at its main office and its branches. </w:t>
      </w:r>
    </w:p>
    <w:p>
      <w:pPr>
        <w:pStyle w:val="TextBody"/>
        <w:bidi w:val="0"/>
        <w:spacing w:before="240" w:after="0"/>
        <w:jc w:val="left"/>
        <w:rPr>
          <w:rFonts w:ascii="Times New Roman" w:hAnsi="Times New Roman"/>
          <w:sz w:val="20"/>
        </w:rPr>
      </w:pPr>
      <w:r>
        <w:rPr>
          <w:rFonts w:ascii="Times New Roman" w:hAnsi="Times New Roman"/>
          <w:sz w:val="20"/>
        </w:rPr>
        <w:t xml:space="preserve">THIRD.     The board of directors of this association shall consist of not less than five nor more than twenty-five persons, unless the OCC has exempted the bank from the 25-member limit. The exact number is to be fixed and determined from time to time by resolution of a majority of the full board of directors or by resolution of a majority of the shareholders at any annual or special meeting thereof. Each director shall own common or preferred stock of the association or of a holding company owning the association, with an aggregate par, fair market or equity value $1,000. Determination of these values may be based as of either (i) the date of purchase or (ii) the date the person became a director, whichever value is greater. Any combination of common or preferred stock of the association or holding company may be used. </w:t>
      </w:r>
    </w:p>
    <w:p>
      <w:pPr>
        <w:pStyle w:val="TextBody"/>
        <w:bidi w:val="0"/>
        <w:spacing w:before="240" w:after="0"/>
        <w:jc w:val="left"/>
        <w:rPr>
          <w:rFonts w:ascii="Times New Roman" w:hAnsi="Times New Roman"/>
          <w:sz w:val="20"/>
        </w:rPr>
      </w:pPr>
      <w:r>
        <w:rPr>
          <w:rFonts w:ascii="Times New Roman" w:hAnsi="Times New Roman"/>
          <w:sz w:val="20"/>
        </w:rPr>
        <w:t xml:space="preserve">Any vacancy in the board of directors may be filled by action of a majority of the remaining directors between meetings of shareholders. The board of directors may not increase the number of directors between meetings of shareholders to a number which: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8"/>
        <w:gridCol w:w="9292"/>
      </w:tblGrid>
      <w:tr>
        <w:trPr/>
        <w:tc>
          <w:tcPr>
            <w:tcW w:w="40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1)</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exceeds by more than two the number of directors last elected by shareholders where the number was 15 or less;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8"/>
        <w:gridCol w:w="9292"/>
      </w:tblGrid>
      <w:tr>
        <w:trPr/>
        <w:tc>
          <w:tcPr>
            <w:tcW w:w="40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2)</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exceeds by more than four the number of directors last elected by shareholders where the number was 16 or more, but in no event shall the number of directors exceed 25, unless the OCC has exempted the bank from the 25-member limit. </w:t>
            </w:r>
          </w:p>
        </w:tc>
      </w:tr>
    </w:tbl>
    <w:p>
      <w:pPr>
        <w:pStyle w:val="TextBody"/>
        <w:bidi w:val="0"/>
        <w:spacing w:before="240" w:after="0"/>
        <w:jc w:val="left"/>
        <w:rPr>
          <w:rFonts w:ascii="Times New Roman" w:hAnsi="Times New Roman"/>
          <w:sz w:val="20"/>
        </w:rPr>
      </w:pPr>
      <w:r>
        <w:rPr>
          <w:rFonts w:ascii="Times New Roman" w:hAnsi="Times New Roman"/>
          <w:sz w:val="20"/>
        </w:rPr>
        <w:t xml:space="preserve">Directors shall be elected for terms of one year and until their successors are elected and qualified. Terms of directors, including directors selected to fill vacancies, shall expire at the next regular meeting of shareholders at which directors are elected, unless the directors resign or are removed from office. Despite the expiration of a director’s term, the director shall continue to serve until his or her successor is elected and qualifies or until there is a decrease in the number of directors and his or her position is eliminated. </w:t>
      </w:r>
    </w:p>
    <w:p>
      <w:pPr>
        <w:pStyle w:val="TextBody"/>
        <w:bidi w:val="0"/>
        <w:spacing w:before="240" w:after="0"/>
        <w:jc w:val="left"/>
        <w:rPr>
          <w:rFonts w:ascii="Times New Roman" w:hAnsi="Times New Roman"/>
          <w:sz w:val="20"/>
        </w:rPr>
      </w:pPr>
      <w:r>
        <w:rPr>
          <w:rFonts w:ascii="Times New Roman" w:hAnsi="Times New Roman"/>
          <w:sz w:val="20"/>
        </w:rPr>
        <w:t xml:space="preserve">Honorary or advisory members of the board of directors, without voting power or power of final decision in matters concerning the business of the association, may be appointed by resolution of a majority of the full board of directors, or by resolution of shareholders at any annual or special meeting. Honorary or advisory directors shall not be counted to determine the number of directors of the association or the presence of a quorum in connection with any board action, and shall not be required to own qualifying shares. </w:t>
      </w:r>
    </w:p>
    <w:p>
      <w:pPr>
        <w:pStyle w:val="TextBody"/>
        <w:bidi w:val="0"/>
        <w:spacing w:before="240" w:after="0"/>
        <w:jc w:val="left"/>
        <w:rPr>
          <w:rFonts w:ascii="Times New Roman" w:hAnsi="Times New Roman"/>
          <w:sz w:val="20"/>
        </w:rPr>
      </w:pPr>
      <w:r>
        <w:rPr>
          <w:rFonts w:ascii="Times New Roman" w:hAnsi="Times New Roman"/>
          <w:sz w:val="20"/>
        </w:rPr>
        <w:t xml:space="preserve">FOURTH.    There shall be an annual meeting of the shareholders to elect directors and transact whatever other business may be brought before the meeting. It shall be held at the main office or any other convenient place the board of directors may designate, on the day of each year specified therefor in the bylaws, or, if that day falls on a legal holiday in the state in which the association is located, on the next following banking day. If no election is held on the day fixed, or in the event of a legal holiday on the following banking day, an election may be held on any subsequent day within 60 days of the day fixed, to be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designated by the board of directors, or, if the directors fail to fix the day, by shareholders representing two-thirds of the shares issued and outstanding. In all cases at least 10 days advance notice of the time, place and purpose of a shareholders’ meeting shall be given to the shareholders by first class mail, unless the OCC determines that an emergency circumstance exists. The sole shareholder of the bank is permitted to waive notice of the shareholders’ meeting. </w:t>
      </w:r>
    </w:p>
    <w:p>
      <w:pPr>
        <w:pStyle w:val="TextBody"/>
        <w:bidi w:val="0"/>
        <w:spacing w:before="240" w:after="0"/>
        <w:jc w:val="left"/>
        <w:rPr>
          <w:rFonts w:ascii="Times New Roman" w:hAnsi="Times New Roman"/>
          <w:sz w:val="20"/>
        </w:rPr>
      </w:pPr>
      <w:r>
        <w:rPr>
          <w:rFonts w:ascii="Times New Roman" w:hAnsi="Times New Roman"/>
          <w:sz w:val="20"/>
        </w:rPr>
        <w:t xml:space="preserve">In all elections of directors, the number of votes each common shareholder may cast will be determined by multiplying the number of shares such shareholder owns by the number of directors to be elected. Those votes may be cumulated and cast for a single candidate or may be distributed among two or more candidates in the manner selected by the shareholder. If, after the first ballot, subsequent ballots are necessary to elect directors, a shareholder may not vote shares that he or she has already fully cumulated and voted in favor of a successful candidate. On all other questions, each common shareholder shall be entitled to one vote for each share of stock held by him or her. </w:t>
      </w:r>
    </w:p>
    <w:p>
      <w:pPr>
        <w:pStyle w:val="TextBody"/>
        <w:bidi w:val="0"/>
        <w:spacing w:before="240" w:after="0"/>
        <w:jc w:val="left"/>
        <w:rPr>
          <w:rFonts w:ascii="Times New Roman" w:hAnsi="Times New Roman"/>
          <w:sz w:val="20"/>
        </w:rPr>
      </w:pPr>
      <w:r>
        <w:rPr>
          <w:rFonts w:ascii="Times New Roman" w:hAnsi="Times New Roman"/>
          <w:sz w:val="20"/>
        </w:rPr>
        <w:t xml:space="preserve">Nominations for election to the board of directors may be made by the board of directors or by any stockholder of any outstanding class of capital stock of the association entitled to vote for election of directors. Nominations other than those made by or on behalf of the existing management shall be made in writing and be delivered or mailed to the president of the association not less than 14 days nor more than 50 days prior to any meeting of shareholders called for the election of directors; provided, however, that if less than 21 days notice of the meeting is given to shareholders, such nominations shall be mailed or delivered to the president of the association not later than the close of business on the seventh day following the day on which the notice of meeting was mailed. Such notification shall contain the following information to the extent known to the notifying shareholder: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1)</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name and address of each proposed nominee. </w:t>
            </w:r>
          </w:p>
        </w:tc>
      </w:tr>
    </w:tbl>
    <w:tbl>
      <w:tblPr>
        <w:tblW w:w="5000" w:type="pct"/>
        <w:jc w:val="left"/>
        <w:tblInd w:w="0" w:type="dxa"/>
        <w:tblLayout w:type="fixed"/>
        <w:tblCellMar>
          <w:top w:w="0" w:type="dxa"/>
          <w:left w:w="0" w:type="dxa"/>
          <w:bottom w:w="0" w:type="dxa"/>
          <w:right w:w="0" w:type="dxa"/>
        </w:tblCellMar>
      </w:tblPr>
      <w:tblGrid>
        <w:gridCol w:w="406"/>
        <w:gridCol w:w="507"/>
        <w:gridCol w:w="9292"/>
      </w:tblGrid>
      <w:tr>
        <w:trPr/>
        <w:tc>
          <w:tcPr>
            <w:tcW w:w="406" w:type="dxa"/>
            <w:tcBorders/>
            <w:vAlign w:val="center"/>
          </w:tcPr>
          <w:p>
            <w:pPr>
              <w:pStyle w:val="TableContents"/>
              <w:bidi w:val="0"/>
              <w:spacing w:before="0" w:after="283"/>
              <w:jc w:val="left"/>
              <w:rPr/>
            </w:pPr>
            <w:r>
              <w:rPr/>
              <w:t> </w:t>
            </w:r>
          </w:p>
        </w:tc>
        <w:tc>
          <w:tcPr>
            <w:tcW w:w="507" w:type="dxa"/>
            <w:tcBorders/>
          </w:tcPr>
          <w:p>
            <w:pPr>
              <w:pStyle w:val="TableContents"/>
              <w:bidi w:val="0"/>
              <w:spacing w:before="0" w:after="283"/>
              <w:jc w:val="left"/>
              <w:rPr/>
            </w:pPr>
            <w:r>
              <w:rPr/>
              <w:t>2)</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principal occupation of each proposed nominee. </w:t>
            </w:r>
          </w:p>
        </w:tc>
      </w:tr>
    </w:tbl>
    <w:tbl>
      <w:tblPr>
        <w:tblW w:w="5000" w:type="pct"/>
        <w:jc w:val="left"/>
        <w:tblInd w:w="0" w:type="dxa"/>
        <w:tblLayout w:type="fixed"/>
        <w:tblCellMar>
          <w:top w:w="0" w:type="dxa"/>
          <w:left w:w="0" w:type="dxa"/>
          <w:bottom w:w="0" w:type="dxa"/>
          <w:right w:w="0" w:type="dxa"/>
        </w:tblCellMar>
      </w:tblPr>
      <w:tblGrid>
        <w:gridCol w:w="406"/>
        <w:gridCol w:w="507"/>
        <w:gridCol w:w="9292"/>
      </w:tblGrid>
      <w:tr>
        <w:trPr/>
        <w:tc>
          <w:tcPr>
            <w:tcW w:w="406" w:type="dxa"/>
            <w:tcBorders/>
            <w:vAlign w:val="center"/>
          </w:tcPr>
          <w:p>
            <w:pPr>
              <w:pStyle w:val="TableContents"/>
              <w:bidi w:val="0"/>
              <w:spacing w:before="0" w:after="283"/>
              <w:jc w:val="left"/>
              <w:rPr/>
            </w:pPr>
            <w:r>
              <w:rPr/>
              <w:t> </w:t>
            </w:r>
          </w:p>
        </w:tc>
        <w:tc>
          <w:tcPr>
            <w:tcW w:w="507" w:type="dxa"/>
            <w:tcBorders/>
          </w:tcPr>
          <w:p>
            <w:pPr>
              <w:pStyle w:val="TableContents"/>
              <w:bidi w:val="0"/>
              <w:spacing w:before="0" w:after="283"/>
              <w:jc w:val="left"/>
              <w:rPr/>
            </w:pPr>
            <w:r>
              <w:rPr/>
              <w:t>3)</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total number of shares of capital stock of the association that will be voted for each proposed nominee. </w:t>
            </w:r>
          </w:p>
        </w:tc>
      </w:tr>
    </w:tbl>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4)</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name and residence address of the notifying shareholder. </w:t>
            </w:r>
          </w:p>
        </w:tc>
      </w:tr>
    </w:tbl>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5)</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of capital stock of the association owned by the notifying shareholder.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Nominations not made in accordance herewith may, in his/her discretion, be disregarded by the chairperson of the meeting, and the vote tellers may disregard all votes cast for each such nominee. No bylaw may unreasonably restrict the nomination of directors by shareholders. </w:t>
      </w:r>
    </w:p>
    <w:p>
      <w:pPr>
        <w:pStyle w:val="TextBody"/>
        <w:bidi w:val="0"/>
        <w:spacing w:before="120" w:after="0"/>
        <w:jc w:val="left"/>
        <w:rPr>
          <w:rFonts w:ascii="Times New Roman" w:hAnsi="Times New Roman"/>
          <w:sz w:val="20"/>
        </w:rPr>
      </w:pPr>
      <w:r>
        <w:rPr>
          <w:rFonts w:ascii="Times New Roman" w:hAnsi="Times New Roman"/>
          <w:sz w:val="20"/>
        </w:rPr>
        <w:t xml:space="preserve">A director may resign at any time by delivering written notice to the board of directors, its chairperson, or to the association, which resignation shall be effective when the notice is delivered unless the notice specifies a later effective date. </w:t>
      </w:r>
    </w:p>
    <w:p>
      <w:pPr>
        <w:pStyle w:val="TextBody"/>
        <w:bidi w:val="0"/>
        <w:spacing w:before="120" w:after="0"/>
        <w:jc w:val="left"/>
        <w:rPr>
          <w:rFonts w:ascii="Times New Roman" w:hAnsi="Times New Roman"/>
          <w:sz w:val="20"/>
        </w:rPr>
      </w:pPr>
      <w:r>
        <w:rPr>
          <w:rFonts w:ascii="Times New Roman" w:hAnsi="Times New Roman"/>
          <w:sz w:val="20"/>
        </w:rPr>
        <w:t xml:space="preserve">A director may be removed by shareholders at a meeting called to remove the director, when notice of the meeting stating that the purpose or one of the purposes is to remove the director is provided, if there is a failure to fulfill one of the affirmative requirements for qualification, or for cause; provided, however, that a director may not be removed if the number of votes sufficient to elect the director under cumulative voting is voted against the director’s removal.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FIFTH.     The authorized amount of capital stock of this association shall be ten thousand shares of common stock of the par value of one hundred dollars ($100) each; but said capital stock may be increased or decreased from time to time, according to the provisions of the laws of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No holder of shares of the capital stock of any class of the association shall have any preemptive or preferential right of subscription to any shares of any class of stock of the association, whether now or hereafter authorized, or to any obligations convertible into stock of the association, issued, or sold, nor any right of subscription to any thereof other than such, if any, as the board of directors, in its discretion, may from time to time determine and at such price as the board of directors may from time to time fix. Preemptive rights also must be approved by a vote of holders of two-thirds of the bank’s outstanding voting shares. Unless otherwise specified in these articles of association or required by law, (1) all matters requiring shareholder action, including amendments to the articles of association, must be approved by shareholders owning a majority voting interest in the outstanding voting stock, and (2) each shareholder shall be entitled to one vote per share.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specified in these articles of association or required by law, all shares of voting stock shall be voted together as a class, on any matters requiring shareholder approval. If a proposed amendment would affect two or more classes or series in the same or a substantially similar way, all the classes or series so affected must vote together as a single voting group on the proposed amendment. </w:t>
      </w:r>
    </w:p>
    <w:p>
      <w:pPr>
        <w:pStyle w:val="TextBody"/>
        <w:bidi w:val="0"/>
        <w:spacing w:before="240" w:after="0"/>
        <w:jc w:val="left"/>
        <w:rPr>
          <w:rFonts w:ascii="Times New Roman" w:hAnsi="Times New Roman"/>
          <w:sz w:val="20"/>
        </w:rPr>
      </w:pPr>
      <w:r>
        <w:rPr>
          <w:rFonts w:ascii="Times New Roman" w:hAnsi="Times New Roman"/>
          <w:sz w:val="20"/>
        </w:rPr>
        <w:t xml:space="preserve">Shares of one class or series may be issued as a dividend for shares of the same class or series on a pro rata basis and without consideration. Shares of one class or series may be issued as share dividends for a different class or series of stock if approved by a majority of the votes entitled to be cast by the class or series to be issued, unless there are no outstanding shares of the class or series to be issued. Unless otherwise provided by the board of directors, the record date for determining shareholders entitled to a share dividend shall be the date authorized by the board of directors for the share dividend.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provided in the bylaws, the record date for determining shareholders entitled to notice of and to vote at any meeting is the close of business on the day before the first notice is mailed or otherwise sent to the shareholders, provided that in no event may a record date be more than 70 days before the meeting. </w:t>
      </w:r>
    </w:p>
    <w:p>
      <w:pPr>
        <w:pStyle w:val="TextBody"/>
        <w:bidi w:val="0"/>
        <w:spacing w:before="240" w:after="0"/>
        <w:jc w:val="left"/>
        <w:rPr>
          <w:rFonts w:ascii="Times New Roman" w:hAnsi="Times New Roman"/>
          <w:sz w:val="20"/>
        </w:rPr>
      </w:pPr>
      <w:r>
        <w:rPr>
          <w:rFonts w:ascii="Times New Roman" w:hAnsi="Times New Roman"/>
          <w:sz w:val="20"/>
        </w:rPr>
        <w:t xml:space="preserve">If a shareholder is entitled to fractional shares pursuant to a stock dividend, consolidation or merger, reverse stock split or otherwise, the association may: (a) issue fractional shares; (b) in lieu of the issuance of fractional shares, issue script or warrants entitling the holder to receive a full share upon surrendering enough script or warrants to equal a full share; (c) if there is an established and active market in the association’s stock, make reasonable arrangements to provide the shareholder with an opportunity to realize a fair price through sale of the fraction, or purchase of the additional fraction required for a full share; (d) remit the cash equivalent of the fraction to the shareholder; or (e) sell full shares representing all the fractions at public auction or to the highest bidder after having solicited and received sealed bids from at least three licensed stock brokers; and distribute the proceeds pro rata to shareholders who otherwise would be entitled to the fractional shares. The holder of a fractional share is entitled to exercise the rights for shareholder, including the right to vote, to receive dividends, and to participate in the assets of the association upon liquidation, in proportion to the fractional interest. The holder of script or warrants is not entitled to any of these rights unless the script or warrants explicitly provide for such rights. The script or warrants may be subject to such additional conditions as: (1) that the script or warrants will become void if not exchanged for full shares before a specified date; and (2) that the shares for which the script or warrants are exchangeable may be sold at the option of the association and the proceeds paid to scriptholders. </w:t>
      </w:r>
    </w:p>
    <w:p>
      <w:pPr>
        <w:pStyle w:val="TextBody"/>
        <w:bidi w:val="0"/>
        <w:spacing w:before="240" w:after="0"/>
        <w:jc w:val="left"/>
        <w:rPr>
          <w:rFonts w:ascii="Times New Roman" w:hAnsi="Times New Roman"/>
          <w:sz w:val="20"/>
        </w:rPr>
      </w:pPr>
      <w:r>
        <w:rPr>
          <w:rFonts w:ascii="Times New Roman" w:hAnsi="Times New Roman"/>
          <w:sz w:val="20"/>
        </w:rPr>
        <w:t xml:space="preserve">The association, at any time and from time to time, may authorize and issue debt obligations, whether or not subordinated, without the approval of the shareholders. Obligations classified as debt, whether or not subordinated, which may be issued by the association without the approval of shareholders, do not carry voting rights on any issue, including an increase or decrease in the aggregate number of the securities, or the exchange or reclassification of all or part of securities into securities of another class or series.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SIXTH.    The board of directors shall appoint one of its members president of this association, and one of its members chairperson of the board and shall have the power to appoint one or more vice presidents, a secretary who shall keep minutes of the directors’ and shareholders’ meetings and be responsible for authenticating the records of the association, and such other officers and employees as may be required to transact the business of this association. </w:t>
      </w:r>
    </w:p>
    <w:p>
      <w:pPr>
        <w:pStyle w:val="TextBody"/>
        <w:bidi w:val="0"/>
        <w:spacing w:before="240" w:after="0"/>
        <w:jc w:val="left"/>
        <w:rPr>
          <w:rFonts w:ascii="Times New Roman" w:hAnsi="Times New Roman"/>
          <w:sz w:val="20"/>
        </w:rPr>
      </w:pPr>
      <w:r>
        <w:rPr>
          <w:rFonts w:ascii="Times New Roman" w:hAnsi="Times New Roman"/>
          <w:sz w:val="20"/>
        </w:rPr>
        <w:t xml:space="preserve">A duly appointed officer may appoint one or more officers or assistant officers if authorized by the board of directors in accordance with the bylaws.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shall have the power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Define the duties of the officers, employees, and agents of the association.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Delegate the performance of its duties, but not the responsibility for its duties, to the officers, employees, and agents of the association.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3)</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Fix the compensation and enter into employment contracts with its officers and employees upon reasonable terms and conditions consistent with applicable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7"/>
        <w:gridCol w:w="9292"/>
      </w:tblGrid>
      <w:tr>
        <w:trPr/>
        <w:tc>
          <w:tcPr>
            <w:tcW w:w="406" w:type="dxa"/>
            <w:tcBorders/>
            <w:vAlign w:val="center"/>
          </w:tcPr>
          <w:p>
            <w:pPr>
              <w:pStyle w:val="TableContents"/>
              <w:bidi w:val="0"/>
              <w:spacing w:before="0" w:after="283"/>
              <w:jc w:val="left"/>
              <w:rPr/>
            </w:pPr>
            <w:r>
              <w:rPr/>
              <w:t> </w:t>
            </w:r>
          </w:p>
        </w:tc>
        <w:tc>
          <w:tcPr>
            <w:tcW w:w="507" w:type="dxa"/>
            <w:tcBorders/>
          </w:tcPr>
          <w:p>
            <w:pPr>
              <w:pStyle w:val="TableContents"/>
              <w:bidi w:val="0"/>
              <w:spacing w:before="0" w:after="283"/>
              <w:jc w:val="left"/>
              <w:rPr/>
            </w:pPr>
            <w:r>
              <w:rPr/>
              <w:t>4)</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Dismiss officers and employees.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9"/>
        <w:gridCol w:w="9291"/>
      </w:tblGrid>
      <w:tr>
        <w:trPr/>
        <w:tc>
          <w:tcPr>
            <w:tcW w:w="40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5)</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Require bonds from officers and employees and to fix the penalty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6)</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Ratify written policies authorized by the association’s management or committees of the board.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8"/>
        <w:gridCol w:w="9292"/>
      </w:tblGrid>
      <w:tr>
        <w:trPr/>
        <w:tc>
          <w:tcPr>
            <w:tcW w:w="40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7)</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Regulate the manner in which any increase or decrease of the capital of the association shall be made, provided that nothing herein shall restrict the power of shareholders to increase or decrease the capital of the association in accordance with law, and nothing shall raise or lower from two-thirds the percentage required for shareholder approval to increase or reduce the capital.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8)</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Manage and administer the business and affairs of the association.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9)</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Adopt initial bylaws, not inconsistent with law or the articles of association, for managing the business and regulating the affairs of the association.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10)</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Amend or repeal bylaws, except to the extent that the articles of association reserve this power in whole or in part to shareholders.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contracts.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Generally perform all acts that are legal for a board of directors to perform.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SEVENTH.    The board of directors shall have the power to change the location of the main office to any other place within the limits of Wilmington, Delaware, without the approval of the shareholders, or with a vote of shareholders owning two-thirds of the stock of such association for a relocation outside such limits and upon receipt of a certificate of approval from the Comptroller of the Currency, to any other location within or outside the limits of Wilmington Delaware, but not more than 30 miles beyond such limits. The board of directors shall have the power to establish or change the location of any branch or branches of the association to any other location permitted under applicable law, without approval of shareholders, subject to approval by the Comptroller of the Currency.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EIGHTH.    The corporate existence of this association shall continue until termination according to the laws of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NINTH.    The board of directors of this association, or any one or more shareholders owning, in the aggregate, not less than 50 percent of the stock of this association, may call a special meeting of shareholders at any time. Unless otherwise provided by the bylaws or the laws of the United States, a notice of the time, place, and purpose of every annual and special meeting of the shareholders shall be given at least 10 days prior to the meeting by first-class mail, unless the OCC determines that an emergency circumstance exists. If the association is a wholly-owned subsidiary, the sole shareholder may waive notice of the shareholders’ meeting. Unless otherwise provided by the bylaws or these articles, any action requiring approval of shareholders must be effected at a duly called annual or special meeting. </w:t>
      </w:r>
    </w:p>
    <w:p>
      <w:pPr>
        <w:pStyle w:val="TextBody"/>
        <w:bidi w:val="0"/>
        <w:spacing w:before="240" w:after="0"/>
        <w:jc w:val="left"/>
        <w:rPr>
          <w:rFonts w:ascii="Times New Roman" w:hAnsi="Times New Roman"/>
          <w:sz w:val="20"/>
        </w:rPr>
      </w:pPr>
      <w:r>
        <w:rPr>
          <w:rFonts w:ascii="Times New Roman" w:hAnsi="Times New Roman"/>
          <w:sz w:val="20"/>
        </w:rPr>
        <w:t xml:space="preserve">TENTH.    For purposes of this Article Tenth, the term “institution-affiliated party” shall mean any institution-affiliated party of the association as such term is defined in 12 U.S.C. 1813(u). </w:t>
      </w:r>
    </w:p>
    <w:p>
      <w:pPr>
        <w:pStyle w:val="TextBody"/>
        <w:bidi w:val="0"/>
        <w:spacing w:before="240" w:after="0"/>
        <w:jc w:val="left"/>
        <w:rPr>
          <w:rFonts w:ascii="Times New Roman" w:hAnsi="Times New Roman"/>
          <w:sz w:val="20"/>
        </w:rPr>
      </w:pPr>
      <w:r>
        <w:rPr>
          <w:rFonts w:ascii="Times New Roman" w:hAnsi="Times New Roman"/>
          <w:sz w:val="20"/>
        </w:rPr>
        <w:t xml:space="preserve">Any institution-affiliated party (or his or her heirs, executors or administrators) may be indemnified or reimbursed by the association for reasonable expenses actually incurred in connection with any threatened, pending or completed actions or proceedings and appeals therein, whether civil, criminal, governmental, administrative or investigative, in accordance with and to the fullest extent permitted by law, as such law now or hereafter exists; provided, however, that when an administrative proceeding or action instituted by a federal banking agency results in a final order or settlement pursuant to which such person: (i) is assessed a civil money penalty, (ii) is removed from office or prohibited from participating in the conduct of the affairs of the association, or (iii) is required to cease and desist from or to take any affirmative action described in 12 U.S.C. 1818(b) with respect to the association, then the association shall require the repayment of all legal fees and expenses advanced pursuant to the next succeeding paragraph and may not indemnify such institution-affiliated parties (or their heirs, executors or administrators) for expenses, including expenses for legal fees, penalties or other payments incurred. The association shall provide indemnification in connection with an action or proceeding (or part thereof) initiated by an institution-affiliated party (or by his or her heirs, executors or administrators) only if such action or proceeding (or part thereof) was authorized by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Expenses incurred by an institution-affiliated party (or by his or her heirs, executors or administrators) in connection with any action or proceeding under 12 U.S.C. 164 or 1818 may be paid by the association in advance of the final disposition of such action or proceeding upon (a) a determination by the board of directors acting by a quorum consisting of directors who are not parties to such action or proceeding that the institution-affiliated party (or his or her heirs, executors or administrators) has a reasonable basis for prevailing on the merits, (b) a determination that the indemnified individual (or his or her heirs, executors or administrators) will have the financial capacity to reimburse the bank in the event he or she does not prevail, (c) a determination that the payment of expenses and fees by the association will not adversely affect the safety and soundness of the association, and (d) receipt of an undertaking by or on behalf of such institution-affiliated party (or by his or her heirs, executors or administrators) to repay such advancement in the event of a final order or settlement pursuant to which such person: (i) is assessed a civil money penalty, (ii) is removed from office or prohibited from participating in the conduct of the affairs of the association, or (iii) is required to cease and desist from or to take any affirmative action described in 12 U.S.C. 1818(b) with respect to the association. In all other instances, expenses incurred by an institution-affiliated party (or by his or her heirs, executors or administrators) in connection with any action or proceeding as to which indemnification may be given under these articles of association may be paid by the association in advance of the final disposition of such action or proceeding upon (a) receipt of an undertaking by or on behalf of such institution-affiliated party (or by or on behalf of his or her heirs, executors or administrators) to repay such advancement in the event that such institution-affiliated party (or his or her heirs, executors or administrators) is ultimately found not to be entitled to indemnification as authorized by these articles of association and (b) approval by the board of directors acting by a quorum consisting of directors who are not parties to such action or proceeding or, if such a quorum is not obtainable, then approval by stockholders. To the extent permitted by law, the board of directors or, if applicable, the stockholders, shall not be required to find that the institution-affiliated party has met the applicable standard of conduct provided by law for indemnification in connection with such action or proceeding.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the event that a majority of the members of the board of directors are named as respondents in an administrative proceeding or civil action and request indemnification, the remaining members of the board may authorize independent legal counsel to review the indemnification request and provide the remaining members of the board with a written opinion of counsel as to whether the conditions delineated in the first four paragraphs of this Article Tenth have been met. If independent legal counsel opines that said conditions have been met, the remaining members of the board of directors may rely on such opinion in authorizing the requested indemnification. </w:t>
      </w:r>
    </w:p>
    <w:p>
      <w:pPr>
        <w:pStyle w:val="TextBody"/>
        <w:bidi w:val="0"/>
        <w:spacing w:before="240" w:after="0"/>
        <w:jc w:val="left"/>
        <w:rPr>
          <w:rFonts w:ascii="Times New Roman" w:hAnsi="Times New Roman"/>
          <w:sz w:val="20"/>
        </w:rPr>
      </w:pPr>
      <w:r>
        <w:rPr>
          <w:rFonts w:ascii="Times New Roman" w:hAnsi="Times New Roman"/>
          <w:sz w:val="20"/>
        </w:rPr>
        <w:t xml:space="preserve">In the event that all of the members of the board of directors are named as respondents in an administrative proceeding or civil action and request indemnification, the board shall authorize independent legal counsel to review the indemnification request and provide the board with a written opinion of counsel as to whether the conditions delineated in the first four paragraphs of this Article Tenth have been met. If legal counsel opines that said conditions have been met, the board of directors may rely on such opinion in authorizing the requested indemnification. </w:t>
      </w:r>
    </w:p>
    <w:p>
      <w:pPr>
        <w:pStyle w:val="TextBody"/>
        <w:bidi w:val="0"/>
        <w:spacing w:before="240" w:after="0"/>
        <w:jc w:val="left"/>
        <w:rPr>
          <w:rFonts w:ascii="Times New Roman" w:hAnsi="Times New Roman"/>
          <w:sz w:val="20"/>
        </w:rPr>
      </w:pPr>
      <w:r>
        <w:rPr>
          <w:rFonts w:ascii="Times New Roman" w:hAnsi="Times New Roman"/>
          <w:sz w:val="20"/>
        </w:rPr>
        <w:t xml:space="preserve">To the extent permitted under applicable law, the rights of indemnification and to the advancement of expenses provided in these articles of association (a) shall be available with respect to events occurring prior to the adoption of these articles of association, (b) shall continue to exist after any restrictive amendment of these articles of association with respect to events occurring prior to such amendment, (c) may be interpreted on the basis of applicable law in effect at the time of the occurrence of the event or events giving rise to the action or proceeding, or on the basis of applicable law in effect at the time such rights are claimed, and (d) are in the nature of contract rights which may be enforced in any court of competent jurisdiction as if the association and the institution-affiliated party (or his or her heirs, executors or administrators) for whom such rights are sought were parties to a separate written agreement. </w:t>
      </w:r>
    </w:p>
    <w:p>
      <w:pPr>
        <w:pStyle w:val="TextBody"/>
        <w:bidi w:val="0"/>
        <w:spacing w:before="240" w:after="0"/>
        <w:jc w:val="left"/>
        <w:rPr>
          <w:rFonts w:ascii="Times New Roman" w:hAnsi="Times New Roman"/>
          <w:sz w:val="20"/>
        </w:rPr>
      </w:pPr>
      <w:r>
        <w:rPr>
          <w:rFonts w:ascii="Times New Roman" w:hAnsi="Times New Roman"/>
          <w:sz w:val="20"/>
        </w:rPr>
        <w:t xml:space="preserve">The rights of indemnification and to the advancement of expenses provided in these articles of association shall not, to the extent permitted under applicable law, be deemed exclusive of any other rights to which any such institution affiliated party (or his or her heirs, executors or administrators) may now or hereafter be otherwise entitled whether contained in these articles of association, the bylaws, a resolution of stockholders, a resolution of the board of directors, or an agreement providing such indemnification, the creation of such other rights being hereby expressly authorized. Without limiting the generality of the foregoing, the rights of indemnification and to the advancement of expenses provided in these articles of association shall not be deemed exclusive of any rights, pursuant to statute or otherwise, of any such institution-affiliated party (or of his or her heirs, executors or administrators) in any such action or proceeding to have assessed or allowed in his or her favor, against the association or otherwise, his or her costs and expenses incurred therein or in connection therewith or any part thereof. </w:t>
      </w:r>
    </w:p>
    <w:p>
      <w:pPr>
        <w:pStyle w:val="TextBody"/>
        <w:bidi w:val="0"/>
        <w:spacing w:before="240" w:after="0"/>
        <w:jc w:val="left"/>
        <w:rPr>
          <w:rFonts w:ascii="Times New Roman" w:hAnsi="Times New Roman"/>
          <w:sz w:val="20"/>
        </w:rPr>
      </w:pPr>
      <w:r>
        <w:rPr>
          <w:rFonts w:ascii="Times New Roman" w:hAnsi="Times New Roman"/>
          <w:sz w:val="20"/>
        </w:rPr>
        <w:t xml:space="preserve">If this Article Tenth or any part hereof shall be held unenforceable in any respect by a court of competent jurisdiction, it shall be deemed modified to the minimum extent necessary to make it enforceable, and the remainder of this Article Tenth shall remain fully enforceable.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association may, upon affirmative vote of a majority of its board of directors, purchase insurance to indemnify its institution-affiliated parties to the extent that such indemnification is allowed in these articles of association; provided, however, that no such insurance shall include coverage to pay or reimburse any institution-affiliated party for the cost of any judgment or civil money penalty assessed against such person in an administrative proceeding or civil action commenced by any federal banking agency. Such insurance may, but need not, be for the benefit of all institution-affiliated parties. </w:t>
      </w:r>
    </w:p>
    <w:p>
      <w:pPr>
        <w:pStyle w:val="TextBody"/>
        <w:bidi w:val="0"/>
        <w:spacing w:before="240" w:after="0"/>
        <w:jc w:val="left"/>
        <w:rPr>
          <w:rFonts w:ascii="Times New Roman" w:hAnsi="Times New Roman"/>
          <w:sz w:val="20"/>
        </w:rPr>
      </w:pPr>
      <w:r>
        <w:rPr>
          <w:rFonts w:ascii="Times New Roman" w:hAnsi="Times New Roman"/>
          <w:sz w:val="20"/>
        </w:rPr>
        <w:t xml:space="preserve">ELEVENTH.  These articles of association may be amended at any regular or special meeting of the shareholders by the affirmative vote of the holders of a majority of the stock of this association, unless the vote of the holders of a greater amount of stock is required by law, and in that case by the vote of the holders of such greater amount. The association’s board of directors may propose one or more amendments to the articles of association for submission to the shareholders.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4 </w:t>
      </w:r>
    </w:p>
    <w:p>
      <w:pPr>
        <w:pStyle w:val="TextBody"/>
        <w:bidi w:val="0"/>
        <w:spacing w:before="120" w:after="0"/>
        <w:jc w:val="center"/>
        <w:rPr>
          <w:rFonts w:ascii="Times New Roman" w:hAnsi="Times New Roman"/>
          <w:b/>
          <w:sz w:val="20"/>
        </w:rPr>
      </w:pPr>
      <w:r>
        <w:rPr>
          <w:rFonts w:ascii="Times New Roman" w:hAnsi="Times New Roman"/>
          <w:b/>
          <w:sz w:val="20"/>
        </w:rPr>
        <w:t xml:space="preserve">BY-LAWS OF WILMINGTON TRUST, NATIONAL ASSOCIATION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WILMINGTON TRUST, NATIONAL ASSOCIATION </w:t>
      </w:r>
    </w:p>
    <w:p>
      <w:pPr>
        <w:pStyle w:val="TextBody"/>
        <w:bidi w:val="0"/>
        <w:spacing w:before="120" w:after="0"/>
        <w:jc w:val="center"/>
        <w:rPr>
          <w:rFonts w:ascii="Times New Roman" w:hAnsi="Times New Roman"/>
          <w:b/>
          <w:sz w:val="20"/>
        </w:rPr>
      </w:pPr>
      <w:r>
        <w:rPr>
          <w:rFonts w:ascii="Times New Roman" w:hAnsi="Times New Roman"/>
          <w:b/>
          <w:sz w:val="20"/>
        </w:rPr>
        <w:t xml:space="preserve">AMENDED AND RESTATED BYLAWS </w:t>
      </w:r>
    </w:p>
    <w:p>
      <w:pPr>
        <w:pStyle w:val="TextBody"/>
        <w:bidi w:val="0"/>
        <w:spacing w:before="120" w:after="0"/>
        <w:jc w:val="center"/>
        <w:rPr>
          <w:rFonts w:ascii="Times New Roman" w:hAnsi="Times New Roman"/>
          <w:b/>
          <w:sz w:val="20"/>
        </w:rPr>
      </w:pPr>
      <w:r>
        <w:rPr>
          <w:rFonts w:ascii="Times New Roman" w:hAnsi="Times New Roman"/>
          <w:b/>
          <w:sz w:val="20"/>
        </w:rPr>
        <w:t xml:space="preserve">(Effective as of March 7, 2024)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AMENDED AND RESTATED BYLAWS OF </w:t>
      </w:r>
    </w:p>
    <w:p>
      <w:pPr>
        <w:pStyle w:val="TextBody"/>
        <w:bidi w:val="0"/>
        <w:spacing w:before="0" w:after="0"/>
        <w:jc w:val="center"/>
        <w:rPr>
          <w:rFonts w:ascii="Times New Roman" w:hAnsi="Times New Roman"/>
          <w:b/>
          <w:sz w:val="20"/>
        </w:rPr>
      </w:pPr>
      <w:r>
        <w:rPr>
          <w:rFonts w:ascii="Times New Roman" w:hAnsi="Times New Roman"/>
          <w:b/>
          <w:sz w:val="20"/>
        </w:rPr>
        <w:t xml:space="preserve">WILMINGTON TRUST, NATIONAL ASSOCIATION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Meetings of Shareholders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 Annual Meeting</w:t>
      </w:r>
      <w:r>
        <w:rPr>
          <w:rFonts w:ascii="Times New Roman" w:hAnsi="Times New Roman"/>
          <w:sz w:val="20"/>
        </w:rPr>
        <w:t xml:space="preserve">. The annual meeting of shareholders shall be held on such date and at such time as may be designated by the chair of the Board of Directors, the chief executive officer, the president, the chief operating officer, the secretary, or the Board of Directors for the purpose of the election of directors and for the transaction of such other business as may properly come before the meeting, except such date shall not be a legal holiday in Delaware. Notice of the meeting shall be mailed by first class mail, postage prepaid, at least 10 days and no more than 60 days prior to the date thereof, addressed to each shareholder at his or her address appearing on the books of the association. If, for any cause, an election of directors is not made on that date, an election may be held on any subsequent day within 60 days of the date fixed, to be designated by the Board of Directors, or, if the directors fail to fix the date, by shareholders representing two-thirds of the shares. In these circumstances, at least 10 days’ notice must be given by first class mail to shareholders.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 Special Meetings</w:t>
      </w:r>
      <w:r>
        <w:rPr>
          <w:rFonts w:ascii="Times New Roman" w:hAnsi="Times New Roman"/>
          <w:sz w:val="20"/>
        </w:rPr>
        <w:t xml:space="preserve">. The chair of the Board of Directors, the president, the chief executive officer, the secretary, or the Board of Directors may call a special meeting of the shareholders. A special meeting shall be called to act on any matter that may properly be considered at a meeting of shareholders upon the written request of shareholders entitled to cast not less than a majority of all the votes entitled to be cast on such matter at the meeting. Every such special meeting, unless otherwise provided by law, shall be called by mailing, postage prepaid, not less than 10 days nor more than 60 days prior to the date fixed for the meeting, to each shareholder at the address appearing on the books of the association a notice stating the purpose of the meeting.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may fix a record date for determining shareholders entitled to notice and to vote at any meeting, in reasonable proximity to the date of giving notice to the shareholders of such meeting. The record date for determining shareholders entitled to demand a special meeting is the date the first shareholder signs a demand for the meeting describing the purpose or purposes for which it is to be held.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 Adjournment</w:t>
      </w:r>
      <w:r>
        <w:rPr>
          <w:rFonts w:ascii="Times New Roman" w:hAnsi="Times New Roman"/>
          <w:sz w:val="20"/>
        </w:rPr>
        <w:t xml:space="preserve">. If an annual or special shareholders’ meeting is adjourned to a different date, time, or place, notice need not be given of the new date, time or place, if the new date, time or place is announced at the meeting before adjournment, unless any additional items of business are to be considered, or the association becomes aware of an intervening event materially affecting any matter to be voted on more than 10 days prior to the date to which the meeting is adjourned. If a new record date for the adjourned meeting is fixed, however, notice of the adjourned meeting must be given to persons who are shareholders as of the new record date. If, however, the meeting to elect the directors is adjourned before the election takes place, at least ten days’ notice of the new election must be given to the shareholders by first-class mail.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 Nominations of Directors</w:t>
      </w:r>
      <w:r>
        <w:rPr>
          <w:rFonts w:ascii="Times New Roman" w:hAnsi="Times New Roman"/>
          <w:sz w:val="20"/>
        </w:rPr>
        <w:t xml:space="preserve">. Nominations for election to the Board of Directors may be made by the Board of Directors or by any shareholder of any outstanding class of capital stock of the association entitled to vote for the election of directors. Nominations, other than those made by or on behalf of the existing management of the association, shall be made in writing and shall be delivered or mailed to the president of the association, not less than 14 days nor more than 50 days prior to any meeting of shareholders called for the election of directors; </w:t>
      </w:r>
      <w:r>
        <w:rPr>
          <w:rFonts w:ascii="Times New Roman" w:hAnsi="Times New Roman"/>
          <w:i/>
          <w:sz w:val="20"/>
        </w:rPr>
        <w:t xml:space="preserve">provided, however, </w:t>
      </w:r>
      <w:r>
        <w:rPr>
          <w:rFonts w:ascii="Times New Roman" w:hAnsi="Times New Roman"/>
          <w:sz w:val="20"/>
        </w:rPr>
        <w:t xml:space="preserve">that if less than 21 days’ notice of the meeting is given to shareholders, such nomination shall be mailed or delivered to the president of the association not later than the close of business on the seventh day following the day on which the notice of meeting was mailed. Such notification shall contain the following information to the extent known to the notifying shareholder: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name and address of each proposed nominee;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principal occupation of each proposed nominee;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total number of shares of capital stock of the association that will be voted for each proposed nominee;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(4)</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name and residence of the notifying shareholder;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(5)</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of capital stock of the association owned by the notifying shareholder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Nominations not made in accordance herewith may, in his/her discretion, be disregarded by the chair of the meeting, and upon his/her instructions, all votes cast for each such nominee may be disregarded.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 Proxies</w:t>
      </w:r>
      <w:r>
        <w:rPr>
          <w:rFonts w:ascii="Times New Roman" w:hAnsi="Times New Roman"/>
          <w:sz w:val="20"/>
        </w:rPr>
        <w:t xml:space="preserve">. Shareholders may vote at any meeting of the shareholders by proxies duly authorized in writing, but no officer or employee of this association shall act as proxy. A director or an attorney of the association may act as proxy for shareholders voting if they are not also employed as an officer of the association. Proxies shall be valid only for one meeting, to be specified therein, and any adjournments of such meeting. Proxies shall be dated and filed with the records of the meeting. Proxies with facsimile signatures may be used and unexecuted proxies may be counted upon receipt of a written confirmation from the shareholder. Proxies meeting the above requirements submitted at any time during a meeting shall be accepted.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 Quorum</w:t>
      </w:r>
      <w:r>
        <w:rPr>
          <w:rFonts w:ascii="Times New Roman" w:hAnsi="Times New Roman"/>
          <w:sz w:val="20"/>
        </w:rPr>
        <w:t xml:space="preserve">. A majority of the outstanding capital stock, represented in person or by proxy, shall constitute a quorum at any meeting of shareholders, unless otherwise provided by law, but less than a quorum may adjourn any meeting, from time to time, and the meeting may be held, as adjourned, without further notice. A majority of the votes cast shall decide every question or matter submitted to the shareholders at any meeting, unless otherwise provided by law or by the articles of association. If a meeting for the election of directors is not held on the fixed date, at least 10 days’ notice must be given by first-class mail to the shareholders.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- 2 -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II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Directors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 Board of Directors</w:t>
      </w:r>
      <w:r>
        <w:rPr>
          <w:rFonts w:ascii="Times New Roman" w:hAnsi="Times New Roman"/>
          <w:sz w:val="20"/>
        </w:rPr>
        <w:t xml:space="preserve">. The Board of Directors shall have the power to manage and administer the business and affairs of the association. Except as expressly limited by law, all corporate powers of the association shall be vested in and may be exercised by the Board of Directors.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 Number</w:t>
      </w:r>
      <w:r>
        <w:rPr>
          <w:rFonts w:ascii="Times New Roman" w:hAnsi="Times New Roman"/>
          <w:sz w:val="20"/>
        </w:rPr>
        <w:t xml:space="preserve">. The Board of Directors shall consist of not less than five nor more than twenty-five members, unless the OCC has exempted the association from the 25-member limit. The exact number within such minimum and maximum limits is to be fixed and determined from time to time by resolution of a majority of the full Board of Directors or by resolution of a majority of the shareholders at any meeting thereof. The Board of Directors may not increase the number of directors between meetings of shareholders to a number which: (a) exceeds by more than 2 the number of directors last elected by shareholders where the number was 15 or less; or (b) exceeds by more than 4 the number of directors last elected by shareholders where the number was 16 or more, but in no event shall the number of directors exceed 25, unless the OCC has exempted the association from the 25-member limit.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3. Qualifications. </w:t>
      </w:r>
      <w:r>
        <w:rPr>
          <w:rFonts w:ascii="Times New Roman" w:hAnsi="Times New Roman"/>
          <w:sz w:val="20"/>
        </w:rPr>
        <w:t xml:space="preserve">Each director must be a citizen of the United States and must own in his or her own right either shares of the capital stock of the association or a company that controls the association that has not less than an aggregate par value of $1,000, an aggregate shareholders’ equity of $1,000, or an aggregate fair market value of $1,000. The value of the common or preferred stock held by a director is valued as of the date purchased or the date on which the individual became a director, whichever is greater.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 Organization Meeting</w:t>
      </w:r>
      <w:r>
        <w:rPr>
          <w:rFonts w:ascii="Times New Roman" w:hAnsi="Times New Roman"/>
          <w:sz w:val="20"/>
        </w:rPr>
        <w:t xml:space="preserve">. After each annual meeting of shareholders at which directors shall have been elected, the Board of Directors shall meet as soon as practicable for the purpose of organization and the transaction of other business. Such first regular meeting shall be held at any place as may be designated by the chair, the president or the Board of Directors for such first regular meeting or, in default of such designation, where the immediately preceding meeting of shareholders was held.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 Regular Meetings</w:t>
      </w:r>
      <w:r>
        <w:rPr>
          <w:rFonts w:ascii="Times New Roman" w:hAnsi="Times New Roman"/>
          <w:sz w:val="20"/>
        </w:rPr>
        <w:t xml:space="preserve">. Regular meetings of the Board of Directors shall be held on such dates and at such places as may be designated from time to time by the chair. No notice of regular meetings shall be necessary.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 Special Meetings</w:t>
      </w:r>
      <w:r>
        <w:rPr>
          <w:rFonts w:ascii="Times New Roman" w:hAnsi="Times New Roman"/>
          <w:sz w:val="20"/>
        </w:rPr>
        <w:t xml:space="preserve">. Special meetings of the Board of Directors may be called at any time by the chair, the chief executive officer, the president or by a majority of the then- acting directors by vote at a meeting or in writing, or by a majority of the members of the executive committee, if one is constituted, by vote at a meeting or in writing. A special meeting of the Board of Directors shall be held on such date and at any place as may be designated from time to time by the Board of Directors. In the absence of such designation, such meeting shall be held at such place as may be designated in the call. Each member of the Board of Directors shall be given notice stating the date, time and place, by letter, electronic delivery or in person, of each special meeting not less than one day before the meeting. Such notice need not specify the purpose for which the meeting is called, unless required by the Articles of Association or the bylaws.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- 3 -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 Quorum</w:t>
      </w:r>
      <w:r>
        <w:rPr>
          <w:rFonts w:ascii="Times New Roman" w:hAnsi="Times New Roman"/>
          <w:sz w:val="20"/>
        </w:rPr>
        <w:t xml:space="preserve">. A majority of the entire Board then in office shall constitute a quorum at any meeting, except when otherwise provided by law or these Bylaws, but a lesser number may adjourn any meeting, from time to time, and the meeting may be held, as adjourned, without further notice. If the number of directors present at the meeting is reduced below the number that would constitute a quorum, no business may be transacted, except selecting directors to fill vacancies in conformance with Article II, Section 11. If a quorum is present, the board of directors may take action through the vote of a majority of the directors who are in attendance. No director may vote by proxy.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8. Attendance by Electronic, Telephonic or Similar Means. </w:t>
      </w:r>
      <w:r>
        <w:rPr>
          <w:rFonts w:ascii="Times New Roman" w:hAnsi="Times New Roman"/>
          <w:sz w:val="20"/>
        </w:rPr>
        <w:t xml:space="preserve">Any one or more members of the Board of Directors or any committee thereof may participate in a regular or special meeting of such board or committee by, or conduct the meeting through the use of, conference telephone or other communications equipment by which all directors or committee members participating may simultaneously hear each other during the meeting. Participation in a meeting by these means constitutes presence in person at a meeting.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9. Procedures</w:t>
      </w:r>
      <w:r>
        <w:rPr>
          <w:rFonts w:ascii="Times New Roman" w:hAnsi="Times New Roman"/>
          <w:sz w:val="20"/>
        </w:rPr>
        <w:t xml:space="preserve">. The order of business and all other matters of procedure at every meeting of the Board of Directors may be determined by the person presiding at the meeting.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10. Removal of Directors</w:t>
      </w:r>
      <w:r>
        <w:rPr>
          <w:rFonts w:ascii="Times New Roman" w:hAnsi="Times New Roman"/>
          <w:sz w:val="20"/>
        </w:rPr>
        <w:t xml:space="preserve">. Any director may be removed for cause at any meeting of shareholders, notice of which shall have referred to the proposed action, by vote of the shareholders. Any director may be removed without cause at any meeting of shareholders, notice of which shall have referred to the proposed action, by the vote of the holders of a majority of the shares of the association entitled to vote. Any director may be removed for cause at any meeting of the directors, notice of which shall have referred to the proposed action, by vote of a majority of the entire Board of Directors.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11. Vacancies</w:t>
      </w:r>
      <w:r>
        <w:rPr>
          <w:rFonts w:ascii="Times New Roman" w:hAnsi="Times New Roman"/>
          <w:sz w:val="20"/>
        </w:rPr>
        <w:t xml:space="preserve">. When any vacancy occurs among the directors, a majority of the remaining members of the Board of Directors may appoint a director to fill such vacancy until the next election at any regular meeting of the Board of Directors, or at a special meeting called for that purpose at which a quorum is present, or if the directors remaining in office constitute fewer than a quorum of the Board of Directors, by the affirmative vote of a majority of all the directors remaining in office, or by shareholders at a special meeting called for that purpose in conformance with Section 2 of Article I. A vacancy that will occur at a specific later date (by reason of a resignation effective at a later date) may be filled before the vacancy occurs but the new director may not take office until the vacancy occurs.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12. Consent of Directors without a Meeting</w:t>
      </w:r>
      <w:r>
        <w:rPr>
          <w:rFonts w:ascii="Times New Roman" w:hAnsi="Times New Roman"/>
          <w:sz w:val="20"/>
        </w:rPr>
        <w:t xml:space="preserve">. Any action required or permitted to be taken at any meeting of the Board of Directors may be taken without a meeting if the action is taken by all members of the Board. The action may be evidenced by one or more written consents signed by each director before or after such action, describing the action taken, and included in the minutes or filed with the corporate records. A director’s consent to action taken without a meeting may be in electronic form and delivered by electronic means.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- 4 -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13. Ratification</w:t>
      </w:r>
      <w:r>
        <w:rPr>
          <w:rFonts w:ascii="Times New Roman" w:hAnsi="Times New Roman"/>
          <w:sz w:val="20"/>
        </w:rPr>
        <w:t xml:space="preserve">. The board of directors may ratify and make binding on the association any action or inaction by the association or its officers to the extent that the Board of Directors or the shareholders could have originally authorized the matter and as permitted by law. Moreover, any action or inaction questioned in any shareholders’ derivative proceeding or any other proceeding on the ground of lack of authority, defective or irregular execution, adverse interest of a director, officer or shareholder, non-disclosure, miscomputation, the application of improper principles or practices of accounting or otherwise, may be ratified, before or after judgment, by the Board of Directors or by the shareholders, and if so ratified, shall have the same force and effect as if the questioned action or inaction had been originally duly authorized, and such ratification shall be binding upon the shareholders and shall constitute a bar to any claim or execution of any judgment in respect of such questioned action or inaction.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III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Committees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 Executive Committee</w:t>
      </w:r>
      <w:r>
        <w:rPr>
          <w:rFonts w:ascii="Times New Roman" w:hAnsi="Times New Roman"/>
          <w:sz w:val="20"/>
        </w:rPr>
        <w:t xml:space="preserve">. The Board of Directors may appoint an Executive Committee, which shall have and may exercise, during the intervals between meetings of the Board of Directors, all the powers of the Board of Directors in the management of the business, properties and affairs of the association except as prohibited by law, the Articles of Association or these Bylaws. All acts done and powers conferred by the Executive Committee shall be deemed to be and may be certified as being, done or conferred under authority of the Board of Directors.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2. Trust Audit Committee. </w:t>
      </w:r>
      <w:r>
        <w:rPr>
          <w:rFonts w:ascii="Times New Roman" w:hAnsi="Times New Roman"/>
          <w:sz w:val="20"/>
        </w:rPr>
        <w:t xml:space="preserve">Unless delegated pursuant to Section 5 of this Article III, there shall be a Trust Audit Committee composed of not less than 2 directors, appointed by the Board of Directors, which shall, at least once during each calendar year make suitable audits of the association’s fiduciary activities or cause suitable audits to be made by auditors responsible only to the Board, and at such time shall ascertain whether fiduciary powers have been administered according to law, Part 9 of the Regulations of the Comptroller of the Currency, and sound fiduciary principles. Such committee: (1) must not include any officers of the association or an affiliate who participate significantly in the administration of the association’s fiduciary activities; and (2) must consist of a majority of members who are not also members of any committee to which the Board of Directors has delegated power to manage and control the fiduciary activities of the bank.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 Examining Committee</w:t>
      </w:r>
      <w:r>
        <w:rPr>
          <w:rFonts w:ascii="Times New Roman" w:hAnsi="Times New Roman"/>
          <w:sz w:val="20"/>
        </w:rPr>
        <w:t xml:space="preserve">. Unless delegated pursuant to Section 5 of this Article III, there shall be an examining committee composed of not less than 2 directors, exclusive of any active officers, appointed by the board of directors annually or more often. The duty of that committee shall be to examine at least once during each calendar year and within 15 months of the last examination the affairs of the association or cause suitable examinations to be made by auditors responsible only to the board of directors and to report the result of such examination in writing to the board of directors at the next regular meeting thereafter. Such report shall state whether the association is in a sound condition, and whether adequate internal controls and procedures are being maintained and shall recommend to the board of directors such changes in the manner of conducting the affairs of the association as shall be deemed advisable.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- 5 -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 Other Committees</w:t>
      </w:r>
      <w:r>
        <w:rPr>
          <w:rFonts w:ascii="Times New Roman" w:hAnsi="Times New Roman"/>
          <w:sz w:val="20"/>
        </w:rPr>
        <w:t xml:space="preserve">. The Board of Directors may from time to time by resolution adopted by affirmative vote of a majority of the Board of Directors, appoint other committees of the Board of Directors which shall have such powers and duties as the Board of Directors may properly determine. No such other committee of the Board of Directors shall be composed of fewer than three (3) directors. The Board of Directors may also appoint one or more directors as alternative members of a committee. All acts done and powers conferred by the Board of Directors on committees of the Board of Directors shall be deemed to be and may be certified as being, done or conferred under that authority of the Board of Directors.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 Delegation of Responsibility and Authority</w:t>
      </w:r>
      <w:r>
        <w:rPr>
          <w:rFonts w:ascii="Times New Roman" w:hAnsi="Times New Roman"/>
          <w:sz w:val="20"/>
        </w:rPr>
        <w:t xml:space="preserve">. The responsibility, authority and constitution of any committee under this Article III may, if authorized by law, be given over to a duly constituted committee of the association’s parent corporation by resolution adopted by the Board of Directors.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IV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Officers and Employees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1 Officers. </w:t>
      </w:r>
      <w:r>
        <w:rPr>
          <w:rFonts w:ascii="Times New Roman" w:hAnsi="Times New Roman"/>
          <w:sz w:val="20"/>
        </w:rPr>
        <w:t xml:space="preserve">The Board of Directors shall annually, at the Annual Reorganization Meeting of the Board of Directors following the annual meeting of shareholders, appoint or elect a chair of the Board, a chief executive officer, a president, one (1) or more senior executive vice presidents, a corporate secretary, a treasurer, a chief auditor, and such other officers as it may determine, each to hold office until the next Annual Reorganization meeting. The officers below the level of senior executive vice president may be elected as follows: the head of the Human Resources Department of M&amp;T Bank, or his or her designee, may appoint officers up to and including (without limitation as to title or number) one (1) or more executive vice presidents, senior vice presidents, vice presidents, assistant vice presidents, assistant secretaries, assistant treasurers, and assistant auditors, and any other officer positions as they deem necessary and appropriate, except the chair of the board, chief executive officer, president, any “Executive Officer” of the association for the purposes of Regulation O (codified at 12 C.F.R. §215.2(e)(1)), and any “Senior Executive Officer” within the meaning of 12 C.F.R. §5.51(c)(4) may only be appointed by the Board of Directors.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 Chair of the Board</w:t>
      </w:r>
      <w:r>
        <w:rPr>
          <w:rFonts w:ascii="Times New Roman" w:hAnsi="Times New Roman"/>
          <w:sz w:val="20"/>
        </w:rPr>
        <w:t xml:space="preserve">. The Board of Directors shall appoint one of its members to be the chair of the Board to serve at its pleasure. Such person shall preside at all meetings of the Board of Directors. The chair of the Board shall supervise the carrying out of the policies adopted or approved by the Board of Directors; shall have general executive powers, as well as the specific powers conferred by these Bylaws; and shall also have and may exercise such further powers and duties as from time to time may be conferred upon or assigned by the Board of Directors.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- 6 -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 President</w:t>
      </w:r>
      <w:r>
        <w:rPr>
          <w:rFonts w:ascii="Times New Roman" w:hAnsi="Times New Roman"/>
          <w:sz w:val="20"/>
        </w:rPr>
        <w:t xml:space="preserve">. The Board of Directors shall appoint one of its members to be the president of the association. The president shall be a member of the Board of Directors. In the absence of the chair, the president shall preside at any meeting of the Board of Directors. The president shall have general executive powers and shall have and may exercise any and all other powers and duties pertaining by law, regulation, or practice to the office of president, or imposed by these Bylaws. The president shall also have and may exercise such further powers and duties as from time to time may be conferred or assigned by the Board of Directors.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 Vice President</w:t>
      </w:r>
      <w:r>
        <w:rPr>
          <w:rFonts w:ascii="Times New Roman" w:hAnsi="Times New Roman"/>
          <w:sz w:val="20"/>
        </w:rPr>
        <w:t xml:space="preserve">. The Board of Directors may appoint one or more vice presidents. Each vice president shall have such powers and duties as may be assigned by the Board of Directors. One vice president shall be designated by the Board of Directors, in the absence of the president, to perform all the duties of the president.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 Secretary</w:t>
      </w:r>
      <w:r>
        <w:rPr>
          <w:rFonts w:ascii="Times New Roman" w:hAnsi="Times New Roman"/>
          <w:sz w:val="20"/>
        </w:rPr>
        <w:t xml:space="preserve">. The Board of Directors shall appoint a secretary or other designated officer who shall be secretary of the Board of Directors and of the association and who shall keep accurate minutes of all meetings. The secretary shall attend to the giving of all notices required by these Bylaws; shall be custodian of the corporate seal, records, documents and papers of the association; shall provide for the keeping of proper records of all transactions of the association; shall have and may exercise any and all other powers and duties pertaining by law, regulation or practice, or imposed by these bylaws; and shall also perform such other duties as may be assigned from time to time, by the Board of Directors.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 Other Officers</w:t>
      </w:r>
      <w:r>
        <w:rPr>
          <w:rFonts w:ascii="Times New Roman" w:hAnsi="Times New Roman"/>
          <w:sz w:val="20"/>
        </w:rPr>
        <w:t xml:space="preserve">. The Board of Directors may appoint one or more assistant vice presidents, one or more trust officers, one or more officers, one or more assistant secretaries, one or more assistant treasurers, one or more managers and assistant managers of branches and such other officers and attorneys in fact as from time to time may appear to the Board of Directors to be required or desirable to transact the business of the association. Such officers shall respectively exercise such powers and perform such duties as pertain to their several offices, or as may be conferred upon or assigned to them by the Board of Directors, the chair of the Board, or the president. The Board of Directors may authorize an officer to appoint one or more officers or assistant officers.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 Resignation</w:t>
      </w:r>
      <w:r>
        <w:rPr>
          <w:rFonts w:ascii="Times New Roman" w:hAnsi="Times New Roman"/>
          <w:sz w:val="20"/>
        </w:rPr>
        <w:t xml:space="preserve">. An officer may resign at any time by delivering notice to the association. A resignation is effective when the notice is given unless the notice specifies a later effective date.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Stock and Stock Certificates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 Transfers</w:t>
      </w:r>
      <w:r>
        <w:rPr>
          <w:rFonts w:ascii="Times New Roman" w:hAnsi="Times New Roman"/>
          <w:sz w:val="20"/>
        </w:rPr>
        <w:t xml:space="preserve">. Shares of stock shall be transferable on the books of the association, and a transfer book shall be kept in which all transfers of stock shall be recorded. Every person becoming a shareholder by such transfer shall in proportion to such shareholder’s shares, succeed to all rights of the prior holder of such shares. The Board of Directors may impose conditions upon the transfer of the stock reasonably calculated to simplify the work of the association with respect to stock transfers, voting at shareholder meetings and related matters and to protect it against fraudulent transfers.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- 7 -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 Stock Certificates</w:t>
      </w:r>
      <w:r>
        <w:rPr>
          <w:rFonts w:ascii="Times New Roman" w:hAnsi="Times New Roman"/>
          <w:sz w:val="20"/>
        </w:rPr>
        <w:t xml:space="preserve">. Certificates of stock shall bear the signature of the president (which may be engraved, printed or impressed) and shall be signed manually, by facsimile process, or electronic means by the secretary, assistant secretary, treasurer, assistant treasurer, or any other officer appointed by the Board of Directors for that purpose, to be known as an authorized officer, and the seal of the association shall be engraved thereon. Each certificate shall recite on its face that the stock represented thereby is transferable only upon the books of the association properly endorsed and otherwise comply with the requirements of 12 U.S.C. 52 and 12 C.F.R. §7.2016(b).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 Lost, Stolen or Destroyed Certificates</w:t>
      </w:r>
      <w:r>
        <w:rPr>
          <w:rFonts w:ascii="Times New Roman" w:hAnsi="Times New Roman"/>
          <w:sz w:val="20"/>
        </w:rPr>
        <w:t xml:space="preserve">. In case any certificate representing shares shall be lost, stolen or destroyed, the Board of Directors, in its discretion, or any officer or officers thereunder duly authorized by the Board of Directors, may authorize the issue of a substitute certificate or substitute shares in uncertificated form in the place of the certificate so lost, stolen or destroyed.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 Fixing of Record Date</w:t>
      </w:r>
      <w:r>
        <w:rPr>
          <w:rFonts w:ascii="Times New Roman" w:hAnsi="Times New Roman"/>
          <w:sz w:val="20"/>
        </w:rPr>
        <w:t xml:space="preserve">. The Board of Directors may set, in advance, a record date for the purpose of determining shareholders entitled to notice of or to vote at any meeting of shareholders or determining shareholders entitled to receive payment of any dividend or the allotment of any other rights, in order to make a determination of shareholders for any other proper purpose. Such date, in any case, shall be the close of business on the day before the first notice is mailed or otherwise sent to the shareholders, provided that in no event may a record date be more than 10 days before the meeting.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Corporate Seal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 Seal</w:t>
      </w:r>
      <w:r>
        <w:rPr>
          <w:rFonts w:ascii="Times New Roman" w:hAnsi="Times New Roman"/>
          <w:sz w:val="20"/>
        </w:rPr>
        <w:t xml:space="preserve">. The seal of the association shall be in such form as may be determined from time to time by the Board of Directors. The president, the treasurer, the secretary or any assistant treasurer or assistant secretary, or other officer thereunto designated by the Board of Directors shall have authority to affix the corporate seal to any document requiring such seal and to attest the same. The seal on any corporate obligation for the payment of money may be facsimile.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VIII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Miscellaneous Provisions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 Fiscal Year</w:t>
      </w:r>
      <w:r>
        <w:rPr>
          <w:rFonts w:ascii="Times New Roman" w:hAnsi="Times New Roman"/>
          <w:sz w:val="20"/>
        </w:rPr>
        <w:t xml:space="preserve">. The fiscal year of the association shall be the calendar year.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 Execution of Instruments</w:t>
      </w:r>
      <w:r>
        <w:rPr>
          <w:rFonts w:ascii="Times New Roman" w:hAnsi="Times New Roman"/>
          <w:sz w:val="20"/>
        </w:rPr>
        <w:t xml:space="preserve">. All agreements, indentures, mortgages, deeds, conveyances, transfers, certificates, declarations, receipts, discharges, releases, satisfactions, settlements, petitions, schedules, accounts, affidavits, bonds, undertakings, proxies and other instruments or documents may be signed, executed, acknowledged, verified, delivered or accepted on behalf of the association by any officer elected or appointed pursuant to Article IV of these Bylaws. Any such instruments may also be executed, acknowledged, verified, delivered or accepted on behalf of the association in such other manner and by such other officers as the Board of Directors may from time to time direct. The provisions of this Section 2 are supplementary to any other provision of these Bylaws.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- 8 -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 Records</w:t>
      </w:r>
      <w:r>
        <w:rPr>
          <w:rFonts w:ascii="Times New Roman" w:hAnsi="Times New Roman"/>
          <w:sz w:val="20"/>
        </w:rPr>
        <w:t xml:space="preserve">. The Articles of Association, the Bylaws and the proceedings of all meetings of the shareholders, the Board of Directors, and standing committees of the Board of Directors shall be recorded in appropriate minute books provided for that purpose. The minutes of each meeting shall be signed by the secretary, treasurer or other officer appointed to act as secretary of the meeting.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4. Corporate Governance Procedures. </w:t>
      </w:r>
      <w:r>
        <w:rPr>
          <w:rFonts w:ascii="Times New Roman" w:hAnsi="Times New Roman"/>
          <w:sz w:val="20"/>
        </w:rPr>
        <w:t xml:space="preserve">To the extent not inconsistent with federal banking statutes and regulations, or safe and sound banking practices, the association may follow the Delaware General Corporation Law, Del. Code Ann. tit. 8 (1991, as amended 1994, and as amended thereafter) with respect to matters of corporate governance procedures.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5. Indemnification. </w:t>
      </w:r>
      <w:r>
        <w:rPr>
          <w:rFonts w:ascii="Times New Roman" w:hAnsi="Times New Roman"/>
          <w:sz w:val="20"/>
        </w:rPr>
        <w:t xml:space="preserve">For purposes of this Section 5 of Article VIII, the term “institution-affiliated party” shall mean any institution-affiliated party of the association as such term is defined in 12 U.S.C. 1813(u). </w:t>
      </w:r>
    </w:p>
    <w:p>
      <w:pPr>
        <w:pStyle w:val="TextBody"/>
        <w:bidi w:val="0"/>
        <w:spacing w:before="240" w:after="0"/>
        <w:jc w:val="left"/>
        <w:rPr>
          <w:rFonts w:ascii="Times New Roman" w:hAnsi="Times New Roman"/>
          <w:sz w:val="20"/>
        </w:rPr>
      </w:pPr>
      <w:r>
        <w:rPr>
          <w:rFonts w:ascii="Times New Roman" w:hAnsi="Times New Roman"/>
          <w:sz w:val="20"/>
        </w:rPr>
        <w:t xml:space="preserve">Any institution-affiliated party (or his or her heirs, executors or administrators) may be indemnified or reimbursed by the association for reasonable expenses actually incurred in connection with any threatened, pending or completed actions or proceedings and appeals therein, whether civil, criminal, governmental, administrative or investigative, in accordance with and to the fullest extent permitted by law, as such law now or hereafter exists; provided, however, that when an administrative proceeding or action instituted by a federal banking agency results in a final order or settlement pursuant to which such person: (i) is assessed a civil money penalty, (ii) is removed from office or prohibited from participating in the conduct of the affairs of the association, or (iii) is required to cease and desist from or to take any affirmative action described in 12 U.S.C. 1818(b) with respect to the association, then the association shall require the repayment of all legal fees and expenses advanced pursuant to the next succeeding paragraph and may not indemnify such institution-affiliated parties (or their heirs, executors or administrators) for expenses, including expenses for legal fees, penalties or other payments incurred. The association shall provide indemnification in connection with an action or proceeding (or part thereof) initiated by an institution-affiliated party (or by his or her heirs, executors or administrators) only if such action or proceeding (or part thereof) was authorized by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Expenses incurred by an institution-affiliated party (or by his or her heirs, executors or administrators) in connection with any action or proceeding under 12 U.S.C. 164 or 1818 may be paid by the association in advance of the final disposition of such action or proceeding upon (a) a determination by the Board of Directors acting by a quorum consisting of directors who are not parties to such action or proceeding that the institution-affiliated party (or his or her heirs, executors or administrators) has a reasonable basis for prevailing on the merits, (b) a determination that the indemnified individual (or his or her heirs, executors or administrators) will have the financial capacity to reimburse the association in the event he or she does not prevail, (c) a determination that the payment of expenses and fees by the association will not adversely affect the safety and soundness of the association, and (d) receipt of an undertaking 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- 9 -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or on behalf of such institution-affiliated party (or by his or her heirs, executors or administrators) to repay such advancement in the event of a final order or settlement pursuant to which such person: (i) is assessed a civil money penalty, (ii) is removed from office or prohibited from participating in the conduct of the affairs of the association, or (iii) is required to cease and desist from or to take any affirmative action described in 12 U.S.C. 1818(b) with respect to the association. In all other instances, expenses incurred by an institution-affiliated party (or by his or her heirs, executors or administrators) in connection with any action or proceeding as to which indemnification may be given under the Articles of Association may be paid by the association in advance of the final disposition of such action or proceeding upon (a) receipt of an undertaking by or on behalf of such institution-affiliated party (or by or on behalf of his or her heirs, executors or administrators) to repay such advancement in the event that such institution- affiliated party (or his or her heirs, executors or administrators) is ultimately found not to be entitled to indemnification as authorized by these Bylaws and (b) approval by the Board of Directors acting by a quorum consisting of directors who are not parties to such action or proceeding or, if such a quorum is not obtainable, then approval by shareholders. To the extent permitted by law, the Board of Directors or, if applicable, the shareholders, shall not be required to find that the institution-affiliated party has met the applicable standard of conduct provided by law for indemnification in connection with such action or proceeding. </w:t>
      </w:r>
    </w:p>
    <w:p>
      <w:pPr>
        <w:pStyle w:val="TextBody"/>
        <w:bidi w:val="0"/>
        <w:spacing w:before="240" w:after="0"/>
        <w:jc w:val="left"/>
        <w:rPr>
          <w:rFonts w:ascii="Times New Roman" w:hAnsi="Times New Roman"/>
          <w:sz w:val="20"/>
        </w:rPr>
      </w:pPr>
      <w:r>
        <w:rPr>
          <w:rFonts w:ascii="Times New Roman" w:hAnsi="Times New Roman"/>
          <w:sz w:val="20"/>
        </w:rPr>
        <w:t xml:space="preserve">In the event that a majority of the members of the Board of Directors are named as respondents in an administrative proceeding or civil action and request indemnification, the remaining members of the Board may authorize independent legal counsel to review the indemnification request and provide the remaining members of the Board with a written opinion of counsel as to whether the conditions delineated in the first four paragraphs of this Section 5 of Article VIII have been met. If independent legal counsel opines that said conditions have been met, the remaining members of the Board of Directors may rely on such opinion in authorizing the requested indemnification. </w:t>
      </w:r>
    </w:p>
    <w:p>
      <w:pPr>
        <w:pStyle w:val="TextBody"/>
        <w:bidi w:val="0"/>
        <w:spacing w:before="240" w:after="0"/>
        <w:jc w:val="left"/>
        <w:rPr>
          <w:rFonts w:ascii="Times New Roman" w:hAnsi="Times New Roman"/>
          <w:sz w:val="20"/>
        </w:rPr>
      </w:pPr>
      <w:r>
        <w:rPr>
          <w:rFonts w:ascii="Times New Roman" w:hAnsi="Times New Roman"/>
          <w:sz w:val="20"/>
        </w:rPr>
        <w:t xml:space="preserve">In the event that all of the members of the Board of Directors are named as respondents in an administrative proceeding or civil action and request indemnification, the Board shall authorize independent legal counsel to review the indemnification request and provide the Board with a written opinion of counsel as to whether the conditions delineated in the first four paragraphs of this Section 5 of Article VIII have been met. If legal counsel opines that said conditions have been met, the Board of Directors may rely on such opinion in authorizing the requested indemnification. </w:t>
      </w:r>
    </w:p>
    <w:p>
      <w:pPr>
        <w:pStyle w:val="TextBody"/>
        <w:bidi w:val="0"/>
        <w:spacing w:before="240" w:after="0"/>
        <w:jc w:val="left"/>
        <w:rPr>
          <w:rFonts w:ascii="Times New Roman" w:hAnsi="Times New Roman"/>
          <w:sz w:val="20"/>
        </w:rPr>
      </w:pPr>
      <w:r>
        <w:rPr>
          <w:rFonts w:ascii="Times New Roman" w:hAnsi="Times New Roman"/>
          <w:sz w:val="20"/>
        </w:rPr>
        <w:t xml:space="preserve">To the extent permitted under applicable law, the rights of indemnification and to the advancement of expenses provided in the Articles of Association (a) shall be available with respect to events occurring prior to the adoption of these Bylaws, (b) shall continue to exist after any restrictive amendment of these Bylaws with respect to events occurring prior to such amendment, (c) may be interpreted on the basis of applicable law in effect at the time of the occurrence of the event or events giving rise to the action or proceeding, or on the basis of applicable law in effect at the time such rights are claimed, and (d) are in the nature of contract rights which may be enforced in any court of competent jurisdiction as if the association and the institution-affiliated party (or his or her heirs, executors or administrators) for whom such rights are sought were parties to a separate written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- 10 -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rights of indemnification and to the advancement of expenses provided in these Bylaws shall not, to the extent permitted under applicable law, be deemed exclusive of any other rights to which any such institution-affiliated party (or his or her heirs, executors or administrators) may now or hereafter be otherwise entitled whether contained in the association’s Articles of Association, these Bylaws, a resolution of shareholders, a resolution of the Board of Directors, or an agreement providing such indemnification, the creation of such other rights being hereby expressly authorized. Without limiting the generality of the foregoing, the rights of indemnification and to the advancement of expenses provided in these Bylaws shall not be deemed exclusive of any rights, pursuant to statute or otherwise, of any such institution-affiliated party (or of his or her heirs, executors or administrators) in any such action or proceeding to have assessed or allowed in his or her favor, against the association or otherwise, his or her costs and expenses incurred therein or in connection therewith or any part thereof. </w:t>
      </w:r>
    </w:p>
    <w:p>
      <w:pPr>
        <w:pStyle w:val="TextBody"/>
        <w:bidi w:val="0"/>
        <w:spacing w:before="240" w:after="0"/>
        <w:jc w:val="left"/>
        <w:rPr>
          <w:rFonts w:ascii="Times New Roman" w:hAnsi="Times New Roman"/>
          <w:sz w:val="20"/>
        </w:rPr>
      </w:pPr>
      <w:r>
        <w:rPr>
          <w:rFonts w:ascii="Times New Roman" w:hAnsi="Times New Roman"/>
          <w:sz w:val="20"/>
        </w:rPr>
        <w:t xml:space="preserve">If this Section 5 of Article VIII or any part hereof shall be held unenforceable in any respect by a court of competent jurisdiction, it shall be deemed modified to the minimum extent necessary to make it enforceable, and the remainder of this Section 5 of Article VIII shall remain fully enforceable. </w:t>
      </w:r>
    </w:p>
    <w:p>
      <w:pPr>
        <w:pStyle w:val="TextBody"/>
        <w:bidi w:val="0"/>
        <w:spacing w:before="240" w:after="0"/>
        <w:jc w:val="left"/>
        <w:rPr>
          <w:rFonts w:ascii="Times New Roman" w:hAnsi="Times New Roman"/>
          <w:sz w:val="20"/>
        </w:rPr>
      </w:pPr>
      <w:r>
        <w:rPr>
          <w:rFonts w:ascii="Times New Roman" w:hAnsi="Times New Roman"/>
          <w:sz w:val="20"/>
        </w:rPr>
        <w:t xml:space="preserve">The association may, upon affirmative vote of a majority of its Board of Directors, purchase insurance to indemnify its institution-affiliated parties to the extent that such indemnification is allowed in these Bylaws; provided, however, that no such insurance shall include coverage for a final order assessing civil money penalties against such persons by a bank regulatory agency. Such insurance may, but need not, be for the benefit of all institution- affiliated parties.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IX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Inspection and Amendments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 Inspection</w:t>
      </w:r>
      <w:r>
        <w:rPr>
          <w:rFonts w:ascii="Times New Roman" w:hAnsi="Times New Roman"/>
          <w:sz w:val="20"/>
        </w:rPr>
        <w:t xml:space="preserve">. A copy of the bylaws of the association, with all amendments, shall at all times be kept in a convenient place at the main office of the association, and shall be open for inspection to all shareholders during banking hours.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 Amendments</w:t>
      </w:r>
      <w:r>
        <w:rPr>
          <w:rFonts w:ascii="Times New Roman" w:hAnsi="Times New Roman"/>
          <w:sz w:val="20"/>
        </w:rPr>
        <w:t xml:space="preserve">. The Board of Directors shall have the power, at any regular or special meeting thereof, to amend, alter or repeal the bylaws of the association, or to make and adopt new bylaws. These Bylaws may be amended, altered or repealed and new bylaws may be adopted by the shareholders of the association to the extent and as permitted in the Articles of Association or applicable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- 11 -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6 </w:t>
      </w:r>
    </w:p>
    <w:p>
      <w:pPr>
        <w:pStyle w:val="TextBody"/>
        <w:bidi w:val="0"/>
        <w:spacing w:before="120" w:after="0"/>
        <w:jc w:val="center"/>
        <w:rPr>
          <w:rFonts w:ascii="Times New Roman" w:hAnsi="Times New Roman"/>
          <w:b/>
          <w:sz w:val="20"/>
        </w:rPr>
      </w:pPr>
      <w:r>
        <w:rPr>
          <w:rFonts w:ascii="Times New Roman" w:hAnsi="Times New Roman"/>
          <w:b/>
          <w:sz w:val="20"/>
        </w:rPr>
        <w:t xml:space="preserve">Section 321(b) Consent </w:t>
      </w:r>
    </w:p>
    <w:p>
      <w:pPr>
        <w:pStyle w:val="TextBody"/>
        <w:bidi w:val="0"/>
        <w:spacing w:before="240" w:after="0"/>
        <w:jc w:val="left"/>
        <w:rPr>
          <w:rFonts w:ascii="Times New Roman" w:hAnsi="Times New Roman"/>
          <w:sz w:val="20"/>
        </w:rPr>
      </w:pPr>
      <w:r>
        <w:rPr>
          <w:rFonts w:ascii="Times New Roman" w:hAnsi="Times New Roman"/>
          <w:sz w:val="20"/>
        </w:rPr>
        <w:t xml:space="preserve">Pursuant to Section 321(b) of the Trust Indenture Act of 1939, as amended, Wilmington Trust, National Association hereby consents that reports of examinations by Federal, State, Territorial or District authorities may be furnished by such authorities to the Securities and Exchange Commission upon requests therefor.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250"/>
        <w:gridCol w:w="109"/>
        <w:gridCol w:w="389"/>
        <w:gridCol w:w="109"/>
        <w:gridCol w:w="373"/>
        <w:gridCol w:w="109"/>
        <w:gridCol w:w="3866"/>
      </w:tblGrid>
      <w:tr>
        <w:trPr/>
        <w:tc>
          <w:tcPr>
            <w:tcW w:w="5250"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3866" w:type="dxa"/>
            <w:tcBorders/>
            <w:vAlign w:val="center"/>
          </w:tcPr>
          <w:p>
            <w:pPr>
              <w:pStyle w:val="TableContents"/>
              <w:bidi w:val="0"/>
              <w:spacing w:before="0" w:after="283"/>
              <w:jc w:val="left"/>
              <w:rPr>
                <w:sz w:val="4"/>
                <w:szCs w:val="4"/>
              </w:rPr>
            </w:pPr>
            <w:r>
              <w:rPr>
                <w:sz w:val="4"/>
                <w:szCs w:val="4"/>
              </w:rPr>
            </w:r>
          </w:p>
        </w:tc>
      </w:tr>
      <w:tr>
        <w:trPr/>
        <w:tc>
          <w:tcPr>
            <w:tcW w:w="5250"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389"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4348" w:type="dxa"/>
            <w:gridSpan w:val="3"/>
            <w:tcBorders/>
          </w:tcPr>
          <w:p>
            <w:pPr>
              <w:pStyle w:val="TableContents"/>
              <w:bidi w:val="0"/>
              <w:spacing w:before="0" w:after="283"/>
              <w:jc w:val="left"/>
              <w:rPr>
                <w:b/>
              </w:rPr>
            </w:pPr>
            <w:r>
              <w:rPr>
                <w:b/>
              </w:rPr>
              <w:t>WILMINGTON TRUST, NATIONAL ASSOCIATION</w:t>
            </w:r>
          </w:p>
        </w:tc>
      </w:tr>
      <w:tr>
        <w:trPr>
          <w:trHeight w:val="240" w:hRule="atLeast"/>
        </w:trPr>
        <w:tc>
          <w:tcPr>
            <w:tcW w:w="5250" w:type="dxa"/>
            <w:tcBorders/>
            <w:vAlign w:val="center"/>
          </w:tcPr>
          <w:p>
            <w:pPr>
              <w:pStyle w:val="TableContents"/>
              <w:bidi w:val="0"/>
              <w:spacing w:before="0" w:after="283"/>
              <w:jc w:val="left"/>
              <w:rPr>
                <w:sz w:val="4"/>
                <w:szCs w:val="4"/>
              </w:rPr>
            </w:pPr>
            <w:r>
              <w:rPr>
                <w:sz w:val="4"/>
                <w:szCs w:val="4"/>
              </w:rPr>
            </w:r>
          </w:p>
        </w:tc>
        <w:tc>
          <w:tcPr>
            <w:tcW w:w="498" w:type="dxa"/>
            <w:gridSpan w:val="2"/>
            <w:tcBorders/>
            <w:vAlign w:val="center"/>
          </w:tcPr>
          <w:p>
            <w:pPr>
              <w:pStyle w:val="TableContents"/>
              <w:bidi w:val="0"/>
              <w:spacing w:before="0" w:after="283"/>
              <w:jc w:val="left"/>
              <w:rPr>
                <w:sz w:val="4"/>
                <w:szCs w:val="4"/>
              </w:rPr>
            </w:pPr>
            <w:r>
              <w:rPr>
                <w:sz w:val="4"/>
                <w:szCs w:val="4"/>
              </w:rPr>
            </w:r>
          </w:p>
        </w:tc>
        <w:tc>
          <w:tcPr>
            <w:tcW w:w="482" w:type="dxa"/>
            <w:gridSpan w:val="2"/>
            <w:tcBorders/>
            <w:vAlign w:val="center"/>
          </w:tcPr>
          <w:p>
            <w:pPr>
              <w:pStyle w:val="TableContents"/>
              <w:bidi w:val="0"/>
              <w:spacing w:before="0" w:after="283"/>
              <w:jc w:val="left"/>
              <w:rPr>
                <w:sz w:val="4"/>
                <w:szCs w:val="4"/>
              </w:rPr>
            </w:pPr>
            <w:r>
              <w:rPr>
                <w:sz w:val="4"/>
                <w:szCs w:val="4"/>
              </w:rPr>
            </w:r>
          </w:p>
        </w:tc>
        <w:tc>
          <w:tcPr>
            <w:tcW w:w="3975" w:type="dxa"/>
            <w:gridSpan w:val="2"/>
            <w:tcBorders/>
            <w:vAlign w:val="center"/>
          </w:tcPr>
          <w:p>
            <w:pPr>
              <w:pStyle w:val="TableContents"/>
              <w:bidi w:val="0"/>
              <w:spacing w:before="0" w:after="283"/>
              <w:jc w:val="left"/>
              <w:rPr>
                <w:sz w:val="4"/>
                <w:szCs w:val="4"/>
              </w:rPr>
            </w:pPr>
            <w:r>
              <w:rPr>
                <w:sz w:val="4"/>
                <w:szCs w:val="4"/>
              </w:rPr>
            </w:r>
          </w:p>
        </w:tc>
      </w:tr>
      <w:tr>
        <w:trPr/>
        <w:tc>
          <w:tcPr>
            <w:tcW w:w="5250" w:type="dxa"/>
            <w:tcBorders/>
          </w:tcPr>
          <w:p>
            <w:pPr>
              <w:pStyle w:val="TableContents"/>
              <w:bidi w:val="0"/>
              <w:spacing w:before="0" w:after="283"/>
              <w:jc w:val="left"/>
              <w:rPr/>
            </w:pPr>
            <w:r>
              <w:rPr/>
              <w:t>Dated: September 9, 2026</w:t>
            </w:r>
          </w:p>
        </w:tc>
        <w:tc>
          <w:tcPr>
            <w:tcW w:w="109" w:type="dxa"/>
            <w:tcBorders/>
            <w:vAlign w:val="bottom"/>
          </w:tcPr>
          <w:p>
            <w:pPr>
              <w:pStyle w:val="TableContents"/>
              <w:bidi w:val="0"/>
              <w:spacing w:before="0" w:after="283"/>
              <w:jc w:val="left"/>
              <w:rPr/>
            </w:pPr>
            <w:r>
              <w:rPr/>
              <w:t> </w:t>
            </w:r>
          </w:p>
        </w:tc>
        <w:tc>
          <w:tcPr>
            <w:tcW w:w="389"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373" w:type="dxa"/>
            <w:tcBorders/>
          </w:tcPr>
          <w:p>
            <w:pPr>
              <w:pStyle w:val="TableContents"/>
              <w:bidi w:val="0"/>
              <w:spacing w:before="0" w:after="283"/>
              <w:jc w:val="left"/>
              <w:rPr/>
            </w:pPr>
            <w:r>
              <w:rPr/>
              <w:t>By:</w:t>
            </w:r>
          </w:p>
        </w:tc>
        <w:tc>
          <w:tcPr>
            <w:tcW w:w="109" w:type="dxa"/>
            <w:tcBorders/>
            <w:vAlign w:val="bottom"/>
          </w:tcPr>
          <w:p>
            <w:pPr>
              <w:pStyle w:val="TableContents"/>
              <w:bidi w:val="0"/>
              <w:spacing w:before="0" w:after="283"/>
              <w:jc w:val="left"/>
              <w:rPr/>
            </w:pPr>
            <w:r>
              <w:rPr/>
              <w:t> </w:t>
            </w:r>
          </w:p>
        </w:tc>
        <w:tc>
          <w:tcPr>
            <w:tcW w:w="3866"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Jane Schweiger</w:t>
            </w:r>
          </w:p>
        </w:tc>
      </w:tr>
      <w:tr>
        <w:trPr/>
        <w:tc>
          <w:tcPr>
            <w:tcW w:w="5250"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389"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4348" w:type="dxa"/>
            <w:gridSpan w:val="3"/>
            <w:tcBorders/>
          </w:tcPr>
          <w:p>
            <w:pPr>
              <w:pStyle w:val="TableContents"/>
              <w:bidi w:val="0"/>
              <w:spacing w:before="0" w:after="283"/>
              <w:jc w:val="left"/>
              <w:rPr/>
            </w:pPr>
            <w:r>
              <w:rPr/>
              <w:t>Name: Jane Schweiger</w:t>
            </w:r>
          </w:p>
        </w:tc>
      </w:tr>
      <w:tr>
        <w:trPr/>
        <w:tc>
          <w:tcPr>
            <w:tcW w:w="5250"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4348" w:type="dxa"/>
            <w:gridSpan w:val="3"/>
            <w:tcBorders/>
          </w:tcPr>
          <w:p>
            <w:pPr>
              <w:pStyle w:val="TableContents"/>
              <w:bidi w:val="0"/>
              <w:spacing w:before="0" w:after="283"/>
              <w:jc w:val="left"/>
              <w:rPr/>
            </w:pPr>
            <w:r>
              <w:rPr/>
              <w:t>Title: Vice President</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b/>
          <w:sz w:val="20"/>
        </w:rPr>
      </w:pPr>
      <w:r>
        <w:rPr>
          <w:rFonts w:ascii="Times New Roman" w:hAnsi="Times New Roman"/>
          <w:b/>
          <w:sz w:val="20"/>
        </w:rPr>
        <w:t xml:space="preserve">EXHIBIT 7 </w:t>
      </w:r>
    </w:p>
    <w:p>
      <w:pPr>
        <w:pStyle w:val="TextBody"/>
        <w:bidi w:val="0"/>
        <w:spacing w:before="120" w:after="0"/>
        <w:jc w:val="center"/>
        <w:rPr>
          <w:rFonts w:ascii="Times New Roman" w:hAnsi="Times New Roman"/>
          <w:b/>
          <w:sz w:val="20"/>
        </w:rPr>
      </w:pPr>
      <w:r>
        <w:rPr>
          <w:rFonts w:ascii="Times New Roman" w:hAnsi="Times New Roman"/>
          <w:b/>
          <w:sz w:val="20"/>
        </w:rPr>
        <w:t xml:space="preserve">REPORT OF CONDITION </w:t>
      </w:r>
    </w:p>
    <w:p>
      <w:pPr>
        <w:pStyle w:val="TextBody"/>
        <w:bidi w:val="0"/>
        <w:spacing w:before="120" w:after="0"/>
        <w:jc w:val="center"/>
        <w:rPr>
          <w:rFonts w:ascii="Times New Roman" w:hAnsi="Times New Roman"/>
          <w:b/>
          <w:sz w:val="20"/>
        </w:rPr>
      </w:pPr>
      <w:r>
        <w:rPr>
          <w:rFonts w:ascii="Times New Roman" w:hAnsi="Times New Roman"/>
          <w:b/>
          <w:sz w:val="20"/>
        </w:rPr>
        <w:t xml:space="preserve">WILMINGTON TRUST, NATIONAL ASSOCIATION </w:t>
      </w:r>
    </w:p>
    <w:p>
      <w:pPr>
        <w:pStyle w:val="TextBody"/>
        <w:bidi w:val="0"/>
        <w:spacing w:before="120" w:after="0"/>
        <w:jc w:val="center"/>
        <w:rPr>
          <w:rFonts w:ascii="Times New Roman" w:hAnsi="Times New Roman"/>
          <w:sz w:val="20"/>
        </w:rPr>
      </w:pPr>
      <w:r>
        <w:rPr>
          <w:rFonts w:ascii="Times New Roman" w:hAnsi="Times New Roman"/>
          <w:sz w:val="20"/>
        </w:rPr>
        <w:t xml:space="preserve">As of the close of business on June 30, 2026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552"/>
        <w:gridCol w:w="140"/>
        <w:gridCol w:w="60"/>
        <w:gridCol w:w="2294"/>
        <w:gridCol w:w="159"/>
      </w:tblGrid>
      <w:tr>
        <w:trPr/>
        <w:tc>
          <w:tcPr>
            <w:tcW w:w="7552" w:type="dxa"/>
            <w:tcBorders/>
            <w:vAlign w:val="center"/>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9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55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94" w:type="dxa"/>
            <w:tcBorders/>
            <w:shd w:fill="CCEEFF" w:val="clear"/>
            <w:vAlign w:val="bottom"/>
          </w:tcPr>
          <w:p>
            <w:pPr>
              <w:pStyle w:val="TableContents"/>
              <w:bidi w:val="0"/>
              <w:spacing w:before="0" w:after="283"/>
              <w:jc w:val="right"/>
              <w:rPr>
                <w:b/>
              </w:rPr>
            </w:pPr>
            <w:r>
              <w:rPr>
                <w:b/>
              </w:rPr>
              <w:t>Thousands of Dollars</w:t>
            </w:r>
          </w:p>
        </w:tc>
        <w:tc>
          <w:tcPr>
            <w:tcW w:w="159" w:type="dxa"/>
            <w:tcBorders/>
            <w:shd w:fill="CCEEFF" w:val="clear"/>
            <w:vAlign w:val="bottom"/>
          </w:tcPr>
          <w:p>
            <w:pPr>
              <w:pStyle w:val="TableContents"/>
              <w:bidi w:val="0"/>
              <w:spacing w:before="0" w:after="283"/>
              <w:jc w:val="left"/>
              <w:rPr/>
            </w:pPr>
            <w:r>
              <w:rPr/>
              <w:t> </w:t>
            </w:r>
          </w:p>
        </w:tc>
      </w:tr>
      <w:tr>
        <w:trPr/>
        <w:tc>
          <w:tcPr>
            <w:tcW w:w="7552" w:type="dxa"/>
            <w:tcBorders/>
          </w:tcPr>
          <w:p>
            <w:pPr>
              <w:pStyle w:val="TableContents"/>
              <w:bidi w:val="0"/>
              <w:spacing w:before="0" w:after="0"/>
              <w:jc w:val="left"/>
              <w:rPr>
                <w:rFonts w:ascii="Times New Roman" w:hAnsi="Times New Roman"/>
                <w:sz w:val="20"/>
              </w:rPr>
            </w:pPr>
            <w:r>
              <w:rPr>
                <w:rFonts w:ascii="Times New Roman" w:hAnsi="Times New Roman"/>
                <w:sz w:val="20"/>
              </w:rPr>
              <w:t>Cash and balances due from depository institutions:</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94" w:type="dxa"/>
            <w:tcBorders/>
            <w:vAlign w:val="bottom"/>
          </w:tcPr>
          <w:p>
            <w:pPr>
              <w:pStyle w:val="TableContents"/>
              <w:bidi w:val="0"/>
              <w:spacing w:before="0" w:after="283"/>
              <w:jc w:val="right"/>
              <w:rPr/>
            </w:pPr>
            <w:r>
              <w:rPr/>
              <w:t>647,566</w:t>
            </w:r>
          </w:p>
        </w:tc>
        <w:tc>
          <w:tcPr>
            <w:tcW w:w="159" w:type="dxa"/>
            <w:tcBorders/>
            <w:vAlign w:val="bottom"/>
          </w:tcPr>
          <w:p>
            <w:pPr>
              <w:pStyle w:val="TableContents"/>
              <w:bidi w:val="0"/>
              <w:spacing w:before="0" w:after="283"/>
              <w:jc w:val="left"/>
              <w:rPr/>
            </w:pPr>
            <w:r>
              <w:rPr/>
              <w:t> </w:t>
            </w:r>
          </w:p>
        </w:tc>
      </w:tr>
      <w:tr>
        <w:trPr/>
        <w:tc>
          <w:tcPr>
            <w:tcW w:w="75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Securities:</w:t>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94" w:type="dxa"/>
            <w:tcBorders/>
            <w:shd w:fill="CCEEFF" w:val="clear"/>
            <w:vAlign w:val="bottom"/>
          </w:tcPr>
          <w:p>
            <w:pPr>
              <w:pStyle w:val="TableContents"/>
              <w:bidi w:val="0"/>
              <w:spacing w:before="0" w:after="283"/>
              <w:jc w:val="right"/>
              <w:rPr/>
            </w:pPr>
            <w:r>
              <w:rPr/>
              <w:t>1,097</w:t>
            </w:r>
          </w:p>
        </w:tc>
        <w:tc>
          <w:tcPr>
            <w:tcW w:w="159" w:type="dxa"/>
            <w:tcBorders/>
            <w:shd w:fill="CCEEFF" w:val="clear"/>
            <w:vAlign w:val="bottom"/>
          </w:tcPr>
          <w:p>
            <w:pPr>
              <w:pStyle w:val="TableContents"/>
              <w:bidi w:val="0"/>
              <w:spacing w:before="0" w:after="283"/>
              <w:jc w:val="left"/>
              <w:rPr/>
            </w:pPr>
            <w:r>
              <w:rPr/>
              <w:t> </w:t>
            </w:r>
          </w:p>
        </w:tc>
      </w:tr>
      <w:tr>
        <w:trPr/>
        <w:tc>
          <w:tcPr>
            <w:tcW w:w="7552" w:type="dxa"/>
            <w:tcBorders/>
          </w:tcPr>
          <w:p>
            <w:pPr>
              <w:pStyle w:val="TableContents"/>
              <w:bidi w:val="0"/>
              <w:spacing w:before="0" w:after="0"/>
              <w:jc w:val="left"/>
              <w:rPr>
                <w:rFonts w:ascii="Times New Roman" w:hAnsi="Times New Roman"/>
                <w:sz w:val="20"/>
              </w:rPr>
            </w:pPr>
            <w:r>
              <w:rPr>
                <w:rFonts w:ascii="Times New Roman" w:hAnsi="Times New Roman"/>
                <w:sz w:val="20"/>
              </w:rPr>
              <w:t>Federal funds sold and securities purchased under agreement to resell:</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94" w:type="dxa"/>
            <w:tcBorders/>
            <w:vAlign w:val="bottom"/>
          </w:tcPr>
          <w:p>
            <w:pPr>
              <w:pStyle w:val="TableContents"/>
              <w:bidi w:val="0"/>
              <w:spacing w:before="0" w:after="283"/>
              <w:jc w:val="right"/>
              <w:rPr/>
            </w:pPr>
            <w:r>
              <w:rPr/>
              <w:t>0</w:t>
            </w:r>
          </w:p>
        </w:tc>
        <w:tc>
          <w:tcPr>
            <w:tcW w:w="159" w:type="dxa"/>
            <w:tcBorders/>
            <w:vAlign w:val="bottom"/>
          </w:tcPr>
          <w:p>
            <w:pPr>
              <w:pStyle w:val="TableContents"/>
              <w:bidi w:val="0"/>
              <w:spacing w:before="0" w:after="283"/>
              <w:jc w:val="left"/>
              <w:rPr/>
            </w:pPr>
            <w:r>
              <w:rPr/>
              <w:t> </w:t>
            </w:r>
          </w:p>
        </w:tc>
      </w:tr>
      <w:tr>
        <w:trPr/>
        <w:tc>
          <w:tcPr>
            <w:tcW w:w="75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Loans and leases held for sale:</w:t>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94" w:type="dxa"/>
            <w:tcBorders/>
            <w:shd w:fill="CCEEFF" w:val="clear"/>
            <w:vAlign w:val="bottom"/>
          </w:tcPr>
          <w:p>
            <w:pPr>
              <w:pStyle w:val="TableContents"/>
              <w:bidi w:val="0"/>
              <w:spacing w:before="0" w:after="283"/>
              <w:jc w:val="right"/>
              <w:rPr/>
            </w:pPr>
            <w:r>
              <w:rPr/>
              <w:t>0</w:t>
            </w:r>
          </w:p>
        </w:tc>
        <w:tc>
          <w:tcPr>
            <w:tcW w:w="159" w:type="dxa"/>
            <w:tcBorders/>
            <w:shd w:fill="CCEEFF" w:val="clear"/>
            <w:vAlign w:val="bottom"/>
          </w:tcPr>
          <w:p>
            <w:pPr>
              <w:pStyle w:val="TableContents"/>
              <w:bidi w:val="0"/>
              <w:spacing w:before="0" w:after="283"/>
              <w:jc w:val="left"/>
              <w:rPr/>
            </w:pPr>
            <w:r>
              <w:rPr/>
              <w:t> </w:t>
            </w:r>
          </w:p>
        </w:tc>
      </w:tr>
      <w:tr>
        <w:trPr/>
        <w:tc>
          <w:tcPr>
            <w:tcW w:w="7552" w:type="dxa"/>
            <w:tcBorders/>
          </w:tcPr>
          <w:p>
            <w:pPr>
              <w:pStyle w:val="TableContents"/>
              <w:bidi w:val="0"/>
              <w:spacing w:before="0" w:after="0"/>
              <w:jc w:val="left"/>
              <w:rPr>
                <w:rFonts w:ascii="Times New Roman" w:hAnsi="Times New Roman"/>
                <w:sz w:val="20"/>
              </w:rPr>
            </w:pPr>
            <w:r>
              <w:rPr>
                <w:rFonts w:ascii="Times New Roman" w:hAnsi="Times New Roman"/>
                <w:sz w:val="20"/>
              </w:rPr>
              <w:t>Loans and leases net of unearned income, allowance:</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94" w:type="dxa"/>
            <w:tcBorders/>
            <w:vAlign w:val="bottom"/>
          </w:tcPr>
          <w:p>
            <w:pPr>
              <w:pStyle w:val="TableContents"/>
              <w:bidi w:val="0"/>
              <w:spacing w:before="0" w:after="283"/>
              <w:jc w:val="right"/>
              <w:rPr/>
            </w:pPr>
            <w:r>
              <w:rPr/>
              <w:t>23,405</w:t>
            </w:r>
          </w:p>
        </w:tc>
        <w:tc>
          <w:tcPr>
            <w:tcW w:w="159" w:type="dxa"/>
            <w:tcBorders/>
            <w:vAlign w:val="bottom"/>
          </w:tcPr>
          <w:p>
            <w:pPr>
              <w:pStyle w:val="TableContents"/>
              <w:bidi w:val="0"/>
              <w:spacing w:before="0" w:after="283"/>
              <w:jc w:val="left"/>
              <w:rPr/>
            </w:pPr>
            <w:r>
              <w:rPr/>
              <w:t> </w:t>
            </w:r>
          </w:p>
        </w:tc>
      </w:tr>
      <w:tr>
        <w:trPr/>
        <w:tc>
          <w:tcPr>
            <w:tcW w:w="75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Premises and fixed asset</w:t>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94" w:type="dxa"/>
            <w:tcBorders/>
            <w:shd w:fill="CCEEFF" w:val="clear"/>
            <w:vAlign w:val="bottom"/>
          </w:tcPr>
          <w:p>
            <w:pPr>
              <w:pStyle w:val="TableContents"/>
              <w:bidi w:val="0"/>
              <w:spacing w:before="0" w:after="283"/>
              <w:jc w:val="right"/>
              <w:rPr/>
            </w:pPr>
            <w:r>
              <w:rPr/>
              <w:t>23,151</w:t>
            </w:r>
          </w:p>
        </w:tc>
        <w:tc>
          <w:tcPr>
            <w:tcW w:w="159" w:type="dxa"/>
            <w:tcBorders/>
            <w:shd w:fill="CCEEFF" w:val="clear"/>
            <w:vAlign w:val="bottom"/>
          </w:tcPr>
          <w:p>
            <w:pPr>
              <w:pStyle w:val="TableContents"/>
              <w:bidi w:val="0"/>
              <w:spacing w:before="0" w:after="283"/>
              <w:jc w:val="left"/>
              <w:rPr/>
            </w:pPr>
            <w:r>
              <w:rPr/>
              <w:t> </w:t>
            </w:r>
          </w:p>
        </w:tc>
      </w:tr>
      <w:tr>
        <w:trPr/>
        <w:tc>
          <w:tcPr>
            <w:tcW w:w="7552" w:type="dxa"/>
            <w:tcBorders/>
          </w:tcPr>
          <w:p>
            <w:pPr>
              <w:pStyle w:val="TableContents"/>
              <w:bidi w:val="0"/>
              <w:spacing w:before="0" w:after="0"/>
              <w:jc w:val="left"/>
              <w:rPr>
                <w:rFonts w:ascii="Times New Roman" w:hAnsi="Times New Roman"/>
                <w:sz w:val="20"/>
              </w:rPr>
            </w:pPr>
            <w:r>
              <w:rPr>
                <w:rFonts w:ascii="Times New Roman" w:hAnsi="Times New Roman"/>
                <w:sz w:val="20"/>
              </w:rPr>
              <w:t>Other real estate owned:</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94" w:type="dxa"/>
            <w:tcBorders/>
            <w:vAlign w:val="bottom"/>
          </w:tcPr>
          <w:p>
            <w:pPr>
              <w:pStyle w:val="TableContents"/>
              <w:bidi w:val="0"/>
              <w:spacing w:before="0" w:after="283"/>
              <w:jc w:val="right"/>
              <w:rPr/>
            </w:pPr>
            <w:r>
              <w:rPr/>
              <w:t>0</w:t>
            </w:r>
          </w:p>
        </w:tc>
        <w:tc>
          <w:tcPr>
            <w:tcW w:w="159" w:type="dxa"/>
            <w:tcBorders/>
            <w:vAlign w:val="bottom"/>
          </w:tcPr>
          <w:p>
            <w:pPr>
              <w:pStyle w:val="TableContents"/>
              <w:bidi w:val="0"/>
              <w:spacing w:before="0" w:after="283"/>
              <w:jc w:val="left"/>
              <w:rPr/>
            </w:pPr>
            <w:r>
              <w:rPr/>
              <w:t> </w:t>
            </w:r>
          </w:p>
        </w:tc>
      </w:tr>
      <w:tr>
        <w:trPr/>
        <w:tc>
          <w:tcPr>
            <w:tcW w:w="75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Investments in unconsolidated subsidiaries and associated companies:</w:t>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94" w:type="dxa"/>
            <w:tcBorders/>
            <w:shd w:fill="CCEEFF" w:val="clear"/>
            <w:vAlign w:val="bottom"/>
          </w:tcPr>
          <w:p>
            <w:pPr>
              <w:pStyle w:val="TableContents"/>
              <w:bidi w:val="0"/>
              <w:spacing w:before="0" w:after="283"/>
              <w:jc w:val="right"/>
              <w:rPr/>
            </w:pPr>
            <w:r>
              <w:rPr/>
              <w:t>0</w:t>
            </w:r>
          </w:p>
        </w:tc>
        <w:tc>
          <w:tcPr>
            <w:tcW w:w="159" w:type="dxa"/>
            <w:tcBorders/>
            <w:shd w:fill="CCEEFF" w:val="clear"/>
            <w:vAlign w:val="bottom"/>
          </w:tcPr>
          <w:p>
            <w:pPr>
              <w:pStyle w:val="TableContents"/>
              <w:bidi w:val="0"/>
              <w:spacing w:before="0" w:after="283"/>
              <w:jc w:val="left"/>
              <w:rPr/>
            </w:pPr>
            <w:r>
              <w:rPr/>
              <w:t> </w:t>
            </w:r>
          </w:p>
        </w:tc>
      </w:tr>
      <w:tr>
        <w:trPr/>
        <w:tc>
          <w:tcPr>
            <w:tcW w:w="7552" w:type="dxa"/>
            <w:tcBorders/>
          </w:tcPr>
          <w:p>
            <w:pPr>
              <w:pStyle w:val="TableContents"/>
              <w:bidi w:val="0"/>
              <w:spacing w:before="0" w:after="0"/>
              <w:jc w:val="left"/>
              <w:rPr>
                <w:rFonts w:ascii="Times New Roman" w:hAnsi="Times New Roman"/>
                <w:sz w:val="20"/>
              </w:rPr>
            </w:pPr>
            <w:r>
              <w:rPr>
                <w:rFonts w:ascii="Times New Roman" w:hAnsi="Times New Roman"/>
                <w:sz w:val="20"/>
              </w:rPr>
              <w:t>Direct and indirect investments in real estate ventures:</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94" w:type="dxa"/>
            <w:tcBorders/>
            <w:vAlign w:val="bottom"/>
          </w:tcPr>
          <w:p>
            <w:pPr>
              <w:pStyle w:val="TableContents"/>
              <w:bidi w:val="0"/>
              <w:spacing w:before="0" w:after="283"/>
              <w:jc w:val="right"/>
              <w:rPr/>
            </w:pPr>
            <w:r>
              <w:rPr/>
              <w:t>0</w:t>
            </w:r>
          </w:p>
        </w:tc>
        <w:tc>
          <w:tcPr>
            <w:tcW w:w="159" w:type="dxa"/>
            <w:tcBorders/>
            <w:vAlign w:val="bottom"/>
          </w:tcPr>
          <w:p>
            <w:pPr>
              <w:pStyle w:val="TableContents"/>
              <w:bidi w:val="0"/>
              <w:spacing w:before="0" w:after="283"/>
              <w:jc w:val="left"/>
              <w:rPr/>
            </w:pPr>
            <w:r>
              <w:rPr/>
              <w:t> </w:t>
            </w:r>
          </w:p>
        </w:tc>
      </w:tr>
      <w:tr>
        <w:trPr/>
        <w:tc>
          <w:tcPr>
            <w:tcW w:w="75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Intangible assets:</w:t>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94" w:type="dxa"/>
            <w:tcBorders/>
            <w:shd w:fill="CCEEFF" w:val="clear"/>
            <w:vAlign w:val="bottom"/>
          </w:tcPr>
          <w:p>
            <w:pPr>
              <w:pStyle w:val="TableContents"/>
              <w:bidi w:val="0"/>
              <w:spacing w:before="0" w:after="283"/>
              <w:jc w:val="right"/>
              <w:rPr/>
            </w:pPr>
            <w:r>
              <w:rPr/>
              <w:t>0</w:t>
            </w:r>
          </w:p>
        </w:tc>
        <w:tc>
          <w:tcPr>
            <w:tcW w:w="159" w:type="dxa"/>
            <w:tcBorders/>
            <w:shd w:fill="CCEEFF" w:val="clear"/>
            <w:vAlign w:val="bottom"/>
          </w:tcPr>
          <w:p>
            <w:pPr>
              <w:pStyle w:val="TableContents"/>
              <w:bidi w:val="0"/>
              <w:spacing w:before="0" w:after="283"/>
              <w:jc w:val="left"/>
              <w:rPr/>
            </w:pPr>
            <w:r>
              <w:rPr/>
              <w:t> </w:t>
            </w:r>
          </w:p>
        </w:tc>
      </w:tr>
      <w:tr>
        <w:trPr/>
        <w:tc>
          <w:tcPr>
            <w:tcW w:w="7552" w:type="dxa"/>
            <w:tcBorders/>
          </w:tcPr>
          <w:p>
            <w:pPr>
              <w:pStyle w:val="TableContents"/>
              <w:bidi w:val="0"/>
              <w:spacing w:before="0" w:after="0"/>
              <w:jc w:val="left"/>
              <w:rPr>
                <w:rFonts w:ascii="Times New Roman" w:hAnsi="Times New Roman"/>
                <w:sz w:val="20"/>
              </w:rPr>
            </w:pPr>
            <w:r>
              <w:rPr>
                <w:rFonts w:ascii="Times New Roman" w:hAnsi="Times New Roman"/>
                <w:sz w:val="20"/>
              </w:rPr>
              <w:t>Other assets:</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94" w:type="dxa"/>
            <w:tcBorders/>
            <w:vAlign w:val="bottom"/>
          </w:tcPr>
          <w:p>
            <w:pPr>
              <w:pStyle w:val="TableContents"/>
              <w:bidi w:val="0"/>
              <w:spacing w:before="0" w:after="283"/>
              <w:jc w:val="right"/>
              <w:rPr/>
            </w:pPr>
            <w:r>
              <w:rPr/>
              <w:t>76,857</w:t>
            </w:r>
          </w:p>
        </w:tc>
        <w:tc>
          <w:tcPr>
            <w:tcW w:w="159" w:type="dxa"/>
            <w:tcBorders/>
            <w:vAlign w:val="bottom"/>
          </w:tcPr>
          <w:p>
            <w:pPr>
              <w:pStyle w:val="TableContents"/>
              <w:bidi w:val="0"/>
              <w:spacing w:before="0" w:after="283"/>
              <w:jc w:val="left"/>
              <w:rPr/>
            </w:pPr>
            <w:r>
              <w:rPr/>
              <w:t> </w:t>
            </w:r>
          </w:p>
        </w:tc>
      </w:tr>
      <w:tr>
        <w:trPr/>
        <w:tc>
          <w:tcPr>
            <w:tcW w:w="755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Assets:</w:t>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94" w:type="dxa"/>
            <w:tcBorders/>
            <w:shd w:fill="CCEEFF" w:val="clear"/>
            <w:vAlign w:val="bottom"/>
          </w:tcPr>
          <w:p>
            <w:pPr>
              <w:pStyle w:val="TableContents"/>
              <w:bidi w:val="0"/>
              <w:spacing w:before="0" w:after="283"/>
              <w:jc w:val="right"/>
              <w:rPr/>
            </w:pPr>
            <w:r>
              <w:rPr/>
              <w:t>772,076</w:t>
            </w:r>
          </w:p>
        </w:tc>
        <w:tc>
          <w:tcPr>
            <w:tcW w:w="159" w:type="dxa"/>
            <w:tcBorders/>
            <w:shd w:fill="CCEEFF" w:val="clear"/>
            <w:vAlign w:val="bottom"/>
          </w:tcPr>
          <w:p>
            <w:pPr>
              <w:pStyle w:val="TableContents"/>
              <w:bidi w:val="0"/>
              <w:spacing w:before="0" w:after="283"/>
              <w:jc w:val="left"/>
              <w:rPr/>
            </w:pPr>
            <w:r>
              <w:rPr/>
              <w:t> </w:t>
            </w:r>
          </w:p>
        </w:tc>
      </w:tr>
      <w:tr>
        <w:trPr/>
        <w:tc>
          <w:tcPr>
            <w:tcW w:w="7552" w:type="dxa"/>
            <w:tcBorders/>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294"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755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LIABILITIES</w:t>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94" w:type="dxa"/>
            <w:tcBorders/>
            <w:shd w:fill="CCEEFF" w:val="clear"/>
            <w:vAlign w:val="bottom"/>
          </w:tcPr>
          <w:p>
            <w:pPr>
              <w:pStyle w:val="TableContents"/>
              <w:bidi w:val="0"/>
              <w:spacing w:before="0" w:after="283"/>
              <w:jc w:val="right"/>
              <w:rPr>
                <w:b/>
              </w:rPr>
            </w:pPr>
            <w:r>
              <w:rPr>
                <w:b/>
              </w:rPr>
              <w:t>Thousands of Dollars</w:t>
            </w:r>
          </w:p>
        </w:tc>
        <w:tc>
          <w:tcPr>
            <w:tcW w:w="159" w:type="dxa"/>
            <w:tcBorders/>
            <w:shd w:fill="CCEEFF" w:val="clear"/>
            <w:vAlign w:val="bottom"/>
          </w:tcPr>
          <w:p>
            <w:pPr>
              <w:pStyle w:val="TableContents"/>
              <w:bidi w:val="0"/>
              <w:spacing w:before="0" w:after="283"/>
              <w:jc w:val="left"/>
              <w:rPr/>
            </w:pPr>
            <w:r>
              <w:rPr/>
              <w:t> </w:t>
            </w:r>
          </w:p>
        </w:tc>
      </w:tr>
      <w:tr>
        <w:trPr/>
        <w:tc>
          <w:tcPr>
            <w:tcW w:w="7552" w:type="dxa"/>
            <w:tcBorders/>
          </w:tcPr>
          <w:p>
            <w:pPr>
              <w:pStyle w:val="TableContents"/>
              <w:bidi w:val="0"/>
              <w:spacing w:before="0" w:after="0"/>
              <w:jc w:val="left"/>
              <w:rPr>
                <w:rFonts w:ascii="Times New Roman" w:hAnsi="Times New Roman"/>
                <w:sz w:val="20"/>
              </w:rPr>
            </w:pPr>
            <w:r>
              <w:rPr>
                <w:rFonts w:ascii="Times New Roman" w:hAnsi="Times New Roman"/>
                <w:sz w:val="20"/>
              </w:rPr>
              <w:t>Deposits</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94" w:type="dxa"/>
            <w:tcBorders/>
            <w:vAlign w:val="bottom"/>
          </w:tcPr>
          <w:p>
            <w:pPr>
              <w:pStyle w:val="TableContents"/>
              <w:bidi w:val="0"/>
              <w:spacing w:before="0" w:after="283"/>
              <w:jc w:val="right"/>
              <w:rPr/>
            </w:pPr>
            <w:r>
              <w:rPr/>
              <w:t>4,936</w:t>
            </w:r>
          </w:p>
        </w:tc>
        <w:tc>
          <w:tcPr>
            <w:tcW w:w="159" w:type="dxa"/>
            <w:tcBorders/>
            <w:vAlign w:val="bottom"/>
          </w:tcPr>
          <w:p>
            <w:pPr>
              <w:pStyle w:val="TableContents"/>
              <w:bidi w:val="0"/>
              <w:spacing w:before="0" w:after="283"/>
              <w:jc w:val="left"/>
              <w:rPr/>
            </w:pPr>
            <w:r>
              <w:rPr/>
              <w:t> </w:t>
            </w:r>
          </w:p>
        </w:tc>
      </w:tr>
      <w:tr>
        <w:trPr/>
        <w:tc>
          <w:tcPr>
            <w:tcW w:w="75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Federal funds purchased and securities sold under agreements to repurchase</w:t>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94" w:type="dxa"/>
            <w:tcBorders/>
            <w:shd w:fill="CCEEFF" w:val="clear"/>
            <w:vAlign w:val="bottom"/>
          </w:tcPr>
          <w:p>
            <w:pPr>
              <w:pStyle w:val="TableContents"/>
              <w:bidi w:val="0"/>
              <w:spacing w:before="0" w:after="283"/>
              <w:jc w:val="right"/>
              <w:rPr/>
            </w:pPr>
            <w:r>
              <w:rPr/>
              <w:t>0</w:t>
            </w:r>
          </w:p>
        </w:tc>
        <w:tc>
          <w:tcPr>
            <w:tcW w:w="159" w:type="dxa"/>
            <w:tcBorders/>
            <w:shd w:fill="CCEEFF" w:val="clear"/>
            <w:vAlign w:val="bottom"/>
          </w:tcPr>
          <w:p>
            <w:pPr>
              <w:pStyle w:val="TableContents"/>
              <w:bidi w:val="0"/>
              <w:spacing w:before="0" w:after="283"/>
              <w:jc w:val="left"/>
              <w:rPr/>
            </w:pPr>
            <w:r>
              <w:rPr/>
              <w:t> </w:t>
            </w:r>
          </w:p>
        </w:tc>
      </w:tr>
      <w:tr>
        <w:trPr/>
        <w:tc>
          <w:tcPr>
            <w:tcW w:w="7552" w:type="dxa"/>
            <w:tcBorders/>
          </w:tcPr>
          <w:p>
            <w:pPr>
              <w:pStyle w:val="TableContents"/>
              <w:bidi w:val="0"/>
              <w:spacing w:before="0" w:after="0"/>
              <w:jc w:val="left"/>
              <w:rPr>
                <w:rFonts w:ascii="Times New Roman" w:hAnsi="Times New Roman"/>
                <w:sz w:val="20"/>
              </w:rPr>
            </w:pPr>
            <w:r>
              <w:rPr>
                <w:rFonts w:ascii="Times New Roman" w:hAnsi="Times New Roman"/>
                <w:sz w:val="20"/>
              </w:rPr>
              <w:t>Other borrowed money:</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94" w:type="dxa"/>
            <w:tcBorders/>
            <w:vAlign w:val="bottom"/>
          </w:tcPr>
          <w:p>
            <w:pPr>
              <w:pStyle w:val="TableContents"/>
              <w:bidi w:val="0"/>
              <w:spacing w:before="0" w:after="283"/>
              <w:jc w:val="right"/>
              <w:rPr/>
            </w:pPr>
            <w:r>
              <w:rPr/>
              <w:t>0</w:t>
            </w:r>
          </w:p>
        </w:tc>
        <w:tc>
          <w:tcPr>
            <w:tcW w:w="159" w:type="dxa"/>
            <w:tcBorders/>
            <w:vAlign w:val="bottom"/>
          </w:tcPr>
          <w:p>
            <w:pPr>
              <w:pStyle w:val="TableContents"/>
              <w:bidi w:val="0"/>
              <w:spacing w:before="0" w:after="283"/>
              <w:jc w:val="left"/>
              <w:rPr/>
            </w:pPr>
            <w:r>
              <w:rPr/>
              <w:t> </w:t>
            </w:r>
          </w:p>
        </w:tc>
      </w:tr>
      <w:tr>
        <w:trPr/>
        <w:tc>
          <w:tcPr>
            <w:tcW w:w="75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Liabilities:</w:t>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94" w:type="dxa"/>
            <w:tcBorders/>
            <w:shd w:fill="CCEEFF" w:val="clear"/>
            <w:vAlign w:val="bottom"/>
          </w:tcPr>
          <w:p>
            <w:pPr>
              <w:pStyle w:val="TableContents"/>
              <w:bidi w:val="0"/>
              <w:spacing w:before="0" w:after="283"/>
              <w:jc w:val="right"/>
              <w:rPr/>
            </w:pPr>
            <w:r>
              <w:rPr/>
              <w:t>85,934</w:t>
            </w:r>
          </w:p>
        </w:tc>
        <w:tc>
          <w:tcPr>
            <w:tcW w:w="159" w:type="dxa"/>
            <w:tcBorders/>
            <w:shd w:fill="CCEEFF" w:val="clear"/>
            <w:vAlign w:val="bottom"/>
          </w:tcPr>
          <w:p>
            <w:pPr>
              <w:pStyle w:val="TableContents"/>
              <w:bidi w:val="0"/>
              <w:spacing w:before="0" w:after="283"/>
              <w:jc w:val="left"/>
              <w:rPr/>
            </w:pPr>
            <w:r>
              <w:rPr/>
              <w:t> </w:t>
            </w:r>
          </w:p>
        </w:tc>
      </w:tr>
      <w:tr>
        <w:trPr/>
        <w:tc>
          <w:tcPr>
            <w:tcW w:w="7552"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Liabilities</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94" w:type="dxa"/>
            <w:tcBorders/>
            <w:vAlign w:val="bottom"/>
          </w:tcPr>
          <w:p>
            <w:pPr>
              <w:pStyle w:val="TableContents"/>
              <w:bidi w:val="0"/>
              <w:spacing w:before="0" w:after="283"/>
              <w:jc w:val="right"/>
              <w:rPr/>
            </w:pPr>
            <w:r>
              <w:rPr/>
              <w:t>90,870</w:t>
            </w:r>
          </w:p>
        </w:tc>
        <w:tc>
          <w:tcPr>
            <w:tcW w:w="159" w:type="dxa"/>
            <w:tcBorders/>
            <w:vAlign w:val="bottom"/>
          </w:tcPr>
          <w:p>
            <w:pPr>
              <w:pStyle w:val="TableContents"/>
              <w:bidi w:val="0"/>
              <w:spacing w:before="0" w:after="283"/>
              <w:jc w:val="left"/>
              <w:rPr/>
            </w:pPr>
            <w:r>
              <w:rPr/>
              <w:t> </w:t>
            </w:r>
          </w:p>
        </w:tc>
      </w:tr>
      <w:tr>
        <w:trPr/>
        <w:tc>
          <w:tcPr>
            <w:tcW w:w="7552" w:type="dxa"/>
            <w:tcBorders/>
            <w:shd w:fill="CCEEFF" w:val="clear"/>
          </w:tcPr>
          <w:p>
            <w:pPr>
              <w:pStyle w:val="TableContents"/>
              <w:bidi w:val="0"/>
              <w:spacing w:before="0" w:after="283"/>
              <w:jc w:val="left"/>
              <w:rPr>
                <w:sz w:val="4"/>
                <w:szCs w:val="4"/>
              </w:rPr>
            </w:pPr>
            <w:r>
              <w:rPr>
                <w:sz w:val="4"/>
                <w:szCs w:val="4"/>
              </w:rPr>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94"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7552" w:type="dxa"/>
            <w:tcBorders/>
          </w:tcPr>
          <w:p>
            <w:pPr>
              <w:pStyle w:val="TableContents"/>
              <w:bidi w:val="0"/>
              <w:spacing w:before="0" w:after="0"/>
              <w:jc w:val="left"/>
              <w:rPr>
                <w:rFonts w:ascii="Times New Roman" w:hAnsi="Times New Roman"/>
                <w:b/>
                <w:sz w:val="20"/>
              </w:rPr>
            </w:pPr>
            <w:r>
              <w:rPr>
                <w:rFonts w:ascii="Times New Roman" w:hAnsi="Times New Roman"/>
                <w:b/>
                <w:sz w:val="20"/>
              </w:rPr>
              <w:t>EQUITY CAPITAL</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94" w:type="dxa"/>
            <w:tcBorders/>
            <w:vAlign w:val="bottom"/>
          </w:tcPr>
          <w:p>
            <w:pPr>
              <w:pStyle w:val="TableContents"/>
              <w:bidi w:val="0"/>
              <w:spacing w:before="0" w:after="283"/>
              <w:jc w:val="right"/>
              <w:rPr>
                <w:b/>
              </w:rPr>
            </w:pPr>
            <w:r>
              <w:rPr>
                <w:b/>
              </w:rPr>
              <w:t>Thousands of Dollars</w:t>
            </w:r>
          </w:p>
        </w:tc>
        <w:tc>
          <w:tcPr>
            <w:tcW w:w="159" w:type="dxa"/>
            <w:tcBorders/>
            <w:vAlign w:val="bottom"/>
          </w:tcPr>
          <w:p>
            <w:pPr>
              <w:pStyle w:val="TableContents"/>
              <w:bidi w:val="0"/>
              <w:spacing w:before="0" w:after="283"/>
              <w:jc w:val="left"/>
              <w:rPr/>
            </w:pPr>
            <w:r>
              <w:rPr/>
              <w:t> </w:t>
            </w:r>
          </w:p>
        </w:tc>
      </w:tr>
      <w:tr>
        <w:trPr/>
        <w:tc>
          <w:tcPr>
            <w:tcW w:w="75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Common Stock</w:t>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94" w:type="dxa"/>
            <w:tcBorders/>
            <w:shd w:fill="CCEEFF" w:val="clear"/>
            <w:vAlign w:val="bottom"/>
          </w:tcPr>
          <w:p>
            <w:pPr>
              <w:pStyle w:val="TableContents"/>
              <w:bidi w:val="0"/>
              <w:spacing w:before="0" w:after="283"/>
              <w:jc w:val="right"/>
              <w:rPr/>
            </w:pPr>
            <w:r>
              <w:rPr/>
              <w:t>1,000</w:t>
            </w:r>
          </w:p>
        </w:tc>
        <w:tc>
          <w:tcPr>
            <w:tcW w:w="159" w:type="dxa"/>
            <w:tcBorders/>
            <w:shd w:fill="CCEEFF" w:val="clear"/>
            <w:vAlign w:val="bottom"/>
          </w:tcPr>
          <w:p>
            <w:pPr>
              <w:pStyle w:val="TableContents"/>
              <w:bidi w:val="0"/>
              <w:spacing w:before="0" w:after="283"/>
              <w:jc w:val="left"/>
              <w:rPr/>
            </w:pPr>
            <w:r>
              <w:rPr/>
              <w:t> </w:t>
            </w:r>
          </w:p>
        </w:tc>
      </w:tr>
      <w:tr>
        <w:trPr/>
        <w:tc>
          <w:tcPr>
            <w:tcW w:w="7552" w:type="dxa"/>
            <w:tcBorders/>
          </w:tcPr>
          <w:p>
            <w:pPr>
              <w:pStyle w:val="TableContents"/>
              <w:bidi w:val="0"/>
              <w:spacing w:before="0" w:after="0"/>
              <w:jc w:val="left"/>
              <w:rPr>
                <w:rFonts w:ascii="Times New Roman" w:hAnsi="Times New Roman"/>
                <w:sz w:val="20"/>
              </w:rPr>
            </w:pPr>
            <w:r>
              <w:rPr>
                <w:rFonts w:ascii="Times New Roman" w:hAnsi="Times New Roman"/>
                <w:sz w:val="20"/>
              </w:rPr>
              <w:t>Surplus</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94" w:type="dxa"/>
            <w:tcBorders/>
            <w:vAlign w:val="bottom"/>
          </w:tcPr>
          <w:p>
            <w:pPr>
              <w:pStyle w:val="TableContents"/>
              <w:bidi w:val="0"/>
              <w:spacing w:before="0" w:after="283"/>
              <w:jc w:val="right"/>
              <w:rPr/>
            </w:pPr>
            <w:r>
              <w:rPr/>
              <w:t>364,355</w:t>
            </w:r>
          </w:p>
        </w:tc>
        <w:tc>
          <w:tcPr>
            <w:tcW w:w="159" w:type="dxa"/>
            <w:tcBorders/>
            <w:vAlign w:val="bottom"/>
          </w:tcPr>
          <w:p>
            <w:pPr>
              <w:pStyle w:val="TableContents"/>
              <w:bidi w:val="0"/>
              <w:spacing w:before="0" w:after="283"/>
              <w:jc w:val="left"/>
              <w:rPr/>
            </w:pPr>
            <w:r>
              <w:rPr/>
              <w:t> </w:t>
            </w:r>
          </w:p>
        </w:tc>
      </w:tr>
      <w:tr>
        <w:trPr/>
        <w:tc>
          <w:tcPr>
            <w:tcW w:w="75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Retained Earnings</w:t>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94" w:type="dxa"/>
            <w:tcBorders/>
            <w:shd w:fill="CCEEFF" w:val="clear"/>
            <w:vAlign w:val="bottom"/>
          </w:tcPr>
          <w:p>
            <w:pPr>
              <w:pStyle w:val="TableContents"/>
              <w:bidi w:val="0"/>
              <w:spacing w:before="0" w:after="283"/>
              <w:jc w:val="right"/>
              <w:rPr/>
            </w:pPr>
            <w:r>
              <w:rPr/>
              <w:t>315,854</w:t>
            </w:r>
          </w:p>
        </w:tc>
        <w:tc>
          <w:tcPr>
            <w:tcW w:w="159" w:type="dxa"/>
            <w:tcBorders/>
            <w:shd w:fill="CCEEFF" w:val="clear"/>
            <w:vAlign w:val="bottom"/>
          </w:tcPr>
          <w:p>
            <w:pPr>
              <w:pStyle w:val="TableContents"/>
              <w:bidi w:val="0"/>
              <w:spacing w:before="0" w:after="283"/>
              <w:jc w:val="left"/>
              <w:rPr/>
            </w:pPr>
            <w:r>
              <w:rPr/>
              <w:t> </w:t>
            </w:r>
          </w:p>
        </w:tc>
      </w:tr>
      <w:tr>
        <w:trPr/>
        <w:tc>
          <w:tcPr>
            <w:tcW w:w="7552" w:type="dxa"/>
            <w:tcBorders/>
          </w:tcPr>
          <w:p>
            <w:pPr>
              <w:pStyle w:val="TableContents"/>
              <w:bidi w:val="0"/>
              <w:spacing w:before="0" w:after="0"/>
              <w:jc w:val="left"/>
              <w:rPr>
                <w:rFonts w:ascii="Times New Roman" w:hAnsi="Times New Roman"/>
                <w:sz w:val="20"/>
              </w:rPr>
            </w:pPr>
            <w:r>
              <w:rPr>
                <w:rFonts w:ascii="Times New Roman" w:hAnsi="Times New Roman"/>
                <w:sz w:val="20"/>
              </w:rPr>
              <w:t>Accumulated other comprehensive income</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94" w:type="dxa"/>
            <w:tcBorders/>
            <w:vAlign w:val="bottom"/>
          </w:tcPr>
          <w:p>
            <w:pPr>
              <w:pStyle w:val="TableContents"/>
              <w:bidi w:val="0"/>
              <w:spacing w:before="0" w:after="283"/>
              <w:jc w:val="right"/>
              <w:rPr/>
            </w:pPr>
            <w:r>
              <w:rPr/>
              <w:t>(3</w:t>
            </w:r>
          </w:p>
        </w:tc>
        <w:tc>
          <w:tcPr>
            <w:tcW w:w="159" w:type="dxa"/>
            <w:tcBorders/>
            <w:vAlign w:val="bottom"/>
          </w:tcPr>
          <w:p>
            <w:pPr>
              <w:pStyle w:val="TableContents"/>
              <w:bidi w:val="0"/>
              <w:spacing w:before="0" w:after="283"/>
              <w:jc w:val="left"/>
              <w:rPr/>
            </w:pPr>
            <w:r>
              <w:rPr/>
              <w:t>) </w:t>
            </w:r>
          </w:p>
        </w:tc>
      </w:tr>
      <w:tr>
        <w:trPr/>
        <w:tc>
          <w:tcPr>
            <w:tcW w:w="755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Equity Capital</w:t>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94" w:type="dxa"/>
            <w:tcBorders/>
            <w:shd w:fill="CCEEFF" w:val="clear"/>
            <w:vAlign w:val="bottom"/>
          </w:tcPr>
          <w:p>
            <w:pPr>
              <w:pStyle w:val="TableContents"/>
              <w:bidi w:val="0"/>
              <w:spacing w:before="0" w:after="283"/>
              <w:jc w:val="right"/>
              <w:rPr/>
            </w:pPr>
            <w:r>
              <w:rPr/>
              <w:t>681,206</w:t>
            </w:r>
          </w:p>
        </w:tc>
        <w:tc>
          <w:tcPr>
            <w:tcW w:w="159" w:type="dxa"/>
            <w:tcBorders/>
            <w:shd w:fill="CCEEFF" w:val="clear"/>
            <w:vAlign w:val="bottom"/>
          </w:tcPr>
          <w:p>
            <w:pPr>
              <w:pStyle w:val="TableContents"/>
              <w:bidi w:val="0"/>
              <w:spacing w:before="0" w:after="283"/>
              <w:jc w:val="left"/>
              <w:rPr/>
            </w:pPr>
            <w:r>
              <w:rPr/>
              <w:t> </w:t>
            </w:r>
          </w:p>
        </w:tc>
      </w:tr>
      <w:tr>
        <w:trPr/>
        <w:tc>
          <w:tcPr>
            <w:tcW w:w="7552" w:type="dxa"/>
            <w:tcBorders/>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294"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755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Liabilities and Equity Capital</w:t>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94" w:type="dxa"/>
            <w:tcBorders/>
            <w:shd w:fill="CCEEFF" w:val="clear"/>
            <w:vAlign w:val="bottom"/>
          </w:tcPr>
          <w:p>
            <w:pPr>
              <w:pStyle w:val="TableContents"/>
              <w:bidi w:val="0"/>
              <w:spacing w:before="0" w:after="283"/>
              <w:jc w:val="right"/>
              <w:rPr/>
            </w:pPr>
            <w:r>
              <w:rPr/>
              <w:t>772,076</w:t>
            </w:r>
          </w:p>
        </w:tc>
        <w:tc>
          <w:tcPr>
            <w:tcW w:w="159" w:type="dxa"/>
            <w:tcBorders/>
            <w:shd w:fill="CCEEFF" w:val="clear"/>
            <w:vAlign w:val="bottom"/>
          </w:tcPr>
          <w:p>
            <w:pPr>
              <w:pStyle w:val="TableContents"/>
              <w:bidi w:val="0"/>
              <w:spacing w:before="0" w:after="283"/>
              <w:jc w:val="left"/>
              <w:rPr/>
            </w:pPr>
            <w:r>
              <w:rPr/>
              <w:t> </w:t>
            </w:r>
          </w:p>
        </w:tc>
      </w:tr>
    </w:tbl>
    <w:p>
      <w:pPr>
        <w:pStyle w:val="TextBody"/>
        <w:bidi w:val="0"/>
        <w:spacing w:before="0" w:after="0"/>
        <w:jc w:val="right"/>
        <w:rPr>
          <w:rFonts w:ascii="Times New Roman" w:hAnsi="Times New Roman"/>
          <w:b/>
          <w:sz w:val="20"/>
        </w:rPr>
      </w:pPr>
      <w:bookmarkStart w:id="26" w:name="d154803dex991.htm"/>
      <w:bookmarkStart w:id="27" w:name="ksd154803dex991"/>
      <w:bookmarkEnd w:id="26"/>
      <w:bookmarkEnd w:id="27"/>
      <w:r>
        <w:rPr>
          <w:rFonts w:ascii="Times New Roman" w:hAnsi="Times New Roman"/>
          <w:b/>
          <w:sz w:val="20"/>
        </w:rPr>
        <w:t xml:space="preserve">Exhibit 99.1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LETTER TO DTC PARTICIPANTS REGARDING THE OFFER TO EXCHANGE </w:t>
      </w:r>
    </w:p>
    <w:p>
      <w:pPr>
        <w:pStyle w:val="TextBody"/>
        <w:bidi w:val="0"/>
        <w:spacing w:before="120" w:after="0"/>
        <w:jc w:val="center"/>
        <w:rPr>
          <w:rFonts w:ascii="Times New Roman" w:hAnsi="Times New Roman"/>
          <w:b/>
          <w:sz w:val="20"/>
        </w:rPr>
      </w:pPr>
      <w:r>
        <w:rPr>
          <w:rFonts w:ascii="Times New Roman" w:hAnsi="Times New Roman"/>
          <w:b/>
          <w:sz w:val="20"/>
        </w:rPr>
        <w:t xml:space="preserve">Up to $654,004,000 4.926% Senior Notes due 2037 </w:t>
      </w:r>
    </w:p>
    <w:p>
      <w:pPr>
        <w:pStyle w:val="TextBody"/>
        <w:bidi w:val="0"/>
        <w:spacing w:before="120" w:after="0"/>
        <w:jc w:val="center"/>
        <w:rPr>
          <w:rFonts w:ascii="Times New Roman" w:hAnsi="Times New Roman"/>
          <w:b/>
          <w:sz w:val="20"/>
        </w:rPr>
      </w:pPr>
      <w:r>
        <w:rPr>
          <w:rFonts w:ascii="Times New Roman" w:hAnsi="Times New Roman"/>
          <w:b/>
          <w:sz w:val="20"/>
        </w:rPr>
        <w:t xml:space="preserve">FOR </w:t>
      </w:r>
    </w:p>
    <w:p>
      <w:pPr>
        <w:pStyle w:val="TextBody"/>
        <w:bidi w:val="0"/>
        <w:spacing w:before="120" w:after="0"/>
        <w:jc w:val="center"/>
        <w:rPr>
          <w:rFonts w:ascii="Times New Roman" w:hAnsi="Times New Roman"/>
          <w:b/>
          <w:sz w:val="20"/>
        </w:rPr>
      </w:pPr>
      <w:r>
        <w:rPr>
          <w:rFonts w:ascii="Times New Roman" w:hAnsi="Times New Roman"/>
          <w:b/>
          <w:sz w:val="20"/>
        </w:rPr>
        <w:t xml:space="preserve">$654,004,000 4.926% Senior Notes due 2037 </w:t>
      </w:r>
    </w:p>
    <w:p>
      <w:pPr>
        <w:pStyle w:val="TextBody"/>
        <w:bidi w:val="0"/>
        <w:spacing w:before="120" w:after="0"/>
        <w:jc w:val="center"/>
        <w:rPr>
          <w:rFonts w:ascii="Times New Roman" w:hAnsi="Times New Roman"/>
          <w:b/>
          <w:sz w:val="20"/>
        </w:rPr>
      </w:pPr>
      <w:r>
        <w:rPr>
          <w:rFonts w:ascii="Times New Roman" w:hAnsi="Times New Roman"/>
          <w:b/>
          <w:sz w:val="20"/>
        </w:rPr>
        <w:t xml:space="preserve">OF </w:t>
      </w:r>
    </w:p>
    <w:p>
      <w:pPr>
        <w:pStyle w:val="TextBody"/>
        <w:bidi w:val="0"/>
        <w:spacing w:before="120" w:after="0"/>
        <w:jc w:val="center"/>
        <w:rPr>
          <w:rFonts w:ascii="Times New Roman" w:hAnsi="Times New Roman"/>
          <w:b/>
          <w:sz w:val="28"/>
        </w:rPr>
      </w:pPr>
      <w:r>
        <w:rPr>
          <w:rFonts w:ascii="Times New Roman" w:hAnsi="Times New Roman"/>
          <w:b/>
          <w:sz w:val="28"/>
        </w:rPr>
        <w:t xml:space="preserve">BROADCOM INC. </w:t>
      </w:r>
    </w:p>
    <w:p>
      <w:pPr>
        <w:pStyle w:val="TextBody"/>
        <w:bidi w:val="0"/>
        <w:spacing w:before="240" w:after="0"/>
        <w:jc w:val="center"/>
        <w:rPr>
          <w:rFonts w:ascii="Times New Roman" w:hAnsi="Times New Roman"/>
          <w:b/>
          <w:sz w:val="20"/>
        </w:rPr>
      </w:pPr>
      <w:r>
        <w:rPr>
          <w:rFonts w:ascii="Times New Roman" w:hAnsi="Times New Roman"/>
          <w:b/>
          <w:sz w:val="20"/>
        </w:rPr>
        <w:t xml:space="preserve">PURSUANT TO THE PROSPECTUS DATED     , 2026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4"/>
        <w:gridCol w:w="102"/>
        <w:gridCol w:w="4949"/>
      </w:tblGrid>
      <w:tr>
        <w:trPr/>
        <w:tc>
          <w:tcPr>
            <w:tcW w:w="5154"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4" w:type="dxa"/>
            <w:tcBorders/>
          </w:tcPr>
          <w:p>
            <w:pPr>
              <w:pStyle w:val="TableContents"/>
              <w:bidi w:val="0"/>
              <w:spacing w:before="0" w:after="283"/>
              <w:jc w:val="center"/>
              <w:rPr>
                <w:b/>
              </w:rPr>
            </w:pPr>
            <w:r>
              <w:rPr>
                <w:b/>
              </w:rPr>
              <w:t>144A CUSIP:</w:t>
            </w:r>
          </w:p>
        </w:tc>
        <w:tc>
          <w:tcPr>
            <w:tcW w:w="102"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Reg S CUSIP:</w:t>
            </w:r>
          </w:p>
        </w:tc>
      </w:tr>
      <w:tr>
        <w:trPr>
          <w:trHeight w:val="120" w:hRule="atLeast"/>
        </w:trPr>
        <w:tc>
          <w:tcPr>
            <w:tcW w:w="5154" w:type="dxa"/>
            <w:tcBorders/>
            <w:vAlign w:val="center"/>
          </w:tcPr>
          <w:p>
            <w:pPr>
              <w:pStyle w:val="TableContents"/>
              <w:bidi w:val="0"/>
              <w:spacing w:before="0" w:after="283"/>
              <w:jc w:val="left"/>
              <w:rPr>
                <w:sz w:val="4"/>
                <w:szCs w:val="4"/>
              </w:rPr>
            </w:pPr>
            <w:r>
              <w:rPr>
                <w:sz w:val="4"/>
                <w:szCs w:val="4"/>
              </w:rPr>
            </w:r>
          </w:p>
        </w:tc>
        <w:tc>
          <w:tcPr>
            <w:tcW w:w="5051" w:type="dxa"/>
            <w:gridSpan w:val="2"/>
            <w:tcBorders/>
            <w:vAlign w:val="center"/>
          </w:tcPr>
          <w:p>
            <w:pPr>
              <w:pStyle w:val="TableContents"/>
              <w:bidi w:val="0"/>
              <w:spacing w:before="0" w:after="283"/>
              <w:jc w:val="left"/>
              <w:rPr>
                <w:sz w:val="4"/>
                <w:szCs w:val="4"/>
              </w:rPr>
            </w:pPr>
            <w:r>
              <w:rPr>
                <w:sz w:val="4"/>
                <w:szCs w:val="4"/>
              </w:rPr>
            </w:r>
          </w:p>
        </w:tc>
      </w:tr>
      <w:tr>
        <w:trPr/>
        <w:tc>
          <w:tcPr>
            <w:tcW w:w="5154" w:type="dxa"/>
            <w:tcBorders/>
          </w:tcPr>
          <w:p>
            <w:pPr>
              <w:pStyle w:val="TableContents"/>
              <w:bidi w:val="0"/>
              <w:spacing w:before="0" w:after="283"/>
              <w:jc w:val="center"/>
              <w:rPr>
                <w:b/>
              </w:rPr>
            </w:pPr>
            <w:r>
              <w:rPr>
                <w:b/>
              </w:rPr>
              <w:t>11135F BV2</w:t>
            </w:r>
          </w:p>
        </w:tc>
        <w:tc>
          <w:tcPr>
            <w:tcW w:w="102"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U1109M BA3</w:t>
            </w:r>
          </w:p>
        </w:tc>
      </w:tr>
    </w:tbl>
    <w:p>
      <w:pPr>
        <w:pStyle w:val="TextBody"/>
        <w:bidi w:val="0"/>
        <w:spacing w:before="0" w:after="0"/>
        <w:jc w:val="left"/>
        <w:rPr/>
      </w:pPr>
      <w:r>
        <w:rPr/>
        <w:t> </w:t>
      </w:r>
    </w:p>
    <w:p>
      <w:pPr>
        <w:pStyle w:val="TextBody"/>
        <w:pBdr/>
        <w:bidi w:val="0"/>
        <w:spacing w:before="0" w:after="0"/>
        <w:jc w:val="left"/>
        <w:rPr>
          <w:rFonts w:ascii="Times New Roman" w:hAnsi="Times New Roman"/>
          <w:b/>
          <w:sz w:val="20"/>
          <w:bdr w:val="single" w:sz="2" w:space="2" w:color="000000"/>
        </w:rPr>
      </w:pPr>
      <w:r>
        <w:rPr>
          <w:rFonts w:ascii="Times New Roman" w:hAnsi="Times New Roman"/>
          <w:b/>
          <w:sz w:val="20"/>
          <w:bdr w:val="single" w:sz="2" w:space="2" w:color="000000"/>
        </w:rPr>
        <w:t xml:space="preserve">THE EXCHANGE OFFER AND WITHDRAWAL RIGHTS WILL EXPIRE AT 5:00 P.M., NEW YORK CITY TIME, ON     , 2026, UNLESS EXTENDED (THE “EXPIRATION DATE”).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sz w:val="20"/>
        </w:rPr>
        <w:t xml:space="preserve">[DATE] </w:t>
      </w:r>
    </w:p>
    <w:p>
      <w:pPr>
        <w:pStyle w:val="TextBody"/>
        <w:bidi w:val="0"/>
        <w:spacing w:before="240" w:after="0"/>
        <w:jc w:val="left"/>
        <w:rPr>
          <w:rFonts w:ascii="Times New Roman" w:hAnsi="Times New Roman"/>
          <w:sz w:val="20"/>
        </w:rPr>
      </w:pPr>
      <w:r>
        <w:rPr>
          <w:rFonts w:ascii="Times New Roman" w:hAnsi="Times New Roman"/>
          <w:sz w:val="20"/>
        </w:rPr>
        <w:t xml:space="preserve">To Securities Dealers, Commercial Banks </w:t>
      </w:r>
    </w:p>
    <w:p>
      <w:pPr>
        <w:pStyle w:val="TextBody"/>
        <w:bidi w:val="0"/>
        <w:spacing w:before="240" w:after="0"/>
        <w:jc w:val="left"/>
        <w:rPr>
          <w:rFonts w:ascii="Times New Roman" w:hAnsi="Times New Roman"/>
          <w:sz w:val="20"/>
        </w:rPr>
      </w:pPr>
      <w:r>
        <w:rPr>
          <w:rFonts w:ascii="Times New Roman" w:hAnsi="Times New Roman"/>
          <w:sz w:val="20"/>
        </w:rPr>
        <w:t xml:space="preserve">Trust Companies and Other Nominees: </w:t>
      </w:r>
    </w:p>
    <w:p>
      <w:pPr>
        <w:pStyle w:val="TextBody"/>
        <w:bidi w:val="0"/>
        <w:spacing w:before="120" w:after="0"/>
        <w:jc w:val="left"/>
        <w:rPr>
          <w:rFonts w:ascii="Times New Roman" w:hAnsi="Times New Roman"/>
          <w:sz w:val="20"/>
        </w:rPr>
      </w:pPr>
      <w:r>
        <w:rPr>
          <w:rFonts w:ascii="Times New Roman" w:hAnsi="Times New Roman"/>
          <w:sz w:val="20"/>
        </w:rPr>
        <w:t xml:space="preserve">Enclosed for your consideration is a prospectus dated     , 2026 (the “Prospectus”) that constitutes the offer (the “Exchange Offer”) by Broadcom Inc., a Delaware corporation (the “Issuer”), to exchange up to $654,004,000 aggregate principal amount of any and all of its outstanding 4.926% senior notes due 2037 (such notes issued on April 18, 2022, the “Old Notes”) for an equal aggregate principal amount of its newly issued 4.926% Senior Notes due 2037 (the “New Notes”) in a transaction that is registered under the Securities Act of 1933, as amended (the “Securities Act”), upon the terms and conditions set forth in the Prospectus. The Prospectus more fully describes the Exchange Offer. Capitalized terms used but not defined herein have the meanings given to them in the Prospectus. </w:t>
      </w:r>
    </w:p>
    <w:p>
      <w:pPr>
        <w:pStyle w:val="TextBody"/>
        <w:bidi w:val="0"/>
        <w:spacing w:before="240" w:after="0"/>
        <w:jc w:val="left"/>
        <w:rPr>
          <w:rFonts w:ascii="Times New Roman" w:hAnsi="Times New Roman"/>
          <w:sz w:val="20"/>
        </w:rPr>
      </w:pPr>
      <w:r>
        <w:rPr>
          <w:rFonts w:ascii="Times New Roman" w:hAnsi="Times New Roman"/>
          <w:sz w:val="20"/>
        </w:rPr>
        <w:t xml:space="preserve">We are asking you to contact your clients for whom you hold Old Notes registered in your name or in the name of your nominee. In addition, we ask you to contact your clients who, to your knowledge, hold Old Notes registered in their own name. </w:t>
      </w:r>
    </w:p>
    <w:p>
      <w:pPr>
        <w:pStyle w:val="TextBody"/>
        <w:bidi w:val="0"/>
        <w:spacing w:before="240" w:after="0"/>
        <w:jc w:val="left"/>
        <w:rPr>
          <w:rFonts w:ascii="Times New Roman" w:hAnsi="Times New Roman"/>
          <w:sz w:val="20"/>
        </w:rPr>
      </w:pPr>
      <w:r>
        <w:rPr>
          <w:rFonts w:ascii="Times New Roman" w:hAnsi="Times New Roman"/>
          <w:sz w:val="20"/>
        </w:rPr>
        <w:t xml:space="preserve">Enclosed are copies of the following documents: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Prospectus;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form of letter that may be sent to your clients for whose accounts you hold Old Notes registered in your name or the name of your nominee, with space provided for obtaining the clients’ instructions with regard to the Exchange Offer.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DTC participants must execute tenders through the DTC Automated Tender Offer Program. </w:t>
      </w:r>
    </w:p>
    <w:p>
      <w:pPr>
        <w:pStyle w:val="TextBody"/>
        <w:bidi w:val="0"/>
        <w:spacing w:before="240" w:after="0"/>
        <w:jc w:val="left"/>
        <w:rPr>
          <w:rFonts w:ascii="Times New Roman" w:hAnsi="Times New Roman"/>
          <w:b/>
          <w:sz w:val="20"/>
        </w:rPr>
      </w:pPr>
      <w:r>
        <w:rPr>
          <w:rFonts w:ascii="Times New Roman" w:hAnsi="Times New Roman"/>
          <w:b/>
          <w:sz w:val="20"/>
        </w:rPr>
        <w:t xml:space="preserve">Please note that the Exchange Offer will expire at 5:00 p.m., New York City time, on     , 2026, unless extended by the Issuer. We urge you to contact your clients as promptly as possible. </w:t>
      </w:r>
    </w:p>
    <w:p>
      <w:pPr>
        <w:pStyle w:val="TextBody"/>
        <w:bidi w:val="0"/>
        <w:spacing w:before="240" w:after="0"/>
        <w:jc w:val="left"/>
        <w:rPr>
          <w:rFonts w:ascii="Times New Roman" w:hAnsi="Times New Roman"/>
          <w:sz w:val="20"/>
        </w:rPr>
      </w:pPr>
      <w:r>
        <w:rPr>
          <w:rFonts w:ascii="Times New Roman" w:hAnsi="Times New Roman"/>
          <w:sz w:val="20"/>
        </w:rPr>
        <w:t xml:space="preserve">You will be reimbursed by the Issuer for customary mailing and handling expenses incurred by you in forwarding any of the enclosed materials to your clients. </w:t>
      </w:r>
    </w:p>
    <w:p>
      <w:pPr>
        <w:pStyle w:val="TextBody"/>
        <w:bidi w:val="0"/>
        <w:spacing w:before="240" w:after="0"/>
        <w:jc w:val="left"/>
        <w:rPr>
          <w:rFonts w:ascii="Times New Roman" w:hAnsi="Times New Roman"/>
          <w:sz w:val="20"/>
        </w:rPr>
      </w:pPr>
      <w:r>
        <w:rPr>
          <w:rFonts w:ascii="Times New Roman" w:hAnsi="Times New Roman"/>
          <w:sz w:val="20"/>
        </w:rPr>
        <w:t xml:space="preserve">Additional copies of the enclosed material may be obtained from the Exchange Agent, at the address and telephone number set forth below. </w:t>
      </w:r>
    </w:p>
    <w:p>
      <w:pPr>
        <w:pStyle w:val="TextBody"/>
        <w:bidi w:val="0"/>
        <w:spacing w:before="240" w:after="0"/>
        <w:jc w:val="center"/>
        <w:rPr>
          <w:rFonts w:ascii="Times New Roman" w:hAnsi="Times New Roman"/>
          <w:i/>
          <w:sz w:val="20"/>
        </w:rPr>
      </w:pPr>
      <w:r>
        <w:rPr>
          <w:rFonts w:ascii="Times New Roman" w:hAnsi="Times New Roman"/>
          <w:i/>
          <w:sz w:val="20"/>
        </w:rPr>
        <w:t xml:space="preserve">Very truly yours, </w:t>
      </w:r>
    </w:p>
    <w:p>
      <w:pPr>
        <w:pStyle w:val="TextBody"/>
        <w:bidi w:val="0"/>
        <w:spacing w:before="240" w:after="0"/>
        <w:jc w:val="center"/>
        <w:rPr>
          <w:rFonts w:ascii="Times New Roman" w:hAnsi="Times New Roman"/>
          <w:sz w:val="20"/>
        </w:rPr>
      </w:pPr>
      <w:r>
        <w:rPr>
          <w:rFonts w:ascii="Times New Roman" w:hAnsi="Times New Roman"/>
          <w:sz w:val="20"/>
        </w:rPr>
        <w:t xml:space="preserve">Wilmington Trust, National Association </w:t>
      </w:r>
    </w:p>
    <w:p>
      <w:pPr>
        <w:pStyle w:val="TextBody"/>
        <w:bidi w:val="0"/>
        <w:spacing w:before="0" w:after="0"/>
        <w:jc w:val="center"/>
        <w:rPr>
          <w:rFonts w:ascii="Times New Roman" w:hAnsi="Times New Roman"/>
          <w:sz w:val="20"/>
        </w:rPr>
      </w:pPr>
      <w:r>
        <w:rPr>
          <w:rFonts w:ascii="Times New Roman" w:hAnsi="Times New Roman"/>
          <w:sz w:val="20"/>
        </w:rPr>
        <w:t xml:space="preserve">Attention: Workflow Management, 5th Floor </w:t>
      </w:r>
    </w:p>
    <w:p>
      <w:pPr>
        <w:pStyle w:val="TextBody"/>
        <w:bidi w:val="0"/>
        <w:spacing w:before="0" w:after="0"/>
        <w:jc w:val="center"/>
        <w:rPr>
          <w:rFonts w:ascii="Times New Roman" w:hAnsi="Times New Roman"/>
          <w:sz w:val="20"/>
        </w:rPr>
      </w:pPr>
      <w:r>
        <w:rPr>
          <w:rFonts w:ascii="Times New Roman" w:hAnsi="Times New Roman"/>
          <w:sz w:val="20"/>
        </w:rPr>
        <w:t xml:space="preserve">Rodney Square North </w:t>
      </w:r>
    </w:p>
    <w:p>
      <w:pPr>
        <w:pStyle w:val="TextBody"/>
        <w:bidi w:val="0"/>
        <w:spacing w:before="0" w:after="0"/>
        <w:jc w:val="center"/>
        <w:rPr>
          <w:rFonts w:ascii="Times New Roman" w:hAnsi="Times New Roman"/>
          <w:sz w:val="20"/>
        </w:rPr>
      </w:pPr>
      <w:r>
        <w:rPr>
          <w:rFonts w:ascii="Times New Roman" w:hAnsi="Times New Roman"/>
          <w:sz w:val="20"/>
        </w:rPr>
        <w:t xml:space="preserve">1100 North Market Street </w:t>
      </w:r>
    </w:p>
    <w:p>
      <w:pPr>
        <w:pStyle w:val="TextBody"/>
        <w:bidi w:val="0"/>
        <w:spacing w:before="0" w:after="0"/>
        <w:jc w:val="center"/>
        <w:rPr>
          <w:rFonts w:ascii="Times New Roman" w:hAnsi="Times New Roman"/>
          <w:sz w:val="20"/>
        </w:rPr>
      </w:pPr>
      <w:r>
        <w:rPr>
          <w:rFonts w:ascii="Times New Roman" w:hAnsi="Times New Roman"/>
          <w:sz w:val="20"/>
        </w:rPr>
        <w:t xml:space="preserve">Wilmington, DE 19890-1626 </w:t>
      </w:r>
    </w:p>
    <w:p>
      <w:pPr>
        <w:pStyle w:val="TextBody"/>
        <w:bidi w:val="0"/>
        <w:spacing w:before="0" w:after="0"/>
        <w:jc w:val="center"/>
        <w:rPr>
          <w:rFonts w:ascii="Times New Roman" w:hAnsi="Times New Roman"/>
          <w:sz w:val="20"/>
        </w:rPr>
      </w:pPr>
      <w:r>
        <w:rPr>
          <w:rFonts w:ascii="Times New Roman" w:hAnsi="Times New Roman"/>
          <w:sz w:val="20"/>
        </w:rPr>
        <w:t>DL-DTC-Transfer_Agent_Team@mtb.com</w:t>
      </w:r>
    </w:p>
    <w:p>
      <w:pPr>
        <w:pStyle w:val="TextBody"/>
        <w:bidi w:val="0"/>
        <w:spacing w:before="240" w:after="0"/>
        <w:jc w:val="left"/>
        <w:rPr>
          <w:rFonts w:ascii="Times New Roman" w:hAnsi="Times New Roman"/>
          <w:b/>
          <w:sz w:val="20"/>
        </w:rPr>
      </w:pPr>
      <w:r>
        <w:rPr>
          <w:rFonts w:ascii="Times New Roman" w:hAnsi="Times New Roman"/>
          <w:b/>
          <w:sz w:val="20"/>
        </w:rPr>
        <w:t xml:space="preserve">Nothing herein or in the enclosed documents shall constitute you or any person as an agent of the Issuer or the Exchange Agent, or authorize you or any other person to make any statements on behalf of either of them with respect to the Exchange Offer, except for statements expressly made in the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p>
    <w:p>
      <w:pPr>
        <w:pStyle w:val="TextBody"/>
        <w:bidi w:val="0"/>
        <w:spacing w:before="0" w:after="0"/>
        <w:jc w:val="right"/>
        <w:rPr>
          <w:rFonts w:ascii="Times New Roman" w:hAnsi="Times New Roman"/>
          <w:b/>
          <w:sz w:val="20"/>
        </w:rPr>
      </w:pPr>
      <w:bookmarkStart w:id="28" w:name="d154803dex992.htm"/>
      <w:bookmarkStart w:id="29" w:name="ksd154803dex992"/>
      <w:bookmarkEnd w:id="28"/>
      <w:bookmarkEnd w:id="29"/>
      <w:r>
        <w:rPr>
          <w:rFonts w:ascii="Times New Roman" w:hAnsi="Times New Roman"/>
          <w:b/>
          <w:sz w:val="20"/>
        </w:rPr>
        <w:t xml:space="preserve">Exhibit 99.2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LETTER TO BENEFICIAL HOLDERS REGARDING THE OFFER TO EXCHANGE </w:t>
      </w:r>
    </w:p>
    <w:p>
      <w:pPr>
        <w:pStyle w:val="TextBody"/>
        <w:bidi w:val="0"/>
        <w:spacing w:before="120" w:after="0"/>
        <w:jc w:val="center"/>
        <w:rPr>
          <w:rFonts w:ascii="Times New Roman" w:hAnsi="Times New Roman"/>
          <w:b/>
          <w:sz w:val="20"/>
        </w:rPr>
      </w:pPr>
      <w:r>
        <w:rPr>
          <w:rFonts w:ascii="Times New Roman" w:hAnsi="Times New Roman"/>
          <w:b/>
          <w:sz w:val="20"/>
        </w:rPr>
        <w:t xml:space="preserve">Up to $654,004,000 4.926% Senior Notes due 2037 </w:t>
      </w:r>
    </w:p>
    <w:p>
      <w:pPr>
        <w:pStyle w:val="TextBody"/>
        <w:bidi w:val="0"/>
        <w:spacing w:before="120" w:after="0"/>
        <w:jc w:val="center"/>
        <w:rPr>
          <w:rFonts w:ascii="Times New Roman" w:hAnsi="Times New Roman"/>
          <w:b/>
          <w:sz w:val="20"/>
        </w:rPr>
      </w:pPr>
      <w:r>
        <w:rPr>
          <w:rFonts w:ascii="Times New Roman" w:hAnsi="Times New Roman"/>
          <w:b/>
          <w:sz w:val="20"/>
        </w:rPr>
        <w:t xml:space="preserve">FOR </w:t>
      </w:r>
    </w:p>
    <w:p>
      <w:pPr>
        <w:pStyle w:val="TextBody"/>
        <w:bidi w:val="0"/>
        <w:spacing w:before="120" w:after="0"/>
        <w:jc w:val="center"/>
        <w:rPr>
          <w:rFonts w:ascii="Times New Roman" w:hAnsi="Times New Roman"/>
          <w:b/>
          <w:sz w:val="20"/>
        </w:rPr>
      </w:pPr>
      <w:r>
        <w:rPr>
          <w:rFonts w:ascii="Times New Roman" w:hAnsi="Times New Roman"/>
          <w:b/>
          <w:sz w:val="20"/>
        </w:rPr>
        <w:t xml:space="preserve">$654,004,000 4.926% Senior Notes due 2037 </w:t>
      </w:r>
    </w:p>
    <w:p>
      <w:pPr>
        <w:pStyle w:val="TextBody"/>
        <w:bidi w:val="0"/>
        <w:spacing w:before="120" w:after="0"/>
        <w:jc w:val="center"/>
        <w:rPr>
          <w:rFonts w:ascii="Times New Roman" w:hAnsi="Times New Roman"/>
          <w:b/>
          <w:sz w:val="20"/>
        </w:rPr>
      </w:pPr>
      <w:r>
        <w:rPr>
          <w:rFonts w:ascii="Times New Roman" w:hAnsi="Times New Roman"/>
          <w:b/>
          <w:sz w:val="20"/>
        </w:rPr>
        <w:t xml:space="preserve">OF </w:t>
      </w:r>
    </w:p>
    <w:p>
      <w:pPr>
        <w:pStyle w:val="TextBody"/>
        <w:bidi w:val="0"/>
        <w:spacing w:before="120" w:after="0"/>
        <w:jc w:val="center"/>
        <w:rPr>
          <w:rFonts w:ascii="Times New Roman" w:hAnsi="Times New Roman"/>
          <w:b/>
          <w:sz w:val="28"/>
        </w:rPr>
      </w:pPr>
      <w:r>
        <w:rPr>
          <w:rFonts w:ascii="Times New Roman" w:hAnsi="Times New Roman"/>
          <w:b/>
          <w:sz w:val="28"/>
        </w:rPr>
        <w:t xml:space="preserve">BROADCOM INC. </w:t>
      </w:r>
    </w:p>
    <w:p>
      <w:pPr>
        <w:pStyle w:val="TextBody"/>
        <w:bidi w:val="0"/>
        <w:spacing w:before="240" w:after="0"/>
        <w:jc w:val="center"/>
        <w:rPr>
          <w:rFonts w:ascii="Times New Roman" w:hAnsi="Times New Roman"/>
          <w:b/>
          <w:sz w:val="20"/>
        </w:rPr>
      </w:pPr>
      <w:r>
        <w:rPr>
          <w:rFonts w:ascii="Times New Roman" w:hAnsi="Times New Roman"/>
          <w:b/>
          <w:sz w:val="20"/>
        </w:rPr>
        <w:t xml:space="preserve">PURSUANT TO THE PROSPECTUS DATED     , 2026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4"/>
        <w:gridCol w:w="102"/>
        <w:gridCol w:w="4949"/>
      </w:tblGrid>
      <w:tr>
        <w:trPr/>
        <w:tc>
          <w:tcPr>
            <w:tcW w:w="5154"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4" w:type="dxa"/>
            <w:tcBorders/>
          </w:tcPr>
          <w:p>
            <w:pPr>
              <w:pStyle w:val="TableContents"/>
              <w:bidi w:val="0"/>
              <w:spacing w:before="0" w:after="283"/>
              <w:jc w:val="center"/>
              <w:rPr>
                <w:b/>
              </w:rPr>
            </w:pPr>
            <w:r>
              <w:rPr>
                <w:b/>
              </w:rPr>
              <w:t>144A CUSIP:</w:t>
            </w:r>
          </w:p>
        </w:tc>
        <w:tc>
          <w:tcPr>
            <w:tcW w:w="102"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Reg S CUSIP:</w:t>
            </w:r>
          </w:p>
        </w:tc>
      </w:tr>
      <w:tr>
        <w:trPr>
          <w:trHeight w:val="120" w:hRule="atLeast"/>
        </w:trPr>
        <w:tc>
          <w:tcPr>
            <w:tcW w:w="5154" w:type="dxa"/>
            <w:tcBorders/>
            <w:vAlign w:val="center"/>
          </w:tcPr>
          <w:p>
            <w:pPr>
              <w:pStyle w:val="TableContents"/>
              <w:bidi w:val="0"/>
              <w:spacing w:before="0" w:after="283"/>
              <w:jc w:val="left"/>
              <w:rPr>
                <w:sz w:val="4"/>
                <w:szCs w:val="4"/>
              </w:rPr>
            </w:pPr>
            <w:r>
              <w:rPr>
                <w:sz w:val="4"/>
                <w:szCs w:val="4"/>
              </w:rPr>
            </w:r>
          </w:p>
        </w:tc>
        <w:tc>
          <w:tcPr>
            <w:tcW w:w="5051" w:type="dxa"/>
            <w:gridSpan w:val="2"/>
            <w:tcBorders/>
            <w:vAlign w:val="center"/>
          </w:tcPr>
          <w:p>
            <w:pPr>
              <w:pStyle w:val="TableContents"/>
              <w:bidi w:val="0"/>
              <w:spacing w:before="0" w:after="283"/>
              <w:jc w:val="left"/>
              <w:rPr>
                <w:sz w:val="4"/>
                <w:szCs w:val="4"/>
              </w:rPr>
            </w:pPr>
            <w:r>
              <w:rPr>
                <w:sz w:val="4"/>
                <w:szCs w:val="4"/>
              </w:rPr>
            </w:r>
          </w:p>
        </w:tc>
      </w:tr>
      <w:tr>
        <w:trPr/>
        <w:tc>
          <w:tcPr>
            <w:tcW w:w="5154" w:type="dxa"/>
            <w:tcBorders/>
          </w:tcPr>
          <w:p>
            <w:pPr>
              <w:pStyle w:val="TableContents"/>
              <w:bidi w:val="0"/>
              <w:spacing w:before="0" w:after="283"/>
              <w:jc w:val="center"/>
              <w:rPr>
                <w:b/>
              </w:rPr>
            </w:pPr>
            <w:r>
              <w:rPr>
                <w:b/>
              </w:rPr>
              <w:t>11135F BV2</w:t>
            </w:r>
          </w:p>
        </w:tc>
        <w:tc>
          <w:tcPr>
            <w:tcW w:w="102"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U1109M BA3</w:t>
            </w:r>
          </w:p>
        </w:tc>
      </w:tr>
    </w:tbl>
    <w:p>
      <w:pPr>
        <w:pStyle w:val="TextBody"/>
        <w:bidi w:val="0"/>
        <w:spacing w:before="0" w:after="0"/>
        <w:jc w:val="left"/>
        <w:rPr/>
      </w:pPr>
      <w:r>
        <w:rPr/>
        <w:t> </w:t>
      </w:r>
    </w:p>
    <w:p>
      <w:pPr>
        <w:pStyle w:val="TextBody"/>
        <w:pBdr/>
        <w:bidi w:val="0"/>
        <w:spacing w:before="0" w:after="0"/>
        <w:jc w:val="left"/>
        <w:rPr>
          <w:rFonts w:ascii="Times New Roman" w:hAnsi="Times New Roman"/>
          <w:b/>
          <w:sz w:val="20"/>
          <w:bdr w:val="single" w:sz="2" w:space="2" w:color="000000"/>
        </w:rPr>
      </w:pPr>
      <w:r>
        <w:rPr>
          <w:rFonts w:ascii="Times New Roman" w:hAnsi="Times New Roman"/>
          <w:b/>
          <w:sz w:val="20"/>
          <w:bdr w:val="single" w:sz="2" w:space="2" w:color="000000"/>
        </w:rPr>
        <w:t xml:space="preserve">THE EXCHANGE OFFER AND WITHDRAWAL RIGHTS WILL EXPIRE AT 5:00 P.M., NEW YORK CITY TIME, ON     , 2026, UNLESS EXTENDED (THE “EXPIRATION DATE”).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sz w:val="20"/>
        </w:rPr>
        <w:t xml:space="preserve">[DATE] </w:t>
      </w:r>
    </w:p>
    <w:p>
      <w:pPr>
        <w:pStyle w:val="TextBody"/>
        <w:bidi w:val="0"/>
        <w:spacing w:before="240" w:after="0"/>
        <w:jc w:val="left"/>
        <w:rPr>
          <w:rFonts w:ascii="Times New Roman" w:hAnsi="Times New Roman"/>
          <w:sz w:val="20"/>
        </w:rPr>
      </w:pPr>
      <w:r>
        <w:rPr>
          <w:rFonts w:ascii="Times New Roman" w:hAnsi="Times New Roman"/>
          <w:sz w:val="20"/>
        </w:rPr>
        <w:t xml:space="preserve">To Our Clients: </w:t>
      </w:r>
    </w:p>
    <w:p>
      <w:pPr>
        <w:pStyle w:val="TextBody"/>
        <w:bidi w:val="0"/>
        <w:spacing w:before="120" w:after="0"/>
        <w:jc w:val="left"/>
        <w:rPr>
          <w:rFonts w:ascii="Times New Roman" w:hAnsi="Times New Roman"/>
          <w:sz w:val="20"/>
        </w:rPr>
      </w:pPr>
      <w:r>
        <w:rPr>
          <w:rFonts w:ascii="Times New Roman" w:hAnsi="Times New Roman"/>
          <w:sz w:val="20"/>
        </w:rPr>
        <w:t xml:space="preserve">Enclosed for your consideration is a prospectus dated     , 2026 (the “Prospectus”) that constitutes the offer (the “Exchange Offer”) by Broadcom Inc., a Delaware corporation (the “Issuer”), to exchange up to $654,004,000 aggregate principal amount of any and all of its outstanding 4.926% senior notes due 2037 (such notes issued on April 18, 2022, the “Old Notes”) for an equal aggregate principal amount of its newly issued 4.926% Senior Notes due 2037 (the “New Notes”) in a transaction that is registered under the Securities Act of 1933, as amended (the “Securities Act”), upon the terms and conditions set forth in the Prospectus. The Prospectus more fully describes the Exchange Offer. Capitalized terms used but not defined herein have the meanings given to them in the Prospectus. </w:t>
      </w:r>
    </w:p>
    <w:p>
      <w:pPr>
        <w:pStyle w:val="TextBody"/>
        <w:bidi w:val="0"/>
        <w:spacing w:before="240" w:after="0"/>
        <w:jc w:val="left"/>
        <w:rPr>
          <w:rFonts w:ascii="Times New Roman" w:hAnsi="Times New Roman"/>
          <w:sz w:val="20"/>
        </w:rPr>
      </w:pPr>
      <w:r>
        <w:rPr>
          <w:rFonts w:ascii="Times New Roman" w:hAnsi="Times New Roman"/>
          <w:sz w:val="20"/>
        </w:rPr>
        <w:t xml:space="preserve">These materials are being forwarded to you as the beneficial owner of Old Notes carried by us for your account or benefit but not registered in your name. A tender of any Old Notes may be made only by us as the registered holder and pursuant to your instructions. Therefore, the Issuer urges beneficial owners of Old Notes registered in the name of a broker, dealer, commercial bank, trust company or other nominee to contact such registered holder promptly if they wish to tender Old Notes in the Exchange Offer. </w:t>
      </w:r>
    </w:p>
    <w:p>
      <w:pPr>
        <w:pStyle w:val="TextBody"/>
        <w:bidi w:val="0"/>
        <w:spacing w:before="240" w:after="0"/>
        <w:jc w:val="left"/>
        <w:rPr>
          <w:rFonts w:ascii="Times New Roman" w:hAnsi="Times New Roman"/>
          <w:sz w:val="20"/>
        </w:rPr>
      </w:pPr>
      <w:r>
        <w:rPr>
          <w:rFonts w:ascii="Times New Roman" w:hAnsi="Times New Roman"/>
          <w:sz w:val="20"/>
        </w:rPr>
        <w:t xml:space="preserve">Accordingly, we request instructions as to whether you wish us to tender any or all of your Old Notes, pursuant to the terms and conditions set forth in the Prospectus. We urge you to read carefully the Prospectus before instructing us to tender your Old Notes. </w:t>
      </w:r>
    </w:p>
    <w:p>
      <w:pPr>
        <w:pStyle w:val="TextBody"/>
        <w:bidi w:val="0"/>
        <w:spacing w:before="240" w:after="0"/>
        <w:jc w:val="left"/>
        <w:rPr>
          <w:rFonts w:ascii="Times New Roman" w:hAnsi="Times New Roman"/>
          <w:sz w:val="20"/>
        </w:rPr>
      </w:pPr>
      <w:r>
        <w:rPr>
          <w:rFonts w:ascii="Times New Roman" w:hAnsi="Times New Roman"/>
          <w:sz w:val="20"/>
        </w:rPr>
        <w:t xml:space="preserve">Your instructions to us should be forwarded as promptly as possible in order to permit us to tender Old Notes on your behalf in accordance with the provisions of the Exchange Offer. </w:t>
      </w:r>
      <w:r>
        <w:rPr>
          <w:rFonts w:ascii="Times New Roman" w:hAnsi="Times New Roman"/>
          <w:b/>
          <w:sz w:val="20"/>
        </w:rPr>
        <w:t xml:space="preserve">The Exchange Offer will expire at 5:00 p.m., New York City time, on </w:t>
      </w:r>
      <w:r>
        <w:rPr>
          <w:rFonts w:ascii="Times New Roman" w:hAnsi="Times New Roman"/>
          <w:sz w:val="20"/>
        </w:rPr>
        <w:t>    </w:t>
      </w:r>
      <w:r>
        <w:rPr>
          <w:rFonts w:ascii="Times New Roman" w:hAnsi="Times New Roman"/>
          <w:b/>
          <w:sz w:val="20"/>
        </w:rPr>
        <w:t xml:space="preserve">, 2026, unless extended by the Issuer. </w:t>
      </w:r>
      <w:r>
        <w:rPr>
          <w:rFonts w:ascii="Times New Roman" w:hAnsi="Times New Roman"/>
          <w:sz w:val="20"/>
        </w:rPr>
        <w:t xml:space="preserve">Old Notes tendered pursuant to the Exchange Offer may be withdrawn, subject to the procedures described in the Prospectus, at any time prior to the Expiration Date. </w:t>
      </w:r>
    </w:p>
    <w:p>
      <w:pPr>
        <w:pStyle w:val="TextBody"/>
        <w:bidi w:val="0"/>
        <w:spacing w:before="240" w:after="0"/>
        <w:jc w:val="left"/>
        <w:rPr>
          <w:rFonts w:ascii="Times New Roman" w:hAnsi="Times New Roman"/>
          <w:sz w:val="20"/>
        </w:rPr>
      </w:pPr>
      <w:r>
        <w:rPr>
          <w:rFonts w:ascii="Times New Roman" w:hAnsi="Times New Roman"/>
          <w:sz w:val="20"/>
        </w:rPr>
        <w:t xml:space="preserve">If you wish to have us tender any or all of your Old Notes held by us for your account or benefit, please so instruct us by completing, executing and returning to us the instruction form that appears below. There is no letter of transmittal for Old Notes tendered in connection with the Exchange Offer. Holders of Old Notes who wish to participate in the Exchange Offer must comply with the procedures under The Depository Trust Company’s Automated Tender Offer Program (“ATOP”) prior to the Expiration Date. The valid submission of an electronic acceptance instruction through ATOP shall constitute delivery of the Old Notes in connection with the Exchange Offer. There are no guaranteed delivery procedures applicable to the Exchange Offer. </w:t>
      </w:r>
    </w:p>
    <w:p>
      <w:pPr>
        <w:pStyle w:val="TextBody"/>
        <w:bidi w:val="0"/>
        <w:spacing w:before="480" w:after="0"/>
        <w:jc w:val="center"/>
        <w:rPr>
          <w:rFonts w:ascii="Times New Roman" w:hAnsi="Times New Roman"/>
          <w:b/>
          <w:sz w:val="20"/>
        </w:rPr>
      </w:pPr>
      <w:r>
        <w:rPr>
          <w:rFonts w:ascii="Times New Roman" w:hAnsi="Times New Roman"/>
          <w:b/>
          <w:sz w:val="20"/>
        </w:rPr>
        <w:t xml:space="preserve">INSTRUCTIONS TO REGISTERED HOLDER </w:t>
      </w:r>
    </w:p>
    <w:p>
      <w:pPr>
        <w:pStyle w:val="TextBody"/>
        <w:bidi w:val="0"/>
        <w:spacing w:before="0" w:after="0"/>
        <w:jc w:val="center"/>
        <w:rPr>
          <w:rFonts w:ascii="Times New Roman" w:hAnsi="Times New Roman"/>
          <w:b/>
          <w:sz w:val="20"/>
        </w:rPr>
      </w:pPr>
      <w:r>
        <w:rPr>
          <w:rFonts w:ascii="Times New Roman" w:hAnsi="Times New Roman"/>
          <w:b/>
          <w:sz w:val="20"/>
        </w:rPr>
        <w:t xml:space="preserve">FROM BENEFICIAL OWNER </w:t>
      </w:r>
    </w:p>
    <w:p>
      <w:pPr>
        <w:pStyle w:val="TextBody"/>
        <w:bidi w:val="0"/>
        <w:spacing w:before="120" w:after="0"/>
        <w:jc w:val="center"/>
        <w:rPr>
          <w:rFonts w:ascii="Times New Roman" w:hAnsi="Times New Roman"/>
          <w:b/>
          <w:sz w:val="20"/>
        </w:rPr>
      </w:pPr>
      <w:r>
        <w:rPr>
          <w:rFonts w:ascii="Times New Roman" w:hAnsi="Times New Roman"/>
          <w:b/>
          <w:sz w:val="20"/>
        </w:rPr>
        <w:t xml:space="preserve">$654,004,000 4.926% Senior Notes due 2037 </w:t>
      </w:r>
    </w:p>
    <w:p>
      <w:pPr>
        <w:pStyle w:val="TextBody"/>
        <w:bidi w:val="0"/>
        <w:spacing w:before="120" w:after="0"/>
        <w:jc w:val="center"/>
        <w:rPr>
          <w:rFonts w:ascii="Times New Roman" w:hAnsi="Times New Roman"/>
          <w:b/>
          <w:sz w:val="20"/>
        </w:rPr>
      </w:pPr>
      <w:r>
        <w:rPr>
          <w:rFonts w:ascii="Times New Roman" w:hAnsi="Times New Roman"/>
          <w:b/>
          <w:sz w:val="20"/>
        </w:rPr>
        <w:t xml:space="preserve">OF </w:t>
      </w:r>
    </w:p>
    <w:p>
      <w:pPr>
        <w:pStyle w:val="TextBody"/>
        <w:bidi w:val="0"/>
        <w:spacing w:before="120" w:after="0"/>
        <w:jc w:val="center"/>
        <w:rPr>
          <w:rFonts w:ascii="Times New Roman" w:hAnsi="Times New Roman"/>
          <w:b/>
          <w:sz w:val="20"/>
        </w:rPr>
      </w:pPr>
      <w:r>
        <w:rPr>
          <w:rFonts w:ascii="Times New Roman" w:hAnsi="Times New Roman"/>
          <w:b/>
          <w:sz w:val="20"/>
        </w:rPr>
        <w:t xml:space="preserve">BROADCOM INC.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acknowledge(s) receipt of your letter and the enclosed materials referred to therein relating to the Exchange Offer of the Issuer. Capitalized terms used but not defined herein have the meanings ascribed to them in the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will instruct you to tender the principal amount of Old Notes indicated below held by you for the account or benefit of the undersigned, pursuant to the terms and conditions set forth in the Prospectus. </w:t>
      </w:r>
    </w:p>
    <w:p>
      <w:pPr>
        <w:pStyle w:val="TextBody"/>
        <w:bidi w:val="0"/>
        <w:spacing w:before="240" w:after="0"/>
        <w:jc w:val="left"/>
        <w:rPr>
          <w:rFonts w:ascii="Times New Roman" w:hAnsi="Times New Roman"/>
          <w:sz w:val="20"/>
        </w:rPr>
      </w:pPr>
      <w:r>
        <w:rPr>
          <w:rFonts w:ascii="Times New Roman" w:hAnsi="Times New Roman"/>
          <w:sz w:val="20"/>
        </w:rPr>
        <w:t xml:space="preserve">The aggregate principal amount of the Old Notes held by you for the account of the undersigned is: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    </w:t>
      </w:r>
      <w:r>
        <w:rPr>
          <w:rFonts w:ascii="Times New Roman" w:hAnsi="Times New Roman"/>
          <w:sz w:val="20"/>
        </w:rPr>
        <w:t xml:space="preserve"> of 4.926% per annum for the 2037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With respect to the Exchange Offer, the undersigned hereby instructs you (check appropriate box):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To TENDER the following Old Notes held by you for the account of the undersigned (</w:t>
            </w:r>
            <w:r>
              <w:rPr>
                <w:rFonts w:ascii="Times New Roman" w:hAnsi="Times New Roman"/>
                <w:i/>
                <w:sz w:val="20"/>
              </w:rPr>
              <w:t>insert principal amount of Old Notes to be tendered, if any</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      </w:t>
      </w:r>
      <w:r>
        <w:rPr>
          <w:rFonts w:ascii="Times New Roman" w:hAnsi="Times New Roman"/>
          <w:sz w:val="20"/>
        </w:rPr>
        <w:t xml:space="preserve"> of 4.926% per annum for the 2037 Notes.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 to TENDER any Old Notes held by you for the account of the undersigned.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the undersigned instructs you to tender the Old Notes held by you for the account of the undersigned, it is understood that you are authorized (a) to make, on behalf of the undersigned (and the undersigned, by its signature below, hereby makes to you), the representations and warranties contained in the Prospectus that are to be made with respect to the undersigned as a beneficial owner of the Old Notes, including but not limited to the representations that (i) the undersigned or any beneficial owner of the Old Notes is acquiring the New Notes in the ordinary course of business of the undersigned (or such beneficial owner), (ii) neither the undersigned nor any beneficial owner is engaging in or intends to engage in a distribution of the New Notes within the meaning of the federal securities laws, (iii) neither the undersigned nor any beneficial owner has (and, at the time the exchange offer is consummated, neither will have) an arrangement or understanding with any person or entity to participate in a distribution of the New Notes, (iv) neither the undersigned nor any beneficial owner is an “affiliate,” as such term is defined under Rule 405 promulgated under the Securities Act, of the Issuer, (v) the undersigned and each beneficial owner acknowledges and agrees that any person who is a broker-dealer registered under the Securities Exchange Act of 1934, as amended (the “Exchange Act”), or is participating in the Exchange Offer for the purpose of distributing the New Notes, must comply with the registration and prospectus-delivery requirements of the Securities Act in connection with a secondary resale transaction of the New Notes or interests therein acquired by such person and cannot rely on the position of the staff of the Securities and Exchange Commission (the “SEC”) set forth in certain no-action letters (see the section of the Prospectus entitled “The Exchange Offer-Transfers of Exchange Notes”), (vi) a secondary resale transaction described in clause (v) above and any resales of New Notes or interests therein obtained by such holder in exchange for Old Notes or interests therein originally acquired by such holder directly from the Issuer should be covered by an effective registration statement containing the selling security holder information required by Item 507 or Item 508, as applicable, of Regulation S-K or the SEC and (vii) the undersigned is not acting on behalf of any person or entity who could not truthfully make the foregoing representations; (b) to agree, on behalf of the undersigned, as set forth in the Prospectus; and (c) to take such other action as necessary under the Prospectus to effect the valid tender of Old Notes. </w:t>
      </w:r>
    </w:p>
    <w:p>
      <w:pPr>
        <w:pStyle w:val="TextBody"/>
        <w:bidi w:val="0"/>
        <w:spacing w:before="240" w:after="0"/>
        <w:jc w:val="left"/>
        <w:rPr>
          <w:rFonts w:ascii="Times New Roman" w:hAnsi="Times New Roman"/>
          <w:sz w:val="20"/>
        </w:rPr>
      </w:pPr>
      <w:r>
        <w:rPr>
          <w:rFonts w:ascii="Times New Roman" w:hAnsi="Times New Roman"/>
          <w:sz w:val="20"/>
        </w:rPr>
        <w:t xml:space="preserve">The purchaser status of the undersigned is (check the box that applies):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“Qualified Institutional Buyer” (as defined in Rule 144A under the Securities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“Institutional Accredited Investor” (as defined in Rule 501(a)(1), (2), (3) or (7) under the Securities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non “U.S. person” (as defined in Regulation S under the Securities Act) that purchased the Old Notes outside the United States in accordance with Rule 904 under the Securities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98"/>
        <w:gridCol w:w="426"/>
        <w:gridCol w:w="9481"/>
      </w:tblGrid>
      <w:tr>
        <w:trPr/>
        <w:tc>
          <w:tcPr>
            <w:tcW w:w="298" w:type="dxa"/>
            <w:tcBorders/>
            <w:vAlign w:val="center"/>
          </w:tcPr>
          <w:p>
            <w:pPr>
              <w:pStyle w:val="TableContents"/>
              <w:bidi w:val="0"/>
              <w:spacing w:before="0" w:after="283"/>
              <w:jc w:val="left"/>
              <w:rPr/>
            </w:pPr>
            <w:r>
              <w:rPr/>
              <w:t> </w:t>
            </w:r>
          </w:p>
        </w:tc>
        <w:tc>
          <w:tcPr>
            <w:tcW w:w="426" w:type="dxa"/>
            <w:tcBorders/>
          </w:tcPr>
          <w:p>
            <w:pPr>
              <w:pStyle w:val="TableContents"/>
              <w:bidi w:val="0"/>
              <w:spacing w:before="0" w:after="283"/>
              <w:jc w:val="left"/>
              <w:rPr/>
            </w:pPr>
            <w:r>
              <w:rPr/>
              <w:t>☐</w:t>
            </w:r>
          </w:p>
        </w:tc>
        <w:tc>
          <w:tcPr>
            <w:tcW w:w="94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(describe) </w:t>
            </w:r>
            <w:r>
              <w:rPr>
                <w:rFonts w:ascii="Times New Roman" w:hAnsi="Times New Roman"/>
                <w:sz w:val="20"/>
                <w:u w:val="single"/>
              </w:rPr>
              <w:t xml:space="preser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 HERE </w:t>
      </w:r>
    </w:p>
    <w:p>
      <w:pPr>
        <w:pStyle w:val="TextBody"/>
        <w:bidi w:val="0"/>
        <w:spacing w:before="240" w:after="0"/>
        <w:jc w:val="left"/>
        <w:rPr>
          <w:rFonts w:ascii="Times New Roman" w:hAnsi="Times New Roman"/>
          <w:sz w:val="20"/>
        </w:rPr>
      </w:pPr>
      <w:r>
        <w:rPr>
          <w:rFonts w:ascii="Times New Roman" w:hAnsi="Times New Roman"/>
          <w:sz w:val="20"/>
        </w:rPr>
        <w:t xml:space="preserve">Name of Beneficial Owner(s): </w:t>
      </w:r>
      <w:r>
        <w:rPr>
          <w:rFonts w:ascii="Times New Roman" w:hAnsi="Times New Roman"/>
          <w:sz w:val="20"/>
          <w:u w:val="single"/>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Signature(s): </w:t>
      </w:r>
      <w:r>
        <w:rPr>
          <w:rFonts w:ascii="Times New Roman" w:hAnsi="Times New Roman"/>
          <w:sz w:val="20"/>
          <w:u w:val="single"/>
        </w:rPr>
        <w:t xml:space="preserve">                                                   </w:t>
      </w:r>
    </w:p>
    <w:p>
      <w:pPr>
        <w:pStyle w:val="TextBody"/>
        <w:bidi w:val="0"/>
        <w:spacing w:before="240" w:after="0"/>
        <w:jc w:val="left"/>
        <w:rPr>
          <w:rFonts w:ascii="Times New Roman" w:hAnsi="Times New Roman"/>
          <w:sz w:val="20"/>
        </w:rPr>
      </w:pPr>
      <w:r>
        <w:rPr>
          <w:rFonts w:ascii="Times New Roman" w:hAnsi="Times New Roman"/>
          <w:sz w:val="20"/>
        </w:rPr>
        <w:t>Name(s) </w:t>
      </w:r>
      <w:r>
        <w:rPr>
          <w:rFonts w:ascii="Times New Roman" w:hAnsi="Times New Roman"/>
          <w:i/>
          <w:sz w:val="20"/>
        </w:rPr>
        <w:t>(please</w:t>
      </w:r>
      <w:r>
        <w:rPr>
          <w:rFonts w:ascii="Times New Roman" w:hAnsi="Times New Roman"/>
          <w:sz w:val="20"/>
        </w:rPr>
        <w:t> </w:t>
      </w:r>
      <w:r>
        <w:rPr>
          <w:rFonts w:ascii="Times New Roman" w:hAnsi="Times New Roman"/>
          <w:i/>
          <w:sz w:val="20"/>
        </w:rPr>
        <w:t>print)</w:t>
      </w:r>
      <w:r>
        <w:rPr>
          <w:rFonts w:ascii="Times New Roman" w:hAnsi="Times New Roman"/>
          <w:sz w:val="20"/>
        </w:rPr>
        <w:t xml:space="preserve">: </w:t>
      </w:r>
      <w:r>
        <w:rPr>
          <w:rFonts w:ascii="Times New Roman" w:hAnsi="Times New Roman"/>
          <w:sz w:val="20"/>
          <w:u w:val="single"/>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Address: </w:t>
      </w:r>
      <w:r>
        <w:rPr>
          <w:rFonts w:ascii="Times New Roman" w:hAnsi="Times New Roman"/>
          <w:sz w:val="20"/>
          <w:u w:val="single"/>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Principal residence/place of business (if different from address listed above): </w:t>
      </w:r>
      <w:r>
        <w:rPr>
          <w:rFonts w:ascii="Times New Roman" w:hAnsi="Times New Roman"/>
          <w:sz w:val="20"/>
          <w:u w:val="single"/>
        </w:rPr>
        <w:t>                         </w:t>
      </w:r>
      <w:r>
        <w:rPr>
          <w:rFonts w:ascii="Times New Roman" w:hAnsi="Times New Roman"/>
          <w:sz w:val="20"/>
        </w:rPr>
        <w:t xml:space="preserve"> </w:t>
      </w:r>
    </w:p>
    <w:p>
      <w:pPr>
        <w:pStyle w:val="TextBody"/>
        <w:bidi w:val="0"/>
        <w:spacing w:before="0" w:after="0"/>
        <w:jc w:val="left"/>
        <w:rPr/>
      </w:pPr>
      <w:r>
        <w:rPr/>
        <w:t> </w:t>
      </w:r>
    </w:p>
    <w:p>
      <w:pPr>
        <w:pStyle w:val="TextBody"/>
        <w:bidi w:val="0"/>
        <w:spacing w:before="40" w:after="0"/>
        <w:jc w:val="left"/>
        <w:rPr>
          <w:u w:val="single"/>
        </w:rPr>
      </w:pPr>
      <w:r>
        <w:rPr>
          <w:u w:val="single"/>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Telephone Number(s): </w:t>
      </w:r>
      <w:r>
        <w:rPr>
          <w:rFonts w:ascii="Times New Roman" w:hAnsi="Times New Roman"/>
          <w:sz w:val="20"/>
          <w:u w:val="single"/>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Taxpayer Identification or Social Security Number(s): </w:t>
      </w:r>
      <w:r>
        <w:rPr>
          <w:rFonts w:ascii="Times New Roman" w:hAnsi="Times New Roman"/>
          <w:sz w:val="20"/>
          <w:u w:val="single"/>
        </w:rPr>
        <w:t>                                </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Date: </w:t>
      </w:r>
      <w:r>
        <w:rPr>
          <w:rFonts w:ascii="Times New Roman" w:hAnsi="Times New Roman"/>
          <w:sz w:val="20"/>
          <w:u w:val="single"/>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p>
    <w:p>
      <w:pPr>
        <w:pStyle w:val="Normal"/>
        <w:bidi w:val="0"/>
        <w:spacing w:before="0" w:after="0"/>
        <w:jc w:val="left"/>
        <w:rPr>
          <w:sz w:val="4"/>
          <w:szCs w:val="4"/>
        </w:rPr>
      </w:pPr>
      <w:r>
        <w:rPr>
          <w:sz w:val="4"/>
          <w:szCs w:val="4"/>
        </w:rPr>
      </w:r>
      <w:bookmarkStart w:id="30" w:name="d154803dexfilingfees.htm"/>
      <w:bookmarkStart w:id="31" w:name="ksd154803dexfilingfees"/>
      <w:bookmarkStart w:id="32" w:name="d154803dexfilingfees.htm"/>
      <w:bookmarkStart w:id="33" w:name="ksd154803dexfilingfees"/>
      <w:bookmarkEnd w:id="32"/>
      <w:bookmarkEnd w:id="33"/>
      <w:r>
        <w:br w:type="page"/>
      </w:r>
    </w:p>
    <w:tbl>
      <w:tblPr>
        <w:tblW w:w="3558" w:type="dxa"/>
        <w:jc w:val="left"/>
        <w:tblInd w:w="0" w:type="dxa"/>
        <w:tblLayout w:type="fixed"/>
        <w:tblCellMar>
          <w:top w:w="28" w:type="dxa"/>
          <w:left w:w="28" w:type="dxa"/>
          <w:bottom w:w="28" w:type="dxa"/>
          <w:right w:w="28" w:type="dxa"/>
        </w:tblCellMar>
      </w:tblPr>
      <w:tblGrid>
        <w:gridCol w:w="3404"/>
        <w:gridCol w:w="154"/>
      </w:tblGrid>
      <w:tr>
        <w:trPr/>
        <w:tc>
          <w:tcPr>
            <w:tcW w:w="3558"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04" w:type="dxa"/>
            <w:tcBorders/>
            <w:vAlign w:val="center"/>
          </w:tcPr>
          <w:p>
            <w:pPr>
              <w:pStyle w:val="TableContents"/>
              <w:bidi w:val="0"/>
              <w:spacing w:before="0" w:after="283"/>
              <w:jc w:val="left"/>
              <w:rPr>
                <w:b/>
              </w:rPr>
            </w:pPr>
            <w:r>
              <w:rPr>
                <w:b/>
              </w:rPr>
              <w:t xml:space="preserve">S-4 </w:t>
            </w:r>
          </w:p>
        </w:tc>
        <w:tc>
          <w:tcPr>
            <w:tcW w:w="154" w:type="dxa"/>
            <w:tcBorders/>
          </w:tcPr>
          <w:p>
            <w:pPr>
              <w:pStyle w:val="TableContents"/>
              <w:bidi w:val="0"/>
              <w:spacing w:before="0" w:after="283"/>
              <w:jc w:val="left"/>
              <w:rPr>
                <w:sz w:val="4"/>
                <w:szCs w:val="4"/>
              </w:rPr>
            </w:pPr>
            <w:r>
              <w:rPr>
                <w:sz w:val="4"/>
                <w:szCs w:val="4"/>
              </w:rPr>
            </w:r>
          </w:p>
        </w:tc>
      </w:tr>
      <w:tr>
        <w:trPr/>
        <w:tc>
          <w:tcPr>
            <w:tcW w:w="3404" w:type="dxa"/>
            <w:tcBorders/>
            <w:vAlign w:val="center"/>
          </w:tcPr>
          <w:p>
            <w:pPr>
              <w:pStyle w:val="TableContents"/>
              <w:bidi w:val="0"/>
              <w:spacing w:before="0" w:after="283"/>
              <w:jc w:val="left"/>
              <w:rPr>
                <w:b/>
              </w:rPr>
            </w:pPr>
            <w:r>
              <w:rPr>
                <w:b/>
              </w:rPr>
              <w:t xml:space="preserve">Broadcom Inc.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5629" w:type="dxa"/>
        <w:jc w:val="left"/>
        <w:tblInd w:w="0" w:type="dxa"/>
        <w:tblLayout w:type="fixed"/>
        <w:tblCellMar>
          <w:top w:w="28" w:type="dxa"/>
          <w:left w:w="28" w:type="dxa"/>
          <w:bottom w:w="28" w:type="dxa"/>
          <w:right w:w="28" w:type="dxa"/>
        </w:tblCellMar>
      </w:tblPr>
      <w:tblGrid>
        <w:gridCol w:w="1126"/>
        <w:gridCol w:w="226"/>
        <w:gridCol w:w="946"/>
        <w:gridCol w:w="946"/>
        <w:gridCol w:w="1276"/>
        <w:gridCol w:w="1306"/>
        <w:gridCol w:w="1156"/>
        <w:gridCol w:w="1786"/>
        <w:gridCol w:w="112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946"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30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78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5629"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Debt </w:t>
            </w:r>
          </w:p>
        </w:tc>
        <w:tc>
          <w:tcPr>
            <w:tcW w:w="946" w:type="dxa"/>
            <w:tcBorders/>
            <w:shd w:fill="E7E7E2" w:val="clear"/>
            <w:vAlign w:val="center"/>
          </w:tcPr>
          <w:p>
            <w:pPr>
              <w:pStyle w:val="TableContents"/>
              <w:bidi w:val="0"/>
              <w:spacing w:before="0" w:after="283"/>
              <w:jc w:val="left"/>
              <w:rPr/>
            </w:pPr>
            <w:r>
              <w:rPr/>
              <w:t xml:space="preserve">4.926% Senior Notes due 2037 </w:t>
            </w:r>
          </w:p>
        </w:tc>
        <w:tc>
          <w:tcPr>
            <w:tcW w:w="1276" w:type="dxa"/>
            <w:tcBorders/>
            <w:shd w:fill="E7E7E2" w:val="clear"/>
            <w:vAlign w:val="center"/>
          </w:tcPr>
          <w:p>
            <w:pPr>
              <w:pStyle w:val="TableContents"/>
              <w:bidi w:val="0"/>
              <w:spacing w:before="0" w:after="283"/>
              <w:jc w:val="center"/>
              <w:rPr/>
            </w:pPr>
            <w:r>
              <w:rPr/>
              <w:t xml:space="preserve">457(o) </w:t>
            </w:r>
          </w:p>
        </w:tc>
        <w:tc>
          <w:tcPr>
            <w:tcW w:w="1306" w:type="dxa"/>
            <w:tcBorders/>
            <w:shd w:fill="E7E7E2" w:val="clear"/>
            <w:vAlign w:val="center"/>
          </w:tcPr>
          <w:p>
            <w:pPr>
              <w:pStyle w:val="TableContents"/>
              <w:bidi w:val="0"/>
              <w:spacing w:before="0" w:after="283"/>
              <w:jc w:val="right"/>
              <w:rPr/>
            </w:pPr>
            <w:r>
              <w:rPr/>
              <w:t xml:space="preserve">654,004,000 </w:t>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right"/>
              <w:rPr/>
            </w:pPr>
            <w:r>
              <w:rPr/>
              <w:t xml:space="preserve">$ 654,004,000.00 </w:t>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right"/>
              <w:rPr/>
            </w:pPr>
            <w:r>
              <w:rPr/>
              <w:t xml:space="preserve">$ 90,317.95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30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5629"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30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528"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0"/>
              <w:ind w:left="0" w:right="0" w:hanging="0"/>
              <w:jc w:val="right"/>
              <w:rPr/>
            </w:pPr>
            <w:bookmarkStart w:id="34" w:name="MaxAggtOfferingPrice"/>
            <w:bookmarkEnd w:id="34"/>
            <w:r>
              <w:rPr/>
              <w:t xml:space="preserve">$ 654,004,000.00 </w:t>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35" w:name="TotalFeeAmt"/>
            <w:bookmarkEnd w:id="35"/>
            <w:r>
              <w:rPr/>
              <w:t xml:space="preserve">$ 90,317.95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528"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6" w:name="TotalPreviouslyPaidAmt"/>
            <w:bookmarkEnd w:id="36"/>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528"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7" w:name="TotalOffsetAmt"/>
            <w:bookmarkEnd w:id="37"/>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528"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8" w:name="NetFeeAmt"/>
            <w:bookmarkEnd w:id="38"/>
            <w:r>
              <w:rPr/>
              <w:t xml:space="preserve">$ 90,317.95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35"/>
        <w:gridCol w:w="1295"/>
        <w:gridCol w:w="8675"/>
      </w:tblGrid>
      <w:tr>
        <w:trPr/>
        <w:tc>
          <w:tcPr>
            <w:tcW w:w="235"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9970" w:type="dxa"/>
            <w:gridSpan w:val="2"/>
            <w:tcBorders/>
            <w:vAlign w:val="center"/>
          </w:tcPr>
          <w:p>
            <w:pPr>
              <w:pStyle w:val="TableContents"/>
              <w:bidi w:val="0"/>
              <w:spacing w:before="0" w:after="283"/>
              <w:jc w:val="left"/>
              <w:rPr/>
            </w:pPr>
            <w:r>
              <w:rPr/>
              <w:t xml:space="preserve">Represents the aggregate principal amount of the applicable series of notes to be offered in the exchange offer to which the registration statement relates. </w:t>
            </w:r>
          </w:p>
        </w:tc>
      </w:tr>
      <w:tr>
        <w:trPr/>
        <w:tc>
          <w:tcPr>
            <w:tcW w:w="1530" w:type="dxa"/>
            <w:gridSpan w:val="2"/>
            <w:tcBorders/>
            <w:vAlign w:val="center"/>
          </w:tcPr>
          <w:p>
            <w:pPr>
              <w:pStyle w:val="HorizontalLine"/>
              <w:pBdr>
                <w:bottom w:val="double" w:sz="2" w:space="0" w:color="808080"/>
              </w:pBdr>
              <w:bidi w:val="0"/>
              <w:spacing w:before="0" w:after="283"/>
              <w:jc w:val="left"/>
              <w:rPr/>
            </w:pPr>
            <w:r>
              <w:rPr/>
            </w:r>
          </w:p>
        </w:tc>
        <w:tc>
          <w:tcPr>
            <w:tcW w:w="8675"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0001730168/000173016825000121/avgo-20251102.htm" TargetMode="External"/><Relationship Id="rId4" Type="http://schemas.openxmlformats.org/officeDocument/2006/relationships/hyperlink" Target="http://www.sec.gov/Archives/edgar/data/../../../ix?doc=/Archives/edgar/data/0001730168/000173016826000016/avgo-20260201.htm" TargetMode="External"/><Relationship Id="rId5" Type="http://schemas.openxmlformats.org/officeDocument/2006/relationships/hyperlink" Target="http://www.sec.gov/Archives/edgar/data/../../../ix?doc=/Archives/edgar/data/1730168/000173016826000054/avgo-20260503.htm" TargetMode="External"/><Relationship Id="rId6" Type="http://schemas.openxmlformats.org/officeDocument/2006/relationships/hyperlink" Target="http://www.sec.gov/Archives/edgar/data/../../../ix?doc=/Archives/edgar/data/0001730168/000173016826000080/avgo-20260802.htm" TargetMode="External"/><Relationship Id="rId7" Type="http://schemas.openxmlformats.org/officeDocument/2006/relationships/hyperlink" Target="http://www.sec.gov/Archives/edgar/data/../../../ix?doc=/Archives/edgar/data/0001730168/000173016825000116/avgo-20251211.htm" TargetMode="External"/><Relationship Id="rId8" Type="http://schemas.openxmlformats.org/officeDocument/2006/relationships/hyperlink" Target="http://www.sec.gov/Archives/edgar/data/../../../ix?doc=/Archives/edgar/data/1730168/000119312526011731/d104560d8k.htm" TargetMode="External"/><Relationship Id="rId9" Type="http://schemas.openxmlformats.org/officeDocument/2006/relationships/hyperlink" Target="http://www.sec.gov/Archives/edgar/data/../../../ix?doc=/Archives/edgar/data/1730168/000119312526085656/d305325d8k.htm" TargetMode="External"/><Relationship Id="rId10" Type="http://schemas.openxmlformats.org/officeDocument/2006/relationships/hyperlink" Target="http://www.sec.gov/Archives/edgar/data/../../../ix?doc=/Archives/edgar/data/1730168/000173016826000011/avgo-20260304.htm" TargetMode="External"/><Relationship Id="rId11" Type="http://schemas.openxmlformats.org/officeDocument/2006/relationships/hyperlink" Target="http://www.sec.gov/Archives/edgar/data/../../../ix?doc=/Archives/edgar/data/1730168/000119312526140574/d109450d8k.htm" TargetMode="External"/><Relationship Id="rId12" Type="http://schemas.openxmlformats.org/officeDocument/2006/relationships/hyperlink" Target="http://www.sec.gov/Archives/edgar/data/../../../ix?doc=/Archives/edgar/data/1730168/000119312526144028/d87999d8k.htm" TargetMode="External"/><Relationship Id="rId13" Type="http://schemas.openxmlformats.org/officeDocument/2006/relationships/hyperlink" Target="http://www.sec.gov/Archives/edgar/data/../../../ix?doc=/Archives/edgar/data/0001730168/000173016826000039/avgo-20260420.htm" TargetMode="External"/><Relationship Id="rId14" Type="http://schemas.openxmlformats.org/officeDocument/2006/relationships/hyperlink" Target="http://www.sec.gov/Archives/edgar/data/../../../ix?doc=/Archives/edgar/data/0001730168/000173016826000051/avgo-20260603.htm" TargetMode="External"/><Relationship Id="rId15" Type="http://schemas.openxmlformats.org/officeDocument/2006/relationships/hyperlink" Target="http://www.sec.gov/Archives/edgar/data/../../../ix?doc=/Archives/edgar/data/1730168/000119312526266777/d152717d8k.htm" TargetMode="External"/><Relationship Id="rId16" Type="http://schemas.openxmlformats.org/officeDocument/2006/relationships/hyperlink" Target="http://www.sec.gov/Archives/edgar/data/../../../ix?doc=/Archives/edgar/data/0001730168/000119312526275077/d149683d8k.htm" TargetMode="External"/><Relationship Id="rId17" Type="http://schemas.openxmlformats.org/officeDocument/2006/relationships/hyperlink" Target="http://www.sec.gov/Archives/edgar/data/../../../ix?doc=/Archives/edgar/data/1730168/000119312526295589/d84378d8k.htm" TargetMode="External"/><Relationship Id="rId18" Type="http://schemas.openxmlformats.org/officeDocument/2006/relationships/hyperlink" Target="http://www.sec.gov/Archives/edgar/data/../../../ix?doc=/Archives/edgar/data/0001730168/000173016826000076/avgo-20260902.htm" TargetMode="External"/><Relationship Id="rId19" Type="http://schemas.openxmlformats.org/officeDocument/2006/relationships/hyperlink" Target="http://www.sec.gov/Archives/edgar/data/../../../ix?doc=/Archives/edgar/data/1730168/000119312526085691/d49254ddef14a.htm" TargetMode="External"/><Relationship Id="rId20" Type="http://schemas.openxmlformats.org/officeDocument/2006/relationships/image" Target="media/image2.jpeg"/><Relationship Id="rId21" Type="http://schemas.openxmlformats.org/officeDocument/2006/relationships/hyperlink" Target="http://www.sec.gov/Archives/edgar/data/1730168/000173016824000099/ex31arcertificateofincorpo.htm" TargetMode="External"/><Relationship Id="rId22" Type="http://schemas.openxmlformats.org/officeDocument/2006/relationships/hyperlink" Target="http://www.sec.gov/Archives/edgar/data/1730168/000119312518107559/d562806dex32.htm" TargetMode="External"/><Relationship Id="rId23" Type="http://schemas.openxmlformats.org/officeDocument/2006/relationships/hyperlink" Target="http://www.sec.gov/Archives/edgar/data/1730168/000119312522108067/d299108dex41.htm" TargetMode="External"/><Relationship Id="rId24" Type="http://schemas.openxmlformats.org/officeDocument/2006/relationships/hyperlink" Target="http://www.sec.gov/Archives/edgar/data/1730168/000119312522108067/d299108dex41.htm" TargetMode="External"/><Relationship Id="rId25" Type="http://schemas.openxmlformats.org/officeDocument/2006/relationships/hyperlink" Target="http://www.sec.gov/Archives/edgar/data/1730168/000119312522108067/d299108dex43.htm" TargetMode="External"/><Relationship Id="rId26" Type="http://schemas.openxmlformats.org/officeDocument/2006/relationships/image" Target="media/image3.jpeg"/><Relationship Id="rId27" Type="http://schemas.openxmlformats.org/officeDocument/2006/relationships/image" Target="media/image3.jpeg"/><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104</Pages>
  <Words>49911</Words>
  <Characters>260868</Characters>
  <CharactersWithSpaces>312025</CharactersWithSpaces>
  <Paragraphs>2837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EX-99.2</dc:title>
</cp:coreProperties>
</file>