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0001219243</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0001973727-26-000011</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Broadcom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001-38449</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650-427-6000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H&amp;S INVESTMENTS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Affiliate</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467"/>
        <w:gridCol w:w="1135"/>
        <w:gridCol w:w="1657"/>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65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 Stock</w:t>
            </w:r>
          </w:p>
        </w:tc>
        <w:tc>
          <w:tcPr>
            <w:tcW w:w="1467" w:type="dxa"/>
            <w:tcBorders/>
            <w:vAlign w:val="center"/>
          </w:tcPr>
          <w:p>
            <w:pPr>
              <w:pStyle w:val="TableContents"/>
              <w:bidi w:val="0"/>
              <w:spacing w:before="0" w:after="0"/>
              <w:jc w:val="left"/>
              <w:rPr/>
            </w:pPr>
            <w:r>
              <w:rPr/>
              <w:t>Northern Trust Securities, Inc.</w:t>
              <w:br/>
              <w:t>50 S LaSalle Street</w:t>
              <w:br/>
              <w:t>Chicago   IL   60603</w:t>
            </w:r>
          </w:p>
        </w:tc>
        <w:tc>
          <w:tcPr>
            <w:tcW w:w="1135" w:type="dxa"/>
            <w:tcBorders/>
            <w:vAlign w:val="center"/>
          </w:tcPr>
          <w:p>
            <w:pPr>
              <w:pStyle w:val="TableContents"/>
              <w:bidi w:val="0"/>
              <w:spacing w:before="0" w:after="283"/>
              <w:jc w:val="left"/>
              <w:rPr/>
            </w:pPr>
            <w:r>
              <w:rPr/>
              <w:t>531741</w:t>
            </w:r>
          </w:p>
        </w:tc>
        <w:tc>
          <w:tcPr>
            <w:tcW w:w="1657" w:type="dxa"/>
            <w:tcBorders/>
            <w:vAlign w:val="center"/>
          </w:tcPr>
          <w:p>
            <w:pPr>
              <w:pStyle w:val="TableContents"/>
              <w:bidi w:val="0"/>
              <w:spacing w:before="0" w:after="283"/>
              <w:jc w:val="left"/>
              <w:rPr/>
            </w:pPr>
            <w:r>
              <w:rPr/>
              <w:t>170000150.06</w:t>
            </w:r>
          </w:p>
        </w:tc>
        <w:tc>
          <w:tcPr>
            <w:tcW w:w="1522" w:type="dxa"/>
            <w:tcBorders/>
            <w:vAlign w:val="center"/>
          </w:tcPr>
          <w:p>
            <w:pPr>
              <w:pStyle w:val="TableContents"/>
              <w:bidi w:val="0"/>
              <w:spacing w:before="0" w:after="283"/>
              <w:jc w:val="left"/>
              <w:rPr/>
            </w:pPr>
            <w:r>
              <w:rPr/>
              <w:t>4734668184</w:t>
            </w:r>
          </w:p>
        </w:tc>
        <w:tc>
          <w:tcPr>
            <w:tcW w:w="1549" w:type="dxa"/>
            <w:tcBorders/>
            <w:vAlign w:val="center"/>
          </w:tcPr>
          <w:p>
            <w:pPr>
              <w:pStyle w:val="TableContents"/>
              <w:bidi w:val="0"/>
              <w:spacing w:before="0" w:after="283"/>
              <w:jc w:val="left"/>
              <w:rPr/>
            </w:pPr>
            <w:r>
              <w:rPr/>
              <w:t>03/25/2026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6586</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23758</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26723</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37471</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24356</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11524</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14939</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4594</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08/14/1991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381668</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25"/>
        <w:gridCol w:w="6480"/>
      </w:tblGrid>
      <w:tr>
        <w:trPr/>
        <w:tc>
          <w:tcPr>
            <w:tcW w:w="3725" w:type="dxa"/>
            <w:tcBorders/>
            <w:vAlign w:val="center"/>
          </w:tcPr>
          <w:p>
            <w:pPr>
              <w:pStyle w:val="TableContents"/>
              <w:bidi w:val="0"/>
              <w:spacing w:before="0" w:after="283"/>
              <w:jc w:val="left"/>
              <w:rPr/>
            </w:pPr>
            <w:r>
              <w:rPr/>
              <w:t>Remarks</w:t>
            </w:r>
          </w:p>
        </w:tc>
        <w:tc>
          <w:tcPr>
            <w:tcW w:w="6480" w:type="dxa"/>
            <w:tcBorders/>
            <w:vAlign w:val="center"/>
          </w:tcPr>
          <w:p>
            <w:pPr>
              <w:pStyle w:val="TableContents"/>
              <w:bidi w:val="0"/>
              <w:spacing w:before="0" w:after="0"/>
              <w:jc w:val="left"/>
              <w:rPr/>
            </w:pPr>
            <w:r>
              <w:rPr/>
              <w:t>The Restricted Stock Units securities sold were acquired upon the vesting of restricted stock units during the period from 5/5/2011 through 3/14/2022.</w:t>
            </w:r>
          </w:p>
        </w:tc>
      </w:tr>
      <w:tr>
        <w:trPr/>
        <w:tc>
          <w:tcPr>
            <w:tcW w:w="3725" w:type="dxa"/>
            <w:tcBorders/>
            <w:vAlign w:val="center"/>
          </w:tcPr>
          <w:p>
            <w:pPr>
              <w:pStyle w:val="TableContents"/>
              <w:bidi w:val="0"/>
              <w:spacing w:before="0" w:after="283"/>
              <w:jc w:val="left"/>
              <w:rPr/>
            </w:pPr>
            <w:r>
              <w:rPr/>
              <w:t>Date of Notice</w:t>
            </w:r>
          </w:p>
        </w:tc>
        <w:tc>
          <w:tcPr>
            <w:tcW w:w="6480" w:type="dxa"/>
            <w:tcBorders/>
            <w:vAlign w:val="center"/>
          </w:tcPr>
          <w:p>
            <w:pPr>
              <w:pStyle w:val="TableContents"/>
              <w:bidi w:val="0"/>
              <w:spacing w:before="0" w:after="0"/>
              <w:jc w:val="left"/>
              <w:rPr/>
            </w:pPr>
            <w:r>
              <w:rPr/>
              <w:t>04/29/2026</w:t>
            </w:r>
          </w:p>
        </w:tc>
      </w:tr>
      <w:tr>
        <w:trPr/>
        <w:tc>
          <w:tcPr>
            <w:tcW w:w="3725" w:type="dxa"/>
            <w:tcBorders/>
            <w:vAlign w:val="center"/>
          </w:tcPr>
          <w:p>
            <w:pPr>
              <w:pStyle w:val="TableContents"/>
              <w:bidi w:val="0"/>
              <w:spacing w:before="0" w:after="283"/>
              <w:jc w:val="left"/>
              <w:rPr/>
            </w:pPr>
            <w:r>
              <w:rPr/>
              <w:t>Date of Plan Adoption or Giving of Instruction, If Relying on Rule 10b5-1</w:t>
            </w:r>
          </w:p>
        </w:tc>
        <w:tc>
          <w:tcPr>
            <w:tcW w:w="6480"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25" w:type="dxa"/>
            <w:tcBorders/>
            <w:vAlign w:val="center"/>
          </w:tcPr>
          <w:p>
            <w:pPr>
              <w:pStyle w:val="TableContents"/>
              <w:bidi w:val="0"/>
              <w:spacing w:before="0" w:after="283"/>
              <w:jc w:val="left"/>
              <w:rPr/>
            </w:pPr>
            <w:r>
              <w:rPr/>
              <w:t>Signature</w:t>
            </w:r>
          </w:p>
        </w:tc>
        <w:tc>
          <w:tcPr>
            <w:tcW w:w="6480" w:type="dxa"/>
            <w:tcBorders/>
            <w:vAlign w:val="center"/>
          </w:tcPr>
          <w:p>
            <w:pPr>
              <w:pStyle w:val="TableContents"/>
              <w:bidi w:val="0"/>
              <w:spacing w:before="0" w:after="0"/>
              <w:jc w:val="left"/>
              <w:rPr/>
            </w:pPr>
            <w:r>
              <w:rPr/>
              <w:t>Kathleen Rodin for H&amp;S Ventures, LLC as General Partner for H&amp;S Investments I,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3793</Characters>
  <CharactersWithSpaces>4388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