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Calibri" w:cs="Calibri" w:eastAsia="Calibri" w:hAnsi="Calibri"/>
          <w:sz w:val="22"/>
          <w:szCs w:val="22"/>
          <w:b w:val="1"/>
          <w:bCs w:val="1"/>
          <w:color w:val="auto"/>
        </w:rPr>
        <w:t>UNITED STATES SECURITIES AND EXCHANGE COMMISSION</w:t>
      </w:r>
    </w:p>
    <w:p>
      <w:pPr>
        <w:spacing w:after="0" w:line="28" w:lineRule="exact"/>
        <w:rPr>
          <w:sz w:val="24"/>
          <w:szCs w:val="24"/>
          <w:color w:val="auto"/>
        </w:rPr>
      </w:pPr>
    </w:p>
    <w:p>
      <w:pPr>
        <w:jc w:val="center"/>
        <w:ind w:right="-19"/>
        <w:spacing w:after="0"/>
        <w:rPr>
          <w:sz w:val="20"/>
          <w:szCs w:val="20"/>
          <w:color w:val="auto"/>
        </w:rPr>
      </w:pPr>
      <w:r>
        <w:rPr>
          <w:rFonts w:ascii="Calibri" w:cs="Calibri" w:eastAsia="Calibri" w:hAnsi="Calibri"/>
          <w:sz w:val="22"/>
          <w:szCs w:val="22"/>
          <w:b w:val="1"/>
          <w:bCs w:val="1"/>
          <w:color w:val="auto"/>
        </w:rPr>
        <w:t>Washington, DC 20549</w:t>
      </w:r>
    </w:p>
    <w:p>
      <w:pPr>
        <w:spacing w:after="0" w:line="28" w:lineRule="exact"/>
        <w:rPr>
          <w:sz w:val="24"/>
          <w:szCs w:val="24"/>
          <w:color w:val="auto"/>
        </w:rPr>
      </w:pPr>
    </w:p>
    <w:p>
      <w:pPr>
        <w:jc w:val="center"/>
        <w:ind w:right="-19"/>
        <w:spacing w:after="0"/>
        <w:rPr>
          <w:sz w:val="20"/>
          <w:szCs w:val="20"/>
          <w:color w:val="auto"/>
        </w:rPr>
      </w:pPr>
      <w:r>
        <w:rPr>
          <w:rFonts w:ascii="Calibri" w:cs="Calibri" w:eastAsia="Calibri" w:hAnsi="Calibri"/>
          <w:sz w:val="22"/>
          <w:szCs w:val="22"/>
          <w:b w:val="1"/>
          <w:bCs w:val="1"/>
          <w:color w:val="auto"/>
        </w:rPr>
        <w:t>Form 10-K</w:t>
      </w:r>
    </w:p>
    <w:p>
      <w:pPr>
        <w:spacing w:after="0" w:line="39" w:lineRule="exact"/>
        <w:rPr>
          <w:sz w:val="24"/>
          <w:szCs w:val="24"/>
          <w:color w:val="auto"/>
        </w:rPr>
      </w:pPr>
    </w:p>
    <w:p>
      <w:pPr>
        <w:ind w:left="140"/>
        <w:spacing w:after="0"/>
        <w:rPr>
          <w:sz w:val="20"/>
          <w:szCs w:val="20"/>
          <w:color w:val="auto"/>
        </w:rPr>
      </w:pPr>
      <w:r>
        <w:rPr>
          <w:rFonts w:ascii="Calibri" w:cs="Calibri" w:eastAsia="Calibri" w:hAnsi="Calibri"/>
          <w:sz w:val="14"/>
          <w:szCs w:val="14"/>
          <w:b w:val="1"/>
          <w:bCs w:val="1"/>
          <w:color w:val="auto"/>
        </w:rPr>
        <w:t>(MARK ONE)</w:t>
      </w:r>
    </w:p>
    <w:p>
      <w:pPr>
        <w:spacing w:after="0" w:line="33" w:lineRule="exact"/>
        <w:rPr>
          <w:sz w:val="24"/>
          <w:szCs w:val="24"/>
          <w:color w:val="auto"/>
        </w:rPr>
      </w:pPr>
    </w:p>
    <w:p>
      <w:pPr>
        <w:ind w:left="1180" w:hanging="733"/>
        <w:spacing w:after="0"/>
        <w:tabs>
          <w:tab w:leader="none" w:pos="1180" w:val="left"/>
        </w:tabs>
        <w:numPr>
          <w:ilvl w:val="0"/>
          <w:numId w:val="1"/>
        </w:numPr>
        <w:rPr>
          <w:rFonts w:ascii="MS PGothic" w:cs="MS PGothic" w:eastAsia="MS PGothic" w:hAnsi="MS PGothic"/>
          <w:sz w:val="18"/>
          <w:szCs w:val="18"/>
          <w:color w:val="333333"/>
        </w:rPr>
      </w:pPr>
      <w:r>
        <w:rPr>
          <w:rFonts w:ascii="Calibri" w:cs="Calibri" w:eastAsia="Calibri" w:hAnsi="Calibri"/>
          <w:sz w:val="18"/>
          <w:szCs w:val="18"/>
          <w:b w:val="1"/>
          <w:bCs w:val="1"/>
          <w:color w:val="auto"/>
        </w:rPr>
        <w:t>ANNUAL REPORT PURSUANT TO SECTION 13 OR 15(d) OF THE SECURITIES EXCHANGE ACT OF 1934</w:t>
      </w:r>
    </w:p>
    <w:p>
      <w:pPr>
        <w:spacing w:after="0" w:line="91" w:lineRule="exact"/>
        <w:rPr>
          <w:sz w:val="24"/>
          <w:szCs w:val="24"/>
          <w:color w:val="auto"/>
        </w:rPr>
      </w:pPr>
    </w:p>
    <w:p>
      <w:pPr>
        <w:ind w:left="980"/>
        <w:spacing w:after="0"/>
        <w:rPr>
          <w:sz w:val="20"/>
          <w:szCs w:val="20"/>
          <w:color w:val="auto"/>
        </w:rPr>
      </w:pPr>
      <w:r>
        <w:rPr>
          <w:rFonts w:ascii="Calibri" w:cs="Calibri" w:eastAsia="Calibri" w:hAnsi="Calibri"/>
          <w:sz w:val="18"/>
          <w:szCs w:val="18"/>
          <w:b w:val="1"/>
          <w:bCs w:val="1"/>
          <w:color w:val="auto"/>
        </w:rPr>
        <w:t>For the fscal year ended November 3, 2024</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OR</w:t>
      </w:r>
    </w:p>
    <w:p>
      <w:pPr>
        <w:spacing w:after="0" w:line="42" w:lineRule="exact"/>
        <w:rPr>
          <w:sz w:val="24"/>
          <w:szCs w:val="24"/>
          <w:color w:val="auto"/>
        </w:rPr>
      </w:pPr>
    </w:p>
    <w:p>
      <w:pPr>
        <w:ind w:left="1180" w:hanging="733"/>
        <w:spacing w:after="0"/>
        <w:tabs>
          <w:tab w:leader="none" w:pos="1180" w:val="left"/>
        </w:tabs>
        <w:numPr>
          <w:ilvl w:val="0"/>
          <w:numId w:val="2"/>
        </w:numPr>
        <w:rPr>
          <w:rFonts w:ascii="MS PGothic" w:cs="MS PGothic" w:eastAsia="MS PGothic" w:hAnsi="MS PGothic"/>
          <w:sz w:val="17"/>
          <w:szCs w:val="17"/>
          <w:color w:val="333333"/>
        </w:rPr>
      </w:pPr>
      <w:r>
        <w:rPr>
          <w:rFonts w:ascii="Calibri" w:cs="Calibri" w:eastAsia="Calibri" w:hAnsi="Calibri"/>
          <w:sz w:val="17"/>
          <w:szCs w:val="17"/>
          <w:b w:val="1"/>
          <w:bCs w:val="1"/>
          <w:color w:val="auto"/>
        </w:rPr>
        <w:t>TRANSITION REPORT PURSUANT TO SECTION 13 OR 15(d) OF THE SECURITIES EXCHANGE ACT OF 1934</w:t>
      </w:r>
    </w:p>
    <w:p>
      <w:pPr>
        <w:spacing w:after="0" w:line="98" w:lineRule="exact"/>
        <w:rPr>
          <w:sz w:val="24"/>
          <w:szCs w:val="24"/>
          <w:color w:val="auto"/>
        </w:rPr>
      </w:pPr>
    </w:p>
    <w:p>
      <w:pPr>
        <w:ind w:left="980"/>
        <w:spacing w:after="0"/>
        <w:tabs>
          <w:tab w:leader="none" w:pos="3320" w:val="left"/>
        </w:tabs>
        <w:rPr>
          <w:sz w:val="20"/>
          <w:szCs w:val="20"/>
          <w:color w:val="auto"/>
        </w:rPr>
      </w:pPr>
      <w:r>
        <w:rPr>
          <w:rFonts w:ascii="Calibri" w:cs="Calibri" w:eastAsia="Calibri" w:hAnsi="Calibri"/>
          <w:sz w:val="18"/>
          <w:szCs w:val="18"/>
          <w:b w:val="1"/>
          <w:bCs w:val="1"/>
          <w:color w:val="auto"/>
        </w:rPr>
        <w:t>For the transiton period from</w:t>
        <w:tab/>
        <w:t>to</w:t>
      </w:r>
    </w:p>
    <w:p>
      <w:pPr>
        <w:spacing w:after="0" w:line="9" w:lineRule="exact"/>
        <w:rPr>
          <w:sz w:val="24"/>
          <w:szCs w:val="24"/>
          <w:color w:val="auto"/>
        </w:rPr>
      </w:pPr>
    </w:p>
    <w:p>
      <w:pPr>
        <w:jc w:val="center"/>
        <w:ind w:right="-239"/>
        <w:spacing w:after="0"/>
        <w:rPr>
          <w:sz w:val="20"/>
          <w:szCs w:val="20"/>
          <w:color w:val="auto"/>
        </w:rPr>
      </w:pPr>
      <w:r>
        <w:rPr>
          <w:rFonts w:ascii="Calibri" w:cs="Calibri" w:eastAsia="Calibri" w:hAnsi="Calibri"/>
          <w:sz w:val="29"/>
          <w:szCs w:val="29"/>
          <w:b w:val="1"/>
          <w:bCs w:val="1"/>
          <w:color w:val="auto"/>
        </w:rPr>
        <w:t>Broadcom Inc.</w:t>
      </w:r>
    </w:p>
    <w:p>
      <w:pPr>
        <w:sectPr>
          <w:pgSz w:w="11900" w:h="16838" w:orient="portrait"/>
          <w:cols w:equalWidth="0" w:num="1">
            <w:col w:w="11220"/>
          </w:cols>
          <w:pgMar w:left="320" w:top="220" w:right="359" w:bottom="1440" w:gutter="0" w:footer="0" w:header="0"/>
        </w:sectPr>
      </w:pPr>
    </w:p>
    <w:p>
      <w:pPr>
        <w:spacing w:after="0" w:line="11" w:lineRule="exact"/>
        <w:rPr>
          <w:sz w:val="24"/>
          <w:szCs w:val="24"/>
          <w:color w:val="auto"/>
        </w:rPr>
      </w:pPr>
    </w:p>
    <w:p>
      <w:pPr>
        <w:jc w:val="center"/>
        <w:ind w:left="60"/>
        <w:spacing w:after="0"/>
        <w:rPr>
          <w:sz w:val="20"/>
          <w:szCs w:val="20"/>
          <w:color w:val="auto"/>
        </w:rPr>
      </w:pPr>
      <w:r>
        <w:rPr>
          <w:rFonts w:ascii="Calibri" w:cs="Calibri" w:eastAsia="Calibri" w:hAnsi="Calibri"/>
          <w:sz w:val="18"/>
          <w:szCs w:val="18"/>
          <w:b w:val="1"/>
          <w:bCs w:val="1"/>
          <w:color w:val="auto"/>
        </w:rPr>
        <w:t>Delaware</w:t>
      </w:r>
    </w:p>
    <w:p>
      <w:pPr>
        <w:spacing w:after="0" w:line="1" w:lineRule="exact"/>
        <w:rPr>
          <w:sz w:val="24"/>
          <w:szCs w:val="24"/>
          <w:color w:val="auto"/>
        </w:rPr>
      </w:pPr>
    </w:p>
    <w:p>
      <w:pPr>
        <w:ind w:left="800"/>
        <w:spacing w:after="0"/>
        <w:rPr>
          <w:sz w:val="20"/>
          <w:szCs w:val="20"/>
          <w:color w:val="auto"/>
        </w:rPr>
      </w:pPr>
      <w:r>
        <w:rPr>
          <w:rFonts w:ascii="Calibri" w:cs="Calibri" w:eastAsia="Calibri" w:hAnsi="Calibri"/>
          <w:sz w:val="14"/>
          <w:szCs w:val="14"/>
          <w:b w:val="1"/>
          <w:bCs w:val="1"/>
          <w:color w:val="auto"/>
        </w:rPr>
        <w:t>(State or Other Jurisdicton of</w:t>
      </w:r>
    </w:p>
    <w:p>
      <w:pPr>
        <w:ind w:left="780"/>
        <w:spacing w:after="0" w:line="199" w:lineRule="auto"/>
        <w:rPr>
          <w:sz w:val="20"/>
          <w:szCs w:val="20"/>
          <w:color w:val="auto"/>
        </w:rPr>
      </w:pPr>
      <w:r>
        <w:rPr>
          <w:rFonts w:ascii="Calibri" w:cs="Calibri" w:eastAsia="Calibri" w:hAnsi="Calibri"/>
          <w:sz w:val="14"/>
          <w:szCs w:val="14"/>
          <w:b w:val="1"/>
          <w:bCs w:val="1"/>
          <w:color w:val="auto"/>
        </w:rPr>
        <w:t>Incorporaton or Organizaton)</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3740" w:type="dxa"/>
            <w:vAlign w:val="bottom"/>
          </w:tcPr>
          <w:p>
            <w:pPr>
              <w:jc w:val="center"/>
              <w:ind w:right="259"/>
              <w:spacing w:after="0"/>
              <w:rPr>
                <w:sz w:val="20"/>
                <w:szCs w:val="20"/>
                <w:color w:val="auto"/>
              </w:rPr>
            </w:pPr>
            <w:r>
              <w:rPr>
                <w:rFonts w:ascii="Calibri" w:cs="Calibri" w:eastAsia="Calibri" w:hAnsi="Calibri"/>
                <w:sz w:val="18"/>
                <w:szCs w:val="18"/>
                <w:b w:val="1"/>
                <w:bCs w:val="1"/>
                <w:color w:val="auto"/>
                <w:w w:val="96"/>
              </w:rPr>
              <w:t>3421 Hillview Ave</w:t>
            </w:r>
          </w:p>
        </w:tc>
        <w:tc>
          <w:tcPr>
            <w:tcW w:w="2120" w:type="dxa"/>
            <w:vAlign w:val="bottom"/>
          </w:tcPr>
          <w:p>
            <w:pPr>
              <w:jc w:val="right"/>
              <w:ind w:right="499"/>
              <w:spacing w:after="0"/>
              <w:rPr>
                <w:sz w:val="20"/>
                <w:szCs w:val="20"/>
                <w:color w:val="auto"/>
              </w:rPr>
            </w:pPr>
            <w:r>
              <w:rPr>
                <w:rFonts w:ascii="Calibri" w:cs="Calibri" w:eastAsia="Calibri" w:hAnsi="Calibri"/>
                <w:sz w:val="18"/>
                <w:szCs w:val="18"/>
                <w:b w:val="1"/>
                <w:bCs w:val="1"/>
                <w:color w:val="auto"/>
              </w:rPr>
              <w:t>001-38449</w:t>
            </w:r>
          </w:p>
        </w:tc>
        <w:tc>
          <w:tcPr>
            <w:tcW w:w="1120" w:type="dxa"/>
            <w:vAlign w:val="bottom"/>
          </w:tcPr>
          <w:p>
            <w:pPr>
              <w:jc w:val="center"/>
              <w:ind w:left="108"/>
              <w:spacing w:after="0"/>
              <w:rPr>
                <w:sz w:val="20"/>
                <w:szCs w:val="20"/>
                <w:color w:val="auto"/>
              </w:rPr>
            </w:pPr>
            <w:r>
              <w:rPr>
                <w:rFonts w:ascii="Calibri" w:cs="Calibri" w:eastAsia="Calibri" w:hAnsi="Calibri"/>
                <w:sz w:val="18"/>
                <w:szCs w:val="18"/>
                <w:b w:val="1"/>
                <w:bCs w:val="1"/>
                <w:color w:val="auto"/>
                <w:w w:val="98"/>
              </w:rPr>
              <w:t>35-2617337</w:t>
            </w:r>
          </w:p>
        </w:tc>
        <w:tc>
          <w:tcPr>
            <w:tcW w:w="0" w:type="dxa"/>
            <w:vAlign w:val="bottom"/>
          </w:tcPr>
          <w:p>
            <w:pPr>
              <w:spacing w:after="0"/>
              <w:rPr>
                <w:sz w:val="1"/>
                <w:szCs w:val="1"/>
                <w:color w:val="auto"/>
              </w:rPr>
            </w:pPr>
          </w:p>
        </w:tc>
      </w:tr>
      <w:tr>
        <w:trPr>
          <w:trHeight w:val="172"/>
        </w:trPr>
        <w:tc>
          <w:tcPr>
            <w:tcW w:w="3740" w:type="dxa"/>
            <w:vAlign w:val="bottom"/>
          </w:tcPr>
          <w:p>
            <w:pPr>
              <w:jc w:val="right"/>
              <w:ind w:right="1119"/>
              <w:spacing w:after="0" w:line="172" w:lineRule="exact"/>
              <w:rPr>
                <w:sz w:val="20"/>
                <w:szCs w:val="20"/>
                <w:color w:val="auto"/>
              </w:rPr>
            </w:pPr>
            <w:r>
              <w:rPr>
                <w:rFonts w:ascii="Calibri" w:cs="Calibri" w:eastAsia="Calibri" w:hAnsi="Calibri"/>
                <w:sz w:val="18"/>
                <w:szCs w:val="18"/>
                <w:b w:val="1"/>
                <w:bCs w:val="1"/>
                <w:color w:val="auto"/>
              </w:rPr>
              <w:t>Palo Alto,   CA   94304</w:t>
            </w:r>
          </w:p>
        </w:tc>
        <w:tc>
          <w:tcPr>
            <w:tcW w:w="2120" w:type="dxa"/>
            <w:vAlign w:val="bottom"/>
          </w:tcPr>
          <w:p>
            <w:pPr>
              <w:jc w:val="center"/>
              <w:ind w:left="99"/>
              <w:spacing w:after="0"/>
              <w:rPr>
                <w:sz w:val="20"/>
                <w:szCs w:val="20"/>
                <w:color w:val="auto"/>
              </w:rPr>
            </w:pPr>
            <w:r>
              <w:rPr>
                <w:rFonts w:ascii="Calibri" w:cs="Calibri" w:eastAsia="Calibri" w:hAnsi="Calibri"/>
                <w:sz w:val="14"/>
                <w:szCs w:val="14"/>
                <w:b w:val="1"/>
                <w:bCs w:val="1"/>
                <w:color w:val="auto"/>
              </w:rPr>
              <w:t>(Commission File Number)</w:t>
            </w:r>
          </w:p>
        </w:tc>
        <w:tc>
          <w:tcPr>
            <w:tcW w:w="1120" w:type="dxa"/>
            <w:vAlign w:val="bottom"/>
          </w:tcPr>
          <w:p>
            <w:pPr>
              <w:jc w:val="center"/>
              <w:ind w:left="108"/>
              <w:spacing w:after="0"/>
              <w:rPr>
                <w:sz w:val="20"/>
                <w:szCs w:val="20"/>
                <w:color w:val="auto"/>
              </w:rPr>
            </w:pPr>
            <w:r>
              <w:rPr>
                <w:rFonts w:ascii="Calibri" w:cs="Calibri" w:eastAsia="Calibri" w:hAnsi="Calibri"/>
                <w:sz w:val="13"/>
                <w:szCs w:val="13"/>
                <w:b w:val="1"/>
                <w:bCs w:val="1"/>
                <w:color w:val="auto"/>
                <w:w w:val="95"/>
              </w:rPr>
              <w:t>(I.R.S. Employer</w:t>
            </w:r>
          </w:p>
        </w:tc>
        <w:tc>
          <w:tcPr>
            <w:tcW w:w="0" w:type="dxa"/>
            <w:vAlign w:val="bottom"/>
          </w:tcPr>
          <w:p>
            <w:pPr>
              <w:spacing w:after="0"/>
              <w:rPr>
                <w:sz w:val="1"/>
                <w:szCs w:val="1"/>
                <w:color w:val="auto"/>
              </w:rPr>
            </w:pPr>
          </w:p>
        </w:tc>
      </w:tr>
      <w:tr>
        <w:trPr>
          <w:trHeight w:val="148"/>
        </w:trPr>
        <w:tc>
          <w:tcPr>
            <w:tcW w:w="3740" w:type="dxa"/>
            <w:vAlign w:val="bottom"/>
            <w:vMerge w:val="restart"/>
          </w:tcPr>
          <w:p>
            <w:pPr>
              <w:jc w:val="right"/>
              <w:ind w:right="1239"/>
              <w:spacing w:after="0"/>
              <w:rPr>
                <w:sz w:val="20"/>
                <w:szCs w:val="20"/>
                <w:color w:val="auto"/>
              </w:rPr>
            </w:pPr>
            <w:r>
              <w:rPr>
                <w:rFonts w:ascii="Calibri" w:cs="Calibri" w:eastAsia="Calibri" w:hAnsi="Calibri"/>
                <w:sz w:val="18"/>
                <w:szCs w:val="18"/>
                <w:b w:val="1"/>
                <w:bCs w:val="1"/>
                <w:color w:val="auto"/>
              </w:rPr>
              <w:t>(650) 427-6000</w:t>
            </w:r>
          </w:p>
        </w:tc>
        <w:tc>
          <w:tcPr>
            <w:tcW w:w="2120" w:type="dxa"/>
            <w:vAlign w:val="bottom"/>
          </w:tcPr>
          <w:p>
            <w:pPr>
              <w:spacing w:after="0"/>
              <w:rPr>
                <w:sz w:val="12"/>
                <w:szCs w:val="12"/>
                <w:color w:val="auto"/>
              </w:rPr>
            </w:pPr>
          </w:p>
        </w:tc>
        <w:tc>
          <w:tcPr>
            <w:tcW w:w="1120" w:type="dxa"/>
            <w:vAlign w:val="bottom"/>
          </w:tcPr>
          <w:p>
            <w:pPr>
              <w:jc w:val="center"/>
              <w:ind w:left="108"/>
              <w:spacing w:after="0" w:line="149" w:lineRule="exact"/>
              <w:rPr>
                <w:sz w:val="20"/>
                <w:szCs w:val="20"/>
                <w:color w:val="auto"/>
              </w:rPr>
            </w:pPr>
            <w:r>
              <w:rPr>
                <w:rFonts w:ascii="Calibri" w:cs="Calibri" w:eastAsia="Calibri" w:hAnsi="Calibri"/>
                <w:sz w:val="13"/>
                <w:szCs w:val="13"/>
                <w:b w:val="1"/>
                <w:bCs w:val="1"/>
                <w:color w:val="auto"/>
              </w:rPr>
              <w:t>Identfcaton No.)</w:t>
            </w:r>
          </w:p>
        </w:tc>
        <w:tc>
          <w:tcPr>
            <w:tcW w:w="0" w:type="dxa"/>
            <w:vAlign w:val="bottom"/>
          </w:tcPr>
          <w:p>
            <w:pPr>
              <w:spacing w:after="0"/>
              <w:rPr>
                <w:sz w:val="1"/>
                <w:szCs w:val="1"/>
                <w:color w:val="auto"/>
              </w:rPr>
            </w:pPr>
          </w:p>
        </w:tc>
      </w:tr>
      <w:tr>
        <w:trPr>
          <w:trHeight w:val="165"/>
        </w:trPr>
        <w:tc>
          <w:tcPr>
            <w:tcW w:w="3740" w:type="dxa"/>
            <w:vAlign w:val="bottom"/>
            <w:vMerge w:val="continue"/>
          </w:tcPr>
          <w:p>
            <w:pPr>
              <w:spacing w:after="0"/>
              <w:rPr>
                <w:sz w:val="14"/>
                <w:szCs w:val="14"/>
                <w:color w:val="auto"/>
              </w:rPr>
            </w:pPr>
          </w:p>
        </w:tc>
        <w:tc>
          <w:tcPr>
            <w:tcW w:w="2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740" w:type="dxa"/>
            <w:vAlign w:val="bottom"/>
          </w:tcPr>
          <w:p>
            <w:pPr>
              <w:jc w:val="center"/>
              <w:ind w:right="259"/>
              <w:spacing w:after="0"/>
              <w:rPr>
                <w:sz w:val="20"/>
                <w:szCs w:val="20"/>
                <w:color w:val="auto"/>
              </w:rPr>
            </w:pPr>
            <w:r>
              <w:rPr>
                <w:rFonts w:ascii="Calibri" w:cs="Calibri" w:eastAsia="Calibri" w:hAnsi="Calibri"/>
                <w:sz w:val="14"/>
                <w:szCs w:val="14"/>
                <w:b w:val="1"/>
                <w:bCs w:val="1"/>
                <w:color w:val="auto"/>
              </w:rPr>
              <w:t>(Exact Name of Registrant as Specifed in Its Charter</w:t>
            </w:r>
          </w:p>
        </w:tc>
        <w:tc>
          <w:tcPr>
            <w:tcW w:w="2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40" w:type="dxa"/>
            <w:vAlign w:val="bottom"/>
          </w:tcPr>
          <w:p>
            <w:pPr>
              <w:jc w:val="center"/>
              <w:ind w:right="259"/>
              <w:spacing w:after="0"/>
              <w:rPr>
                <w:sz w:val="20"/>
                <w:szCs w:val="20"/>
                <w:color w:val="auto"/>
              </w:rPr>
            </w:pPr>
            <w:r>
              <w:rPr>
                <w:rFonts w:ascii="Calibri" w:cs="Calibri" w:eastAsia="Calibri" w:hAnsi="Calibri"/>
                <w:sz w:val="14"/>
                <w:szCs w:val="14"/>
                <w:b w:val="1"/>
                <w:bCs w:val="1"/>
                <w:color w:val="auto"/>
              </w:rPr>
              <w:t>Address of Principal Executve Ofces, Including Zip Code</w:t>
            </w:r>
          </w:p>
        </w:tc>
        <w:tc>
          <w:tcPr>
            <w:tcW w:w="2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Pr>
          <w:p>
            <w:pPr>
              <w:jc w:val="center"/>
              <w:ind w:right="259"/>
              <w:spacing w:after="0"/>
              <w:rPr>
                <w:sz w:val="20"/>
                <w:szCs w:val="20"/>
                <w:color w:val="auto"/>
              </w:rPr>
            </w:pPr>
            <w:r>
              <w:rPr>
                <w:rFonts w:ascii="Calibri" w:cs="Calibri" w:eastAsia="Calibri" w:hAnsi="Calibri"/>
                <w:sz w:val="14"/>
                <w:szCs w:val="14"/>
                <w:b w:val="1"/>
                <w:bCs w:val="1"/>
                <w:color w:val="auto"/>
              </w:rPr>
              <w:t>Registrant’s Telephone Number, Including Area Code)</w:t>
            </w:r>
          </w:p>
        </w:tc>
        <w:tc>
          <w:tcPr>
            <w:tcW w:w="2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9" w:lineRule="exact"/>
        <w:rPr>
          <w:sz w:val="24"/>
          <w:szCs w:val="24"/>
          <w:color w:val="auto"/>
        </w:rPr>
      </w:pPr>
    </w:p>
    <w:p>
      <w:pPr>
        <w:sectPr>
          <w:pgSz w:w="11900" w:h="16838" w:orient="portrait"/>
          <w:cols w:equalWidth="0" w:num="2">
            <w:col w:w="3320" w:space="720"/>
            <w:col w:w="7180"/>
          </w:cols>
          <w:pgMar w:left="320" w:top="220" w:right="359" w:bottom="1440" w:gutter="0" w:footer="0" w:header="0"/>
          <w:type w:val="continuous"/>
        </w:sectPr>
      </w:pPr>
    </w:p>
    <w:p>
      <w:pPr>
        <w:jc w:val="center"/>
        <w:ind w:right="-39"/>
        <w:spacing w:after="0"/>
        <w:rPr>
          <w:sz w:val="20"/>
          <w:szCs w:val="20"/>
          <w:color w:val="auto"/>
        </w:rPr>
      </w:pPr>
      <w:r>
        <w:rPr>
          <w:rFonts w:ascii="Calibri" w:cs="Calibri" w:eastAsia="Calibri" w:hAnsi="Calibri"/>
          <w:sz w:val="16"/>
          <w:szCs w:val="16"/>
          <w:b w:val="1"/>
          <w:bCs w:val="1"/>
          <w:color w:val="auto"/>
        </w:rPr>
        <w:t>Securites registered pursuant to Secton 12(b) of the Act:</w:t>
      </w:r>
    </w:p>
    <w:p>
      <w:pPr>
        <w:spacing w:after="0" w:line="12" w:lineRule="exact"/>
        <w:rPr>
          <w:sz w:val="24"/>
          <w:szCs w:val="24"/>
          <w:color w:val="auto"/>
        </w:rPr>
      </w:pPr>
    </w:p>
    <w:tbl>
      <w:tblPr>
        <w:tblLayout w:type="fixed"/>
        <w:tblInd w:w="340" w:type="dxa"/>
        <w:tblCellMar>
          <w:top w:w="0" w:type="dxa"/>
          <w:left w:w="0" w:type="dxa"/>
          <w:bottom w:w="0" w:type="dxa"/>
          <w:right w:w="0" w:type="dxa"/>
        </w:tblCellMar>
      </w:tblPr>
      <w:tr>
        <w:trPr>
          <w:trHeight w:val="171"/>
        </w:trPr>
        <w:tc>
          <w:tcPr>
            <w:tcW w:w="2880" w:type="dxa"/>
            <w:vAlign w:val="bottom"/>
            <w:gridSpan w:val="2"/>
          </w:tcPr>
          <w:p>
            <w:pPr>
              <w:jc w:val="center"/>
              <w:ind w:left="102"/>
              <w:spacing w:after="0"/>
              <w:rPr>
                <w:sz w:val="20"/>
                <w:szCs w:val="20"/>
                <w:color w:val="auto"/>
              </w:rPr>
            </w:pPr>
            <w:r>
              <w:rPr>
                <w:rFonts w:ascii="Calibri" w:cs="Calibri" w:eastAsia="Calibri" w:hAnsi="Calibri"/>
                <w:sz w:val="14"/>
                <w:szCs w:val="14"/>
                <w:b w:val="1"/>
                <w:bCs w:val="1"/>
                <w:color w:val="auto"/>
              </w:rPr>
              <w:t>Title of Each Class</w:t>
            </w:r>
          </w:p>
        </w:tc>
        <w:tc>
          <w:tcPr>
            <w:tcW w:w="4760" w:type="dxa"/>
            <w:vAlign w:val="bottom"/>
          </w:tcPr>
          <w:p>
            <w:pPr>
              <w:jc w:val="center"/>
              <w:spacing w:after="0"/>
              <w:rPr>
                <w:sz w:val="20"/>
                <w:szCs w:val="20"/>
                <w:color w:val="auto"/>
              </w:rPr>
            </w:pPr>
            <w:r>
              <w:rPr>
                <w:rFonts w:ascii="Calibri" w:cs="Calibri" w:eastAsia="Calibri" w:hAnsi="Calibri"/>
                <w:sz w:val="14"/>
                <w:szCs w:val="14"/>
                <w:b w:val="1"/>
                <w:bCs w:val="1"/>
                <w:color w:val="auto"/>
              </w:rPr>
              <w:t>Trading Symbol(s)</w:t>
            </w:r>
          </w:p>
        </w:tc>
        <w:tc>
          <w:tcPr>
            <w:tcW w:w="272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Name of Each Exchange on Which Registered</w:t>
            </w:r>
          </w:p>
        </w:tc>
      </w:tr>
      <w:tr>
        <w:trPr>
          <w:trHeight w:val="236"/>
        </w:trPr>
        <w:tc>
          <w:tcPr>
            <w:tcW w:w="2880" w:type="dxa"/>
            <w:vAlign w:val="bottom"/>
            <w:gridSpan w:val="2"/>
          </w:tcPr>
          <w:p>
            <w:pPr>
              <w:jc w:val="center"/>
              <w:ind w:left="102"/>
              <w:spacing w:after="0"/>
              <w:rPr>
                <w:sz w:val="20"/>
                <w:szCs w:val="20"/>
                <w:color w:val="auto"/>
              </w:rPr>
            </w:pPr>
            <w:r>
              <w:rPr>
                <w:rFonts w:ascii="Calibri" w:cs="Calibri" w:eastAsia="Calibri" w:hAnsi="Calibri"/>
                <w:sz w:val="16"/>
                <w:szCs w:val="16"/>
                <w:color w:val="auto"/>
              </w:rPr>
              <w:t>Common Stock, $0.001 par value</w:t>
            </w:r>
          </w:p>
        </w:tc>
        <w:tc>
          <w:tcPr>
            <w:tcW w:w="4760" w:type="dxa"/>
            <w:vAlign w:val="bottom"/>
          </w:tcPr>
          <w:p>
            <w:pPr>
              <w:jc w:val="center"/>
              <w:spacing w:after="0"/>
              <w:rPr>
                <w:sz w:val="20"/>
                <w:szCs w:val="20"/>
                <w:color w:val="auto"/>
              </w:rPr>
            </w:pPr>
            <w:r>
              <w:rPr>
                <w:rFonts w:ascii="Calibri" w:cs="Calibri" w:eastAsia="Calibri" w:hAnsi="Calibri"/>
                <w:sz w:val="16"/>
                <w:szCs w:val="16"/>
                <w:color w:val="auto"/>
                <w:w w:val="97"/>
              </w:rPr>
              <w:t>AVGO</w:t>
            </w:r>
          </w:p>
        </w:tc>
        <w:tc>
          <w:tcPr>
            <w:tcW w:w="2720" w:type="dxa"/>
            <w:vAlign w:val="bottom"/>
            <w:gridSpan w:val="2"/>
          </w:tcPr>
          <w:p>
            <w:pPr>
              <w:jc w:val="center"/>
              <w:spacing w:after="0"/>
              <w:rPr>
                <w:sz w:val="20"/>
                <w:szCs w:val="20"/>
                <w:color w:val="auto"/>
              </w:rPr>
            </w:pPr>
            <w:r>
              <w:rPr>
                <w:rFonts w:ascii="Calibri" w:cs="Calibri" w:eastAsia="Calibri" w:hAnsi="Calibri"/>
                <w:sz w:val="16"/>
                <w:szCs w:val="16"/>
                <w:color w:val="auto"/>
              </w:rPr>
              <w:t>The NASDAQ Global Select Market</w:t>
            </w:r>
          </w:p>
        </w:tc>
      </w:tr>
      <w:tr>
        <w:trPr>
          <w:trHeight w:val="364"/>
        </w:trPr>
        <w:tc>
          <w:tcPr>
            <w:tcW w:w="2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60" w:type="dxa"/>
            <w:vAlign w:val="bottom"/>
          </w:tcPr>
          <w:p>
            <w:pPr>
              <w:ind w:left="240"/>
              <w:spacing w:after="0"/>
              <w:rPr>
                <w:sz w:val="20"/>
                <w:szCs w:val="20"/>
                <w:color w:val="auto"/>
              </w:rPr>
            </w:pPr>
            <w:r>
              <w:rPr>
                <w:rFonts w:ascii="Calibri" w:cs="Calibri" w:eastAsia="Calibri" w:hAnsi="Calibri"/>
                <w:sz w:val="16"/>
                <w:szCs w:val="16"/>
                <w:b w:val="1"/>
                <w:bCs w:val="1"/>
                <w:color w:val="auto"/>
              </w:rPr>
              <w:t>Securites registered pursuant to Secton 12(g) of the Act: None</w:t>
            </w:r>
          </w:p>
        </w:tc>
        <w:tc>
          <w:tcPr>
            <w:tcW w:w="4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1"/>
        </w:trPr>
        <w:tc>
          <w:tcPr>
            <w:tcW w:w="2360" w:type="dxa"/>
            <w:vAlign w:val="bottom"/>
          </w:tcPr>
          <w:p>
            <w:pPr>
              <w:spacing w:after="0"/>
              <w:rPr>
                <w:sz w:val="3"/>
                <w:szCs w:val="3"/>
                <w:color w:val="auto"/>
              </w:rPr>
            </w:pPr>
          </w:p>
        </w:tc>
        <w:tc>
          <w:tcPr>
            <w:tcW w:w="5280" w:type="dxa"/>
            <w:vAlign w:val="bottom"/>
            <w:tcBorders>
              <w:bottom w:val="single" w:sz="8" w:color="auto"/>
            </w:tcBorders>
            <w:gridSpan w:val="2"/>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40" w:type="dxa"/>
            <w:vAlign w:val="bottom"/>
          </w:tcPr>
          <w:p>
            <w:pPr>
              <w:spacing w:after="0"/>
              <w:rPr>
                <w:sz w:val="3"/>
                <w:szCs w:val="3"/>
                <w:color w:val="auto"/>
              </w:rPr>
            </w:pPr>
          </w:p>
        </w:tc>
      </w:tr>
      <w:tr>
        <w:trPr>
          <w:trHeight w:val="351"/>
        </w:trPr>
        <w:tc>
          <w:tcPr>
            <w:tcW w:w="7640" w:type="dxa"/>
            <w:vAlign w:val="bottom"/>
            <w:gridSpan w:val="3"/>
          </w:tcPr>
          <w:p>
            <w:pPr>
              <w:spacing w:after="0"/>
              <w:rPr>
                <w:sz w:val="20"/>
                <w:szCs w:val="20"/>
                <w:color w:val="auto"/>
              </w:rPr>
            </w:pPr>
            <w:r>
              <w:rPr>
                <w:rFonts w:ascii="Calibri" w:cs="Calibri" w:eastAsia="Calibri" w:hAnsi="Calibri"/>
                <w:sz w:val="16"/>
                <w:szCs w:val="16"/>
                <w:color w:val="auto"/>
              </w:rPr>
              <w:t>Indicate by check mark if the registrant is a well-known seasoned issuer, as defned in Rule 405 of the Securites Act.</w:t>
            </w:r>
          </w:p>
        </w:tc>
        <w:tc>
          <w:tcPr>
            <w:tcW w:w="2720" w:type="dxa"/>
            <w:vAlign w:val="bottom"/>
            <w:gridSpan w:val="2"/>
          </w:tcPr>
          <w:p>
            <w:pPr>
              <w:ind w:left="100"/>
              <w:spacing w:after="0" w:line="196" w:lineRule="exact"/>
              <w:rPr>
                <w:sz w:val="20"/>
                <w:szCs w:val="20"/>
                <w:color w:val="auto"/>
              </w:rPr>
            </w:pPr>
            <w:r>
              <w:rPr>
                <w:rFonts w:ascii="Calibri" w:cs="Calibri" w:eastAsia="Calibri" w:hAnsi="Calibri"/>
                <w:sz w:val="16"/>
                <w:szCs w:val="16"/>
                <w:color w:val="auto"/>
              </w:rPr>
              <w:t xml:space="preserve">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tc>
      </w:tr>
    </w:tbl>
    <w:p>
      <w:pPr>
        <w:ind w:left="340"/>
        <w:spacing w:after="0" w:line="196" w:lineRule="exact"/>
        <w:tabs>
          <w:tab w:leader="none" w:pos="8260" w:val="left"/>
          <w:tab w:leader="none" w:pos="8840" w:val="left"/>
        </w:tabs>
        <w:rPr>
          <w:sz w:val="20"/>
          <w:szCs w:val="20"/>
          <w:color w:val="auto"/>
        </w:rPr>
      </w:pPr>
      <w:r>
        <w:rPr>
          <w:rFonts w:ascii="Calibri" w:cs="Calibri" w:eastAsia="Calibri" w:hAnsi="Calibri"/>
          <w:sz w:val="16"/>
          <w:szCs w:val="16"/>
          <w:color w:val="auto"/>
        </w:rPr>
        <w:t>Indicate by check mark if the registrant is not required to fle reports pursuant to Secton 13 or Secton 15(d) of the Act.</w:t>
        <w:tab/>
        <w:t xml:space="preserve">Yes </w:t>
      </w:r>
      <w:r>
        <w:rPr>
          <w:rFonts w:ascii="MS PGothic" w:cs="MS PGothic" w:eastAsia="MS PGothic" w:hAnsi="MS PGothic"/>
          <w:sz w:val="16"/>
          <w:szCs w:val="16"/>
          <w:color w:val="auto"/>
        </w:rPr>
        <w:t>☐</w:t>
      </w:r>
      <w:r>
        <w:rPr>
          <w:sz w:val="20"/>
          <w:szCs w:val="20"/>
          <w:color w:val="auto"/>
        </w:rPr>
        <w:tab/>
      </w:r>
      <w:r>
        <w:rPr>
          <w:rFonts w:ascii="Calibri" w:cs="Calibri" w:eastAsia="Calibri" w:hAnsi="Calibri"/>
          <w:sz w:val="15"/>
          <w:szCs w:val="15"/>
          <w:color w:val="auto"/>
        </w:rPr>
        <w:t xml:space="preserve">No </w:t>
      </w:r>
      <w:r>
        <w:rPr>
          <w:rFonts w:ascii="MS PGothic" w:cs="MS PGothic" w:eastAsia="MS PGothic" w:hAnsi="MS PGothic"/>
          <w:sz w:val="15"/>
          <w:szCs w:val="15"/>
          <w:color w:val="auto"/>
        </w:rPr>
        <w:t>☑</w:t>
      </w:r>
    </w:p>
    <w:p>
      <w:pPr>
        <w:spacing w:after="0" w:line="90" w:lineRule="exact"/>
        <w:rPr>
          <w:sz w:val="24"/>
          <w:szCs w:val="24"/>
          <w:color w:val="auto"/>
        </w:rPr>
      </w:pPr>
    </w:p>
    <w:p>
      <w:pPr>
        <w:jc w:val="both"/>
        <w:ind w:right="300" w:firstLine="324"/>
        <w:spacing w:after="0" w:line="211" w:lineRule="exact"/>
        <w:rPr>
          <w:sz w:val="20"/>
          <w:szCs w:val="20"/>
          <w:color w:val="auto"/>
        </w:rPr>
      </w:pPr>
      <w:r>
        <w:rPr>
          <w:rFonts w:ascii="Calibri" w:cs="Calibri" w:eastAsia="Calibri" w:hAnsi="Calibri"/>
          <w:sz w:val="16"/>
          <w:szCs w:val="16"/>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14" w:lineRule="exact"/>
        <w:rPr>
          <w:sz w:val="24"/>
          <w:szCs w:val="24"/>
          <w:color w:val="auto"/>
        </w:rPr>
      </w:pPr>
    </w:p>
    <w:p>
      <w:pPr>
        <w:ind w:left="340"/>
        <w:spacing w:after="0"/>
        <w:rPr>
          <w:sz w:val="20"/>
          <w:szCs w:val="20"/>
          <w:color w:val="auto"/>
        </w:rPr>
      </w:pPr>
      <w:r>
        <w:rPr>
          <w:rFonts w:ascii="Calibri" w:cs="Calibri" w:eastAsia="Calibri" w:hAnsi="Calibri"/>
          <w:sz w:val="16"/>
          <w:szCs w:val="16"/>
          <w:color w:val="auto"/>
        </w:rPr>
        <w:t>Indicate by check mark whether the registrant has submited electronically every Interactve Data File required to be submited pursuant to Rule 405 of Regulaton S-T</w:t>
      </w:r>
    </w:p>
    <w:tbl>
      <w:tblPr>
        <w:tblLayout w:type="fixed"/>
        <w:tblInd w:w="0" w:type="dxa"/>
        <w:tblCellMar>
          <w:top w:w="0" w:type="dxa"/>
          <w:left w:w="0" w:type="dxa"/>
          <w:bottom w:w="0" w:type="dxa"/>
          <w:right w:w="0" w:type="dxa"/>
        </w:tblCellMar>
      </w:tblPr>
      <w:tr>
        <w:trPr>
          <w:trHeight w:val="265"/>
        </w:trPr>
        <w:tc>
          <w:tcPr>
            <w:tcW w:w="10960" w:type="dxa"/>
            <w:vAlign w:val="bottom"/>
            <w:gridSpan w:val="9"/>
          </w:tcPr>
          <w:p>
            <w:pPr>
              <w:spacing w:after="0" w:line="196" w:lineRule="exact"/>
              <w:rPr>
                <w:sz w:val="20"/>
                <w:szCs w:val="20"/>
                <w:color w:val="auto"/>
              </w:rPr>
            </w:pPr>
            <w:r>
              <w:rPr>
                <w:rFonts w:ascii="Calibri" w:cs="Calibri" w:eastAsia="Calibri" w:hAnsi="Calibri"/>
                <w:sz w:val="16"/>
                <w:szCs w:val="16"/>
                <w:color w:val="auto"/>
              </w:rPr>
              <w:t xml:space="preserve">(§232.405 of this chapter) during the preceding 12 months (or for such shorter period that the registrant was required to submit such fles).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0960" w:type="dxa"/>
            <w:vAlign w:val="bottom"/>
            <w:gridSpan w:val="9"/>
          </w:tcPr>
          <w:p>
            <w:pPr>
              <w:ind w:left="340"/>
              <w:spacing w:after="0" w:line="193" w:lineRule="exact"/>
              <w:rPr>
                <w:sz w:val="20"/>
                <w:szCs w:val="20"/>
                <w:color w:val="auto"/>
              </w:rPr>
            </w:pPr>
            <w:r>
              <w:rPr>
                <w:rFonts w:ascii="Calibri" w:cs="Calibri" w:eastAsia="Calibri" w:hAnsi="Calibri"/>
                <w:sz w:val="16"/>
                <w:szCs w:val="16"/>
                <w:color w:val="auto"/>
              </w:rPr>
              <w:t>Indicate by check mark whether the registrant is a large accelerated fler, an accelerated fler, a non-accelerated fler, a smaller reportng company, or an emerging</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960" w:type="dxa"/>
            <w:vAlign w:val="bottom"/>
            <w:gridSpan w:val="9"/>
          </w:tcPr>
          <w:p>
            <w:pPr>
              <w:spacing w:after="0"/>
              <w:rPr>
                <w:sz w:val="20"/>
                <w:szCs w:val="20"/>
                <w:color w:val="auto"/>
              </w:rPr>
            </w:pPr>
            <w:r>
              <w:rPr>
                <w:rFonts w:ascii="Calibri" w:cs="Calibri" w:eastAsia="Calibri" w:hAnsi="Calibri"/>
                <w:sz w:val="16"/>
                <w:szCs w:val="16"/>
                <w:color w:val="auto"/>
              </w:rPr>
              <w:t>growth company. See the defnitons of “large accelerated fler,” “accelerated fler,” “smaller reportng company,” and “emerging growth company” in Rule 12b-2 of the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800" w:type="dxa"/>
            <w:vAlign w:val="bottom"/>
          </w:tcPr>
          <w:p>
            <w:pPr>
              <w:spacing w:after="0" w:line="193" w:lineRule="exact"/>
              <w:rPr>
                <w:sz w:val="20"/>
                <w:szCs w:val="20"/>
                <w:color w:val="auto"/>
              </w:rPr>
            </w:pPr>
            <w:r>
              <w:rPr>
                <w:rFonts w:ascii="Calibri" w:cs="Calibri" w:eastAsia="Calibri" w:hAnsi="Calibri"/>
                <w:sz w:val="16"/>
                <w:szCs w:val="16"/>
                <w:color w:val="auto"/>
              </w:rPr>
              <w:t>Exchange Act.</w:t>
            </w:r>
          </w:p>
        </w:tc>
        <w:tc>
          <w:tcPr>
            <w:tcW w:w="48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333333"/>
              </w:rPr>
              <w:t>☑</w:t>
            </w:r>
          </w:p>
        </w:tc>
        <w:tc>
          <w:tcPr>
            <w:tcW w:w="1440" w:type="dxa"/>
            <w:vAlign w:val="bottom"/>
          </w:tcPr>
          <w:p>
            <w:pPr>
              <w:spacing w:after="0"/>
              <w:rPr>
                <w:sz w:val="16"/>
                <w:szCs w:val="16"/>
                <w:color w:val="auto"/>
              </w:rPr>
            </w:pPr>
          </w:p>
        </w:tc>
        <w:tc>
          <w:tcPr>
            <w:tcW w:w="48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333333"/>
              </w:rPr>
              <w:t>☐</w:t>
            </w:r>
          </w:p>
        </w:tc>
        <w:tc>
          <w:tcPr>
            <w:tcW w:w="1660" w:type="dxa"/>
            <w:vAlign w:val="bottom"/>
          </w:tcPr>
          <w:p>
            <w:pPr>
              <w:spacing w:after="0"/>
              <w:rPr>
                <w:sz w:val="16"/>
                <w:szCs w:val="16"/>
                <w:color w:val="auto"/>
              </w:rPr>
            </w:pPr>
          </w:p>
        </w:tc>
        <w:tc>
          <w:tcPr>
            <w:tcW w:w="44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333333"/>
              </w:rPr>
              <w:t>☐</w:t>
            </w:r>
          </w:p>
        </w:tc>
        <w:tc>
          <w:tcPr>
            <w:tcW w:w="2080" w:type="dxa"/>
            <w:vAlign w:val="bottom"/>
          </w:tcPr>
          <w:p>
            <w:pPr>
              <w:spacing w:after="0"/>
              <w:rPr>
                <w:sz w:val="16"/>
                <w:szCs w:val="16"/>
                <w:color w:val="auto"/>
              </w:rPr>
            </w:pPr>
          </w:p>
        </w:tc>
        <w:tc>
          <w:tcPr>
            <w:tcW w:w="44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333333"/>
              </w:rPr>
              <w:t>☐</w:t>
            </w:r>
          </w:p>
        </w:tc>
        <w:tc>
          <w:tcPr>
            <w:tcW w:w="2140" w:type="dxa"/>
            <w:vAlign w:val="bottom"/>
          </w:tcPr>
          <w:p>
            <w:pPr>
              <w:spacing w:after="0"/>
              <w:rPr>
                <w:sz w:val="16"/>
                <w:szCs w:val="16"/>
                <w:color w:val="auto"/>
              </w:rPr>
            </w:pPr>
          </w:p>
        </w:tc>
        <w:tc>
          <w:tcPr>
            <w:tcW w:w="20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333333"/>
                <w:w w:val="77"/>
              </w:rPr>
              <w:t>☐</w:t>
            </w:r>
          </w:p>
        </w:tc>
        <w:tc>
          <w:tcPr>
            <w:tcW w:w="0" w:type="dxa"/>
            <w:vAlign w:val="bottom"/>
          </w:tcPr>
          <w:p>
            <w:pPr>
              <w:spacing w:after="0"/>
              <w:rPr>
                <w:sz w:val="1"/>
                <w:szCs w:val="1"/>
                <w:color w:val="auto"/>
              </w:rPr>
            </w:pPr>
          </w:p>
        </w:tc>
      </w:tr>
      <w:tr>
        <w:trPr>
          <w:trHeight w:val="299"/>
        </w:trPr>
        <w:tc>
          <w:tcPr>
            <w:tcW w:w="1800" w:type="dxa"/>
            <w:vAlign w:val="bottom"/>
          </w:tcPr>
          <w:p>
            <w:pPr>
              <w:ind w:left="200"/>
              <w:spacing w:after="0"/>
              <w:rPr>
                <w:sz w:val="20"/>
                <w:szCs w:val="20"/>
                <w:color w:val="auto"/>
              </w:rPr>
            </w:pPr>
            <w:r>
              <w:rPr>
                <w:rFonts w:ascii="Calibri" w:cs="Calibri" w:eastAsia="Calibri" w:hAnsi="Calibri"/>
                <w:sz w:val="16"/>
                <w:szCs w:val="16"/>
                <w:color w:val="auto"/>
              </w:rPr>
              <w:t>Large accelerated fler</w:t>
            </w:r>
          </w:p>
        </w:tc>
        <w:tc>
          <w:tcPr>
            <w:tcW w:w="480" w:type="dxa"/>
            <w:vAlign w:val="bottom"/>
            <w:vMerge w:val="continue"/>
          </w:tcPr>
          <w:p>
            <w:pPr>
              <w:spacing w:after="0"/>
              <w:rPr>
                <w:sz w:val="24"/>
                <w:szCs w:val="24"/>
                <w:color w:val="auto"/>
              </w:rPr>
            </w:pPr>
          </w:p>
        </w:tc>
        <w:tc>
          <w:tcPr>
            <w:tcW w:w="1440" w:type="dxa"/>
            <w:vAlign w:val="bottom"/>
          </w:tcPr>
          <w:p>
            <w:pPr>
              <w:ind w:left="180"/>
              <w:spacing w:after="0"/>
              <w:rPr>
                <w:sz w:val="20"/>
                <w:szCs w:val="20"/>
                <w:color w:val="auto"/>
              </w:rPr>
            </w:pPr>
            <w:r>
              <w:rPr>
                <w:rFonts w:ascii="Calibri" w:cs="Calibri" w:eastAsia="Calibri" w:hAnsi="Calibri"/>
                <w:sz w:val="16"/>
                <w:szCs w:val="16"/>
                <w:color w:val="auto"/>
              </w:rPr>
              <w:t>Accelerated fler</w:t>
            </w:r>
          </w:p>
        </w:tc>
        <w:tc>
          <w:tcPr>
            <w:tcW w:w="480" w:type="dxa"/>
            <w:vAlign w:val="bottom"/>
            <w:vMerge w:val="continue"/>
          </w:tcPr>
          <w:p>
            <w:pPr>
              <w:spacing w:after="0"/>
              <w:rPr>
                <w:sz w:val="24"/>
                <w:szCs w:val="24"/>
                <w:color w:val="auto"/>
              </w:rPr>
            </w:pPr>
          </w:p>
        </w:tc>
        <w:tc>
          <w:tcPr>
            <w:tcW w:w="1660" w:type="dxa"/>
            <w:vAlign w:val="bottom"/>
          </w:tcPr>
          <w:p>
            <w:pPr>
              <w:ind w:left="140"/>
              <w:spacing w:after="0"/>
              <w:rPr>
                <w:sz w:val="20"/>
                <w:szCs w:val="20"/>
                <w:color w:val="auto"/>
              </w:rPr>
            </w:pPr>
            <w:r>
              <w:rPr>
                <w:rFonts w:ascii="Calibri" w:cs="Calibri" w:eastAsia="Calibri" w:hAnsi="Calibri"/>
                <w:sz w:val="16"/>
                <w:szCs w:val="16"/>
                <w:color w:val="auto"/>
              </w:rPr>
              <w:t>Non-accelerated fler</w:t>
            </w:r>
          </w:p>
        </w:tc>
        <w:tc>
          <w:tcPr>
            <w:tcW w:w="440" w:type="dxa"/>
            <w:vAlign w:val="bottom"/>
            <w:vMerge w:val="continue"/>
          </w:tcPr>
          <w:p>
            <w:pPr>
              <w:spacing w:after="0"/>
              <w:rPr>
                <w:sz w:val="24"/>
                <w:szCs w:val="24"/>
                <w:color w:val="auto"/>
              </w:rPr>
            </w:pPr>
          </w:p>
        </w:tc>
        <w:tc>
          <w:tcPr>
            <w:tcW w:w="2080" w:type="dxa"/>
            <w:vAlign w:val="bottom"/>
          </w:tcPr>
          <w:p>
            <w:pPr>
              <w:ind w:left="140"/>
              <w:spacing w:after="0"/>
              <w:rPr>
                <w:sz w:val="20"/>
                <w:szCs w:val="20"/>
                <w:color w:val="auto"/>
              </w:rPr>
            </w:pPr>
            <w:r>
              <w:rPr>
                <w:rFonts w:ascii="Calibri" w:cs="Calibri" w:eastAsia="Calibri" w:hAnsi="Calibri"/>
                <w:sz w:val="16"/>
                <w:szCs w:val="16"/>
                <w:color w:val="auto"/>
              </w:rPr>
              <w:t>Smaller reportng company</w:t>
            </w:r>
          </w:p>
        </w:tc>
        <w:tc>
          <w:tcPr>
            <w:tcW w:w="440" w:type="dxa"/>
            <w:vAlign w:val="bottom"/>
            <w:vMerge w:val="continue"/>
          </w:tcPr>
          <w:p>
            <w:pPr>
              <w:spacing w:after="0"/>
              <w:rPr>
                <w:sz w:val="24"/>
                <w:szCs w:val="24"/>
                <w:color w:val="auto"/>
              </w:rPr>
            </w:pPr>
          </w:p>
        </w:tc>
        <w:tc>
          <w:tcPr>
            <w:tcW w:w="2140" w:type="dxa"/>
            <w:vAlign w:val="bottom"/>
          </w:tcPr>
          <w:p>
            <w:pPr>
              <w:ind w:left="140"/>
              <w:spacing w:after="0"/>
              <w:rPr>
                <w:sz w:val="20"/>
                <w:szCs w:val="20"/>
                <w:color w:val="auto"/>
              </w:rPr>
            </w:pPr>
            <w:r>
              <w:rPr>
                <w:rFonts w:ascii="Calibri" w:cs="Calibri" w:eastAsia="Calibri" w:hAnsi="Calibri"/>
                <w:sz w:val="16"/>
                <w:szCs w:val="16"/>
                <w:color w:val="auto"/>
              </w:rPr>
              <w:t>Emerging growth company</w:t>
            </w:r>
          </w:p>
        </w:tc>
        <w:tc>
          <w:tcPr>
            <w:tcW w:w="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right="100" w:firstLine="324"/>
        <w:spacing w:after="0" w:line="215" w:lineRule="exact"/>
        <w:rPr>
          <w:sz w:val="20"/>
          <w:szCs w:val="20"/>
          <w:color w:val="auto"/>
        </w:rPr>
      </w:pPr>
      <w:r>
        <w:rPr>
          <w:rFonts w:ascii="Calibri" w:cs="Calibri" w:eastAsia="Calibri" w:hAnsi="Calibri"/>
          <w:sz w:val="16"/>
          <w:szCs w:val="16"/>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6"/>
          <w:szCs w:val="16"/>
          <w:color w:val="auto"/>
        </w:rPr>
        <w:t>☐</w:t>
      </w:r>
    </w:p>
    <w:p>
      <w:pPr>
        <w:spacing w:after="0" w:line="29" w:lineRule="exact"/>
        <w:rPr>
          <w:sz w:val="24"/>
          <w:szCs w:val="24"/>
          <w:color w:val="auto"/>
        </w:rPr>
      </w:pPr>
    </w:p>
    <w:p>
      <w:pPr>
        <w:ind w:right="100" w:firstLine="324"/>
        <w:spacing w:after="0" w:line="219" w:lineRule="exact"/>
        <w:rPr>
          <w:sz w:val="20"/>
          <w:szCs w:val="20"/>
          <w:color w:val="auto"/>
        </w:rPr>
      </w:pPr>
      <w:r>
        <w:rPr>
          <w:rFonts w:ascii="Calibri" w:cs="Calibri" w:eastAsia="Calibri" w:hAnsi="Calibri"/>
          <w:sz w:val="16"/>
          <w:szCs w:val="16"/>
          <w:color w:val="auto"/>
        </w:rPr>
        <w:t xml:space="preserve">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 </w:t>
      </w:r>
      <w:r>
        <w:rPr>
          <w:rFonts w:ascii="MS PGothic" w:cs="MS PGothic" w:eastAsia="MS PGothic" w:hAnsi="MS PGothic"/>
          <w:sz w:val="17"/>
          <w:szCs w:val="17"/>
          <w:color w:val="auto"/>
        </w:rPr>
        <w:t>☑</w:t>
      </w:r>
    </w:p>
    <w:p>
      <w:pPr>
        <w:spacing w:after="0" w:line="23" w:lineRule="exact"/>
        <w:rPr>
          <w:sz w:val="24"/>
          <w:szCs w:val="24"/>
          <w:color w:val="auto"/>
        </w:rPr>
      </w:pPr>
    </w:p>
    <w:p>
      <w:pPr>
        <w:jc w:val="both"/>
        <w:ind w:right="80" w:firstLine="324"/>
        <w:spacing w:after="0" w:line="222" w:lineRule="exact"/>
        <w:rPr>
          <w:sz w:val="20"/>
          <w:szCs w:val="20"/>
          <w:color w:val="auto"/>
        </w:rPr>
      </w:pPr>
      <w:r>
        <w:rPr>
          <w:rFonts w:ascii="Calibri" w:cs="Calibri" w:eastAsia="Calibri" w:hAnsi="Calibri"/>
          <w:sz w:val="16"/>
          <w:szCs w:val="16"/>
          <w:color w:val="auto"/>
        </w:rPr>
        <w:t xml:space="preserve">If securites are registered pursuant to Secton 12(b) of the Act, indicate by check mark whether the fnancial statements of the registrant included in the fling refect the correcton of an error to previously issued fnancial statements. </w:t>
      </w:r>
      <w:r>
        <w:rPr>
          <w:rFonts w:ascii="MS PGothic" w:cs="MS PGothic" w:eastAsia="MS PGothic" w:hAnsi="MS PGothic"/>
          <w:sz w:val="16"/>
          <w:szCs w:val="16"/>
          <w:color w:val="auto"/>
        </w:rPr>
        <w:t>☐</w:t>
      </w:r>
    </w:p>
    <w:p>
      <w:pPr>
        <w:spacing w:after="0" w:line="16" w:lineRule="exact"/>
        <w:rPr>
          <w:sz w:val="24"/>
          <w:szCs w:val="24"/>
          <w:color w:val="auto"/>
        </w:rPr>
      </w:pPr>
    </w:p>
    <w:p>
      <w:pPr>
        <w:ind w:right="20" w:firstLine="324"/>
        <w:spacing w:after="0" w:line="215" w:lineRule="exact"/>
        <w:rPr>
          <w:sz w:val="20"/>
          <w:szCs w:val="20"/>
          <w:color w:val="auto"/>
        </w:rPr>
      </w:pPr>
      <w:r>
        <w:rPr>
          <w:rFonts w:ascii="Calibri" w:cs="Calibri" w:eastAsia="Calibri" w:hAnsi="Calibri"/>
          <w:sz w:val="16"/>
          <w:szCs w:val="16"/>
          <w:color w:val="auto"/>
        </w:rPr>
        <w:t xml:space="preserve">Indicate by check mark whether any of those error correctons are restatements that required a recovery analysis of incentve-based compensaton received by any of the registrant’s executve ofcers during the relevant recovery period pursuant to §240.10D-1(b). </w:t>
      </w:r>
      <w:r>
        <w:rPr>
          <w:rFonts w:ascii="MS PGothic" w:cs="MS PGothic" w:eastAsia="MS PGothic" w:hAnsi="MS PGothic"/>
          <w:sz w:val="16"/>
          <w:szCs w:val="16"/>
          <w:color w:val="auto"/>
        </w:rPr>
        <w:t>☐</w:t>
      </w:r>
    </w:p>
    <w:p>
      <w:pPr>
        <w:ind w:left="340"/>
        <w:spacing w:after="0" w:line="196" w:lineRule="exact"/>
        <w:rPr>
          <w:sz w:val="20"/>
          <w:szCs w:val="20"/>
          <w:color w:val="auto"/>
        </w:rPr>
      </w:pPr>
      <w:r>
        <w:rPr>
          <w:rFonts w:ascii="Calibri" w:cs="Calibri" w:eastAsia="Calibri" w:hAnsi="Calibri"/>
          <w:sz w:val="16"/>
          <w:szCs w:val="16"/>
          <w:color w:val="auto"/>
        </w:rPr>
        <w:t xml:space="preserve">Indicate by check mark whether the registrant is a shell company (as defned in Rule 12b-2 of the Act).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20" w:firstLine="324"/>
        <w:spacing w:after="0" w:line="246" w:lineRule="auto"/>
        <w:rPr>
          <w:sz w:val="20"/>
          <w:szCs w:val="20"/>
          <w:color w:val="auto"/>
        </w:rPr>
      </w:pPr>
      <w:r>
        <w:rPr>
          <w:rFonts w:ascii="Calibri" w:cs="Calibri" w:eastAsia="Calibri" w:hAnsi="Calibri"/>
          <w:sz w:val="16"/>
          <w:szCs w:val="16"/>
          <w:color w:val="auto"/>
        </w:rPr>
        <w:t>The aggregate market value of votng and non-votng common equity held by non-afliates as of May 3, 2024, based upon the closing sale price of such shares on The Nasdaq Global Select Market on such date was approximately $583.1 billion.</w:t>
      </w:r>
    </w:p>
    <w:p>
      <w:pPr>
        <w:spacing w:after="0" w:line="43" w:lineRule="exact"/>
        <w:rPr>
          <w:sz w:val="24"/>
          <w:szCs w:val="24"/>
          <w:color w:val="auto"/>
        </w:rPr>
      </w:pPr>
    </w:p>
    <w:p>
      <w:pPr>
        <w:ind w:left="340"/>
        <w:spacing w:after="0"/>
        <w:rPr>
          <w:sz w:val="20"/>
          <w:szCs w:val="20"/>
          <w:color w:val="auto"/>
        </w:rPr>
      </w:pPr>
      <w:r>
        <w:rPr>
          <w:rFonts w:ascii="Calibri" w:cs="Calibri" w:eastAsia="Calibri" w:hAnsi="Calibri"/>
          <w:sz w:val="16"/>
          <w:szCs w:val="16"/>
          <w:color w:val="auto"/>
        </w:rPr>
        <w:t>As of November 29, 2024, there were 4,687,356,156 shares of our common stock outstanding.</w:t>
      </w:r>
    </w:p>
    <w:p>
      <w:pPr>
        <w:spacing w:after="0" w:line="41"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b w:val="1"/>
          <w:bCs w:val="1"/>
          <w:color w:val="auto"/>
        </w:rPr>
        <w:t>Documents Incorporated by Reference</w:t>
      </w:r>
    </w:p>
    <w:p>
      <w:pPr>
        <w:jc w:val="both"/>
        <w:ind w:right="80" w:firstLine="324"/>
        <w:spacing w:after="0" w:line="225" w:lineRule="auto"/>
        <w:rPr>
          <w:sz w:val="20"/>
          <w:szCs w:val="20"/>
          <w:color w:val="auto"/>
        </w:rPr>
      </w:pPr>
      <w:r>
        <w:rPr>
          <w:rFonts w:ascii="Calibri" w:cs="Calibri" w:eastAsia="Calibri" w:hAnsi="Calibri"/>
          <w:sz w:val="16"/>
          <w:szCs w:val="16"/>
          <w:color w:val="auto"/>
        </w:rPr>
        <w:t>Portons of the registrant’s defnitve proxy statement for its 2025 annual meetng of stockholders are incorporated by reference into Part III of this Annual Report on Form 10-K where indicated. The registrant’s defnitve proxy statement will be fled with the U.S. Securites and Exchange Commission within 120 days afer the end of the fscal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690880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0" w:type="dxa"/>
            <w:vAlign w:val="bottom"/>
            <w:gridSpan w:val="16"/>
          </w:tcPr>
          <w:p>
            <w:pPr>
              <w:jc w:val="center"/>
              <w:ind w:right="3560"/>
              <w:spacing w:after="0"/>
              <w:rPr>
                <w:sz w:val="20"/>
                <w:szCs w:val="20"/>
                <w:color w:val="auto"/>
              </w:rPr>
            </w:pPr>
            <w:r>
              <w:rPr>
                <w:rFonts w:ascii="Calibri" w:cs="Calibri" w:eastAsia="Calibri" w:hAnsi="Calibri"/>
                <w:sz w:val="18"/>
                <w:szCs w:val="18"/>
                <w:b w:val="1"/>
                <w:bCs w:val="1"/>
                <w:color w:val="auto"/>
                <w:w w:val="97"/>
              </w:rPr>
              <w:t>BROADCOM INC.</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20" w:type="dxa"/>
            <w:vAlign w:val="bottom"/>
            <w:gridSpan w:val="18"/>
          </w:tcPr>
          <w:p>
            <w:pPr>
              <w:jc w:val="center"/>
              <w:ind w:right="2320"/>
              <w:spacing w:after="0" w:line="216" w:lineRule="exact"/>
              <w:rPr>
                <w:sz w:val="20"/>
                <w:szCs w:val="20"/>
                <w:color w:val="auto"/>
              </w:rPr>
            </w:pPr>
            <w:r>
              <w:rPr>
                <w:rFonts w:ascii="Calibri" w:cs="Calibri" w:eastAsia="Calibri" w:hAnsi="Calibri"/>
                <w:sz w:val="18"/>
                <w:szCs w:val="18"/>
                <w:b w:val="1"/>
                <w:bCs w:val="1"/>
                <w:color w:val="auto"/>
                <w:w w:val="97"/>
              </w:rPr>
              <w:t>2024 ANNUAL REPORT ON FORM 10-K</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40" w:type="dxa"/>
            <w:vAlign w:val="bottom"/>
            <w:gridSpan w:val="17"/>
          </w:tcPr>
          <w:p>
            <w:pPr>
              <w:jc w:val="center"/>
              <w:ind w:right="3200"/>
              <w:spacing w:after="0"/>
              <w:rPr>
                <w:sz w:val="20"/>
                <w:szCs w:val="20"/>
                <w:color w:val="auto"/>
              </w:rPr>
            </w:pPr>
            <w:r>
              <w:rPr>
                <w:rFonts w:ascii="Calibri" w:cs="Calibri" w:eastAsia="Calibri" w:hAnsi="Calibri"/>
                <w:sz w:val="18"/>
                <w:szCs w:val="18"/>
                <w:b w:val="1"/>
                <w:bCs w:val="1"/>
                <w:color w:val="auto"/>
                <w:w w:val="96"/>
              </w:rPr>
              <w:t>TABLE OF CONTENTS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4"/>
          </w:tcPr>
          <w:p>
            <w:pPr>
              <w:ind w:left="520"/>
              <w:spacing w:after="0"/>
              <w:rPr>
                <w:sz w:val="20"/>
                <w:szCs w:val="20"/>
                <w:color w:val="auto"/>
              </w:rPr>
            </w:pPr>
            <w:r>
              <w:rPr>
                <w:rFonts w:ascii="Calibri" w:cs="Calibri" w:eastAsia="Calibri" w:hAnsi="Calibri"/>
                <w:sz w:val="14"/>
                <w:szCs w:val="14"/>
                <w:b w:val="1"/>
                <w:bCs w:val="1"/>
                <w:color w:val="auto"/>
              </w:rPr>
              <w:t>Page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140" w:type="dxa"/>
            <w:vAlign w:val="bottom"/>
            <w:vMerge w:val="restart"/>
          </w:tcPr>
          <w:p>
            <w:pPr>
              <w:spacing w:after="0"/>
              <w:rPr>
                <w:sz w:val="4"/>
                <w:szCs w:val="4"/>
                <w:color w:val="auto"/>
              </w:rPr>
            </w:pPr>
          </w:p>
        </w:tc>
        <w:tc>
          <w:tcPr>
            <w:tcW w:w="38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34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140" w:type="dxa"/>
            <w:vAlign w:val="bottom"/>
            <w:vMerge w:val="restart"/>
          </w:tcPr>
          <w:p>
            <w:pPr>
              <w:spacing w:after="0"/>
              <w:rPr>
                <w:sz w:val="4"/>
                <w:szCs w:val="4"/>
                <w:color w:val="auto"/>
              </w:rPr>
            </w:pPr>
          </w:p>
        </w:tc>
        <w:tc>
          <w:tcPr>
            <w:tcW w:w="200" w:type="dxa"/>
            <w:vAlign w:val="bottom"/>
            <w:vMerge w:val="restart"/>
          </w:tcPr>
          <w:p>
            <w:pPr>
              <w:spacing w:after="0"/>
              <w:rPr>
                <w:sz w:val="4"/>
                <w:szCs w:val="4"/>
                <w:color w:val="auto"/>
              </w:rPr>
            </w:pPr>
          </w:p>
        </w:tc>
        <w:tc>
          <w:tcPr>
            <w:tcW w:w="880" w:type="dxa"/>
            <w:vAlign w:val="bottom"/>
            <w:vMerge w:val="restart"/>
          </w:tcPr>
          <w:p>
            <w:pPr>
              <w:spacing w:after="0"/>
              <w:rPr>
                <w:sz w:val="4"/>
                <w:szCs w:val="4"/>
                <w:color w:val="auto"/>
              </w:rPr>
            </w:pPr>
          </w:p>
        </w:tc>
        <w:tc>
          <w:tcPr>
            <w:tcW w:w="34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20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4520" w:type="dxa"/>
            <w:vAlign w:val="bottom"/>
            <w:gridSpan w:val="12"/>
            <w:vMerge w:val="restart"/>
          </w:tcPr>
          <w:p>
            <w:pPr>
              <w:jc w:val="center"/>
              <w:ind w:right="4020"/>
              <w:spacing w:after="0"/>
              <w:rPr>
                <w:sz w:val="20"/>
                <w:szCs w:val="20"/>
                <w:color w:val="auto"/>
              </w:rPr>
            </w:pPr>
            <w:r>
              <w:rPr>
                <w:rFonts w:ascii="Calibri" w:cs="Calibri" w:eastAsia="Calibri" w:hAnsi="Calibri"/>
                <w:sz w:val="18"/>
                <w:szCs w:val="18"/>
                <w:b w:val="1"/>
                <w:bCs w:val="1"/>
                <w:color w:val="0000FF"/>
                <w:w w:val="93"/>
              </w:rPr>
              <w:t>PART I.</w:t>
            </w: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4520" w:type="dxa"/>
            <w:vAlign w:val="bottom"/>
            <w:gridSpan w:val="12"/>
            <w:vMerge w:val="continue"/>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line="175" w:lineRule="exact"/>
              <w:rPr>
                <w:sz w:val="20"/>
                <w:szCs w:val="20"/>
                <w:color w:val="auto"/>
              </w:rPr>
            </w:pPr>
            <w:r>
              <w:rPr>
                <w:rFonts w:ascii="Calibri" w:cs="Calibri" w:eastAsia="Calibri" w:hAnsi="Calibri"/>
                <w:sz w:val="18"/>
                <w:szCs w:val="18"/>
                <w:color w:val="0000FF"/>
                <w:w w:val="94"/>
              </w:rPr>
              <w:t>ITEM 1.</w:t>
            </w:r>
          </w:p>
        </w:tc>
        <w:tc>
          <w:tcPr>
            <w:tcW w:w="760" w:type="dxa"/>
            <w:vAlign w:val="bottom"/>
            <w:gridSpan w:val="4"/>
            <w:shd w:val="clear" w:color="auto" w:fill="CCEEFF"/>
          </w:tcPr>
          <w:p>
            <w:pPr>
              <w:spacing w:after="0"/>
              <w:rPr>
                <w:sz w:val="15"/>
                <w:szCs w:val="15"/>
                <w:color w:val="auto"/>
              </w:rPr>
            </w:pPr>
          </w:p>
        </w:tc>
        <w:tc>
          <w:tcPr>
            <w:tcW w:w="8560" w:type="dxa"/>
            <w:vAlign w:val="bottom"/>
            <w:gridSpan w:val="31"/>
            <w:shd w:val="clear" w:color="auto" w:fill="CCEEFF"/>
          </w:tcPr>
          <w:p>
            <w:pPr>
              <w:spacing w:after="0" w:line="175" w:lineRule="exact"/>
              <w:rPr>
                <w:sz w:val="20"/>
                <w:szCs w:val="20"/>
                <w:color w:val="auto"/>
              </w:rPr>
            </w:pPr>
            <w:r>
              <w:rPr>
                <w:rFonts w:ascii="Calibri" w:cs="Calibri" w:eastAsia="Calibri" w:hAnsi="Calibri"/>
                <w:sz w:val="18"/>
                <w:szCs w:val="18"/>
                <w:color w:val="0000FF"/>
              </w:rPr>
              <w:t>BUSINESS</w:t>
            </w:r>
          </w:p>
        </w:tc>
        <w:tc>
          <w:tcPr>
            <w:tcW w:w="800" w:type="dxa"/>
            <w:vAlign w:val="bottom"/>
            <w:tcBorders>
              <w:right w:val="single" w:sz="8" w:color="CCEEFF"/>
            </w:tcBorders>
            <w:gridSpan w:val="3"/>
            <w:shd w:val="clear" w:color="auto" w:fill="CCEEFF"/>
          </w:tcPr>
          <w:p>
            <w:pPr>
              <w:jc w:val="center"/>
              <w:ind w:left="451"/>
              <w:spacing w:after="0" w:line="175" w:lineRule="exact"/>
              <w:rPr>
                <w:sz w:val="20"/>
                <w:szCs w:val="20"/>
                <w:color w:val="auto"/>
              </w:rPr>
            </w:pPr>
            <w:r>
              <w:rPr>
                <w:rFonts w:ascii="Calibri" w:cs="Calibri" w:eastAsia="Calibri" w:hAnsi="Calibri"/>
                <w:sz w:val="18"/>
                <w:szCs w:val="18"/>
                <w:color w:val="0000FF"/>
              </w:rPr>
              <w:t>3</w:t>
            </w: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300" w:type="dxa"/>
            <w:vAlign w:val="bottom"/>
            <w:gridSpan w:val="5"/>
          </w:tcPr>
          <w:p>
            <w:pPr>
              <w:spacing w:after="0" w:line="175" w:lineRule="exact"/>
              <w:rPr>
                <w:sz w:val="20"/>
                <w:szCs w:val="20"/>
                <w:color w:val="auto"/>
              </w:rPr>
            </w:pPr>
            <w:r>
              <w:rPr>
                <w:rFonts w:ascii="Calibri" w:cs="Calibri" w:eastAsia="Calibri" w:hAnsi="Calibri"/>
                <w:sz w:val="18"/>
                <w:szCs w:val="18"/>
                <w:color w:val="0000FF"/>
              </w:rPr>
              <w:t>ITEM 1A.</w:t>
            </w:r>
          </w:p>
        </w:tc>
        <w:tc>
          <w:tcPr>
            <w:tcW w:w="8560" w:type="dxa"/>
            <w:vAlign w:val="bottom"/>
            <w:gridSpan w:val="31"/>
          </w:tcPr>
          <w:p>
            <w:pPr>
              <w:spacing w:after="0" w:line="175" w:lineRule="exact"/>
              <w:rPr>
                <w:sz w:val="20"/>
                <w:szCs w:val="20"/>
                <w:color w:val="auto"/>
              </w:rPr>
            </w:pPr>
            <w:r>
              <w:rPr>
                <w:rFonts w:ascii="Calibri" w:cs="Calibri" w:eastAsia="Calibri" w:hAnsi="Calibri"/>
                <w:sz w:val="18"/>
                <w:szCs w:val="18"/>
                <w:color w:val="0000FF"/>
              </w:rPr>
              <w:t>RISK FACTORS</w:t>
            </w:r>
          </w:p>
        </w:tc>
        <w:tc>
          <w:tcPr>
            <w:tcW w:w="800" w:type="dxa"/>
            <w:vAlign w:val="bottom"/>
            <w:gridSpan w:val="3"/>
          </w:tcPr>
          <w:p>
            <w:pPr>
              <w:jc w:val="center"/>
              <w:ind w:left="451"/>
              <w:spacing w:after="0" w:line="175" w:lineRule="exact"/>
              <w:rPr>
                <w:sz w:val="20"/>
                <w:szCs w:val="20"/>
                <w:color w:val="auto"/>
              </w:rPr>
            </w:pPr>
            <w:r>
              <w:rPr>
                <w:rFonts w:ascii="Calibri" w:cs="Calibri" w:eastAsia="Calibri" w:hAnsi="Calibri"/>
                <w:sz w:val="18"/>
                <w:szCs w:val="18"/>
                <w:color w:val="0000FF"/>
                <w:w w:val="98"/>
              </w:rPr>
              <w:t>16</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40" w:type="dxa"/>
            <w:vAlign w:val="bottom"/>
            <w:gridSpan w:val="3"/>
            <w:shd w:val="clear" w:color="auto" w:fill="CCEEFF"/>
          </w:tcPr>
          <w:p>
            <w:pPr>
              <w:spacing w:after="0" w:line="175" w:lineRule="exact"/>
              <w:rPr>
                <w:sz w:val="20"/>
                <w:szCs w:val="20"/>
                <w:color w:val="auto"/>
              </w:rPr>
            </w:pPr>
            <w:r>
              <w:rPr>
                <w:rFonts w:ascii="Calibri" w:cs="Calibri" w:eastAsia="Calibri" w:hAnsi="Calibri"/>
                <w:sz w:val="18"/>
                <w:szCs w:val="18"/>
                <w:color w:val="0000FF"/>
                <w:w w:val="95"/>
              </w:rPr>
              <w:t>ITEM 1B.</w:t>
            </w:r>
          </w:p>
        </w:tc>
        <w:tc>
          <w:tcPr>
            <w:tcW w:w="660" w:type="dxa"/>
            <w:vAlign w:val="bottom"/>
            <w:gridSpan w:val="2"/>
            <w:shd w:val="clear" w:color="auto" w:fill="CCEEFF"/>
          </w:tcPr>
          <w:p>
            <w:pPr>
              <w:spacing w:after="0"/>
              <w:rPr>
                <w:sz w:val="15"/>
                <w:szCs w:val="15"/>
                <w:color w:val="auto"/>
              </w:rPr>
            </w:pPr>
          </w:p>
        </w:tc>
        <w:tc>
          <w:tcPr>
            <w:tcW w:w="2340" w:type="dxa"/>
            <w:vAlign w:val="bottom"/>
            <w:gridSpan w:val="13"/>
            <w:shd w:val="clear" w:color="auto" w:fill="CCEEFF"/>
          </w:tcPr>
          <w:p>
            <w:pPr>
              <w:spacing w:after="0" w:line="175" w:lineRule="exact"/>
              <w:rPr>
                <w:sz w:val="20"/>
                <w:szCs w:val="20"/>
                <w:color w:val="auto"/>
              </w:rPr>
            </w:pPr>
            <w:r>
              <w:rPr>
                <w:rFonts w:ascii="Calibri" w:cs="Calibri" w:eastAsia="Calibri" w:hAnsi="Calibri"/>
                <w:sz w:val="18"/>
                <w:szCs w:val="18"/>
                <w:color w:val="0000FF"/>
                <w:w w:val="96"/>
              </w:rPr>
              <w:t>UNRESOLVED STAFF COMMENTS</w:t>
            </w:r>
          </w:p>
        </w:tc>
        <w:tc>
          <w:tcPr>
            <w:tcW w:w="6220" w:type="dxa"/>
            <w:vAlign w:val="bottom"/>
            <w:gridSpan w:val="18"/>
            <w:shd w:val="clear" w:color="auto" w:fill="CCEEFF"/>
          </w:tcPr>
          <w:p>
            <w:pPr>
              <w:spacing w:after="0"/>
              <w:rPr>
                <w:sz w:val="15"/>
                <w:szCs w:val="15"/>
                <w:color w:val="auto"/>
              </w:rPr>
            </w:pPr>
          </w:p>
        </w:tc>
        <w:tc>
          <w:tcPr>
            <w:tcW w:w="800" w:type="dxa"/>
            <w:vAlign w:val="bottom"/>
            <w:tcBorders>
              <w:right w:val="single" w:sz="8" w:color="CCEEFF"/>
            </w:tcBorders>
            <w:gridSpan w:val="3"/>
            <w:shd w:val="clear" w:color="auto" w:fill="CCEEFF"/>
          </w:tcPr>
          <w:p>
            <w:pPr>
              <w:jc w:val="center"/>
              <w:ind w:left="451"/>
              <w:spacing w:after="0" w:line="175" w:lineRule="exact"/>
              <w:rPr>
                <w:sz w:val="20"/>
                <w:szCs w:val="20"/>
                <w:color w:val="auto"/>
              </w:rPr>
            </w:pPr>
            <w:r>
              <w:rPr>
                <w:rFonts w:ascii="Calibri" w:cs="Calibri" w:eastAsia="Calibri" w:hAnsi="Calibri"/>
                <w:sz w:val="18"/>
                <w:szCs w:val="18"/>
                <w:color w:val="0000FF"/>
                <w:w w:val="98"/>
              </w:rPr>
              <w:t>31</w:t>
            </w: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right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gridSpan w:val="3"/>
          </w:tcPr>
          <w:p>
            <w:pPr>
              <w:spacing w:after="0" w:line="175" w:lineRule="exact"/>
              <w:rPr>
                <w:sz w:val="20"/>
                <w:szCs w:val="20"/>
                <w:color w:val="auto"/>
              </w:rPr>
            </w:pPr>
            <w:r>
              <w:rPr>
                <w:rFonts w:ascii="Calibri" w:cs="Calibri" w:eastAsia="Calibri" w:hAnsi="Calibri"/>
                <w:sz w:val="18"/>
                <w:szCs w:val="18"/>
                <w:color w:val="0000FF"/>
                <w:w w:val="95"/>
              </w:rPr>
              <w:t>ITEM 1C.</w:t>
            </w:r>
          </w:p>
        </w:tc>
        <w:tc>
          <w:tcPr>
            <w:tcW w:w="660" w:type="dxa"/>
            <w:vAlign w:val="bottom"/>
            <w:gridSpan w:val="2"/>
          </w:tcPr>
          <w:p>
            <w:pPr>
              <w:spacing w:after="0"/>
              <w:rPr>
                <w:sz w:val="15"/>
                <w:szCs w:val="15"/>
                <w:color w:val="auto"/>
              </w:rPr>
            </w:pPr>
          </w:p>
        </w:tc>
        <w:tc>
          <w:tcPr>
            <w:tcW w:w="2340" w:type="dxa"/>
            <w:vAlign w:val="bottom"/>
            <w:gridSpan w:val="13"/>
          </w:tcPr>
          <w:p>
            <w:pPr>
              <w:spacing w:after="0" w:line="175" w:lineRule="exact"/>
              <w:rPr>
                <w:sz w:val="20"/>
                <w:szCs w:val="20"/>
                <w:color w:val="auto"/>
              </w:rPr>
            </w:pPr>
            <w:r>
              <w:rPr>
                <w:rFonts w:ascii="Calibri" w:cs="Calibri" w:eastAsia="Calibri" w:hAnsi="Calibri"/>
                <w:sz w:val="18"/>
                <w:szCs w:val="18"/>
                <w:color w:val="0000FF"/>
              </w:rPr>
              <w:t>CYBERSECURITY</w:t>
            </w:r>
          </w:p>
        </w:tc>
        <w:tc>
          <w:tcPr>
            <w:tcW w:w="6220" w:type="dxa"/>
            <w:vAlign w:val="bottom"/>
            <w:gridSpan w:val="18"/>
          </w:tcPr>
          <w:p>
            <w:pPr>
              <w:spacing w:after="0"/>
              <w:rPr>
                <w:sz w:val="15"/>
                <w:szCs w:val="15"/>
                <w:color w:val="auto"/>
              </w:rPr>
            </w:pPr>
          </w:p>
        </w:tc>
        <w:tc>
          <w:tcPr>
            <w:tcW w:w="800" w:type="dxa"/>
            <w:vAlign w:val="bottom"/>
            <w:gridSpan w:val="3"/>
          </w:tcPr>
          <w:p>
            <w:pPr>
              <w:jc w:val="center"/>
              <w:ind w:left="451"/>
              <w:spacing w:after="0" w:line="175" w:lineRule="exact"/>
              <w:rPr>
                <w:sz w:val="20"/>
                <w:szCs w:val="20"/>
                <w:color w:val="auto"/>
              </w:rPr>
            </w:pPr>
            <w:r>
              <w:rPr>
                <w:rFonts w:ascii="Calibri" w:cs="Calibri" w:eastAsia="Calibri" w:hAnsi="Calibri"/>
                <w:sz w:val="18"/>
                <w:szCs w:val="18"/>
                <w:color w:val="0000FF"/>
                <w:w w:val="98"/>
              </w:rPr>
              <w:t>32</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line="175" w:lineRule="exact"/>
              <w:rPr>
                <w:sz w:val="20"/>
                <w:szCs w:val="20"/>
                <w:color w:val="auto"/>
              </w:rPr>
            </w:pPr>
            <w:r>
              <w:rPr>
                <w:rFonts w:ascii="Calibri" w:cs="Calibri" w:eastAsia="Calibri" w:hAnsi="Calibri"/>
                <w:sz w:val="18"/>
                <w:szCs w:val="18"/>
                <w:color w:val="0000FF"/>
                <w:w w:val="94"/>
              </w:rPr>
              <w:t>ITEM 2.</w:t>
            </w:r>
          </w:p>
        </w:tc>
        <w:tc>
          <w:tcPr>
            <w:tcW w:w="760" w:type="dxa"/>
            <w:vAlign w:val="bottom"/>
            <w:gridSpan w:val="4"/>
            <w:shd w:val="clear" w:color="auto" w:fill="CCEEFF"/>
          </w:tcPr>
          <w:p>
            <w:pPr>
              <w:spacing w:after="0"/>
              <w:rPr>
                <w:sz w:val="15"/>
                <w:szCs w:val="15"/>
                <w:color w:val="auto"/>
              </w:rPr>
            </w:pPr>
          </w:p>
        </w:tc>
        <w:tc>
          <w:tcPr>
            <w:tcW w:w="880" w:type="dxa"/>
            <w:vAlign w:val="bottom"/>
            <w:gridSpan w:val="4"/>
            <w:shd w:val="clear" w:color="auto" w:fill="CCEEFF"/>
          </w:tcPr>
          <w:p>
            <w:pPr>
              <w:spacing w:after="0" w:line="175" w:lineRule="exact"/>
              <w:rPr>
                <w:sz w:val="20"/>
                <w:szCs w:val="20"/>
                <w:color w:val="auto"/>
              </w:rPr>
            </w:pPr>
            <w:r>
              <w:rPr>
                <w:rFonts w:ascii="Calibri" w:cs="Calibri" w:eastAsia="Calibri" w:hAnsi="Calibri"/>
                <w:sz w:val="18"/>
                <w:szCs w:val="18"/>
                <w:color w:val="0000FF"/>
                <w:w w:val="96"/>
              </w:rPr>
              <w:t>PROPERTIES</w:t>
            </w:r>
          </w:p>
        </w:tc>
        <w:tc>
          <w:tcPr>
            <w:tcW w:w="7680" w:type="dxa"/>
            <w:vAlign w:val="bottom"/>
            <w:gridSpan w:val="27"/>
            <w:shd w:val="clear" w:color="auto" w:fill="CCEEFF"/>
          </w:tcPr>
          <w:p>
            <w:pPr>
              <w:spacing w:after="0"/>
              <w:rPr>
                <w:sz w:val="15"/>
                <w:szCs w:val="15"/>
                <w:color w:val="auto"/>
              </w:rPr>
            </w:pPr>
          </w:p>
        </w:tc>
        <w:tc>
          <w:tcPr>
            <w:tcW w:w="800" w:type="dxa"/>
            <w:vAlign w:val="bottom"/>
            <w:tcBorders>
              <w:right w:val="single" w:sz="8" w:color="CCEEFF"/>
            </w:tcBorders>
            <w:gridSpan w:val="3"/>
            <w:shd w:val="clear" w:color="auto" w:fill="CCEEFF"/>
          </w:tcPr>
          <w:p>
            <w:pPr>
              <w:jc w:val="center"/>
              <w:ind w:left="451"/>
              <w:spacing w:after="0" w:line="175" w:lineRule="exact"/>
              <w:rPr>
                <w:sz w:val="20"/>
                <w:szCs w:val="20"/>
                <w:color w:val="auto"/>
              </w:rPr>
            </w:pPr>
            <w:r>
              <w:rPr>
                <w:rFonts w:ascii="Calibri" w:cs="Calibri" w:eastAsia="Calibri" w:hAnsi="Calibri"/>
                <w:sz w:val="18"/>
                <w:szCs w:val="18"/>
                <w:color w:val="0000FF"/>
                <w:w w:val="98"/>
              </w:rPr>
              <w:t>32</w:t>
            </w: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right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40" w:type="dxa"/>
            <w:vAlign w:val="bottom"/>
          </w:tcPr>
          <w:p>
            <w:pPr>
              <w:spacing w:after="0" w:line="175" w:lineRule="exact"/>
              <w:rPr>
                <w:sz w:val="20"/>
                <w:szCs w:val="20"/>
                <w:color w:val="auto"/>
              </w:rPr>
            </w:pPr>
            <w:r>
              <w:rPr>
                <w:rFonts w:ascii="Calibri" w:cs="Calibri" w:eastAsia="Calibri" w:hAnsi="Calibri"/>
                <w:sz w:val="18"/>
                <w:szCs w:val="18"/>
                <w:color w:val="0000FF"/>
                <w:w w:val="94"/>
              </w:rPr>
              <w:t>ITEM 3.</w:t>
            </w:r>
          </w:p>
        </w:tc>
        <w:tc>
          <w:tcPr>
            <w:tcW w:w="760" w:type="dxa"/>
            <w:vAlign w:val="bottom"/>
            <w:gridSpan w:val="4"/>
          </w:tcPr>
          <w:p>
            <w:pPr>
              <w:spacing w:after="0"/>
              <w:rPr>
                <w:sz w:val="15"/>
                <w:szCs w:val="15"/>
                <w:color w:val="auto"/>
              </w:rPr>
            </w:pPr>
          </w:p>
        </w:tc>
        <w:tc>
          <w:tcPr>
            <w:tcW w:w="8560" w:type="dxa"/>
            <w:vAlign w:val="bottom"/>
            <w:gridSpan w:val="31"/>
          </w:tcPr>
          <w:p>
            <w:pPr>
              <w:spacing w:after="0" w:line="175" w:lineRule="exact"/>
              <w:rPr>
                <w:sz w:val="20"/>
                <w:szCs w:val="20"/>
                <w:color w:val="auto"/>
              </w:rPr>
            </w:pPr>
            <w:r>
              <w:rPr>
                <w:rFonts w:ascii="Calibri" w:cs="Calibri" w:eastAsia="Calibri" w:hAnsi="Calibri"/>
                <w:sz w:val="18"/>
                <w:szCs w:val="18"/>
                <w:color w:val="0000FF"/>
              </w:rPr>
              <w:t>LEGAL PROCEEDINGS</w:t>
            </w:r>
          </w:p>
        </w:tc>
        <w:tc>
          <w:tcPr>
            <w:tcW w:w="800" w:type="dxa"/>
            <w:vAlign w:val="bottom"/>
            <w:gridSpan w:val="3"/>
          </w:tcPr>
          <w:p>
            <w:pPr>
              <w:jc w:val="center"/>
              <w:ind w:left="451"/>
              <w:spacing w:after="0" w:line="175" w:lineRule="exact"/>
              <w:rPr>
                <w:sz w:val="20"/>
                <w:szCs w:val="20"/>
                <w:color w:val="auto"/>
              </w:rPr>
            </w:pPr>
            <w:r>
              <w:rPr>
                <w:rFonts w:ascii="Calibri" w:cs="Calibri" w:eastAsia="Calibri" w:hAnsi="Calibri"/>
                <w:sz w:val="18"/>
                <w:szCs w:val="18"/>
                <w:color w:val="0000FF"/>
                <w:w w:val="98"/>
              </w:rPr>
              <w:t>33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spacing w:after="0" w:line="175" w:lineRule="exact"/>
              <w:rPr>
                <w:sz w:val="20"/>
                <w:szCs w:val="20"/>
                <w:color w:val="auto"/>
              </w:rPr>
            </w:pPr>
            <w:r>
              <w:rPr>
                <w:rFonts w:ascii="Calibri" w:cs="Calibri" w:eastAsia="Calibri" w:hAnsi="Calibri"/>
                <w:sz w:val="18"/>
                <w:szCs w:val="18"/>
                <w:color w:val="0000FF"/>
              </w:rPr>
              <w:t>ITEM 4.</w:t>
            </w:r>
          </w:p>
        </w:tc>
        <w:tc>
          <w:tcPr>
            <w:tcW w:w="8560" w:type="dxa"/>
            <w:vAlign w:val="bottom"/>
            <w:gridSpan w:val="31"/>
            <w:shd w:val="clear" w:color="auto" w:fill="CCEEFF"/>
          </w:tcPr>
          <w:p>
            <w:pPr>
              <w:spacing w:after="0" w:line="175" w:lineRule="exact"/>
              <w:rPr>
                <w:sz w:val="20"/>
                <w:szCs w:val="20"/>
                <w:color w:val="auto"/>
              </w:rPr>
            </w:pPr>
            <w:r>
              <w:rPr>
                <w:rFonts w:ascii="Calibri" w:cs="Calibri" w:eastAsia="Calibri" w:hAnsi="Calibri"/>
                <w:sz w:val="18"/>
                <w:szCs w:val="18"/>
                <w:color w:val="0000FF"/>
              </w:rPr>
              <w:t>MINE SAFETY DISCLOSURES</w:t>
            </w:r>
          </w:p>
        </w:tc>
        <w:tc>
          <w:tcPr>
            <w:tcW w:w="800" w:type="dxa"/>
            <w:vAlign w:val="bottom"/>
            <w:tcBorders>
              <w:right w:val="single" w:sz="8" w:color="CCEEFF"/>
            </w:tcBorders>
            <w:gridSpan w:val="3"/>
            <w:shd w:val="clear" w:color="auto" w:fill="CCEEFF"/>
          </w:tcPr>
          <w:p>
            <w:pPr>
              <w:jc w:val="center"/>
              <w:ind w:left="451"/>
              <w:spacing w:after="0" w:line="175" w:lineRule="exact"/>
              <w:rPr>
                <w:sz w:val="20"/>
                <w:szCs w:val="20"/>
                <w:color w:val="auto"/>
              </w:rPr>
            </w:pPr>
            <w:r>
              <w:rPr>
                <w:rFonts w:ascii="Calibri" w:cs="Calibri" w:eastAsia="Calibri" w:hAnsi="Calibri"/>
                <w:sz w:val="18"/>
                <w:szCs w:val="18"/>
                <w:color w:val="0000FF"/>
                <w:w w:val="98"/>
              </w:rPr>
              <w:t>33</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9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560" w:type="dxa"/>
            <w:vAlign w:val="bottom"/>
            <w:gridSpan w:val="13"/>
            <w:shd w:val="clear" w:color="auto" w:fill="CCEEFF"/>
          </w:tcPr>
          <w:p>
            <w:pPr>
              <w:jc w:val="center"/>
              <w:ind w:right="4000"/>
              <w:spacing w:after="0" w:line="175" w:lineRule="exact"/>
              <w:rPr>
                <w:sz w:val="20"/>
                <w:szCs w:val="20"/>
                <w:color w:val="auto"/>
              </w:rPr>
            </w:pPr>
            <w:r>
              <w:rPr>
                <w:rFonts w:ascii="Calibri" w:cs="Calibri" w:eastAsia="Calibri" w:hAnsi="Calibri"/>
                <w:sz w:val="18"/>
                <w:szCs w:val="18"/>
                <w:b w:val="1"/>
                <w:bCs w:val="1"/>
                <w:color w:val="0000FF"/>
                <w:w w:val="96"/>
              </w:rPr>
              <w:t>PART II.</w:t>
            </w:r>
          </w:p>
        </w:tc>
        <w:tc>
          <w:tcPr>
            <w:tcW w:w="6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300" w:type="dxa"/>
            <w:vAlign w:val="bottom"/>
            <w:gridSpan w:val="5"/>
          </w:tcPr>
          <w:p>
            <w:pPr>
              <w:spacing w:after="0" w:line="175" w:lineRule="exact"/>
              <w:rPr>
                <w:sz w:val="20"/>
                <w:szCs w:val="20"/>
                <w:color w:val="auto"/>
              </w:rPr>
            </w:pPr>
            <w:r>
              <w:rPr>
                <w:rFonts w:ascii="Calibri" w:cs="Calibri" w:eastAsia="Calibri" w:hAnsi="Calibri"/>
                <w:sz w:val="18"/>
                <w:szCs w:val="18"/>
                <w:color w:val="0000FF"/>
              </w:rPr>
              <w:t>ITEM 5.</w:t>
            </w:r>
          </w:p>
        </w:tc>
        <w:tc>
          <w:tcPr>
            <w:tcW w:w="8560" w:type="dxa"/>
            <w:vAlign w:val="bottom"/>
            <w:gridSpan w:val="31"/>
          </w:tcPr>
          <w:p>
            <w:pPr>
              <w:spacing w:after="0" w:line="175" w:lineRule="exact"/>
              <w:rPr>
                <w:sz w:val="20"/>
                <w:szCs w:val="20"/>
                <w:color w:val="auto"/>
              </w:rPr>
            </w:pPr>
            <w:r>
              <w:rPr>
                <w:rFonts w:ascii="Calibri" w:cs="Calibri" w:eastAsia="Calibri" w:hAnsi="Calibri"/>
                <w:sz w:val="18"/>
                <w:szCs w:val="18"/>
                <w:color w:val="0000FF"/>
                <w:w w:val="98"/>
              </w:rPr>
              <w:t>MARKET FOR REGISTRANT’S COMMON EQUITY, RELATED STOCKHOLDER MATTERS AND ISSUER PURCHASES OF EQUITY</w:t>
            </w:r>
          </w:p>
        </w:tc>
        <w:tc>
          <w:tcPr>
            <w:tcW w:w="800" w:type="dxa"/>
            <w:vAlign w:val="bottom"/>
            <w:gridSpan w:val="3"/>
            <w:vMerge w:val="restart"/>
          </w:tcPr>
          <w:p>
            <w:pPr>
              <w:jc w:val="center"/>
              <w:ind w:left="451"/>
              <w:spacing w:after="0"/>
              <w:rPr>
                <w:sz w:val="20"/>
                <w:szCs w:val="20"/>
                <w:color w:val="auto"/>
              </w:rPr>
            </w:pPr>
            <w:r>
              <w:rPr>
                <w:rFonts w:ascii="Calibri" w:cs="Calibri" w:eastAsia="Calibri" w:hAnsi="Calibri"/>
                <w:sz w:val="18"/>
                <w:szCs w:val="18"/>
                <w:color w:val="0000FF"/>
                <w:w w:val="98"/>
              </w:rPr>
              <w:t>34</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40" w:type="dxa"/>
            <w:vAlign w:val="bottom"/>
            <w:tcBorders>
              <w:top w:val="single" w:sz="8" w:color="0000FF"/>
            </w:tcBorders>
            <w:gridSpan w:val="30"/>
          </w:tcPr>
          <w:p>
            <w:pPr>
              <w:spacing w:after="0" w:line="142" w:lineRule="exact"/>
              <w:rPr>
                <w:sz w:val="20"/>
                <w:szCs w:val="20"/>
                <w:color w:val="auto"/>
              </w:rPr>
            </w:pPr>
            <w:r>
              <w:rPr>
                <w:rFonts w:ascii="Calibri" w:cs="Calibri" w:eastAsia="Calibri" w:hAnsi="Calibri"/>
                <w:sz w:val="15"/>
                <w:szCs w:val="15"/>
                <w:color w:val="0000FF"/>
              </w:rPr>
              <w:t>SECURITIES</w:t>
            </w:r>
          </w:p>
        </w:tc>
        <w:tc>
          <w:tcPr>
            <w:tcW w:w="1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line="175" w:lineRule="exact"/>
              <w:rPr>
                <w:sz w:val="20"/>
                <w:szCs w:val="20"/>
                <w:color w:val="auto"/>
              </w:rPr>
            </w:pPr>
            <w:r>
              <w:rPr>
                <w:rFonts w:ascii="Calibri" w:cs="Calibri" w:eastAsia="Calibri" w:hAnsi="Calibri"/>
                <w:sz w:val="18"/>
                <w:szCs w:val="18"/>
                <w:color w:val="0000FF"/>
                <w:w w:val="94"/>
              </w:rPr>
              <w:t>ITEM 6.</w:t>
            </w:r>
          </w:p>
        </w:tc>
        <w:tc>
          <w:tcPr>
            <w:tcW w:w="760" w:type="dxa"/>
            <w:vAlign w:val="bottom"/>
            <w:gridSpan w:val="4"/>
            <w:shd w:val="clear" w:color="auto" w:fill="CCEEFF"/>
          </w:tcPr>
          <w:p>
            <w:pPr>
              <w:spacing w:after="0"/>
              <w:rPr>
                <w:sz w:val="15"/>
                <w:szCs w:val="15"/>
                <w:color w:val="auto"/>
              </w:rPr>
            </w:pPr>
          </w:p>
        </w:tc>
        <w:tc>
          <w:tcPr>
            <w:tcW w:w="8560" w:type="dxa"/>
            <w:vAlign w:val="bottom"/>
            <w:gridSpan w:val="31"/>
            <w:shd w:val="clear" w:color="auto" w:fill="CCEEFF"/>
          </w:tcPr>
          <w:p>
            <w:pPr>
              <w:spacing w:after="0" w:line="175" w:lineRule="exact"/>
              <w:rPr>
                <w:sz w:val="20"/>
                <w:szCs w:val="20"/>
                <w:color w:val="auto"/>
              </w:rPr>
            </w:pPr>
            <w:r>
              <w:rPr>
                <w:rFonts w:ascii="Calibri" w:cs="Calibri" w:eastAsia="Calibri" w:hAnsi="Calibri"/>
                <w:sz w:val="18"/>
                <w:szCs w:val="18"/>
                <w:color w:val="0000FF"/>
              </w:rPr>
              <w:t>[RESERVED]</w:t>
            </w:r>
          </w:p>
        </w:tc>
        <w:tc>
          <w:tcPr>
            <w:tcW w:w="800" w:type="dxa"/>
            <w:vAlign w:val="bottom"/>
            <w:tcBorders>
              <w:right w:val="single" w:sz="8" w:color="CCEEFF"/>
            </w:tcBorders>
            <w:gridSpan w:val="3"/>
            <w:shd w:val="clear" w:color="auto" w:fill="CCEEFF"/>
          </w:tcPr>
          <w:p>
            <w:pPr>
              <w:jc w:val="center"/>
              <w:ind w:left="451"/>
              <w:spacing w:after="0" w:line="175" w:lineRule="exact"/>
              <w:rPr>
                <w:sz w:val="20"/>
                <w:szCs w:val="20"/>
                <w:color w:val="auto"/>
              </w:rPr>
            </w:pPr>
            <w:r>
              <w:rPr>
                <w:rFonts w:ascii="Calibri" w:cs="Calibri" w:eastAsia="Calibri" w:hAnsi="Calibri"/>
                <w:sz w:val="18"/>
                <w:szCs w:val="18"/>
                <w:color w:val="0000FF"/>
                <w:w w:val="98"/>
              </w:rPr>
              <w:t>35</w:t>
            </w: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right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40" w:type="dxa"/>
            <w:vAlign w:val="bottom"/>
          </w:tcPr>
          <w:p>
            <w:pPr>
              <w:spacing w:after="0" w:line="175" w:lineRule="exact"/>
              <w:rPr>
                <w:sz w:val="20"/>
                <w:szCs w:val="20"/>
                <w:color w:val="auto"/>
              </w:rPr>
            </w:pPr>
            <w:r>
              <w:rPr>
                <w:rFonts w:ascii="Calibri" w:cs="Calibri" w:eastAsia="Calibri" w:hAnsi="Calibri"/>
                <w:sz w:val="18"/>
                <w:szCs w:val="18"/>
                <w:color w:val="0000FF"/>
                <w:w w:val="94"/>
              </w:rPr>
              <w:t>ITEM 7.</w:t>
            </w:r>
          </w:p>
        </w:tc>
        <w:tc>
          <w:tcPr>
            <w:tcW w:w="760" w:type="dxa"/>
            <w:vAlign w:val="bottom"/>
            <w:gridSpan w:val="4"/>
          </w:tcPr>
          <w:p>
            <w:pPr>
              <w:spacing w:after="0"/>
              <w:rPr>
                <w:sz w:val="15"/>
                <w:szCs w:val="15"/>
                <w:color w:val="auto"/>
              </w:rPr>
            </w:pPr>
          </w:p>
        </w:tc>
        <w:tc>
          <w:tcPr>
            <w:tcW w:w="8560" w:type="dxa"/>
            <w:vAlign w:val="bottom"/>
            <w:gridSpan w:val="31"/>
          </w:tcPr>
          <w:p>
            <w:pPr>
              <w:spacing w:after="0" w:line="175" w:lineRule="exact"/>
              <w:rPr>
                <w:sz w:val="20"/>
                <w:szCs w:val="20"/>
                <w:color w:val="auto"/>
              </w:rPr>
            </w:pPr>
            <w:r>
              <w:rPr>
                <w:rFonts w:ascii="Calibri" w:cs="Calibri" w:eastAsia="Calibri" w:hAnsi="Calibri"/>
                <w:sz w:val="18"/>
                <w:szCs w:val="18"/>
                <w:color w:val="0000FF"/>
              </w:rPr>
              <w:t>MANAGEMENT’S DISCUSSION AND ANALYSIS OF FINANCIAL CONDITION AND RESULTS OF OPERATIONS</w:t>
            </w:r>
          </w:p>
        </w:tc>
        <w:tc>
          <w:tcPr>
            <w:tcW w:w="800" w:type="dxa"/>
            <w:vAlign w:val="bottom"/>
            <w:gridSpan w:val="3"/>
          </w:tcPr>
          <w:p>
            <w:pPr>
              <w:jc w:val="center"/>
              <w:ind w:left="451"/>
              <w:spacing w:after="0" w:line="175" w:lineRule="exact"/>
              <w:rPr>
                <w:sz w:val="20"/>
                <w:szCs w:val="20"/>
                <w:color w:val="auto"/>
              </w:rPr>
            </w:pPr>
            <w:r>
              <w:rPr>
                <w:rFonts w:ascii="Calibri" w:cs="Calibri" w:eastAsia="Calibri" w:hAnsi="Calibri"/>
                <w:sz w:val="18"/>
                <w:szCs w:val="18"/>
                <w:color w:val="0000FF"/>
                <w:w w:val="98"/>
              </w:rPr>
              <w:t>36</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300" w:type="dxa"/>
            <w:vAlign w:val="bottom"/>
            <w:gridSpan w:val="5"/>
            <w:shd w:val="clear" w:color="auto" w:fill="CCEEFF"/>
          </w:tcPr>
          <w:p>
            <w:pPr>
              <w:spacing w:after="0" w:line="175" w:lineRule="exact"/>
              <w:rPr>
                <w:sz w:val="20"/>
                <w:szCs w:val="20"/>
                <w:color w:val="auto"/>
              </w:rPr>
            </w:pPr>
            <w:r>
              <w:rPr>
                <w:rFonts w:ascii="Calibri" w:cs="Calibri" w:eastAsia="Calibri" w:hAnsi="Calibri"/>
                <w:sz w:val="18"/>
                <w:szCs w:val="18"/>
                <w:color w:val="0000FF"/>
              </w:rPr>
              <w:t>ITEM 7A.</w:t>
            </w:r>
          </w:p>
        </w:tc>
        <w:tc>
          <w:tcPr>
            <w:tcW w:w="8560" w:type="dxa"/>
            <w:vAlign w:val="bottom"/>
            <w:gridSpan w:val="31"/>
            <w:shd w:val="clear" w:color="auto" w:fill="CCEEFF"/>
          </w:tcPr>
          <w:p>
            <w:pPr>
              <w:spacing w:after="0" w:line="175" w:lineRule="exact"/>
              <w:rPr>
                <w:sz w:val="20"/>
                <w:szCs w:val="20"/>
                <w:color w:val="auto"/>
              </w:rPr>
            </w:pPr>
            <w:r>
              <w:rPr>
                <w:rFonts w:ascii="Calibri" w:cs="Calibri" w:eastAsia="Calibri" w:hAnsi="Calibri"/>
                <w:sz w:val="18"/>
                <w:szCs w:val="18"/>
                <w:color w:val="0000FF"/>
              </w:rPr>
              <w:t>QUANTITATIVE AND QUALITATIVE DISCLOSURES ABOUT MARKET RISK</w:t>
            </w:r>
          </w:p>
        </w:tc>
        <w:tc>
          <w:tcPr>
            <w:tcW w:w="800" w:type="dxa"/>
            <w:vAlign w:val="bottom"/>
            <w:tcBorders>
              <w:right w:val="single" w:sz="8" w:color="CCEEFF"/>
            </w:tcBorders>
            <w:gridSpan w:val="3"/>
            <w:shd w:val="clear" w:color="auto" w:fill="CCEEFF"/>
          </w:tcPr>
          <w:p>
            <w:pPr>
              <w:jc w:val="center"/>
              <w:ind w:left="451"/>
              <w:spacing w:after="0" w:line="175" w:lineRule="exact"/>
              <w:rPr>
                <w:sz w:val="20"/>
                <w:szCs w:val="20"/>
                <w:color w:val="auto"/>
              </w:rPr>
            </w:pPr>
            <w:r>
              <w:rPr>
                <w:rFonts w:ascii="Calibri" w:cs="Calibri" w:eastAsia="Calibri" w:hAnsi="Calibri"/>
                <w:sz w:val="18"/>
                <w:szCs w:val="18"/>
                <w:color w:val="0000FF"/>
                <w:w w:val="98"/>
              </w:rPr>
              <w:t>47</w:t>
            </w: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right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3"/>
          </w:tcPr>
          <w:p>
            <w:pPr>
              <w:spacing w:after="0" w:line="175" w:lineRule="exact"/>
              <w:rPr>
                <w:sz w:val="20"/>
                <w:szCs w:val="20"/>
                <w:color w:val="auto"/>
              </w:rPr>
            </w:pPr>
            <w:r>
              <w:rPr>
                <w:rFonts w:ascii="Calibri" w:cs="Calibri" w:eastAsia="Calibri" w:hAnsi="Calibri"/>
                <w:sz w:val="18"/>
                <w:szCs w:val="18"/>
                <w:color w:val="0000FF"/>
              </w:rPr>
              <w:t>ITEM 8.</w:t>
            </w:r>
          </w:p>
        </w:tc>
        <w:tc>
          <w:tcPr>
            <w:tcW w:w="660" w:type="dxa"/>
            <w:vAlign w:val="bottom"/>
            <w:gridSpan w:val="2"/>
          </w:tcPr>
          <w:p>
            <w:pPr>
              <w:spacing w:after="0"/>
              <w:rPr>
                <w:sz w:val="15"/>
                <w:szCs w:val="15"/>
                <w:color w:val="auto"/>
              </w:rPr>
            </w:pPr>
          </w:p>
        </w:tc>
        <w:tc>
          <w:tcPr>
            <w:tcW w:w="4940" w:type="dxa"/>
            <w:vAlign w:val="bottom"/>
            <w:gridSpan w:val="24"/>
          </w:tcPr>
          <w:p>
            <w:pPr>
              <w:spacing w:after="0" w:line="175" w:lineRule="exact"/>
              <w:rPr>
                <w:sz w:val="20"/>
                <w:szCs w:val="20"/>
                <w:color w:val="auto"/>
              </w:rPr>
            </w:pPr>
            <w:r>
              <w:rPr>
                <w:rFonts w:ascii="Calibri" w:cs="Calibri" w:eastAsia="Calibri" w:hAnsi="Calibri"/>
                <w:sz w:val="18"/>
                <w:szCs w:val="18"/>
                <w:color w:val="0000FF"/>
              </w:rPr>
              <w:t>FINANCIAL STATEMENTS AND SUPPLEMENTARY DATA</w:t>
            </w:r>
          </w:p>
        </w:tc>
        <w:tc>
          <w:tcPr>
            <w:tcW w:w="3620" w:type="dxa"/>
            <w:vAlign w:val="bottom"/>
            <w:gridSpan w:val="7"/>
          </w:tcPr>
          <w:p>
            <w:pPr>
              <w:spacing w:after="0"/>
              <w:rPr>
                <w:sz w:val="15"/>
                <w:szCs w:val="15"/>
                <w:color w:val="auto"/>
              </w:rPr>
            </w:pPr>
          </w:p>
        </w:tc>
        <w:tc>
          <w:tcPr>
            <w:tcW w:w="800" w:type="dxa"/>
            <w:vAlign w:val="bottom"/>
            <w:gridSpan w:val="3"/>
          </w:tcPr>
          <w:p>
            <w:pPr>
              <w:jc w:val="center"/>
              <w:ind w:left="451"/>
              <w:spacing w:after="0" w:line="175" w:lineRule="exact"/>
              <w:rPr>
                <w:sz w:val="20"/>
                <w:szCs w:val="20"/>
                <w:color w:val="auto"/>
              </w:rPr>
            </w:pPr>
            <w:r>
              <w:rPr>
                <w:rFonts w:ascii="Calibri" w:cs="Calibri" w:eastAsia="Calibri" w:hAnsi="Calibri"/>
                <w:sz w:val="18"/>
                <w:szCs w:val="18"/>
                <w:color w:val="0000FF"/>
                <w:w w:val="98"/>
              </w:rPr>
              <w:t>49</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line="175" w:lineRule="exact"/>
              <w:rPr>
                <w:sz w:val="20"/>
                <w:szCs w:val="20"/>
                <w:color w:val="auto"/>
              </w:rPr>
            </w:pPr>
            <w:r>
              <w:rPr>
                <w:rFonts w:ascii="Calibri" w:cs="Calibri" w:eastAsia="Calibri" w:hAnsi="Calibri"/>
                <w:sz w:val="18"/>
                <w:szCs w:val="18"/>
                <w:color w:val="0000FF"/>
                <w:w w:val="94"/>
              </w:rPr>
              <w:t>ITEM 9.</w:t>
            </w:r>
          </w:p>
        </w:tc>
        <w:tc>
          <w:tcPr>
            <w:tcW w:w="760" w:type="dxa"/>
            <w:vAlign w:val="bottom"/>
            <w:gridSpan w:val="4"/>
            <w:shd w:val="clear" w:color="auto" w:fill="CCEEFF"/>
          </w:tcPr>
          <w:p>
            <w:pPr>
              <w:spacing w:after="0"/>
              <w:rPr>
                <w:sz w:val="15"/>
                <w:szCs w:val="15"/>
                <w:color w:val="auto"/>
              </w:rPr>
            </w:pPr>
          </w:p>
        </w:tc>
        <w:tc>
          <w:tcPr>
            <w:tcW w:w="8560" w:type="dxa"/>
            <w:vAlign w:val="bottom"/>
            <w:gridSpan w:val="31"/>
            <w:shd w:val="clear" w:color="auto" w:fill="CCEEFF"/>
          </w:tcPr>
          <w:p>
            <w:pPr>
              <w:spacing w:after="0" w:line="175" w:lineRule="exact"/>
              <w:rPr>
                <w:sz w:val="20"/>
                <w:szCs w:val="20"/>
                <w:color w:val="auto"/>
              </w:rPr>
            </w:pPr>
            <w:r>
              <w:rPr>
                <w:rFonts w:ascii="Calibri" w:cs="Calibri" w:eastAsia="Calibri" w:hAnsi="Calibri"/>
                <w:sz w:val="18"/>
                <w:szCs w:val="18"/>
                <w:color w:val="0000FF"/>
              </w:rPr>
              <w:t>CHANGES IN AND DISAGREEMENTS WITH ACCOUNTANTS ON ACCOUNTING AND FINANCIAL DISCLOSURE</w:t>
            </w:r>
          </w:p>
        </w:tc>
        <w:tc>
          <w:tcPr>
            <w:tcW w:w="800" w:type="dxa"/>
            <w:vAlign w:val="bottom"/>
            <w:tcBorders>
              <w:right w:val="single" w:sz="8" w:color="CCEEFF"/>
            </w:tcBorders>
            <w:gridSpan w:val="3"/>
            <w:shd w:val="clear" w:color="auto" w:fill="CCEEFF"/>
          </w:tcPr>
          <w:p>
            <w:pPr>
              <w:jc w:val="center"/>
              <w:ind w:left="451"/>
              <w:spacing w:after="0" w:line="175" w:lineRule="exact"/>
              <w:rPr>
                <w:sz w:val="20"/>
                <w:szCs w:val="20"/>
                <w:color w:val="auto"/>
              </w:rPr>
            </w:pPr>
            <w:r>
              <w:rPr>
                <w:rFonts w:ascii="Calibri" w:cs="Calibri" w:eastAsia="Calibri" w:hAnsi="Calibri"/>
                <w:sz w:val="18"/>
                <w:szCs w:val="18"/>
                <w:color w:val="0000FF"/>
                <w:w w:val="98"/>
              </w:rPr>
              <w:t>92</w:t>
            </w: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right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300" w:type="dxa"/>
            <w:vAlign w:val="bottom"/>
            <w:gridSpan w:val="5"/>
          </w:tcPr>
          <w:p>
            <w:pPr>
              <w:spacing w:after="0" w:line="175" w:lineRule="exact"/>
              <w:rPr>
                <w:sz w:val="20"/>
                <w:szCs w:val="20"/>
                <w:color w:val="auto"/>
              </w:rPr>
            </w:pPr>
            <w:r>
              <w:rPr>
                <w:rFonts w:ascii="Calibri" w:cs="Calibri" w:eastAsia="Calibri" w:hAnsi="Calibri"/>
                <w:sz w:val="18"/>
                <w:szCs w:val="18"/>
                <w:color w:val="0000FF"/>
              </w:rPr>
              <w:t>ITEM 9A.</w:t>
            </w:r>
          </w:p>
        </w:tc>
        <w:tc>
          <w:tcPr>
            <w:tcW w:w="8560" w:type="dxa"/>
            <w:vAlign w:val="bottom"/>
            <w:gridSpan w:val="31"/>
          </w:tcPr>
          <w:p>
            <w:pPr>
              <w:spacing w:after="0" w:line="175" w:lineRule="exact"/>
              <w:rPr>
                <w:sz w:val="20"/>
                <w:szCs w:val="20"/>
                <w:color w:val="auto"/>
              </w:rPr>
            </w:pPr>
            <w:r>
              <w:rPr>
                <w:rFonts w:ascii="Calibri" w:cs="Calibri" w:eastAsia="Calibri" w:hAnsi="Calibri"/>
                <w:sz w:val="18"/>
                <w:szCs w:val="18"/>
                <w:color w:val="0000FF"/>
              </w:rPr>
              <w:t>CONTROLS AND PROCEDURES</w:t>
            </w:r>
          </w:p>
        </w:tc>
        <w:tc>
          <w:tcPr>
            <w:tcW w:w="800" w:type="dxa"/>
            <w:vAlign w:val="bottom"/>
            <w:gridSpan w:val="3"/>
          </w:tcPr>
          <w:p>
            <w:pPr>
              <w:jc w:val="center"/>
              <w:ind w:left="451"/>
              <w:spacing w:after="0" w:line="175" w:lineRule="exact"/>
              <w:rPr>
                <w:sz w:val="20"/>
                <w:szCs w:val="20"/>
                <w:color w:val="auto"/>
              </w:rPr>
            </w:pPr>
            <w:r>
              <w:rPr>
                <w:rFonts w:ascii="Calibri" w:cs="Calibri" w:eastAsia="Calibri" w:hAnsi="Calibri"/>
                <w:sz w:val="18"/>
                <w:szCs w:val="18"/>
                <w:color w:val="0000FF"/>
                <w:w w:val="98"/>
              </w:rPr>
              <w:t>92</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40" w:type="dxa"/>
            <w:vAlign w:val="bottom"/>
            <w:gridSpan w:val="3"/>
            <w:shd w:val="clear" w:color="auto" w:fill="CCEEFF"/>
          </w:tcPr>
          <w:p>
            <w:pPr>
              <w:spacing w:after="0" w:line="175" w:lineRule="exact"/>
              <w:rPr>
                <w:sz w:val="20"/>
                <w:szCs w:val="20"/>
                <w:color w:val="auto"/>
              </w:rPr>
            </w:pPr>
            <w:r>
              <w:rPr>
                <w:rFonts w:ascii="Calibri" w:cs="Calibri" w:eastAsia="Calibri" w:hAnsi="Calibri"/>
                <w:sz w:val="18"/>
                <w:szCs w:val="18"/>
                <w:color w:val="0000FF"/>
                <w:w w:val="95"/>
              </w:rPr>
              <w:t>ITEM 9B.</w:t>
            </w:r>
          </w:p>
        </w:tc>
        <w:tc>
          <w:tcPr>
            <w:tcW w:w="660" w:type="dxa"/>
            <w:vAlign w:val="bottom"/>
            <w:gridSpan w:val="2"/>
            <w:shd w:val="clear" w:color="auto" w:fill="CCEEFF"/>
          </w:tcPr>
          <w:p>
            <w:pPr>
              <w:spacing w:after="0"/>
              <w:rPr>
                <w:sz w:val="15"/>
                <w:szCs w:val="15"/>
                <w:color w:val="auto"/>
              </w:rPr>
            </w:pPr>
          </w:p>
        </w:tc>
        <w:tc>
          <w:tcPr>
            <w:tcW w:w="8560" w:type="dxa"/>
            <w:vAlign w:val="bottom"/>
            <w:gridSpan w:val="31"/>
            <w:shd w:val="clear" w:color="auto" w:fill="CCEEFF"/>
          </w:tcPr>
          <w:p>
            <w:pPr>
              <w:spacing w:after="0" w:line="175" w:lineRule="exact"/>
              <w:rPr>
                <w:sz w:val="20"/>
                <w:szCs w:val="20"/>
                <w:color w:val="auto"/>
              </w:rPr>
            </w:pPr>
            <w:r>
              <w:rPr>
                <w:rFonts w:ascii="Calibri" w:cs="Calibri" w:eastAsia="Calibri" w:hAnsi="Calibri"/>
                <w:sz w:val="18"/>
                <w:szCs w:val="18"/>
                <w:color w:val="0000FF"/>
              </w:rPr>
              <w:t>OTHER INFORMATION</w:t>
            </w:r>
          </w:p>
        </w:tc>
        <w:tc>
          <w:tcPr>
            <w:tcW w:w="800" w:type="dxa"/>
            <w:vAlign w:val="bottom"/>
            <w:tcBorders>
              <w:right w:val="single" w:sz="8" w:color="CCEEFF"/>
            </w:tcBorders>
            <w:gridSpan w:val="3"/>
            <w:shd w:val="clear" w:color="auto" w:fill="CCEEFF"/>
          </w:tcPr>
          <w:p>
            <w:pPr>
              <w:jc w:val="center"/>
              <w:ind w:left="451"/>
              <w:spacing w:after="0" w:line="175" w:lineRule="exact"/>
              <w:rPr>
                <w:sz w:val="20"/>
                <w:szCs w:val="20"/>
                <w:color w:val="auto"/>
              </w:rPr>
            </w:pPr>
            <w:r>
              <w:rPr>
                <w:rFonts w:ascii="Calibri" w:cs="Calibri" w:eastAsia="Calibri" w:hAnsi="Calibri"/>
                <w:sz w:val="18"/>
                <w:szCs w:val="18"/>
                <w:color w:val="0000FF"/>
                <w:w w:val="98"/>
              </w:rPr>
              <w:t>93</w:t>
            </w: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right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gridSpan w:val="3"/>
          </w:tcPr>
          <w:p>
            <w:pPr>
              <w:spacing w:after="0" w:line="175" w:lineRule="exact"/>
              <w:rPr>
                <w:sz w:val="20"/>
                <w:szCs w:val="20"/>
                <w:color w:val="auto"/>
              </w:rPr>
            </w:pPr>
            <w:r>
              <w:rPr>
                <w:rFonts w:ascii="Calibri" w:cs="Calibri" w:eastAsia="Calibri" w:hAnsi="Calibri"/>
                <w:sz w:val="18"/>
                <w:szCs w:val="18"/>
                <w:color w:val="0000FF"/>
                <w:w w:val="95"/>
              </w:rPr>
              <w:t>ITEM 9C.</w:t>
            </w:r>
          </w:p>
        </w:tc>
        <w:tc>
          <w:tcPr>
            <w:tcW w:w="660" w:type="dxa"/>
            <w:vAlign w:val="bottom"/>
            <w:gridSpan w:val="2"/>
          </w:tcPr>
          <w:p>
            <w:pPr>
              <w:spacing w:after="0"/>
              <w:rPr>
                <w:sz w:val="15"/>
                <w:szCs w:val="15"/>
                <w:color w:val="auto"/>
              </w:rPr>
            </w:pPr>
          </w:p>
        </w:tc>
        <w:tc>
          <w:tcPr>
            <w:tcW w:w="8560" w:type="dxa"/>
            <w:vAlign w:val="bottom"/>
            <w:gridSpan w:val="31"/>
          </w:tcPr>
          <w:p>
            <w:pPr>
              <w:spacing w:after="0" w:line="175" w:lineRule="exact"/>
              <w:rPr>
                <w:sz w:val="20"/>
                <w:szCs w:val="20"/>
                <w:color w:val="auto"/>
              </w:rPr>
            </w:pPr>
            <w:r>
              <w:rPr>
                <w:rFonts w:ascii="Calibri" w:cs="Calibri" w:eastAsia="Calibri" w:hAnsi="Calibri"/>
                <w:sz w:val="18"/>
                <w:szCs w:val="18"/>
                <w:color w:val="0000FF"/>
              </w:rPr>
              <w:t>DISCLOSURE REGARDING FOREIGN JURISDICTIONS THAT PREVENT INSPECTIONS</w:t>
            </w:r>
          </w:p>
        </w:tc>
        <w:tc>
          <w:tcPr>
            <w:tcW w:w="800" w:type="dxa"/>
            <w:vAlign w:val="bottom"/>
            <w:gridSpan w:val="3"/>
          </w:tcPr>
          <w:p>
            <w:pPr>
              <w:jc w:val="center"/>
              <w:ind w:left="451"/>
              <w:spacing w:after="0" w:line="175" w:lineRule="exact"/>
              <w:rPr>
                <w:sz w:val="20"/>
                <w:szCs w:val="20"/>
                <w:color w:val="auto"/>
              </w:rPr>
            </w:pPr>
            <w:r>
              <w:rPr>
                <w:rFonts w:ascii="Calibri" w:cs="Calibri" w:eastAsia="Calibri" w:hAnsi="Calibri"/>
                <w:sz w:val="18"/>
                <w:szCs w:val="18"/>
                <w:color w:val="0000FF"/>
                <w:w w:val="98"/>
              </w:rPr>
              <w:t>93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80" w:type="dxa"/>
            <w:vAlign w:val="bottom"/>
            <w:gridSpan w:val="15"/>
          </w:tcPr>
          <w:p>
            <w:pPr>
              <w:jc w:val="center"/>
              <w:ind w:right="3780"/>
              <w:spacing w:after="0" w:line="175" w:lineRule="exact"/>
              <w:rPr>
                <w:sz w:val="20"/>
                <w:szCs w:val="20"/>
                <w:color w:val="auto"/>
              </w:rPr>
            </w:pPr>
            <w:r>
              <w:rPr>
                <w:rFonts w:ascii="Calibri" w:cs="Calibri" w:eastAsia="Calibri" w:hAnsi="Calibri"/>
                <w:sz w:val="18"/>
                <w:szCs w:val="18"/>
                <w:b w:val="1"/>
                <w:bCs w:val="1"/>
                <w:color w:val="0000FF"/>
                <w:w w:val="95"/>
              </w:rPr>
              <w:t>PART III.</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300" w:type="dxa"/>
            <w:vAlign w:val="bottom"/>
            <w:gridSpan w:val="5"/>
            <w:shd w:val="clear" w:color="auto" w:fill="CCEEFF"/>
          </w:tcPr>
          <w:p>
            <w:pPr>
              <w:spacing w:after="0" w:line="175" w:lineRule="exact"/>
              <w:rPr>
                <w:sz w:val="20"/>
                <w:szCs w:val="20"/>
                <w:color w:val="auto"/>
              </w:rPr>
            </w:pPr>
            <w:r>
              <w:rPr>
                <w:rFonts w:ascii="Calibri" w:cs="Calibri" w:eastAsia="Calibri" w:hAnsi="Calibri"/>
                <w:sz w:val="18"/>
                <w:szCs w:val="18"/>
                <w:color w:val="0000FF"/>
              </w:rPr>
              <w:t>ITEM 10.</w:t>
            </w:r>
          </w:p>
        </w:tc>
        <w:tc>
          <w:tcPr>
            <w:tcW w:w="8560" w:type="dxa"/>
            <w:vAlign w:val="bottom"/>
            <w:gridSpan w:val="31"/>
            <w:shd w:val="clear" w:color="auto" w:fill="CCEEFF"/>
          </w:tcPr>
          <w:p>
            <w:pPr>
              <w:spacing w:after="0" w:line="175" w:lineRule="exact"/>
              <w:rPr>
                <w:sz w:val="20"/>
                <w:szCs w:val="20"/>
                <w:color w:val="auto"/>
              </w:rPr>
            </w:pPr>
            <w:r>
              <w:rPr>
                <w:rFonts w:ascii="Calibri" w:cs="Calibri" w:eastAsia="Calibri" w:hAnsi="Calibri"/>
                <w:sz w:val="18"/>
                <w:szCs w:val="18"/>
                <w:color w:val="0000FF"/>
              </w:rPr>
              <w:t>DIRECTORS, EXECUTIVE OFFICERS AND CORPORATE GOVERNANCE</w:t>
            </w:r>
          </w:p>
        </w:tc>
        <w:tc>
          <w:tcPr>
            <w:tcW w:w="800" w:type="dxa"/>
            <w:vAlign w:val="bottom"/>
            <w:tcBorders>
              <w:right w:val="single" w:sz="8" w:color="CCEEFF"/>
            </w:tcBorders>
            <w:gridSpan w:val="3"/>
            <w:shd w:val="clear" w:color="auto" w:fill="CCEEFF"/>
          </w:tcPr>
          <w:p>
            <w:pPr>
              <w:jc w:val="center"/>
              <w:ind w:left="451"/>
              <w:spacing w:after="0" w:line="175" w:lineRule="exact"/>
              <w:rPr>
                <w:sz w:val="20"/>
                <w:szCs w:val="20"/>
                <w:color w:val="auto"/>
              </w:rPr>
            </w:pPr>
            <w:r>
              <w:rPr>
                <w:rFonts w:ascii="Calibri" w:cs="Calibri" w:eastAsia="Calibri" w:hAnsi="Calibri"/>
                <w:sz w:val="18"/>
                <w:szCs w:val="18"/>
                <w:color w:val="0000FF"/>
                <w:w w:val="98"/>
              </w:rPr>
              <w:t>94</w:t>
            </w: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right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300" w:type="dxa"/>
            <w:vAlign w:val="bottom"/>
            <w:gridSpan w:val="5"/>
          </w:tcPr>
          <w:p>
            <w:pPr>
              <w:spacing w:after="0" w:line="175" w:lineRule="exact"/>
              <w:rPr>
                <w:sz w:val="20"/>
                <w:szCs w:val="20"/>
                <w:color w:val="auto"/>
              </w:rPr>
            </w:pPr>
            <w:r>
              <w:rPr>
                <w:rFonts w:ascii="Calibri" w:cs="Calibri" w:eastAsia="Calibri" w:hAnsi="Calibri"/>
                <w:sz w:val="18"/>
                <w:szCs w:val="18"/>
                <w:color w:val="0000FF"/>
              </w:rPr>
              <w:t>ITEM 11.</w:t>
            </w:r>
          </w:p>
        </w:tc>
        <w:tc>
          <w:tcPr>
            <w:tcW w:w="8560" w:type="dxa"/>
            <w:vAlign w:val="bottom"/>
            <w:gridSpan w:val="31"/>
          </w:tcPr>
          <w:p>
            <w:pPr>
              <w:spacing w:after="0" w:line="175" w:lineRule="exact"/>
              <w:rPr>
                <w:sz w:val="20"/>
                <w:szCs w:val="20"/>
                <w:color w:val="auto"/>
              </w:rPr>
            </w:pPr>
            <w:r>
              <w:rPr>
                <w:rFonts w:ascii="Calibri" w:cs="Calibri" w:eastAsia="Calibri" w:hAnsi="Calibri"/>
                <w:sz w:val="18"/>
                <w:szCs w:val="18"/>
                <w:color w:val="0000FF"/>
              </w:rPr>
              <w:t>EXECUTIVE COMPENSATION</w:t>
            </w:r>
          </w:p>
        </w:tc>
        <w:tc>
          <w:tcPr>
            <w:tcW w:w="800" w:type="dxa"/>
            <w:vAlign w:val="bottom"/>
            <w:gridSpan w:val="3"/>
          </w:tcPr>
          <w:p>
            <w:pPr>
              <w:jc w:val="center"/>
              <w:ind w:left="451"/>
              <w:spacing w:after="0" w:line="175" w:lineRule="exact"/>
              <w:rPr>
                <w:sz w:val="20"/>
                <w:szCs w:val="20"/>
                <w:color w:val="auto"/>
              </w:rPr>
            </w:pPr>
            <w:r>
              <w:rPr>
                <w:rFonts w:ascii="Calibri" w:cs="Calibri" w:eastAsia="Calibri" w:hAnsi="Calibri"/>
                <w:sz w:val="18"/>
                <w:szCs w:val="18"/>
                <w:color w:val="0000FF"/>
                <w:w w:val="98"/>
              </w:rPr>
              <w:t>94</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300" w:type="dxa"/>
            <w:vAlign w:val="bottom"/>
            <w:gridSpan w:val="5"/>
            <w:shd w:val="clear" w:color="auto" w:fill="CCEEFF"/>
          </w:tcPr>
          <w:p>
            <w:pPr>
              <w:spacing w:after="0" w:line="175" w:lineRule="exact"/>
              <w:rPr>
                <w:sz w:val="20"/>
                <w:szCs w:val="20"/>
                <w:color w:val="auto"/>
              </w:rPr>
            </w:pPr>
            <w:r>
              <w:rPr>
                <w:rFonts w:ascii="Calibri" w:cs="Calibri" w:eastAsia="Calibri" w:hAnsi="Calibri"/>
                <w:sz w:val="18"/>
                <w:szCs w:val="18"/>
                <w:color w:val="0000FF"/>
              </w:rPr>
              <w:t>ITEM 12.</w:t>
            </w:r>
          </w:p>
        </w:tc>
        <w:tc>
          <w:tcPr>
            <w:tcW w:w="8560" w:type="dxa"/>
            <w:vAlign w:val="bottom"/>
            <w:gridSpan w:val="31"/>
            <w:shd w:val="clear" w:color="auto" w:fill="CCEEFF"/>
          </w:tcPr>
          <w:p>
            <w:pPr>
              <w:spacing w:after="0" w:line="175" w:lineRule="exact"/>
              <w:rPr>
                <w:sz w:val="20"/>
                <w:szCs w:val="20"/>
                <w:color w:val="auto"/>
              </w:rPr>
            </w:pPr>
            <w:r>
              <w:rPr>
                <w:rFonts w:ascii="Calibri" w:cs="Calibri" w:eastAsia="Calibri" w:hAnsi="Calibri"/>
                <w:sz w:val="18"/>
                <w:szCs w:val="18"/>
                <w:color w:val="0000FF"/>
                <w:w w:val="99"/>
              </w:rPr>
              <w:t>SECURITY OWNERSHIP OF CERTAIN BENEFICIAL OWNERS AND MANAGEMENT AND RELATED STOCKHOLDER MATTERS</w:t>
            </w:r>
          </w:p>
        </w:tc>
        <w:tc>
          <w:tcPr>
            <w:tcW w:w="800" w:type="dxa"/>
            <w:vAlign w:val="bottom"/>
            <w:tcBorders>
              <w:right w:val="single" w:sz="8" w:color="CCEEFF"/>
            </w:tcBorders>
            <w:gridSpan w:val="3"/>
            <w:shd w:val="clear" w:color="auto" w:fill="CCEEFF"/>
          </w:tcPr>
          <w:p>
            <w:pPr>
              <w:jc w:val="center"/>
              <w:ind w:left="451"/>
              <w:spacing w:after="0" w:line="175" w:lineRule="exact"/>
              <w:rPr>
                <w:sz w:val="20"/>
                <w:szCs w:val="20"/>
                <w:color w:val="auto"/>
              </w:rPr>
            </w:pPr>
            <w:r>
              <w:rPr>
                <w:rFonts w:ascii="Calibri" w:cs="Calibri" w:eastAsia="Calibri" w:hAnsi="Calibri"/>
                <w:sz w:val="18"/>
                <w:szCs w:val="18"/>
                <w:color w:val="0000FF"/>
                <w:w w:val="98"/>
              </w:rPr>
              <w:t>94</w:t>
            </w: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right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300" w:type="dxa"/>
            <w:vAlign w:val="bottom"/>
            <w:gridSpan w:val="5"/>
          </w:tcPr>
          <w:p>
            <w:pPr>
              <w:spacing w:after="0" w:line="175" w:lineRule="exact"/>
              <w:rPr>
                <w:sz w:val="20"/>
                <w:szCs w:val="20"/>
                <w:color w:val="auto"/>
              </w:rPr>
            </w:pPr>
            <w:r>
              <w:rPr>
                <w:rFonts w:ascii="Calibri" w:cs="Calibri" w:eastAsia="Calibri" w:hAnsi="Calibri"/>
                <w:sz w:val="18"/>
                <w:szCs w:val="18"/>
                <w:color w:val="0000FF"/>
              </w:rPr>
              <w:t>ITEM 13.</w:t>
            </w:r>
          </w:p>
        </w:tc>
        <w:tc>
          <w:tcPr>
            <w:tcW w:w="8560" w:type="dxa"/>
            <w:vAlign w:val="bottom"/>
            <w:gridSpan w:val="31"/>
          </w:tcPr>
          <w:p>
            <w:pPr>
              <w:spacing w:after="0" w:line="175" w:lineRule="exact"/>
              <w:rPr>
                <w:sz w:val="20"/>
                <w:szCs w:val="20"/>
                <w:color w:val="auto"/>
              </w:rPr>
            </w:pPr>
            <w:r>
              <w:rPr>
                <w:rFonts w:ascii="Calibri" w:cs="Calibri" w:eastAsia="Calibri" w:hAnsi="Calibri"/>
                <w:sz w:val="18"/>
                <w:szCs w:val="18"/>
                <w:color w:val="0000FF"/>
              </w:rPr>
              <w:t>CERTAIN RELATIONSHIPS AND RELATED TRANSACTIONS, AND DIRECTOR INDEPENDENCE</w:t>
            </w:r>
          </w:p>
        </w:tc>
        <w:tc>
          <w:tcPr>
            <w:tcW w:w="800" w:type="dxa"/>
            <w:vAlign w:val="bottom"/>
            <w:gridSpan w:val="3"/>
          </w:tcPr>
          <w:p>
            <w:pPr>
              <w:jc w:val="center"/>
              <w:ind w:left="451"/>
              <w:spacing w:after="0" w:line="175" w:lineRule="exact"/>
              <w:rPr>
                <w:sz w:val="20"/>
                <w:szCs w:val="20"/>
                <w:color w:val="auto"/>
              </w:rPr>
            </w:pPr>
            <w:r>
              <w:rPr>
                <w:rFonts w:ascii="Calibri" w:cs="Calibri" w:eastAsia="Calibri" w:hAnsi="Calibri"/>
                <w:sz w:val="18"/>
                <w:szCs w:val="18"/>
                <w:color w:val="0000FF"/>
                <w:w w:val="98"/>
              </w:rPr>
              <w:t>94</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spacing w:after="0" w:line="175" w:lineRule="exact"/>
              <w:rPr>
                <w:sz w:val="20"/>
                <w:szCs w:val="20"/>
                <w:color w:val="auto"/>
              </w:rPr>
            </w:pPr>
            <w:r>
              <w:rPr>
                <w:rFonts w:ascii="Calibri" w:cs="Calibri" w:eastAsia="Calibri" w:hAnsi="Calibri"/>
                <w:sz w:val="18"/>
                <w:szCs w:val="18"/>
                <w:color w:val="0000FF"/>
              </w:rPr>
              <w:t>ITEM 14.</w:t>
            </w:r>
          </w:p>
        </w:tc>
        <w:tc>
          <w:tcPr>
            <w:tcW w:w="8560" w:type="dxa"/>
            <w:vAlign w:val="bottom"/>
            <w:gridSpan w:val="31"/>
            <w:shd w:val="clear" w:color="auto" w:fill="CCEEFF"/>
          </w:tcPr>
          <w:p>
            <w:pPr>
              <w:spacing w:after="0" w:line="175" w:lineRule="exact"/>
              <w:rPr>
                <w:sz w:val="20"/>
                <w:szCs w:val="20"/>
                <w:color w:val="auto"/>
              </w:rPr>
            </w:pPr>
            <w:r>
              <w:rPr>
                <w:rFonts w:ascii="Calibri" w:cs="Calibri" w:eastAsia="Calibri" w:hAnsi="Calibri"/>
                <w:sz w:val="18"/>
                <w:szCs w:val="18"/>
                <w:color w:val="0000FF"/>
              </w:rPr>
              <w:t>PRINCIPAL ACCOUNTANT FEES AND SERVICES</w:t>
            </w:r>
          </w:p>
        </w:tc>
        <w:tc>
          <w:tcPr>
            <w:tcW w:w="800" w:type="dxa"/>
            <w:vAlign w:val="bottom"/>
            <w:tcBorders>
              <w:right w:val="single" w:sz="8" w:color="CCEEFF"/>
            </w:tcBorders>
            <w:gridSpan w:val="3"/>
            <w:shd w:val="clear" w:color="auto" w:fill="CCEEFF"/>
          </w:tcPr>
          <w:p>
            <w:pPr>
              <w:jc w:val="center"/>
              <w:ind w:left="451"/>
              <w:spacing w:after="0" w:line="175" w:lineRule="exact"/>
              <w:rPr>
                <w:sz w:val="20"/>
                <w:szCs w:val="20"/>
                <w:color w:val="auto"/>
              </w:rPr>
            </w:pPr>
            <w:r>
              <w:rPr>
                <w:rFonts w:ascii="Calibri" w:cs="Calibri" w:eastAsia="Calibri" w:hAnsi="Calibri"/>
                <w:sz w:val="18"/>
                <w:szCs w:val="18"/>
                <w:color w:val="0000FF"/>
                <w:w w:val="98"/>
              </w:rPr>
              <w:t>94</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9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580" w:type="dxa"/>
            <w:vAlign w:val="bottom"/>
            <w:gridSpan w:val="14"/>
            <w:shd w:val="clear" w:color="auto" w:fill="CCEEFF"/>
          </w:tcPr>
          <w:p>
            <w:pPr>
              <w:jc w:val="center"/>
              <w:ind w:right="3980"/>
              <w:spacing w:after="0" w:line="175" w:lineRule="exact"/>
              <w:rPr>
                <w:sz w:val="20"/>
                <w:szCs w:val="20"/>
                <w:color w:val="auto"/>
              </w:rPr>
            </w:pPr>
            <w:r>
              <w:rPr>
                <w:rFonts w:ascii="Calibri" w:cs="Calibri" w:eastAsia="Calibri" w:hAnsi="Calibri"/>
                <w:sz w:val="18"/>
                <w:szCs w:val="18"/>
                <w:b w:val="1"/>
                <w:bCs w:val="1"/>
                <w:color w:val="0000FF"/>
                <w:w w:val="93"/>
              </w:rPr>
              <w:t>PART IV.</w:t>
            </w: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1300" w:type="dxa"/>
            <w:vAlign w:val="bottom"/>
            <w:tcBorders>
              <w:top w:val="single" w:sz="8" w:color="CCEEFF"/>
            </w:tcBorders>
            <w:gridSpan w:val="5"/>
          </w:tcPr>
          <w:p>
            <w:pPr>
              <w:spacing w:after="0" w:line="175" w:lineRule="exact"/>
              <w:rPr>
                <w:sz w:val="20"/>
                <w:szCs w:val="20"/>
                <w:color w:val="auto"/>
              </w:rPr>
            </w:pPr>
            <w:r>
              <w:rPr>
                <w:rFonts w:ascii="Calibri" w:cs="Calibri" w:eastAsia="Calibri" w:hAnsi="Calibri"/>
                <w:sz w:val="18"/>
                <w:szCs w:val="18"/>
                <w:color w:val="0000FF"/>
              </w:rPr>
              <w:t>ITEM 15.</w:t>
            </w:r>
          </w:p>
        </w:tc>
        <w:tc>
          <w:tcPr>
            <w:tcW w:w="3980" w:type="dxa"/>
            <w:vAlign w:val="bottom"/>
            <w:tcBorders>
              <w:top w:val="single" w:sz="8" w:color="CCEEFF"/>
            </w:tcBorders>
            <w:gridSpan w:val="17"/>
          </w:tcPr>
          <w:p>
            <w:pPr>
              <w:spacing w:after="0" w:line="175" w:lineRule="exact"/>
              <w:rPr>
                <w:sz w:val="20"/>
                <w:szCs w:val="20"/>
                <w:color w:val="auto"/>
              </w:rPr>
            </w:pPr>
            <w:r>
              <w:rPr>
                <w:rFonts w:ascii="Calibri" w:cs="Calibri" w:eastAsia="Calibri" w:hAnsi="Calibri"/>
                <w:sz w:val="18"/>
                <w:szCs w:val="18"/>
                <w:color w:val="0000FF"/>
              </w:rPr>
              <w:t>EXHIBITS AND FINANCIAL STATEMENT SCHEDULES</w:t>
            </w:r>
          </w:p>
        </w:tc>
        <w:tc>
          <w:tcPr>
            <w:tcW w:w="600" w:type="dxa"/>
            <w:vAlign w:val="bottom"/>
            <w:tcBorders>
              <w:top w:val="single" w:sz="8" w:color="0000FF"/>
            </w:tcBorders>
            <w:gridSpan w:val="5"/>
          </w:tcPr>
          <w:p>
            <w:pPr>
              <w:spacing w:after="0"/>
              <w:rPr>
                <w:sz w:val="15"/>
                <w:szCs w:val="15"/>
                <w:color w:val="auto"/>
              </w:rPr>
            </w:pPr>
          </w:p>
        </w:tc>
        <w:tc>
          <w:tcPr>
            <w:tcW w:w="3980" w:type="dxa"/>
            <w:vAlign w:val="bottom"/>
            <w:tcBorders>
              <w:top w:val="single" w:sz="8" w:color="CCEEFF"/>
            </w:tcBorders>
            <w:gridSpan w:val="9"/>
          </w:tcPr>
          <w:p>
            <w:pPr>
              <w:spacing w:after="0"/>
              <w:rPr>
                <w:sz w:val="15"/>
                <w:szCs w:val="15"/>
                <w:color w:val="auto"/>
              </w:rPr>
            </w:pPr>
          </w:p>
        </w:tc>
        <w:tc>
          <w:tcPr>
            <w:tcW w:w="800" w:type="dxa"/>
            <w:vAlign w:val="bottom"/>
            <w:tcBorders>
              <w:top w:val="single" w:sz="8" w:color="CCEEFF"/>
            </w:tcBorders>
            <w:gridSpan w:val="3"/>
          </w:tcPr>
          <w:p>
            <w:pPr>
              <w:jc w:val="center"/>
              <w:ind w:left="451"/>
              <w:spacing w:after="0" w:line="175" w:lineRule="exact"/>
              <w:rPr>
                <w:sz w:val="20"/>
                <w:szCs w:val="20"/>
                <w:color w:val="auto"/>
              </w:rPr>
            </w:pPr>
            <w:r>
              <w:rPr>
                <w:rFonts w:ascii="Calibri" w:cs="Calibri" w:eastAsia="Calibri" w:hAnsi="Calibri"/>
                <w:sz w:val="18"/>
                <w:szCs w:val="18"/>
                <w:color w:val="0000FF"/>
                <w:w w:val="98"/>
              </w:rPr>
              <w:t>95</w:t>
            </w:r>
          </w:p>
        </w:tc>
        <w:tc>
          <w:tcPr>
            <w:tcW w:w="5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300" w:type="dxa"/>
            <w:vAlign w:val="bottom"/>
            <w:gridSpan w:val="5"/>
            <w:shd w:val="clear" w:color="auto" w:fill="CCEEFF"/>
          </w:tcPr>
          <w:p>
            <w:pPr>
              <w:spacing w:after="0" w:line="175" w:lineRule="exact"/>
              <w:rPr>
                <w:sz w:val="20"/>
                <w:szCs w:val="20"/>
                <w:color w:val="auto"/>
              </w:rPr>
            </w:pPr>
            <w:r>
              <w:rPr>
                <w:rFonts w:ascii="Calibri" w:cs="Calibri" w:eastAsia="Calibri" w:hAnsi="Calibri"/>
                <w:sz w:val="18"/>
                <w:szCs w:val="18"/>
                <w:color w:val="0000FF"/>
              </w:rPr>
              <w:t>ITEM 16.</w:t>
            </w:r>
          </w:p>
        </w:tc>
        <w:tc>
          <w:tcPr>
            <w:tcW w:w="8560" w:type="dxa"/>
            <w:vAlign w:val="bottom"/>
            <w:gridSpan w:val="31"/>
            <w:shd w:val="clear" w:color="auto" w:fill="CCEEFF"/>
          </w:tcPr>
          <w:p>
            <w:pPr>
              <w:spacing w:after="0" w:line="175" w:lineRule="exact"/>
              <w:rPr>
                <w:sz w:val="20"/>
                <w:szCs w:val="20"/>
                <w:color w:val="auto"/>
              </w:rPr>
            </w:pPr>
            <w:r>
              <w:rPr>
                <w:rFonts w:ascii="Calibri" w:cs="Calibri" w:eastAsia="Calibri" w:hAnsi="Calibri"/>
                <w:sz w:val="18"/>
                <w:szCs w:val="18"/>
                <w:color w:val="0000FF"/>
              </w:rPr>
              <w:t>FORM 10-K SUMMARY</w:t>
            </w:r>
          </w:p>
        </w:tc>
        <w:tc>
          <w:tcPr>
            <w:tcW w:w="1320" w:type="dxa"/>
            <w:vAlign w:val="bottom"/>
            <w:gridSpan w:val="4"/>
            <w:shd w:val="clear" w:color="auto" w:fill="CCEEFF"/>
          </w:tcPr>
          <w:p>
            <w:pPr>
              <w:jc w:val="center"/>
              <w:spacing w:after="0" w:line="175" w:lineRule="exact"/>
              <w:rPr>
                <w:sz w:val="20"/>
                <w:szCs w:val="20"/>
                <w:color w:val="auto"/>
              </w:rPr>
            </w:pPr>
            <w:r>
              <w:rPr>
                <w:rFonts w:ascii="Calibri" w:cs="Calibri" w:eastAsia="Calibri" w:hAnsi="Calibri"/>
                <w:sz w:val="18"/>
                <w:szCs w:val="18"/>
                <w:color w:val="0000FF"/>
                <w:w w:val="94"/>
              </w:rPr>
              <w:t>101</w:t>
            </w: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right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gridSpan w:val="4"/>
          </w:tcPr>
          <w:p>
            <w:pPr>
              <w:spacing w:after="0" w:line="175" w:lineRule="exact"/>
              <w:rPr>
                <w:sz w:val="20"/>
                <w:szCs w:val="20"/>
                <w:color w:val="auto"/>
              </w:rPr>
            </w:pPr>
            <w:r>
              <w:rPr>
                <w:rFonts w:ascii="Calibri" w:cs="Calibri" w:eastAsia="Calibri" w:hAnsi="Calibri"/>
                <w:sz w:val="18"/>
                <w:szCs w:val="18"/>
                <w:color w:val="0000FF"/>
                <w:w w:val="94"/>
              </w:rPr>
              <w:t>SIGNATURES</w:t>
            </w: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4"/>
          </w:tcPr>
          <w:p>
            <w:pPr>
              <w:jc w:val="center"/>
              <w:spacing w:after="0" w:line="175" w:lineRule="exact"/>
              <w:rPr>
                <w:sz w:val="20"/>
                <w:szCs w:val="20"/>
                <w:color w:val="auto"/>
              </w:rPr>
            </w:pPr>
            <w:r>
              <w:rPr>
                <w:rFonts w:ascii="Calibri" w:cs="Calibri" w:eastAsia="Calibri" w:hAnsi="Calibri"/>
                <w:sz w:val="18"/>
                <w:szCs w:val="18"/>
                <w:color w:val="0000FF"/>
                <w:w w:val="94"/>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 w:name="page3"/>
    <w:bookmarkEnd w:id="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PART I</w:t>
      </w:r>
    </w:p>
    <w:p>
      <w:pPr>
        <w:spacing w:after="0" w:line="109" w:lineRule="exact"/>
        <w:rPr>
          <w:sz w:val="20"/>
          <w:szCs w:val="20"/>
          <w:color w:val="auto"/>
        </w:rPr>
      </w:pPr>
    </w:p>
    <w:p>
      <w:pPr>
        <w:ind w:firstLine="445"/>
        <w:spacing w:after="0" w:line="235" w:lineRule="auto"/>
        <w:rPr>
          <w:sz w:val="20"/>
          <w:szCs w:val="20"/>
          <w:color w:val="auto"/>
        </w:rPr>
      </w:pPr>
      <w:r>
        <w:rPr>
          <w:rFonts w:ascii="Calibri" w:cs="Calibri" w:eastAsia="Calibri" w:hAnsi="Calibri"/>
          <w:sz w:val="18"/>
          <w:szCs w:val="18"/>
          <w:color w:val="auto"/>
        </w:rPr>
        <w:t>The following discussion should be read in conjuncton with the consolidated fnancial statements and notes thereto included elsewhere in this Annual Report on Form 10-K. This Annual Report on Form 10-K contains forward-looking statements within the meaning of the federal securites laws and partcularly in Item 1: “Business,” Item 1A: “Risk Factors,” Item 3: “Legal Proceedings” and Item 7: “Management’s Discussion and Analysis of Financial Conditon and Results of Operatons” of this Annual Report on Form 10-K. These statements are indicated by words or phrases such as “antcipate,” “expect,” “estmate,” “seek,” “plan,” “believe,” “could,” “intend,” “will,” and similar words or phrases. Forward-looking statements provide current expectatons of future events based on certain assumptons and include any statement that does not directly relate to any historical or current fact. These forward-looking statements may include our projected fnancial results or expectatons regarding acquisitons, developments in technology, products and seasonality of our business. Such statements are based on current expectatons, estmates, forecasts and projectons of our industry performance and macroeconomic conditons, based on management’s judgment, beliefs, current trends and market conditons, and involve risks and uncertaintes that may cause actual results to difer materially from those contained in the forward-looking statements. We derive most of our forward-looking statements from our operatng budgets and forecasts, which are based upon many detailed assumptons. While we believe that our assumptons are reasonable, we cauton that it is very difcult to predict the impact of known factors, and it is impossible for us to antcipate all factors that could afect our actual results. Accordingly, we cauton you not to place undue reliance on these statements. Material factors that could cause actual results to difer materially from our expectatons include, but are not limited to, those disclosed under “Risk Factors” in Part I, Item 1A of this Annual Report on Form 10-K. We undertake no intent or obligaton to publicly update or revise any forward-looking statements for any reason, except as required by law.</w:t>
      </w:r>
    </w:p>
    <w:p>
      <w:pPr>
        <w:spacing w:after="0" w:line="67" w:lineRule="exact"/>
        <w:rPr>
          <w:sz w:val="20"/>
          <w:szCs w:val="20"/>
          <w:color w:val="auto"/>
        </w:rPr>
      </w:pPr>
    </w:p>
    <w:p>
      <w:pPr>
        <w:ind w:right="100" w:firstLine="405"/>
        <w:spacing w:after="0" w:line="235" w:lineRule="auto"/>
        <w:rPr>
          <w:sz w:val="20"/>
          <w:szCs w:val="20"/>
          <w:color w:val="auto"/>
        </w:rPr>
      </w:pPr>
      <w:r>
        <w:rPr>
          <w:rFonts w:ascii="Calibri" w:cs="Calibri" w:eastAsia="Calibri" w:hAnsi="Calibri"/>
          <w:sz w:val="18"/>
          <w:szCs w:val="18"/>
          <w:color w:val="auto"/>
        </w:rPr>
        <w:t>Unless stated otherwise or the context otherwise requires, references to “Broadcom,” “we,” “our,” and “us” mean Broadcom Inc. and its consolidated subsidiaries. We operate on a 52- or 53-week fscal year ending on the Sunday closest to October 31. The fscal year ended November 3, 2024 was a 53-week year. We refer to our fscal years by the calendar year in which they end.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100" w:val="left"/>
        </w:tabs>
        <w:rPr>
          <w:sz w:val="20"/>
          <w:szCs w:val="20"/>
          <w:color w:val="auto"/>
        </w:rPr>
      </w:pPr>
      <w:r>
        <w:rPr>
          <w:rFonts w:ascii="Calibri" w:cs="Calibri" w:eastAsia="Calibri" w:hAnsi="Calibri"/>
          <w:sz w:val="18"/>
          <w:szCs w:val="18"/>
          <w:b w:val="1"/>
          <w:bCs w:val="1"/>
          <w:color w:val="auto"/>
        </w:rPr>
        <w:t>ITEM 1.</w:t>
      </w:r>
      <w:r>
        <w:rPr>
          <w:sz w:val="20"/>
          <w:szCs w:val="20"/>
          <w:color w:val="auto"/>
        </w:rPr>
        <w:tab/>
      </w:r>
      <w:r>
        <w:rPr>
          <w:rFonts w:ascii="Calibri" w:cs="Calibri" w:eastAsia="Calibri" w:hAnsi="Calibri"/>
          <w:sz w:val="17"/>
          <w:szCs w:val="17"/>
          <w:b w:val="1"/>
          <w:bCs w:val="1"/>
          <w:color w:val="auto"/>
        </w:rPr>
        <w:t>BUSINESS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09"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We are a global technology leader that designs, develops and supplies a broad range of semiconductor and infrastructure sofware solutons. Our over 60-year history of innovaton dates back to our diverse origins from AT&amp;T/Bell Labs, Lucent and Hewlet-Packard Company, and evolved with LSI Corporaton, Broadcom Corporaton, Brocade Communicatons Systems LLC, CA, Inc., Symantec Enterprise Security, and VMware, Inc. (“VMware”). Over the years, we have assembled a large team of semiconductor and sofware design engineers around the world. We maintain design, product and sofware development engineering resources at locatons in the U.S., Asia, Europe and Israel, providing us with engineering expertse worldwide. We combine global scale, engineering depth, broad product portolio diversity, superior executon and operatonal focus to deliver category-leading semiconductor and infrastructure sofware solutons.</w:t>
      </w:r>
    </w:p>
    <w:p>
      <w:pPr>
        <w:spacing w:after="0" w:line="114" w:lineRule="exact"/>
        <w:rPr>
          <w:sz w:val="20"/>
          <w:szCs w:val="20"/>
          <w:color w:val="auto"/>
        </w:rPr>
      </w:pPr>
    </w:p>
    <w:p>
      <w:pPr>
        <w:ind w:right="80" w:firstLine="405"/>
        <w:spacing w:after="0" w:line="235" w:lineRule="auto"/>
        <w:rPr>
          <w:sz w:val="20"/>
          <w:szCs w:val="20"/>
          <w:color w:val="auto"/>
        </w:rPr>
      </w:pPr>
      <w:r>
        <w:rPr>
          <w:rFonts w:ascii="Calibri" w:cs="Calibri" w:eastAsia="Calibri" w:hAnsi="Calibri"/>
          <w:sz w:val="18"/>
          <w:szCs w:val="18"/>
          <w:color w:val="auto"/>
        </w:rPr>
        <w:t>We develop semiconductor devices with a focus on complex digital and mixed signal complementary metal oxide semiconductor (“CMOS”) based devices and analog III-V based products. We ofer thousands of products that are used in end products such as enterprise and data center networking, including artfcial intelligence (“AI”) networking and connectvity, home connectvity, set-top boxes (“STB”), broadband access, telecommunicaton equipment, smartphones and base statons, data center servers and storage systems, factory automaton, power generaton and alternatve energy systems, and electronic displays. We diferentate ourselves through our high-performance design and integraton capabilites and focus on developing semiconductor products for target markets where we believe we can earn atractve margins.</w:t>
      </w:r>
    </w:p>
    <w:p>
      <w:pPr>
        <w:spacing w:after="0" w:line="113" w:lineRule="exact"/>
        <w:rPr>
          <w:sz w:val="20"/>
          <w:szCs w:val="20"/>
          <w:color w:val="auto"/>
        </w:rPr>
      </w:pPr>
    </w:p>
    <w:p>
      <w:pPr>
        <w:ind w:right="120" w:firstLine="405"/>
        <w:spacing w:after="0" w:line="235" w:lineRule="auto"/>
        <w:rPr>
          <w:sz w:val="20"/>
          <w:szCs w:val="20"/>
          <w:color w:val="auto"/>
        </w:rPr>
      </w:pPr>
      <w:r>
        <w:rPr>
          <w:rFonts w:ascii="Calibri" w:cs="Calibri" w:eastAsia="Calibri" w:hAnsi="Calibri"/>
          <w:sz w:val="18"/>
          <w:szCs w:val="18"/>
          <w:color w:val="auto"/>
        </w:rPr>
        <w:t>Our infrastructure sofware solutons help enterprises simplify their informaton technology (“IT”) environments so they can increase business velocity and fexibility, and enable customers to plan, develop, deliver, automate, manage, and secure applicatons across mainframe, distributed, edge, mobile, and private and hybrid cloud platorms. Many of the largest companies in the world, including most of the Fortune 500, and many government agencies rely on our sofware solutons to help manage and secure their on-premises and hybrid cloud environments, private cloud infrastructure and AI data centers. Our portolio of industry-leading infrastructure and security sofware is designed to modernize, optmize, and secure the most complex private and hybrid cloud environments, enabling scalability, agility, automaton, insights, resiliency and security, making it easy for customers to run their mission-critcal workloads. We also ofer mission-critcal fbre channel storage area networking (“FC SAN”) products and related sofware in the form of modules, switches and subsystems incorporatng multple semiconductor products.</w:t>
      </w:r>
    </w:p>
    <w:p>
      <w:pPr>
        <w:spacing w:after="0" w:line="115" w:lineRule="exact"/>
        <w:rPr>
          <w:sz w:val="20"/>
          <w:szCs w:val="20"/>
          <w:color w:val="auto"/>
        </w:rPr>
      </w:pPr>
    </w:p>
    <w:p>
      <w:pPr>
        <w:ind w:right="40" w:firstLine="405"/>
        <w:spacing w:after="0" w:line="235" w:lineRule="auto"/>
        <w:rPr>
          <w:sz w:val="20"/>
          <w:szCs w:val="20"/>
          <w:color w:val="auto"/>
        </w:rPr>
      </w:pPr>
      <w:r>
        <w:rPr>
          <w:rFonts w:ascii="Calibri" w:cs="Calibri" w:eastAsia="Calibri" w:hAnsi="Calibri"/>
          <w:sz w:val="18"/>
          <w:szCs w:val="18"/>
          <w:color w:val="auto"/>
        </w:rPr>
        <w:t>On November 22, 2023, we acquired VMware in a cash-and-stock transacton (the “VMware Merger”), in which VMware stockholders received, in aggregate, approximately $30.8 billion in cash and 544 million shares of Broadcom common stock (on a split adjusted basis) with a fair value of $53.4 billion. We funded the cash porton of the VMware Merger consideraton with net proceeds from the issuance of $30.4 billion in term loans under a credit agreement that we entered into on August 15, 2023, as well as cash on hand. Following the VMware Merger, we sold VMware’s end-user computng business to KKR &amp; Co. Inc. for cash consideraton of $3.5 billion, afer working capital adjustments. With the VMware Merger, we have bolstered our infrastructure sofware solutons and are able to ofer our customers a greater capacity to address complex IT infrastructure issues.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Business Strategy</w:t>
      </w:r>
    </w:p>
    <w:p>
      <w:pPr>
        <w:spacing w:after="0" w:line="109" w:lineRule="exact"/>
        <w:rPr>
          <w:sz w:val="20"/>
          <w:szCs w:val="20"/>
          <w:color w:val="auto"/>
        </w:rPr>
      </w:pPr>
    </w:p>
    <w:p>
      <w:pPr>
        <w:ind w:right="40" w:firstLine="405"/>
        <w:spacing w:after="0" w:line="252" w:lineRule="auto"/>
        <w:rPr>
          <w:sz w:val="20"/>
          <w:szCs w:val="20"/>
          <w:color w:val="auto"/>
        </w:rPr>
      </w:pPr>
      <w:r>
        <w:rPr>
          <w:rFonts w:ascii="Calibri" w:cs="Calibri" w:eastAsia="Calibri" w:hAnsi="Calibri"/>
          <w:sz w:val="17"/>
          <w:szCs w:val="17"/>
          <w:color w:val="auto"/>
        </w:rPr>
        <w:t>Our strategy is focused on technology leadership and category-leading semiconductor and infrastructure sofware solutons delivering a comprehensive suite of innovatve infrastructure technology products to the world’s leading business and government customers. We seek to achieve this through strategic acquisitons of businesses and technologies, as well as extensive internal research and development, to ensure our products retain their technology market leadership. This strategy results in a robust business model designed to drive diversifed and sustainable operatng and fnancial results.</w:t>
      </w:r>
    </w:p>
    <w:p>
      <w:pPr>
        <w:spacing w:after="0" w:line="9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Products and Markets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Semiconductor Solutons</w:t>
      </w:r>
    </w:p>
    <w:p>
      <w:pPr>
        <w:spacing w:after="0" w:line="109" w:lineRule="exact"/>
        <w:rPr>
          <w:sz w:val="20"/>
          <w:szCs w:val="20"/>
          <w:color w:val="auto"/>
        </w:rPr>
      </w:pPr>
    </w:p>
    <w:p>
      <w:pPr>
        <w:ind w:right="40" w:firstLine="405"/>
        <w:spacing w:after="0" w:line="235" w:lineRule="auto"/>
        <w:rPr>
          <w:sz w:val="20"/>
          <w:szCs w:val="20"/>
          <w:color w:val="auto"/>
        </w:rPr>
      </w:pPr>
      <w:r>
        <w:rPr>
          <w:rFonts w:ascii="Calibri" w:cs="Calibri" w:eastAsia="Calibri" w:hAnsi="Calibri"/>
          <w:sz w:val="18"/>
          <w:szCs w:val="18"/>
          <w:color w:val="auto"/>
        </w:rPr>
        <w:t>Semiconductors are made by imprintng a network of electronic components onto a semiconductor wafer. These devices are designed to perform various functons such as processing, amplifying and selectvely fltering electronic signals, controlling electronic system functons and processing, and transmitng and storing data. Our digital and mixed signal products are based on silicon wafers with CMOS transistors ofering fast switching speeds and low power consumpton, which are both critcal design factors for the markets we serve. We also ofer analog products, which are based on III-V semiconductor materials that have higher electrical conductvity than silicon, and thus tend to have beter performance characteristcs in radio frequency (“RF”), and optoelectronic applicatons. III-V refers to elements from the 3rd and 5th groups in the periodic table of chemical elements. Examples of these materials used in our products are gallium arsenide (“GaAs”) and indium phosphide (“InP”).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60" w:firstLine="405"/>
        <w:spacing w:after="0" w:line="235" w:lineRule="auto"/>
        <w:rPr>
          <w:sz w:val="20"/>
          <w:szCs w:val="20"/>
          <w:color w:val="auto"/>
        </w:rPr>
      </w:pPr>
      <w:r>
        <w:rPr>
          <w:rFonts w:ascii="Calibri" w:cs="Calibri" w:eastAsia="Calibri" w:hAnsi="Calibri"/>
          <w:sz w:val="18"/>
          <w:szCs w:val="18"/>
          <w:color w:val="auto"/>
        </w:rPr>
        <w:t>Our product portolio ranges from discrete devices to complex sub-systems that include multple device types and may also incorporate frmware for interfacing between analog and digital systems. In some cases, our products include mechanical hardware that interfaces with optoelectronic or capacitve sensors. We focus on markets that require high quality, leading technology and integrated performance characteristcs of our products. The table below presents our key semiconductor product families and their major end markets and applicatons.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gridSpan w:val="3"/>
          </w:tcPr>
          <w:p>
            <w:pPr>
              <w:ind w:left="260"/>
              <w:spacing w:after="0"/>
              <w:rPr>
                <w:sz w:val="20"/>
                <w:szCs w:val="20"/>
                <w:color w:val="auto"/>
              </w:rPr>
            </w:pPr>
            <w:r>
              <w:rPr>
                <w:rFonts w:ascii="Calibri" w:cs="Calibri" w:eastAsia="Calibri" w:hAnsi="Calibri"/>
                <w:sz w:val="14"/>
                <w:szCs w:val="14"/>
                <w:b w:val="1"/>
                <w:bCs w:val="1"/>
                <w:color w:val="auto"/>
              </w:rPr>
              <w:t>Major End Markets</w:t>
            </w:r>
          </w:p>
        </w:tc>
        <w:tc>
          <w:tcPr>
            <w:tcW w:w="120" w:type="dxa"/>
            <w:vAlign w:val="bottom"/>
          </w:tcPr>
          <w:p>
            <w:pPr>
              <w:spacing w:after="0"/>
              <w:rPr>
                <w:sz w:val="14"/>
                <w:szCs w:val="14"/>
                <w:color w:val="auto"/>
              </w:rPr>
            </w:pPr>
          </w:p>
        </w:tc>
        <w:tc>
          <w:tcPr>
            <w:tcW w:w="3340" w:type="dxa"/>
            <w:vAlign w:val="bottom"/>
            <w:gridSpan w:val="3"/>
          </w:tcPr>
          <w:p>
            <w:pPr>
              <w:ind w:left="1040"/>
              <w:spacing w:after="0"/>
              <w:rPr>
                <w:sz w:val="20"/>
                <w:szCs w:val="20"/>
                <w:color w:val="auto"/>
              </w:rPr>
            </w:pPr>
            <w:r>
              <w:rPr>
                <w:rFonts w:ascii="Calibri" w:cs="Calibri" w:eastAsia="Calibri" w:hAnsi="Calibri"/>
                <w:sz w:val="14"/>
                <w:szCs w:val="14"/>
                <w:b w:val="1"/>
                <w:bCs w:val="1"/>
                <w:color w:val="auto"/>
              </w:rPr>
              <w:t>Major Applicatons</w:t>
            </w:r>
          </w:p>
        </w:tc>
        <w:tc>
          <w:tcPr>
            <w:tcW w:w="120" w:type="dxa"/>
            <w:vAlign w:val="bottom"/>
          </w:tcPr>
          <w:p>
            <w:pPr>
              <w:spacing w:after="0"/>
              <w:rPr>
                <w:sz w:val="14"/>
                <w:szCs w:val="14"/>
                <w:color w:val="auto"/>
              </w:rPr>
            </w:pPr>
          </w:p>
        </w:tc>
        <w:tc>
          <w:tcPr>
            <w:tcW w:w="6000" w:type="dxa"/>
            <w:vAlign w:val="bottom"/>
            <w:gridSpan w:val="3"/>
          </w:tcPr>
          <w:p>
            <w:pPr>
              <w:ind w:left="2300"/>
              <w:spacing w:after="0"/>
              <w:rPr>
                <w:sz w:val="20"/>
                <w:szCs w:val="20"/>
                <w:color w:val="auto"/>
              </w:rPr>
            </w:pPr>
            <w:r>
              <w:rPr>
                <w:rFonts w:ascii="Calibri" w:cs="Calibri" w:eastAsia="Calibri" w:hAnsi="Calibri"/>
                <w:sz w:val="14"/>
                <w:szCs w:val="14"/>
                <w:b w:val="1"/>
                <w:bCs w:val="1"/>
                <w:color w:val="auto"/>
              </w:rPr>
              <w:t>Key Product Oferings</w:t>
            </w: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gridSpan w:val="3"/>
            <w:shd w:val="clear" w:color="auto" w:fill="CCEEFF"/>
          </w:tcPr>
          <w:p>
            <w:pPr>
              <w:ind w:left="20"/>
              <w:spacing w:after="0" w:line="134" w:lineRule="exact"/>
              <w:rPr>
                <w:sz w:val="20"/>
                <w:szCs w:val="20"/>
                <w:color w:val="auto"/>
              </w:rPr>
            </w:pPr>
            <w:r>
              <w:rPr>
                <w:rFonts w:ascii="Calibri" w:cs="Calibri" w:eastAsia="Calibri" w:hAnsi="Calibri"/>
                <w:sz w:val="14"/>
                <w:szCs w:val="14"/>
                <w:color w:val="auto"/>
              </w:rPr>
              <w:t>Networking</w:t>
            </w:r>
          </w:p>
        </w:tc>
        <w:tc>
          <w:tcPr>
            <w:tcW w:w="120" w:type="dxa"/>
            <w:vAlign w:val="bottom"/>
            <w:shd w:val="clear" w:color="auto" w:fill="CCEEFF"/>
          </w:tcPr>
          <w:p>
            <w:pPr>
              <w:ind w:left="20"/>
              <w:spacing w:after="0" w:line="134" w:lineRule="exact"/>
              <w:rPr>
                <w:sz w:val="20"/>
                <w:szCs w:val="20"/>
                <w:color w:val="auto"/>
              </w:rPr>
            </w:pPr>
            <w:r>
              <w:rPr>
                <w:rFonts w:ascii="Calibri" w:cs="Calibri" w:eastAsia="Calibri" w:hAnsi="Calibri"/>
                <w:sz w:val="14"/>
                <w:szCs w:val="14"/>
                <w:color w:val="auto"/>
              </w:rPr>
              <w:t>•</w:t>
            </w:r>
          </w:p>
        </w:tc>
        <w:tc>
          <w:tcPr>
            <w:tcW w:w="3340" w:type="dxa"/>
            <w:vAlign w:val="bottom"/>
            <w:gridSpan w:val="3"/>
            <w:shd w:val="clear" w:color="auto" w:fill="CCEEFF"/>
          </w:tcPr>
          <w:p>
            <w:pPr>
              <w:ind w:left="60"/>
              <w:spacing w:after="0" w:line="134" w:lineRule="exact"/>
              <w:rPr>
                <w:sz w:val="20"/>
                <w:szCs w:val="20"/>
                <w:color w:val="auto"/>
              </w:rPr>
            </w:pPr>
            <w:r>
              <w:rPr>
                <w:rFonts w:ascii="Calibri" w:cs="Calibri" w:eastAsia="Calibri" w:hAnsi="Calibri"/>
                <w:sz w:val="14"/>
                <w:szCs w:val="14"/>
                <w:color w:val="auto"/>
              </w:rPr>
              <w:t>Data Center, Service Provider, and Enterprise</w:t>
            </w:r>
          </w:p>
        </w:tc>
        <w:tc>
          <w:tcPr>
            <w:tcW w:w="120" w:type="dxa"/>
            <w:vAlign w:val="bottom"/>
            <w:shd w:val="clear" w:color="auto" w:fill="CCEEFF"/>
          </w:tcPr>
          <w:p>
            <w:pPr>
              <w:spacing w:after="0" w:line="134" w:lineRule="exact"/>
              <w:rPr>
                <w:sz w:val="20"/>
                <w:szCs w:val="20"/>
                <w:color w:val="auto"/>
              </w:rPr>
            </w:pPr>
            <w:r>
              <w:rPr>
                <w:rFonts w:ascii="Calibri" w:cs="Calibri" w:eastAsia="Calibri" w:hAnsi="Calibri"/>
                <w:sz w:val="14"/>
                <w:szCs w:val="14"/>
                <w:color w:val="auto"/>
              </w:rPr>
              <w:t>•</w:t>
            </w:r>
          </w:p>
        </w:tc>
        <w:tc>
          <w:tcPr>
            <w:tcW w:w="6000" w:type="dxa"/>
            <w:vAlign w:val="bottom"/>
            <w:gridSpan w:val="3"/>
            <w:shd w:val="clear" w:color="auto" w:fill="CCEEFF"/>
          </w:tcPr>
          <w:p>
            <w:pPr>
              <w:ind w:left="60"/>
              <w:spacing w:after="0" w:line="134" w:lineRule="exact"/>
              <w:rPr>
                <w:sz w:val="20"/>
                <w:szCs w:val="20"/>
                <w:color w:val="auto"/>
              </w:rPr>
            </w:pPr>
            <w:r>
              <w:rPr>
                <w:rFonts w:ascii="Calibri" w:cs="Calibri" w:eastAsia="Calibri" w:hAnsi="Calibri"/>
                <w:sz w:val="14"/>
                <w:szCs w:val="14"/>
                <w:color w:val="auto"/>
              </w:rPr>
              <w:t>Ethernet switching and routng silicon</w:t>
            </w:r>
          </w:p>
        </w:tc>
        <w:tc>
          <w:tcPr>
            <w:tcW w:w="0" w:type="dxa"/>
            <w:vAlign w:val="bottom"/>
          </w:tcPr>
          <w:p>
            <w:pPr>
              <w:spacing w:after="0"/>
              <w:rPr>
                <w:sz w:val="1"/>
                <w:szCs w:val="1"/>
                <w:color w:val="auto"/>
              </w:rPr>
            </w:pPr>
          </w:p>
        </w:tc>
      </w:tr>
      <w:tr>
        <w:trPr>
          <w:trHeight w:val="170"/>
        </w:trPr>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340" w:type="dxa"/>
            <w:vAlign w:val="bottom"/>
            <w:gridSpan w:val="3"/>
            <w:shd w:val="clear" w:color="auto" w:fill="CCEEFF"/>
          </w:tcPr>
          <w:p>
            <w:pPr>
              <w:ind w:left="60"/>
              <w:spacing w:after="0"/>
              <w:rPr>
                <w:sz w:val="20"/>
                <w:szCs w:val="20"/>
                <w:color w:val="auto"/>
              </w:rPr>
            </w:pPr>
            <w:r>
              <w:rPr>
                <w:rFonts w:ascii="Calibri" w:cs="Calibri" w:eastAsia="Calibri" w:hAnsi="Calibri"/>
                <w:sz w:val="14"/>
                <w:szCs w:val="14"/>
                <w:color w:val="auto"/>
              </w:rPr>
              <w:t>Networking</w:t>
            </w:r>
          </w:p>
        </w:tc>
        <w:tc>
          <w:tcPr>
            <w:tcW w:w="120" w:type="dxa"/>
            <w:vAlign w:val="bottom"/>
            <w:vMerge w:val="restart"/>
            <w:shd w:val="clear" w:color="auto" w:fill="CCEEFF"/>
          </w:tcPr>
          <w:p>
            <w:pPr>
              <w:spacing w:after="0"/>
              <w:rPr>
                <w:sz w:val="20"/>
                <w:szCs w:val="20"/>
                <w:color w:val="auto"/>
              </w:rPr>
            </w:pPr>
            <w:r>
              <w:rPr>
                <w:rFonts w:ascii="Calibri" w:cs="Calibri" w:eastAsia="Calibri" w:hAnsi="Calibri"/>
                <w:sz w:val="14"/>
                <w:szCs w:val="14"/>
                <w:color w:val="auto"/>
              </w:rPr>
              <w:t>•</w:t>
            </w:r>
          </w:p>
        </w:tc>
        <w:tc>
          <w:tcPr>
            <w:tcW w:w="6000" w:type="dxa"/>
            <w:vAlign w:val="bottom"/>
            <w:gridSpan w:val="3"/>
            <w:vMerge w:val="restart"/>
            <w:shd w:val="clear" w:color="auto" w:fill="CCEEFF"/>
          </w:tcPr>
          <w:p>
            <w:pPr>
              <w:ind w:left="60"/>
              <w:spacing w:after="0"/>
              <w:rPr>
                <w:sz w:val="20"/>
                <w:szCs w:val="20"/>
                <w:color w:val="auto"/>
              </w:rPr>
            </w:pPr>
            <w:r>
              <w:rPr>
                <w:rFonts w:ascii="Calibri" w:cs="Calibri" w:eastAsia="Calibri" w:hAnsi="Calibri"/>
                <w:sz w:val="14"/>
                <w:szCs w:val="14"/>
                <w:color w:val="auto"/>
              </w:rPr>
              <w:t>Custom silicon solutons</w:t>
            </w:r>
          </w:p>
        </w:tc>
        <w:tc>
          <w:tcPr>
            <w:tcW w:w="0" w:type="dxa"/>
            <w:vAlign w:val="bottom"/>
          </w:tcPr>
          <w:p>
            <w:pPr>
              <w:spacing w:after="0"/>
              <w:rPr>
                <w:sz w:val="1"/>
                <w:szCs w:val="1"/>
                <w:color w:val="auto"/>
              </w:rPr>
            </w:pPr>
          </w:p>
        </w:tc>
      </w:tr>
      <w:tr>
        <w:trPr>
          <w:trHeight w:val="108"/>
        </w:trPr>
        <w:tc>
          <w:tcPr>
            <w:tcW w:w="2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6000" w:type="dxa"/>
            <w:vAlign w:val="bottom"/>
            <w:gridSpan w:val="3"/>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120" w:type="dxa"/>
            <w:vAlign w:val="bottom"/>
            <w:gridSpan w:val="4"/>
            <w:shd w:val="clear" w:color="auto" w:fill="CCEEFF"/>
          </w:tcPr>
          <w:p>
            <w:pPr>
              <w:spacing w:after="0"/>
              <w:rPr>
                <w:sz w:val="20"/>
                <w:szCs w:val="20"/>
                <w:color w:val="auto"/>
              </w:rPr>
            </w:pPr>
            <w:r>
              <w:rPr>
                <w:rFonts w:ascii="Calibri" w:cs="Calibri" w:eastAsia="Calibri" w:hAnsi="Calibri"/>
                <w:sz w:val="14"/>
                <w:szCs w:val="14"/>
                <w:color w:val="auto"/>
              </w:rPr>
              <w:t>•  Optcal and copper PHYs</w:t>
            </w:r>
          </w:p>
        </w:tc>
        <w:tc>
          <w:tcPr>
            <w:tcW w:w="0" w:type="dxa"/>
            <w:vAlign w:val="bottom"/>
          </w:tcPr>
          <w:p>
            <w:pPr>
              <w:spacing w:after="0"/>
              <w:rPr>
                <w:sz w:val="1"/>
                <w:szCs w:val="1"/>
                <w:color w:val="auto"/>
              </w:rPr>
            </w:pPr>
          </w:p>
        </w:tc>
      </w:tr>
      <w:tr>
        <w:trPr>
          <w:trHeight w:val="230"/>
        </w:trPr>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6120" w:type="dxa"/>
            <w:vAlign w:val="bottom"/>
            <w:tcBorders>
              <w:bottom w:val="single" w:sz="8" w:color="CCEEFF"/>
            </w:tcBorders>
            <w:gridSpan w:val="4"/>
            <w:shd w:val="clear" w:color="auto" w:fill="CCEEFF"/>
          </w:tcPr>
          <w:p>
            <w:pPr>
              <w:spacing w:after="0"/>
              <w:rPr>
                <w:sz w:val="20"/>
                <w:szCs w:val="20"/>
                <w:color w:val="auto"/>
              </w:rPr>
            </w:pPr>
            <w:r>
              <w:rPr>
                <w:rFonts w:ascii="Calibri" w:cs="Calibri" w:eastAsia="Calibri" w:hAnsi="Calibri"/>
                <w:sz w:val="14"/>
                <w:szCs w:val="14"/>
                <w:color w:val="auto"/>
              </w:rPr>
              <w:t>•  Fiber optc transmiter and receiver components</w:t>
            </w:r>
          </w:p>
        </w:tc>
        <w:tc>
          <w:tcPr>
            <w:tcW w:w="0" w:type="dxa"/>
            <w:vAlign w:val="bottom"/>
          </w:tcPr>
          <w:p>
            <w:pPr>
              <w:spacing w:after="0"/>
              <w:rPr>
                <w:sz w:val="1"/>
                <w:szCs w:val="1"/>
                <w:color w:val="auto"/>
              </w:rPr>
            </w:pPr>
          </w:p>
        </w:tc>
      </w:tr>
      <w:tr>
        <w:trPr>
          <w:trHeight w:val="170"/>
        </w:trPr>
        <w:tc>
          <w:tcPr>
            <w:tcW w:w="1660" w:type="dxa"/>
            <w:vAlign w:val="bottom"/>
            <w:gridSpan w:val="3"/>
          </w:tcPr>
          <w:p>
            <w:pPr>
              <w:ind w:left="20"/>
              <w:spacing w:after="0"/>
              <w:rPr>
                <w:sz w:val="20"/>
                <w:szCs w:val="20"/>
                <w:color w:val="auto"/>
              </w:rPr>
            </w:pPr>
            <w:r>
              <w:rPr>
                <w:rFonts w:ascii="Calibri" w:cs="Calibri" w:eastAsia="Calibri" w:hAnsi="Calibri"/>
                <w:sz w:val="14"/>
                <w:szCs w:val="14"/>
                <w:color w:val="auto"/>
              </w:rPr>
              <w:t>Wireless</w:t>
            </w:r>
          </w:p>
        </w:tc>
        <w:tc>
          <w:tcPr>
            <w:tcW w:w="120" w:type="dxa"/>
            <w:vAlign w:val="bottom"/>
          </w:tcPr>
          <w:p>
            <w:pPr>
              <w:ind w:left="20"/>
              <w:spacing w:after="0"/>
              <w:rPr>
                <w:sz w:val="20"/>
                <w:szCs w:val="20"/>
                <w:color w:val="auto"/>
              </w:rPr>
            </w:pPr>
            <w:r>
              <w:rPr>
                <w:rFonts w:ascii="Calibri" w:cs="Calibri" w:eastAsia="Calibri" w:hAnsi="Calibri"/>
                <w:sz w:val="14"/>
                <w:szCs w:val="14"/>
                <w:color w:val="auto"/>
              </w:rPr>
              <w:t>•</w:t>
            </w:r>
          </w:p>
        </w:tc>
        <w:tc>
          <w:tcPr>
            <w:tcW w:w="3340" w:type="dxa"/>
            <w:vAlign w:val="bottom"/>
            <w:gridSpan w:val="3"/>
          </w:tcPr>
          <w:p>
            <w:pPr>
              <w:ind w:left="60"/>
              <w:spacing w:after="0"/>
              <w:rPr>
                <w:sz w:val="20"/>
                <w:szCs w:val="20"/>
                <w:color w:val="auto"/>
              </w:rPr>
            </w:pPr>
            <w:r>
              <w:rPr>
                <w:rFonts w:ascii="Calibri" w:cs="Calibri" w:eastAsia="Calibri" w:hAnsi="Calibri"/>
                <w:sz w:val="14"/>
                <w:szCs w:val="14"/>
                <w:color w:val="auto"/>
              </w:rPr>
              <w:t>Mobile Device Connectvity</w:t>
            </w:r>
          </w:p>
        </w:tc>
        <w:tc>
          <w:tcPr>
            <w:tcW w:w="120" w:type="dxa"/>
            <w:vAlign w:val="bottom"/>
          </w:tcPr>
          <w:p>
            <w:pPr>
              <w:spacing w:after="0"/>
              <w:rPr>
                <w:sz w:val="20"/>
                <w:szCs w:val="20"/>
                <w:color w:val="auto"/>
              </w:rPr>
            </w:pPr>
            <w:r>
              <w:rPr>
                <w:rFonts w:ascii="Calibri" w:cs="Calibri" w:eastAsia="Calibri" w:hAnsi="Calibri"/>
                <w:sz w:val="14"/>
                <w:szCs w:val="14"/>
                <w:color w:val="auto"/>
              </w:rPr>
              <w:t>•</w:t>
            </w:r>
          </w:p>
        </w:tc>
        <w:tc>
          <w:tcPr>
            <w:tcW w:w="6000" w:type="dxa"/>
            <w:vAlign w:val="bottom"/>
            <w:gridSpan w:val="3"/>
          </w:tcPr>
          <w:p>
            <w:pPr>
              <w:ind w:left="60"/>
              <w:spacing w:after="0"/>
              <w:rPr>
                <w:sz w:val="20"/>
                <w:szCs w:val="20"/>
                <w:color w:val="auto"/>
              </w:rPr>
            </w:pPr>
            <w:r>
              <w:rPr>
                <w:rFonts w:ascii="Calibri" w:cs="Calibri" w:eastAsia="Calibri" w:hAnsi="Calibri"/>
                <w:sz w:val="14"/>
                <w:szCs w:val="14"/>
                <w:color w:val="auto"/>
              </w:rPr>
              <w:t>RF front end modules and flters</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120" w:type="dxa"/>
            <w:vAlign w:val="bottom"/>
            <w:gridSpan w:val="4"/>
          </w:tcPr>
          <w:p>
            <w:pPr>
              <w:spacing w:after="0"/>
              <w:rPr>
                <w:sz w:val="20"/>
                <w:szCs w:val="20"/>
                <w:color w:val="auto"/>
              </w:rPr>
            </w:pPr>
            <w:r>
              <w:rPr>
                <w:rFonts w:ascii="Calibri" w:cs="Calibri" w:eastAsia="Calibri" w:hAnsi="Calibri"/>
                <w:sz w:val="14"/>
                <w:szCs w:val="14"/>
                <w:color w:val="auto"/>
              </w:rPr>
              <w:t>•  Wi-Fi, Bluetooth, GPS/GNSS SoCs</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Calibri" w:cs="Calibri" w:eastAsia="Calibri" w:hAnsi="Calibri"/>
                <w:sz w:val="14"/>
                <w:szCs w:val="14"/>
                <w:color w:val="auto"/>
              </w:rPr>
              <w:t>•</w:t>
            </w:r>
          </w:p>
        </w:tc>
        <w:tc>
          <w:tcPr>
            <w:tcW w:w="6000" w:type="dxa"/>
            <w:vAlign w:val="bottom"/>
            <w:gridSpan w:val="3"/>
          </w:tcPr>
          <w:p>
            <w:pPr>
              <w:ind w:left="60"/>
              <w:spacing w:after="0"/>
              <w:rPr>
                <w:sz w:val="20"/>
                <w:szCs w:val="20"/>
                <w:color w:val="auto"/>
              </w:rPr>
            </w:pPr>
            <w:r>
              <w:rPr>
                <w:rFonts w:ascii="Calibri" w:cs="Calibri" w:eastAsia="Calibri" w:hAnsi="Calibri"/>
                <w:sz w:val="14"/>
                <w:szCs w:val="14"/>
                <w:color w:val="auto"/>
              </w:rPr>
              <w:t>Custom touch controllers</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Calibri" w:cs="Calibri" w:eastAsia="Calibri" w:hAnsi="Calibri"/>
                <w:sz w:val="14"/>
                <w:szCs w:val="14"/>
                <w:color w:val="auto"/>
              </w:rPr>
              <w:t>•</w:t>
            </w:r>
          </w:p>
        </w:tc>
        <w:tc>
          <w:tcPr>
            <w:tcW w:w="6000" w:type="dxa"/>
            <w:vAlign w:val="bottom"/>
            <w:gridSpan w:val="3"/>
          </w:tcPr>
          <w:p>
            <w:pPr>
              <w:ind w:left="60"/>
              <w:spacing w:after="0"/>
              <w:rPr>
                <w:sz w:val="20"/>
                <w:szCs w:val="20"/>
                <w:color w:val="auto"/>
              </w:rPr>
            </w:pPr>
            <w:r>
              <w:rPr>
                <w:rFonts w:ascii="Calibri" w:cs="Calibri" w:eastAsia="Calibri" w:hAnsi="Calibri"/>
                <w:sz w:val="14"/>
                <w:szCs w:val="14"/>
                <w:color w:val="auto"/>
              </w:rPr>
              <w:t>Inductve charging ASICs</w:t>
            </w:r>
          </w:p>
        </w:tc>
        <w:tc>
          <w:tcPr>
            <w:tcW w:w="0" w:type="dxa"/>
            <w:vAlign w:val="bottom"/>
          </w:tcPr>
          <w:p>
            <w:pPr>
              <w:spacing w:after="0"/>
              <w:rPr>
                <w:sz w:val="1"/>
                <w:szCs w:val="1"/>
                <w:color w:val="auto"/>
              </w:rPr>
            </w:pPr>
          </w:p>
        </w:tc>
      </w:tr>
      <w:tr>
        <w:trPr>
          <w:trHeight w:val="47"/>
        </w:trPr>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660" w:type="dxa"/>
            <w:vAlign w:val="bottom"/>
            <w:gridSpan w:val="3"/>
            <w:shd w:val="clear" w:color="auto" w:fill="CCEEFF"/>
          </w:tcPr>
          <w:p>
            <w:pPr>
              <w:ind w:left="20"/>
              <w:spacing w:after="0"/>
              <w:rPr>
                <w:sz w:val="20"/>
                <w:szCs w:val="20"/>
                <w:color w:val="auto"/>
              </w:rPr>
            </w:pPr>
            <w:r>
              <w:rPr>
                <w:rFonts w:ascii="Calibri" w:cs="Calibri" w:eastAsia="Calibri" w:hAnsi="Calibri"/>
                <w:sz w:val="14"/>
                <w:szCs w:val="14"/>
                <w:color w:val="auto"/>
              </w:rPr>
              <w:t>Storage</w:t>
            </w:r>
          </w:p>
        </w:tc>
        <w:tc>
          <w:tcPr>
            <w:tcW w:w="12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w:t>
            </w:r>
          </w:p>
        </w:tc>
        <w:tc>
          <w:tcPr>
            <w:tcW w:w="3340" w:type="dxa"/>
            <w:vAlign w:val="bottom"/>
            <w:gridSpan w:val="3"/>
            <w:shd w:val="clear" w:color="auto" w:fill="CCEEFF"/>
          </w:tcPr>
          <w:p>
            <w:pPr>
              <w:ind w:left="60"/>
              <w:spacing w:after="0"/>
              <w:rPr>
                <w:sz w:val="20"/>
                <w:szCs w:val="20"/>
                <w:color w:val="auto"/>
              </w:rPr>
            </w:pPr>
            <w:r>
              <w:rPr>
                <w:rFonts w:ascii="Calibri" w:cs="Calibri" w:eastAsia="Calibri" w:hAnsi="Calibri"/>
                <w:sz w:val="14"/>
                <w:szCs w:val="14"/>
                <w:color w:val="auto"/>
              </w:rPr>
              <w:t>Servers and Storage Systems</w:t>
            </w:r>
          </w:p>
        </w:tc>
        <w:tc>
          <w:tcPr>
            <w:tcW w:w="120" w:type="dxa"/>
            <w:vAlign w:val="bottom"/>
            <w:shd w:val="clear" w:color="auto" w:fill="CCEEFF"/>
          </w:tcPr>
          <w:p>
            <w:pPr>
              <w:spacing w:after="0"/>
              <w:rPr>
                <w:sz w:val="20"/>
                <w:szCs w:val="20"/>
                <w:color w:val="auto"/>
              </w:rPr>
            </w:pPr>
            <w:r>
              <w:rPr>
                <w:rFonts w:ascii="Calibri" w:cs="Calibri" w:eastAsia="Calibri" w:hAnsi="Calibri"/>
                <w:sz w:val="14"/>
                <w:szCs w:val="14"/>
                <w:color w:val="auto"/>
              </w:rPr>
              <w:t>•</w:t>
            </w:r>
          </w:p>
        </w:tc>
        <w:tc>
          <w:tcPr>
            <w:tcW w:w="6000" w:type="dxa"/>
            <w:vAlign w:val="bottom"/>
            <w:gridSpan w:val="3"/>
            <w:shd w:val="clear" w:color="auto" w:fill="CCEEFF"/>
          </w:tcPr>
          <w:p>
            <w:pPr>
              <w:ind w:left="60"/>
              <w:spacing w:after="0"/>
              <w:rPr>
                <w:sz w:val="20"/>
                <w:szCs w:val="20"/>
                <w:color w:val="auto"/>
              </w:rPr>
            </w:pPr>
            <w:r>
              <w:rPr>
                <w:rFonts w:ascii="Calibri" w:cs="Calibri" w:eastAsia="Calibri" w:hAnsi="Calibri"/>
                <w:sz w:val="14"/>
                <w:szCs w:val="14"/>
                <w:color w:val="auto"/>
              </w:rPr>
              <w:t>SAS and RAID controllers and adapters</w:t>
            </w:r>
          </w:p>
        </w:tc>
        <w:tc>
          <w:tcPr>
            <w:tcW w:w="0" w:type="dxa"/>
            <w:vAlign w:val="bottom"/>
          </w:tcPr>
          <w:p>
            <w:pPr>
              <w:spacing w:after="0"/>
              <w:rPr>
                <w:sz w:val="1"/>
                <w:szCs w:val="1"/>
                <w:color w:val="auto"/>
              </w:rPr>
            </w:pPr>
          </w:p>
        </w:tc>
      </w:tr>
      <w:tr>
        <w:trPr>
          <w:trHeight w:val="188"/>
        </w:trPr>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Calibri" w:cs="Calibri" w:eastAsia="Calibri" w:hAnsi="Calibri"/>
                <w:sz w:val="14"/>
                <w:szCs w:val="14"/>
                <w:color w:val="auto"/>
              </w:rPr>
              <w:t>•</w:t>
            </w:r>
          </w:p>
        </w:tc>
        <w:tc>
          <w:tcPr>
            <w:tcW w:w="6000" w:type="dxa"/>
            <w:vAlign w:val="bottom"/>
            <w:gridSpan w:val="3"/>
            <w:shd w:val="clear" w:color="auto" w:fill="CCEEFF"/>
          </w:tcPr>
          <w:p>
            <w:pPr>
              <w:ind w:left="60"/>
              <w:spacing w:after="0"/>
              <w:rPr>
                <w:sz w:val="20"/>
                <w:szCs w:val="20"/>
                <w:color w:val="auto"/>
              </w:rPr>
            </w:pPr>
            <w:r>
              <w:rPr>
                <w:rFonts w:ascii="Calibri" w:cs="Calibri" w:eastAsia="Calibri" w:hAnsi="Calibri"/>
                <w:sz w:val="14"/>
                <w:szCs w:val="14"/>
                <w:color w:val="auto"/>
              </w:rPr>
              <w:t>PCIe switches</w:t>
            </w:r>
          </w:p>
        </w:tc>
        <w:tc>
          <w:tcPr>
            <w:tcW w:w="0" w:type="dxa"/>
            <w:vAlign w:val="bottom"/>
          </w:tcPr>
          <w:p>
            <w:pPr>
              <w:spacing w:after="0"/>
              <w:rPr>
                <w:sz w:val="1"/>
                <w:szCs w:val="1"/>
                <w:color w:val="auto"/>
              </w:rPr>
            </w:pPr>
          </w:p>
        </w:tc>
      </w:tr>
      <w:tr>
        <w:trPr>
          <w:trHeight w:val="203"/>
        </w:trPr>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120" w:type="dxa"/>
            <w:vAlign w:val="bottom"/>
            <w:gridSpan w:val="4"/>
            <w:shd w:val="clear" w:color="auto" w:fill="CCEEFF"/>
          </w:tcPr>
          <w:p>
            <w:pPr>
              <w:spacing w:after="0"/>
              <w:rPr>
                <w:sz w:val="20"/>
                <w:szCs w:val="20"/>
                <w:color w:val="auto"/>
              </w:rPr>
            </w:pPr>
            <w:r>
              <w:rPr>
                <w:rFonts w:ascii="Calibri" w:cs="Calibri" w:eastAsia="Calibri" w:hAnsi="Calibri"/>
                <w:sz w:val="14"/>
                <w:szCs w:val="14"/>
                <w:color w:val="auto"/>
              </w:rPr>
              <w:t>•  Fibre channel host bus adapters</w:t>
            </w:r>
          </w:p>
        </w:tc>
        <w:tc>
          <w:tcPr>
            <w:tcW w:w="0" w:type="dxa"/>
            <w:vAlign w:val="bottom"/>
          </w:tcPr>
          <w:p>
            <w:pPr>
              <w:spacing w:after="0"/>
              <w:rPr>
                <w:sz w:val="1"/>
                <w:szCs w:val="1"/>
                <w:color w:val="auto"/>
              </w:rPr>
            </w:pPr>
          </w:p>
        </w:tc>
      </w:tr>
      <w:tr>
        <w:trPr>
          <w:trHeight w:val="203"/>
        </w:trPr>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Calibri" w:cs="Calibri" w:eastAsia="Calibri" w:hAnsi="Calibri"/>
                <w:sz w:val="14"/>
                <w:szCs w:val="14"/>
                <w:color w:val="auto"/>
              </w:rPr>
              <w:t>•</w:t>
            </w:r>
          </w:p>
        </w:tc>
        <w:tc>
          <w:tcPr>
            <w:tcW w:w="6000" w:type="dxa"/>
            <w:vAlign w:val="bottom"/>
            <w:gridSpan w:val="3"/>
            <w:shd w:val="clear" w:color="auto" w:fill="CCEEFF"/>
          </w:tcPr>
          <w:p>
            <w:pPr>
              <w:ind w:left="60"/>
              <w:spacing w:after="0"/>
              <w:rPr>
                <w:sz w:val="20"/>
                <w:szCs w:val="20"/>
                <w:color w:val="auto"/>
              </w:rPr>
            </w:pPr>
            <w:r>
              <w:rPr>
                <w:rFonts w:ascii="Calibri" w:cs="Calibri" w:eastAsia="Calibri" w:hAnsi="Calibri"/>
                <w:sz w:val="14"/>
                <w:szCs w:val="14"/>
                <w:color w:val="auto"/>
              </w:rPr>
              <w:t>Ethernet NIC</w:t>
            </w:r>
          </w:p>
        </w:tc>
        <w:tc>
          <w:tcPr>
            <w:tcW w:w="0" w:type="dxa"/>
            <w:vAlign w:val="bottom"/>
          </w:tcPr>
          <w:p>
            <w:pPr>
              <w:spacing w:after="0"/>
              <w:rPr>
                <w:sz w:val="1"/>
                <w:szCs w:val="1"/>
                <w:color w:val="auto"/>
              </w:rPr>
            </w:pPr>
          </w:p>
        </w:tc>
      </w:tr>
      <w:tr>
        <w:trPr>
          <w:trHeight w:val="203"/>
        </w:trPr>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w:t>
            </w:r>
          </w:p>
        </w:tc>
        <w:tc>
          <w:tcPr>
            <w:tcW w:w="3340" w:type="dxa"/>
            <w:vAlign w:val="bottom"/>
            <w:gridSpan w:val="3"/>
            <w:shd w:val="clear" w:color="auto" w:fill="CCEEFF"/>
          </w:tcPr>
          <w:p>
            <w:pPr>
              <w:ind w:left="60"/>
              <w:spacing w:after="0"/>
              <w:rPr>
                <w:sz w:val="20"/>
                <w:szCs w:val="20"/>
                <w:color w:val="auto"/>
              </w:rPr>
            </w:pPr>
            <w:r>
              <w:rPr>
                <w:rFonts w:ascii="Calibri" w:cs="Calibri" w:eastAsia="Calibri" w:hAnsi="Calibri"/>
                <w:sz w:val="14"/>
                <w:szCs w:val="14"/>
                <w:color w:val="auto"/>
              </w:rPr>
              <w:t>HDD and SSD</w:t>
            </w:r>
          </w:p>
        </w:tc>
        <w:tc>
          <w:tcPr>
            <w:tcW w:w="120" w:type="dxa"/>
            <w:vAlign w:val="bottom"/>
            <w:shd w:val="clear" w:color="auto" w:fill="CCEEFF"/>
          </w:tcPr>
          <w:p>
            <w:pPr>
              <w:spacing w:after="0"/>
              <w:rPr>
                <w:sz w:val="20"/>
                <w:szCs w:val="20"/>
                <w:color w:val="auto"/>
              </w:rPr>
            </w:pPr>
            <w:r>
              <w:rPr>
                <w:rFonts w:ascii="Calibri" w:cs="Calibri" w:eastAsia="Calibri" w:hAnsi="Calibri"/>
                <w:sz w:val="14"/>
                <w:szCs w:val="14"/>
                <w:color w:val="auto"/>
              </w:rPr>
              <w:t>•</w:t>
            </w:r>
          </w:p>
        </w:tc>
        <w:tc>
          <w:tcPr>
            <w:tcW w:w="6000" w:type="dxa"/>
            <w:vAlign w:val="bottom"/>
            <w:gridSpan w:val="3"/>
            <w:shd w:val="clear" w:color="auto" w:fill="CCEEFF"/>
          </w:tcPr>
          <w:p>
            <w:pPr>
              <w:ind w:left="60"/>
              <w:spacing w:after="0"/>
              <w:rPr>
                <w:sz w:val="20"/>
                <w:szCs w:val="20"/>
                <w:color w:val="auto"/>
              </w:rPr>
            </w:pPr>
            <w:r>
              <w:rPr>
                <w:rFonts w:ascii="Calibri" w:cs="Calibri" w:eastAsia="Calibri" w:hAnsi="Calibri"/>
                <w:sz w:val="14"/>
                <w:szCs w:val="14"/>
                <w:color w:val="auto"/>
              </w:rPr>
              <w:t>Read channel based SoCs; Custom fash controllers</w:t>
            </w:r>
          </w:p>
        </w:tc>
        <w:tc>
          <w:tcPr>
            <w:tcW w:w="0" w:type="dxa"/>
            <w:vAlign w:val="bottom"/>
          </w:tcPr>
          <w:p>
            <w:pPr>
              <w:spacing w:after="0"/>
              <w:rPr>
                <w:sz w:val="1"/>
                <w:szCs w:val="1"/>
                <w:color w:val="auto"/>
              </w:rPr>
            </w:pPr>
          </w:p>
        </w:tc>
      </w:tr>
      <w:tr>
        <w:trPr>
          <w:trHeight w:val="229"/>
        </w:trPr>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Calibri" w:cs="Calibri" w:eastAsia="Calibri" w:hAnsi="Calibri"/>
                <w:sz w:val="14"/>
                <w:szCs w:val="14"/>
                <w:color w:val="auto"/>
              </w:rPr>
              <w:t>•</w:t>
            </w:r>
          </w:p>
        </w:tc>
        <w:tc>
          <w:tcPr>
            <w:tcW w:w="6000" w:type="dxa"/>
            <w:vAlign w:val="bottom"/>
            <w:tcBorders>
              <w:bottom w:val="single" w:sz="8" w:color="CCEEFF"/>
            </w:tcBorders>
            <w:gridSpan w:val="3"/>
            <w:shd w:val="clear" w:color="auto" w:fill="CCEEFF"/>
          </w:tcPr>
          <w:p>
            <w:pPr>
              <w:ind w:left="60"/>
              <w:spacing w:after="0"/>
              <w:rPr>
                <w:sz w:val="20"/>
                <w:szCs w:val="20"/>
                <w:color w:val="auto"/>
              </w:rPr>
            </w:pPr>
            <w:r>
              <w:rPr>
                <w:rFonts w:ascii="Calibri" w:cs="Calibri" w:eastAsia="Calibri" w:hAnsi="Calibri"/>
                <w:sz w:val="14"/>
                <w:szCs w:val="14"/>
                <w:color w:val="auto"/>
              </w:rPr>
              <w:t>Preamplifers</w:t>
            </w:r>
          </w:p>
        </w:tc>
        <w:tc>
          <w:tcPr>
            <w:tcW w:w="0" w:type="dxa"/>
            <w:vAlign w:val="bottom"/>
          </w:tcPr>
          <w:p>
            <w:pPr>
              <w:spacing w:after="0"/>
              <w:rPr>
                <w:sz w:val="1"/>
                <w:szCs w:val="1"/>
                <w:color w:val="auto"/>
              </w:rPr>
            </w:pPr>
          </w:p>
        </w:tc>
      </w:tr>
      <w:tr>
        <w:trPr>
          <w:trHeight w:val="170"/>
        </w:trPr>
        <w:tc>
          <w:tcPr>
            <w:tcW w:w="1660" w:type="dxa"/>
            <w:vAlign w:val="bottom"/>
            <w:gridSpan w:val="3"/>
          </w:tcPr>
          <w:p>
            <w:pPr>
              <w:ind w:left="20"/>
              <w:spacing w:after="0"/>
              <w:rPr>
                <w:sz w:val="20"/>
                <w:szCs w:val="20"/>
                <w:color w:val="auto"/>
              </w:rPr>
            </w:pPr>
            <w:r>
              <w:rPr>
                <w:rFonts w:ascii="Calibri" w:cs="Calibri" w:eastAsia="Calibri" w:hAnsi="Calibri"/>
                <w:sz w:val="14"/>
                <w:szCs w:val="14"/>
                <w:color w:val="auto"/>
              </w:rPr>
              <w:t>Broadband</w:t>
            </w:r>
          </w:p>
        </w:tc>
        <w:tc>
          <w:tcPr>
            <w:tcW w:w="120" w:type="dxa"/>
            <w:vAlign w:val="bottom"/>
          </w:tcPr>
          <w:p>
            <w:pPr>
              <w:ind w:left="20"/>
              <w:spacing w:after="0"/>
              <w:rPr>
                <w:sz w:val="20"/>
                <w:szCs w:val="20"/>
                <w:color w:val="auto"/>
              </w:rPr>
            </w:pPr>
            <w:r>
              <w:rPr>
                <w:rFonts w:ascii="Calibri" w:cs="Calibri" w:eastAsia="Calibri" w:hAnsi="Calibri"/>
                <w:sz w:val="14"/>
                <w:szCs w:val="14"/>
                <w:color w:val="auto"/>
              </w:rPr>
              <w:t>•</w:t>
            </w:r>
          </w:p>
        </w:tc>
        <w:tc>
          <w:tcPr>
            <w:tcW w:w="3340" w:type="dxa"/>
            <w:vAlign w:val="bottom"/>
            <w:gridSpan w:val="3"/>
          </w:tcPr>
          <w:p>
            <w:pPr>
              <w:ind w:left="60"/>
              <w:spacing w:after="0"/>
              <w:rPr>
                <w:sz w:val="20"/>
                <w:szCs w:val="20"/>
                <w:color w:val="auto"/>
              </w:rPr>
            </w:pPr>
            <w:r>
              <w:rPr>
                <w:rFonts w:ascii="Calibri" w:cs="Calibri" w:eastAsia="Calibri" w:hAnsi="Calibri"/>
                <w:sz w:val="14"/>
                <w:szCs w:val="14"/>
                <w:color w:val="auto"/>
              </w:rPr>
              <w:t>STB and Broadband Access</w:t>
            </w:r>
          </w:p>
        </w:tc>
        <w:tc>
          <w:tcPr>
            <w:tcW w:w="120" w:type="dxa"/>
            <w:vAlign w:val="bottom"/>
          </w:tcPr>
          <w:p>
            <w:pPr>
              <w:spacing w:after="0"/>
              <w:rPr>
                <w:sz w:val="20"/>
                <w:szCs w:val="20"/>
                <w:color w:val="auto"/>
              </w:rPr>
            </w:pPr>
            <w:r>
              <w:rPr>
                <w:rFonts w:ascii="Calibri" w:cs="Calibri" w:eastAsia="Calibri" w:hAnsi="Calibri"/>
                <w:sz w:val="14"/>
                <w:szCs w:val="14"/>
                <w:color w:val="auto"/>
              </w:rPr>
              <w:t>•</w:t>
            </w:r>
          </w:p>
        </w:tc>
        <w:tc>
          <w:tcPr>
            <w:tcW w:w="6000" w:type="dxa"/>
            <w:vAlign w:val="bottom"/>
            <w:gridSpan w:val="3"/>
          </w:tcPr>
          <w:p>
            <w:pPr>
              <w:ind w:left="60"/>
              <w:spacing w:after="0"/>
              <w:rPr>
                <w:sz w:val="20"/>
                <w:szCs w:val="20"/>
                <w:color w:val="auto"/>
              </w:rPr>
            </w:pPr>
            <w:r>
              <w:rPr>
                <w:rFonts w:ascii="Calibri" w:cs="Calibri" w:eastAsia="Calibri" w:hAnsi="Calibri"/>
                <w:sz w:val="14"/>
                <w:szCs w:val="14"/>
                <w:color w:val="auto"/>
              </w:rPr>
              <w:t>STB SoCs</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Calibri" w:cs="Calibri" w:eastAsia="Calibri" w:hAnsi="Calibri"/>
                <w:sz w:val="14"/>
                <w:szCs w:val="14"/>
                <w:color w:val="auto"/>
              </w:rPr>
              <w:t>•</w:t>
            </w:r>
          </w:p>
        </w:tc>
        <w:tc>
          <w:tcPr>
            <w:tcW w:w="6000" w:type="dxa"/>
            <w:vAlign w:val="bottom"/>
            <w:gridSpan w:val="3"/>
          </w:tcPr>
          <w:p>
            <w:pPr>
              <w:ind w:left="60"/>
              <w:spacing w:after="0"/>
              <w:rPr>
                <w:sz w:val="20"/>
                <w:szCs w:val="20"/>
                <w:color w:val="auto"/>
              </w:rPr>
            </w:pPr>
            <w:r>
              <w:rPr>
                <w:rFonts w:ascii="Calibri" w:cs="Calibri" w:eastAsia="Calibri" w:hAnsi="Calibri"/>
                <w:sz w:val="14"/>
                <w:szCs w:val="14"/>
                <w:color w:val="auto"/>
              </w:rPr>
              <w:t>DSL/PON gateways</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120" w:type="dxa"/>
            <w:vAlign w:val="bottom"/>
            <w:gridSpan w:val="4"/>
          </w:tcPr>
          <w:p>
            <w:pPr>
              <w:spacing w:after="0"/>
              <w:rPr>
                <w:sz w:val="20"/>
                <w:szCs w:val="20"/>
                <w:color w:val="auto"/>
              </w:rPr>
            </w:pPr>
            <w:r>
              <w:rPr>
                <w:rFonts w:ascii="Calibri" w:cs="Calibri" w:eastAsia="Calibri" w:hAnsi="Calibri"/>
                <w:sz w:val="14"/>
                <w:szCs w:val="14"/>
                <w:color w:val="auto"/>
              </w:rPr>
              <w:t>•  DOCSIS cable modem and networking infrastructure</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120" w:type="dxa"/>
            <w:vAlign w:val="bottom"/>
            <w:gridSpan w:val="4"/>
          </w:tcPr>
          <w:p>
            <w:pPr>
              <w:spacing w:after="0"/>
              <w:rPr>
                <w:sz w:val="20"/>
                <w:szCs w:val="20"/>
                <w:color w:val="auto"/>
              </w:rPr>
            </w:pPr>
            <w:r>
              <w:rPr>
                <w:rFonts w:ascii="Calibri" w:cs="Calibri" w:eastAsia="Calibri" w:hAnsi="Calibri"/>
                <w:sz w:val="14"/>
                <w:szCs w:val="14"/>
                <w:color w:val="auto"/>
              </w:rPr>
              <w:t>•  DSLAM/PON optcal line terminaton</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120" w:type="dxa"/>
            <w:vAlign w:val="bottom"/>
            <w:gridSpan w:val="4"/>
          </w:tcPr>
          <w:p>
            <w:pPr>
              <w:spacing w:after="0"/>
              <w:rPr>
                <w:sz w:val="20"/>
                <w:szCs w:val="20"/>
                <w:color w:val="auto"/>
              </w:rPr>
            </w:pPr>
            <w:r>
              <w:rPr>
                <w:rFonts w:ascii="Calibri" w:cs="Calibri" w:eastAsia="Calibri" w:hAnsi="Calibri"/>
                <w:sz w:val="14"/>
                <w:szCs w:val="14"/>
                <w:color w:val="auto"/>
              </w:rPr>
              <w:t>•  Wi-Fi access point SoCs</w:t>
            </w:r>
          </w:p>
        </w:tc>
        <w:tc>
          <w:tcPr>
            <w:tcW w:w="0" w:type="dxa"/>
            <w:vAlign w:val="bottom"/>
          </w:tcPr>
          <w:p>
            <w:pPr>
              <w:spacing w:after="0"/>
              <w:rPr>
                <w:sz w:val="1"/>
                <w:szCs w:val="1"/>
                <w:color w:val="auto"/>
              </w:rPr>
            </w:pPr>
          </w:p>
        </w:tc>
      </w:tr>
      <w:tr>
        <w:trPr>
          <w:trHeight w:val="47"/>
        </w:trPr>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gridSpan w:val="3"/>
            <w:shd w:val="clear" w:color="auto" w:fill="CCEEFF"/>
          </w:tcPr>
          <w:p>
            <w:pPr>
              <w:ind w:left="20"/>
              <w:spacing w:after="0" w:line="134" w:lineRule="exact"/>
              <w:rPr>
                <w:sz w:val="20"/>
                <w:szCs w:val="20"/>
                <w:color w:val="auto"/>
              </w:rPr>
            </w:pPr>
            <w:r>
              <w:rPr>
                <w:rFonts w:ascii="Calibri" w:cs="Calibri" w:eastAsia="Calibri" w:hAnsi="Calibri"/>
                <w:sz w:val="14"/>
                <w:szCs w:val="14"/>
                <w:color w:val="auto"/>
              </w:rPr>
              <w:t>Industrial</w:t>
            </w:r>
          </w:p>
        </w:tc>
        <w:tc>
          <w:tcPr>
            <w:tcW w:w="120" w:type="dxa"/>
            <w:vAlign w:val="bottom"/>
            <w:shd w:val="clear" w:color="auto" w:fill="CCEEFF"/>
          </w:tcPr>
          <w:p>
            <w:pPr>
              <w:ind w:left="20"/>
              <w:spacing w:after="0" w:line="134" w:lineRule="exact"/>
              <w:rPr>
                <w:sz w:val="20"/>
                <w:szCs w:val="20"/>
                <w:color w:val="auto"/>
              </w:rPr>
            </w:pPr>
            <w:r>
              <w:rPr>
                <w:rFonts w:ascii="Calibri" w:cs="Calibri" w:eastAsia="Calibri" w:hAnsi="Calibri"/>
                <w:sz w:val="14"/>
                <w:szCs w:val="14"/>
                <w:color w:val="auto"/>
              </w:rPr>
              <w:t>•</w:t>
            </w:r>
          </w:p>
        </w:tc>
        <w:tc>
          <w:tcPr>
            <w:tcW w:w="3340" w:type="dxa"/>
            <w:vAlign w:val="bottom"/>
            <w:gridSpan w:val="3"/>
            <w:shd w:val="clear" w:color="auto" w:fill="CCEEFF"/>
          </w:tcPr>
          <w:p>
            <w:pPr>
              <w:ind w:left="60"/>
              <w:spacing w:after="0" w:line="134" w:lineRule="exact"/>
              <w:rPr>
                <w:sz w:val="20"/>
                <w:szCs w:val="20"/>
                <w:color w:val="auto"/>
              </w:rPr>
            </w:pPr>
            <w:r>
              <w:rPr>
                <w:rFonts w:ascii="Calibri" w:cs="Calibri" w:eastAsia="Calibri" w:hAnsi="Calibri"/>
                <w:sz w:val="14"/>
                <w:szCs w:val="14"/>
                <w:color w:val="auto"/>
              </w:rPr>
              <w:t>Factory Automaton, Renewable Energy and</w:t>
            </w:r>
          </w:p>
        </w:tc>
        <w:tc>
          <w:tcPr>
            <w:tcW w:w="120" w:type="dxa"/>
            <w:vAlign w:val="bottom"/>
            <w:shd w:val="clear" w:color="auto" w:fill="CCEEFF"/>
          </w:tcPr>
          <w:p>
            <w:pPr>
              <w:spacing w:after="0" w:line="134" w:lineRule="exact"/>
              <w:rPr>
                <w:sz w:val="20"/>
                <w:szCs w:val="20"/>
                <w:color w:val="auto"/>
              </w:rPr>
            </w:pPr>
            <w:r>
              <w:rPr>
                <w:rFonts w:ascii="Calibri" w:cs="Calibri" w:eastAsia="Calibri" w:hAnsi="Calibri"/>
                <w:sz w:val="14"/>
                <w:szCs w:val="14"/>
                <w:color w:val="auto"/>
              </w:rPr>
              <w:t>•</w:t>
            </w:r>
          </w:p>
        </w:tc>
        <w:tc>
          <w:tcPr>
            <w:tcW w:w="6000" w:type="dxa"/>
            <w:vAlign w:val="bottom"/>
            <w:gridSpan w:val="3"/>
            <w:shd w:val="clear" w:color="auto" w:fill="CCEEFF"/>
          </w:tcPr>
          <w:p>
            <w:pPr>
              <w:ind w:left="60"/>
              <w:spacing w:after="0" w:line="134" w:lineRule="exact"/>
              <w:rPr>
                <w:sz w:val="20"/>
                <w:szCs w:val="20"/>
                <w:color w:val="auto"/>
              </w:rPr>
            </w:pPr>
            <w:r>
              <w:rPr>
                <w:rFonts w:ascii="Calibri" w:cs="Calibri" w:eastAsia="Calibri" w:hAnsi="Calibri"/>
                <w:sz w:val="14"/>
                <w:szCs w:val="14"/>
                <w:color w:val="auto"/>
              </w:rPr>
              <w:t>Optocouplers</w:t>
            </w:r>
          </w:p>
        </w:tc>
        <w:tc>
          <w:tcPr>
            <w:tcW w:w="0" w:type="dxa"/>
            <w:vAlign w:val="bottom"/>
          </w:tcPr>
          <w:p>
            <w:pPr>
              <w:spacing w:after="0"/>
              <w:rPr>
                <w:sz w:val="1"/>
                <w:szCs w:val="1"/>
                <w:color w:val="auto"/>
              </w:rPr>
            </w:pPr>
          </w:p>
        </w:tc>
      </w:tr>
      <w:tr>
        <w:trPr>
          <w:trHeight w:val="170"/>
        </w:trPr>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340" w:type="dxa"/>
            <w:vAlign w:val="bottom"/>
            <w:gridSpan w:val="3"/>
            <w:shd w:val="clear" w:color="auto" w:fill="CCEEFF"/>
          </w:tcPr>
          <w:p>
            <w:pPr>
              <w:ind w:left="60"/>
              <w:spacing w:after="0"/>
              <w:rPr>
                <w:sz w:val="20"/>
                <w:szCs w:val="20"/>
                <w:color w:val="auto"/>
              </w:rPr>
            </w:pPr>
            <w:r>
              <w:rPr>
                <w:rFonts w:ascii="Calibri" w:cs="Calibri" w:eastAsia="Calibri" w:hAnsi="Calibri"/>
                <w:sz w:val="14"/>
                <w:szCs w:val="14"/>
                <w:color w:val="auto"/>
              </w:rPr>
              <w:t>Automotve Electronics</w:t>
            </w:r>
          </w:p>
        </w:tc>
        <w:tc>
          <w:tcPr>
            <w:tcW w:w="120" w:type="dxa"/>
            <w:vAlign w:val="bottom"/>
            <w:vMerge w:val="restart"/>
            <w:shd w:val="clear" w:color="auto" w:fill="CCEEFF"/>
          </w:tcPr>
          <w:p>
            <w:pPr>
              <w:spacing w:after="0"/>
              <w:rPr>
                <w:sz w:val="20"/>
                <w:szCs w:val="20"/>
                <w:color w:val="auto"/>
              </w:rPr>
            </w:pPr>
            <w:r>
              <w:rPr>
                <w:rFonts w:ascii="Calibri" w:cs="Calibri" w:eastAsia="Calibri" w:hAnsi="Calibri"/>
                <w:sz w:val="14"/>
                <w:szCs w:val="14"/>
                <w:color w:val="auto"/>
              </w:rPr>
              <w:t>•</w:t>
            </w:r>
          </w:p>
        </w:tc>
        <w:tc>
          <w:tcPr>
            <w:tcW w:w="6000" w:type="dxa"/>
            <w:vAlign w:val="bottom"/>
            <w:gridSpan w:val="3"/>
            <w:vMerge w:val="restart"/>
            <w:shd w:val="clear" w:color="auto" w:fill="CCEEFF"/>
          </w:tcPr>
          <w:p>
            <w:pPr>
              <w:ind w:left="60"/>
              <w:spacing w:after="0"/>
              <w:rPr>
                <w:sz w:val="20"/>
                <w:szCs w:val="20"/>
                <w:color w:val="auto"/>
              </w:rPr>
            </w:pPr>
            <w:r>
              <w:rPr>
                <w:rFonts w:ascii="Calibri" w:cs="Calibri" w:eastAsia="Calibri" w:hAnsi="Calibri"/>
                <w:sz w:val="14"/>
                <w:szCs w:val="14"/>
                <w:color w:val="auto"/>
              </w:rPr>
              <w:t>Industrial fber optcs</w:t>
            </w:r>
          </w:p>
        </w:tc>
        <w:tc>
          <w:tcPr>
            <w:tcW w:w="0" w:type="dxa"/>
            <w:vAlign w:val="bottom"/>
          </w:tcPr>
          <w:p>
            <w:pPr>
              <w:spacing w:after="0"/>
              <w:rPr>
                <w:sz w:val="1"/>
                <w:szCs w:val="1"/>
                <w:color w:val="auto"/>
              </w:rPr>
            </w:pPr>
          </w:p>
        </w:tc>
      </w:tr>
      <w:tr>
        <w:trPr>
          <w:trHeight w:val="108"/>
        </w:trPr>
        <w:tc>
          <w:tcPr>
            <w:tcW w:w="2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6000" w:type="dxa"/>
            <w:vAlign w:val="bottom"/>
            <w:gridSpan w:val="3"/>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120" w:type="dxa"/>
            <w:vAlign w:val="bottom"/>
            <w:gridSpan w:val="4"/>
            <w:shd w:val="clear" w:color="auto" w:fill="CCEEFF"/>
          </w:tcPr>
          <w:p>
            <w:pPr>
              <w:spacing w:after="0"/>
              <w:rPr>
                <w:sz w:val="20"/>
                <w:szCs w:val="20"/>
                <w:color w:val="auto"/>
              </w:rPr>
            </w:pPr>
            <w:r>
              <w:rPr>
                <w:rFonts w:ascii="Calibri" w:cs="Calibri" w:eastAsia="Calibri" w:hAnsi="Calibri"/>
                <w:sz w:val="14"/>
                <w:szCs w:val="14"/>
                <w:color w:val="auto"/>
              </w:rPr>
              <w:t>•  Industrial and medical sensors</w:t>
            </w:r>
          </w:p>
        </w:tc>
        <w:tc>
          <w:tcPr>
            <w:tcW w:w="0" w:type="dxa"/>
            <w:vAlign w:val="bottom"/>
          </w:tcPr>
          <w:p>
            <w:pPr>
              <w:spacing w:after="0"/>
              <w:rPr>
                <w:sz w:val="1"/>
                <w:szCs w:val="1"/>
                <w:color w:val="auto"/>
              </w:rPr>
            </w:pPr>
          </w:p>
        </w:tc>
      </w:tr>
      <w:tr>
        <w:trPr>
          <w:trHeight w:val="203"/>
        </w:trPr>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120" w:type="dxa"/>
            <w:vAlign w:val="bottom"/>
            <w:gridSpan w:val="4"/>
            <w:shd w:val="clear" w:color="auto" w:fill="CCEEFF"/>
          </w:tcPr>
          <w:p>
            <w:pPr>
              <w:spacing w:after="0"/>
              <w:rPr>
                <w:sz w:val="20"/>
                <w:szCs w:val="20"/>
                <w:color w:val="auto"/>
              </w:rPr>
            </w:pPr>
            <w:r>
              <w:rPr>
                <w:rFonts w:ascii="Calibri" w:cs="Calibri" w:eastAsia="Calibri" w:hAnsi="Calibri"/>
                <w:sz w:val="14"/>
                <w:szCs w:val="14"/>
                <w:color w:val="auto"/>
              </w:rPr>
              <w:t>•  Moton control encoders and subsystems</w:t>
            </w:r>
          </w:p>
        </w:tc>
        <w:tc>
          <w:tcPr>
            <w:tcW w:w="0" w:type="dxa"/>
            <w:vAlign w:val="bottom"/>
          </w:tcPr>
          <w:p>
            <w:pPr>
              <w:spacing w:after="0"/>
              <w:rPr>
                <w:sz w:val="1"/>
                <w:szCs w:val="1"/>
                <w:color w:val="auto"/>
              </w:rPr>
            </w:pPr>
          </w:p>
        </w:tc>
      </w:tr>
      <w:tr>
        <w:trPr>
          <w:trHeight w:val="203"/>
        </w:trPr>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Calibri" w:cs="Calibri" w:eastAsia="Calibri" w:hAnsi="Calibri"/>
                <w:sz w:val="14"/>
                <w:szCs w:val="14"/>
                <w:color w:val="auto"/>
              </w:rPr>
              <w:t>•</w:t>
            </w:r>
          </w:p>
        </w:tc>
        <w:tc>
          <w:tcPr>
            <w:tcW w:w="6000" w:type="dxa"/>
            <w:vAlign w:val="bottom"/>
            <w:gridSpan w:val="3"/>
            <w:shd w:val="clear" w:color="auto" w:fill="CCEEFF"/>
          </w:tcPr>
          <w:p>
            <w:pPr>
              <w:ind w:left="60"/>
              <w:spacing w:after="0"/>
              <w:rPr>
                <w:sz w:val="20"/>
                <w:szCs w:val="20"/>
                <w:color w:val="auto"/>
              </w:rPr>
            </w:pPr>
            <w:r>
              <w:rPr>
                <w:rFonts w:ascii="Calibri" w:cs="Calibri" w:eastAsia="Calibri" w:hAnsi="Calibri"/>
                <w:sz w:val="14"/>
                <w:szCs w:val="14"/>
                <w:color w:val="auto"/>
              </w:rPr>
              <w:t>Light emitng diodes</w:t>
            </w:r>
          </w:p>
        </w:tc>
        <w:tc>
          <w:tcPr>
            <w:tcW w:w="0" w:type="dxa"/>
            <w:vAlign w:val="bottom"/>
          </w:tcPr>
          <w:p>
            <w:pPr>
              <w:spacing w:after="0"/>
              <w:rPr>
                <w:sz w:val="1"/>
                <w:szCs w:val="1"/>
                <w:color w:val="auto"/>
              </w:rPr>
            </w:pPr>
          </w:p>
        </w:tc>
      </w:tr>
      <w:tr>
        <w:trPr>
          <w:trHeight w:val="203"/>
        </w:trPr>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120" w:type="dxa"/>
            <w:vAlign w:val="bottom"/>
            <w:gridSpan w:val="4"/>
            <w:shd w:val="clear" w:color="auto" w:fill="CCEEFF"/>
          </w:tcPr>
          <w:p>
            <w:pPr>
              <w:spacing w:after="0"/>
              <w:rPr>
                <w:sz w:val="20"/>
                <w:szCs w:val="20"/>
                <w:color w:val="auto"/>
              </w:rPr>
            </w:pPr>
            <w:r>
              <w:rPr>
                <w:rFonts w:ascii="Calibri" w:cs="Calibri" w:eastAsia="Calibri" w:hAnsi="Calibri"/>
                <w:sz w:val="14"/>
                <w:szCs w:val="14"/>
                <w:color w:val="auto"/>
              </w:rPr>
              <w:t>•  Ethernet PHYs, switch ICs and camera microcontrollers</w:t>
            </w:r>
          </w:p>
        </w:tc>
        <w:tc>
          <w:tcPr>
            <w:tcW w:w="0" w:type="dxa"/>
            <w:vAlign w:val="bottom"/>
          </w:tcPr>
          <w:p>
            <w:pPr>
              <w:spacing w:after="0"/>
              <w:rPr>
                <w:sz w:val="1"/>
                <w:szCs w:val="1"/>
                <w:color w:val="auto"/>
              </w:rPr>
            </w:pPr>
          </w:p>
        </w:tc>
      </w:tr>
      <w:tr>
        <w:trPr>
          <w:trHeight w:val="47"/>
        </w:trPr>
        <w:tc>
          <w:tcPr>
            <w:tcW w:w="26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300" w:type="dxa"/>
            <w:vAlign w:val="bottom"/>
            <w:shd w:val="clear" w:color="auto" w:fill="CCEEFF"/>
          </w:tcPr>
          <w:p>
            <w:pPr>
              <w:spacing w:after="0"/>
              <w:rPr>
                <w:sz w:val="4"/>
                <w:szCs w:val="4"/>
                <w:color w:val="auto"/>
              </w:rPr>
            </w:pPr>
          </w:p>
        </w:tc>
        <w:tc>
          <w:tcPr>
            <w:tcW w:w="1280" w:type="dxa"/>
            <w:vAlign w:val="bottom"/>
            <w:shd w:val="clear" w:color="auto" w:fill="CCEEFF"/>
          </w:tcPr>
          <w:p>
            <w:pPr>
              <w:spacing w:after="0"/>
              <w:rPr>
                <w:sz w:val="4"/>
                <w:szCs w:val="4"/>
                <w:color w:val="auto"/>
              </w:rPr>
            </w:pPr>
          </w:p>
        </w:tc>
        <w:tc>
          <w:tcPr>
            <w:tcW w:w="24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140" w:firstLine="405"/>
        <w:spacing w:after="0" w:line="235" w:lineRule="auto"/>
        <w:rPr>
          <w:sz w:val="20"/>
          <w:szCs w:val="20"/>
          <w:color w:val="auto"/>
        </w:rPr>
      </w:pPr>
      <w:r>
        <w:rPr>
          <w:rFonts w:ascii="Calibri" w:cs="Calibri" w:eastAsia="Calibri" w:hAnsi="Calibri"/>
          <w:sz w:val="18"/>
          <w:szCs w:val="18"/>
          <w:b w:val="1"/>
          <w:bCs w:val="1"/>
          <w:color w:val="auto"/>
        </w:rPr>
        <w:t xml:space="preserve">Data Center, Service Provider, and Enterprise Networking Solutons. </w:t>
      </w:r>
      <w:r>
        <w:rPr>
          <w:rFonts w:ascii="Calibri" w:cs="Calibri" w:eastAsia="Calibri" w:hAnsi="Calibri"/>
          <w:sz w:val="18"/>
          <w:szCs w:val="18"/>
          <w:color w:val="auto"/>
        </w:rPr>
        <w:t>We provide semiconductor solutons for managing the movement of data in data</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center, service provider, and enterprise networking applicatons. Our products ofer an enhanced, open, standards-based Ethernet network interface card (“NIC”) and switching soluton to resolve connectvity botlenecks in data centers, partcularly in AI data centers where compute bandwidth and cluster sizes grow rapidly.</w:t>
      </w:r>
    </w:p>
    <w:p>
      <w:pPr>
        <w:spacing w:after="0" w:line="111" w:lineRule="exact"/>
        <w:rPr>
          <w:sz w:val="20"/>
          <w:szCs w:val="20"/>
          <w:color w:val="auto"/>
        </w:rPr>
      </w:pPr>
    </w:p>
    <w:p>
      <w:pPr>
        <w:ind w:left="420" w:right="60" w:hanging="7"/>
        <w:spacing w:after="0" w:line="235" w:lineRule="auto"/>
        <w:tabs>
          <w:tab w:leader="none" w:pos="656" w:val="left"/>
        </w:tabs>
        <w:numPr>
          <w:ilvl w:val="0"/>
          <w:numId w:val="3"/>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Ethernet Switching &amp; Routng: </w:t>
      </w:r>
      <w:r>
        <w:rPr>
          <w:rFonts w:ascii="Calibri" w:cs="Calibri" w:eastAsia="Calibri" w:hAnsi="Calibri"/>
          <w:sz w:val="18"/>
          <w:szCs w:val="18"/>
          <w:color w:val="auto"/>
        </w:rPr>
        <w:t>Ethernet is a ubiquitous interconnecton technology that enables high-performance and cost-efectve networking</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infrastructure. We ofer a broad set of Ethernet switching and routng products that are optmized for AI data center, service provider and enterprise networks. In the data center market, our high capacity, low latency, switching silicon supports advanced protocols around virtualizaton and mult-pathing. Our Ethernet switching fabric technologies provide the ability to build highly scalable fat networks supportng tens of thousands of servers. Our service provider switch portolio enables carrier networks to support prioritzed delivery of data trafc in the wireless backhaul, access, aggregaton and core of their networks. For enterprise networks, we ofer product families with secure, encrypted switching capabilites and support lower power modes that comply with industry standards around energy efcient Ethernet.</w:t>
      </w:r>
    </w:p>
    <w:p>
      <w:pPr>
        <w:spacing w:after="0" w:line="113" w:lineRule="exact"/>
        <w:rPr>
          <w:rFonts w:ascii="Calibri" w:cs="Calibri" w:eastAsia="Calibri" w:hAnsi="Calibri"/>
          <w:sz w:val="18"/>
          <w:szCs w:val="18"/>
          <w:color w:val="auto"/>
        </w:rPr>
      </w:pPr>
    </w:p>
    <w:p>
      <w:pPr>
        <w:ind w:left="420" w:right="120" w:hanging="7"/>
        <w:spacing w:after="0" w:line="235" w:lineRule="auto"/>
        <w:tabs>
          <w:tab w:leader="none" w:pos="656" w:val="left"/>
        </w:tabs>
        <w:numPr>
          <w:ilvl w:val="0"/>
          <w:numId w:val="3"/>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Custom Silicon Solutons: </w:t>
      </w:r>
      <w:r>
        <w:rPr>
          <w:rFonts w:ascii="Calibri" w:cs="Calibri" w:eastAsia="Calibri" w:hAnsi="Calibri"/>
          <w:sz w:val="18"/>
          <w:szCs w:val="18"/>
          <w:color w:val="auto"/>
        </w:rPr>
        <w:t>We provide advanced technology and intellectual property (“IP”) platorms for customers to design and develop</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applicaton specifc integrated circuits (“ASICs”) targetng AI and high-performance computng, networking and storage applicatons. Our custom silicon provides the platorm to integrate embedded logic, memory, serializer/deserializer (“SerDes”) technology, IP cores and processor cores. ASICs are custom products built to individual customers specifcatons.</w:t>
      </w:r>
    </w:p>
    <w:p>
      <w:pPr>
        <w:spacing w:after="0" w:line="111" w:lineRule="exact"/>
        <w:rPr>
          <w:rFonts w:ascii="Calibri" w:cs="Calibri" w:eastAsia="Calibri" w:hAnsi="Calibri"/>
          <w:sz w:val="18"/>
          <w:szCs w:val="18"/>
          <w:color w:val="auto"/>
        </w:rPr>
      </w:pPr>
    </w:p>
    <w:p>
      <w:pPr>
        <w:ind w:left="420" w:right="60" w:hanging="7"/>
        <w:spacing w:after="0" w:line="235" w:lineRule="auto"/>
        <w:tabs>
          <w:tab w:leader="none" w:pos="656" w:val="left"/>
        </w:tabs>
        <w:numPr>
          <w:ilvl w:val="0"/>
          <w:numId w:val="3"/>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Physical Layer Devices: </w:t>
      </w:r>
      <w:r>
        <w:rPr>
          <w:rFonts w:ascii="Calibri" w:cs="Calibri" w:eastAsia="Calibri" w:hAnsi="Calibri"/>
          <w:sz w:val="18"/>
          <w:szCs w:val="18"/>
          <w:color w:val="auto"/>
        </w:rPr>
        <w:t>These devices, also referred to as PHYs, are transceivers that enable the recepton and transmission of Ethernet data packets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over a physical medium such as copper wire or optcal fbers. Our high</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20" w:right="120"/>
        <w:spacing w:after="0" w:line="235" w:lineRule="auto"/>
        <w:rPr>
          <w:sz w:val="20"/>
          <w:szCs w:val="20"/>
          <w:color w:val="auto"/>
        </w:rPr>
      </w:pPr>
      <w:r>
        <w:rPr>
          <w:rFonts w:ascii="Calibri" w:cs="Calibri" w:eastAsia="Calibri" w:hAnsi="Calibri"/>
          <w:sz w:val="18"/>
          <w:szCs w:val="18"/>
          <w:color w:val="auto"/>
        </w:rPr>
        <w:t>performance Ethernet transceivers are built upon a proprietary digital signal processing communicaton architecture optmized for high-speed network connectons and support the latest standards and advanced features, such as energy efcient Ethernet, data encrypton and tme synchronizaton. We also ofer a range of automotve Ethernet products, including PHYs, switches and camera microcontrollers, to meet growing consumer demand for in-vehicle connectvity and smart vision.</w:t>
      </w:r>
    </w:p>
    <w:p>
      <w:pPr>
        <w:spacing w:after="0" w:line="111" w:lineRule="exact"/>
        <w:rPr>
          <w:sz w:val="20"/>
          <w:szCs w:val="20"/>
          <w:color w:val="auto"/>
        </w:rPr>
      </w:pPr>
    </w:p>
    <w:p>
      <w:pPr>
        <w:ind w:left="420" w:right="460" w:hanging="7"/>
        <w:spacing w:after="0" w:line="235" w:lineRule="auto"/>
        <w:tabs>
          <w:tab w:leader="none" w:pos="656" w:val="left"/>
        </w:tabs>
        <w:numPr>
          <w:ilvl w:val="0"/>
          <w:numId w:val="4"/>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Fiber Optc Components: </w:t>
      </w:r>
      <w:r>
        <w:rPr>
          <w:rFonts w:ascii="Calibri" w:cs="Calibri" w:eastAsia="Calibri" w:hAnsi="Calibri"/>
          <w:sz w:val="18"/>
          <w:szCs w:val="18"/>
          <w:color w:val="auto"/>
        </w:rPr>
        <w:t>We supply a wide array of optcal components to the Ethernet networking, storage, and access, metro- and long-haul</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telecommunicaton markets. Our optcal components enable the high speed recepton and transmission of data through optcal fbers.</w:t>
      </w:r>
    </w:p>
    <w:p>
      <w:pPr>
        <w:spacing w:after="0" w:line="110" w:lineRule="exact"/>
        <w:rPr>
          <w:sz w:val="20"/>
          <w:szCs w:val="20"/>
          <w:color w:val="auto"/>
        </w:rPr>
      </w:pPr>
    </w:p>
    <w:p>
      <w:pPr>
        <w:ind w:right="720" w:firstLine="405"/>
        <w:spacing w:after="0" w:line="235" w:lineRule="auto"/>
        <w:rPr>
          <w:sz w:val="20"/>
          <w:szCs w:val="20"/>
          <w:color w:val="auto"/>
        </w:rPr>
      </w:pPr>
      <w:r>
        <w:rPr>
          <w:rFonts w:ascii="Calibri" w:cs="Calibri" w:eastAsia="Calibri" w:hAnsi="Calibri"/>
          <w:sz w:val="18"/>
          <w:szCs w:val="18"/>
          <w:b w:val="1"/>
          <w:bCs w:val="1"/>
          <w:color w:val="auto"/>
        </w:rPr>
        <w:t xml:space="preserve">Mobile Device Connectvity Solutons. </w:t>
      </w:r>
      <w:r>
        <w:rPr>
          <w:rFonts w:ascii="Calibri" w:cs="Calibri" w:eastAsia="Calibri" w:hAnsi="Calibri"/>
          <w:sz w:val="18"/>
          <w:szCs w:val="18"/>
          <w:color w:val="auto"/>
        </w:rPr>
        <w:t>We provide a broad variety of RF semiconductor devices, wireless connectvity solutons, custom touch</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controllers and inductve charging solutons for the wireless market.</w:t>
      </w:r>
    </w:p>
    <w:p>
      <w:pPr>
        <w:spacing w:after="0" w:line="110" w:lineRule="exact"/>
        <w:rPr>
          <w:sz w:val="20"/>
          <w:szCs w:val="20"/>
          <w:color w:val="auto"/>
        </w:rPr>
      </w:pPr>
    </w:p>
    <w:p>
      <w:pPr>
        <w:ind w:left="420" w:right="20" w:hanging="7"/>
        <w:spacing w:after="0" w:line="235" w:lineRule="auto"/>
        <w:tabs>
          <w:tab w:leader="none" w:pos="656" w:val="left"/>
        </w:tabs>
        <w:numPr>
          <w:ilvl w:val="0"/>
          <w:numId w:val="5"/>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RF Semiconductor Devices: </w:t>
      </w:r>
      <w:r>
        <w:rPr>
          <w:rFonts w:ascii="Calibri" w:cs="Calibri" w:eastAsia="Calibri" w:hAnsi="Calibri"/>
          <w:sz w:val="18"/>
          <w:szCs w:val="18"/>
          <w:color w:val="auto"/>
        </w:rPr>
        <w:t>Our RF semiconductor devices selectvely flter, as well as amplify and route, RF signals. Filters enable modern wireless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communicaton systems to support a large number of subscribers simultaneously by ensuring that the multple transmissions and receptons of voice and data streams do not interfere with each other. We were among the frst to deliver commercial flm bulk acoustc resonator (“FBAR”) flters that ofer technological advantages over competng flter technologies, to allow mobile handsets to functon more efciently in today's congested RF spectrum. FBAR technology has a signifcant market share within the cellular handset market. Our RF products include mult-chip module front-end modules that integrate transmit/receive switching and fltering functons for multple frequency bands, flter modules and discrete flters, all using our proprietary FBAR technology.</w:t>
      </w:r>
    </w:p>
    <w:p>
      <w:pPr>
        <w:spacing w:after="0" w:line="114" w:lineRule="exact"/>
        <w:rPr>
          <w:sz w:val="20"/>
          <w:szCs w:val="20"/>
          <w:color w:val="auto"/>
        </w:rPr>
      </w:pPr>
    </w:p>
    <w:p>
      <w:pPr>
        <w:ind w:left="420" w:right="180"/>
        <w:spacing w:after="0" w:line="235" w:lineRule="auto"/>
        <w:rPr>
          <w:sz w:val="20"/>
          <w:szCs w:val="20"/>
          <w:color w:val="auto"/>
        </w:rPr>
      </w:pPr>
      <w:r>
        <w:rPr>
          <w:rFonts w:ascii="Calibri" w:cs="Calibri" w:eastAsia="Calibri" w:hAnsi="Calibri"/>
          <w:sz w:val="18"/>
          <w:szCs w:val="18"/>
          <w:color w:val="auto"/>
        </w:rPr>
        <w:t>Our expertse in FBAR technology, amplifer design, and module integraton enables us to ofer industry-leading performance in cellular RF transceiver applicatons.</w:t>
      </w:r>
    </w:p>
    <w:p>
      <w:pPr>
        <w:spacing w:after="0" w:line="110" w:lineRule="exact"/>
        <w:rPr>
          <w:sz w:val="20"/>
          <w:szCs w:val="20"/>
          <w:color w:val="auto"/>
        </w:rPr>
      </w:pPr>
    </w:p>
    <w:p>
      <w:pPr>
        <w:ind w:left="420" w:right="460" w:hanging="7"/>
        <w:spacing w:after="0" w:line="235" w:lineRule="auto"/>
        <w:tabs>
          <w:tab w:leader="none" w:pos="656" w:val="left"/>
        </w:tabs>
        <w:numPr>
          <w:ilvl w:val="0"/>
          <w:numId w:val="6"/>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Connectvity Solutons: </w:t>
      </w:r>
      <w:r>
        <w:rPr>
          <w:rFonts w:ascii="Calibri" w:cs="Calibri" w:eastAsia="Calibri" w:hAnsi="Calibri"/>
          <w:sz w:val="18"/>
          <w:szCs w:val="18"/>
          <w:color w:val="auto"/>
        </w:rPr>
        <w:t>Our connectvity solutons include discrete and integrated Wi-Fi and Bluetooth solutons, and global positoning</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system/global navigaton satellite system (“GPS/GNSS”) receivers, designed for use in mobile devices including smartphones, tablets and wearable products.</w:t>
      </w:r>
    </w:p>
    <w:p>
      <w:pPr>
        <w:spacing w:after="0" w:line="111" w:lineRule="exact"/>
        <w:rPr>
          <w:sz w:val="20"/>
          <w:szCs w:val="20"/>
          <w:color w:val="auto"/>
        </w:rPr>
      </w:pPr>
    </w:p>
    <w:p>
      <w:pPr>
        <w:ind w:left="420"/>
        <w:spacing w:after="0" w:line="235" w:lineRule="auto"/>
        <w:rPr>
          <w:sz w:val="20"/>
          <w:szCs w:val="20"/>
          <w:color w:val="auto"/>
        </w:rPr>
      </w:pPr>
      <w:r>
        <w:rPr>
          <w:rFonts w:ascii="Calibri" w:cs="Calibri" w:eastAsia="Calibri" w:hAnsi="Calibri"/>
          <w:sz w:val="18"/>
          <w:szCs w:val="18"/>
          <w:color w:val="auto"/>
        </w:rPr>
        <w:t>Wi-Fi allows devices on a local area network to communicate wirelessly, adding the convenience of mobility to the utlity of high-speed data networks. We ofer a family of high performance, low power Wi-Fi chipsets. Bluetooth is a low power technology that enables direct connectvity between devices. We ofer Bluetooth silicon and sofware solutons that enable manufacturers to easily and cost-efectvely add Bluetooth functonality. These solutons include combinaton chips that ofer integrated Wi-Fi and Bluetooth functonality, which provides signifcant performance advantages over discrete solutons.</w:t>
      </w:r>
    </w:p>
    <w:p>
      <w:pPr>
        <w:spacing w:after="0" w:line="112" w:lineRule="exact"/>
        <w:rPr>
          <w:sz w:val="20"/>
          <w:szCs w:val="20"/>
          <w:color w:val="auto"/>
        </w:rPr>
      </w:pPr>
    </w:p>
    <w:p>
      <w:pPr>
        <w:ind w:left="420"/>
        <w:spacing w:after="0" w:line="235" w:lineRule="auto"/>
        <w:rPr>
          <w:sz w:val="20"/>
          <w:szCs w:val="20"/>
          <w:color w:val="auto"/>
        </w:rPr>
      </w:pPr>
      <w:r>
        <w:rPr>
          <w:rFonts w:ascii="Calibri" w:cs="Calibri" w:eastAsia="Calibri" w:hAnsi="Calibri"/>
          <w:sz w:val="18"/>
          <w:szCs w:val="18"/>
          <w:color w:val="auto"/>
        </w:rPr>
        <w:t>We also ofer a family of GPS, assisted-GPS and GNSS semiconductor products, sofware and data services. These products are part of a broader locaton platorm that leverages a broad range of communicatons technologies, including Wi-Fi, Bluetooth and GPS, to provide more accurate locaton and navigaton capabilites.</w:t>
      </w:r>
    </w:p>
    <w:p>
      <w:pPr>
        <w:spacing w:after="0" w:line="106" w:lineRule="exact"/>
        <w:rPr>
          <w:sz w:val="20"/>
          <w:szCs w:val="20"/>
          <w:color w:val="auto"/>
        </w:rPr>
      </w:pPr>
    </w:p>
    <w:p>
      <w:pPr>
        <w:ind w:left="640" w:hanging="227"/>
        <w:spacing w:after="0"/>
        <w:tabs>
          <w:tab w:leader="none" w:pos="640" w:val="left"/>
        </w:tabs>
        <w:numPr>
          <w:ilvl w:val="0"/>
          <w:numId w:val="7"/>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Custom Touch Controllers: </w:t>
      </w:r>
      <w:r>
        <w:rPr>
          <w:rFonts w:ascii="Calibri" w:cs="Calibri" w:eastAsia="Calibri" w:hAnsi="Calibri"/>
          <w:sz w:val="18"/>
          <w:szCs w:val="18"/>
          <w:color w:val="auto"/>
        </w:rPr>
        <w:t>Our touch controllers process signals from touch screens in mobile handsets and tablets.</w:t>
      </w:r>
    </w:p>
    <w:p>
      <w:pPr>
        <w:spacing w:after="0" w:line="109" w:lineRule="exact"/>
        <w:rPr>
          <w:rFonts w:ascii="Calibri" w:cs="Calibri" w:eastAsia="Calibri" w:hAnsi="Calibri"/>
          <w:sz w:val="18"/>
          <w:szCs w:val="18"/>
          <w:color w:val="auto"/>
        </w:rPr>
      </w:pPr>
    </w:p>
    <w:p>
      <w:pPr>
        <w:ind w:left="420" w:right="580" w:hanging="7"/>
        <w:spacing w:after="0" w:line="235" w:lineRule="auto"/>
        <w:tabs>
          <w:tab w:leader="none" w:pos="656" w:val="left"/>
        </w:tabs>
        <w:numPr>
          <w:ilvl w:val="0"/>
          <w:numId w:val="7"/>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Inductve Charging ASICs: </w:t>
      </w:r>
      <w:r>
        <w:rPr>
          <w:rFonts w:ascii="Calibri" w:cs="Calibri" w:eastAsia="Calibri" w:hAnsi="Calibri"/>
          <w:sz w:val="18"/>
          <w:szCs w:val="18"/>
          <w:color w:val="auto"/>
        </w:rPr>
        <w:t>Our custom inductve charging ASIC devices ofer high efciency and are highly integrated solutons for mobile and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wearable devices.</w:t>
      </w:r>
    </w:p>
    <w:p>
      <w:pPr>
        <w:spacing w:after="0" w:line="110" w:lineRule="exact"/>
        <w:rPr>
          <w:sz w:val="20"/>
          <w:szCs w:val="20"/>
          <w:color w:val="auto"/>
        </w:rPr>
      </w:pPr>
    </w:p>
    <w:p>
      <w:pPr>
        <w:jc w:val="both"/>
        <w:ind w:right="200" w:firstLine="405"/>
        <w:spacing w:after="0" w:line="258" w:lineRule="auto"/>
        <w:rPr>
          <w:sz w:val="20"/>
          <w:szCs w:val="20"/>
          <w:color w:val="auto"/>
        </w:rPr>
      </w:pPr>
      <w:r>
        <w:rPr>
          <w:rFonts w:ascii="Calibri" w:cs="Calibri" w:eastAsia="Calibri" w:hAnsi="Calibri"/>
          <w:sz w:val="17"/>
          <w:szCs w:val="17"/>
          <w:b w:val="1"/>
          <w:bCs w:val="1"/>
          <w:color w:val="auto"/>
        </w:rPr>
        <w:t xml:space="preserve">Servers and Storage System Solutons. </w:t>
      </w:r>
      <w:r>
        <w:rPr>
          <w:rFonts w:ascii="Calibri" w:cs="Calibri" w:eastAsia="Calibri" w:hAnsi="Calibri"/>
          <w:sz w:val="17"/>
          <w:szCs w:val="17"/>
          <w:color w:val="auto"/>
        </w:rPr>
        <w:t>We provide semiconductor solutons for enabling secure movement of digital data to and from host machines,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such as servers, personal computers and storage systems, to the underlying storage devices, such as hard disk drives (“HDD”) and solid-state drives (“SSD”).</w:t>
      </w:r>
    </w:p>
    <w:p>
      <w:pPr>
        <w:spacing w:after="0" w:line="94" w:lineRule="exact"/>
        <w:rPr>
          <w:sz w:val="20"/>
          <w:szCs w:val="20"/>
          <w:color w:val="auto"/>
        </w:rPr>
      </w:pPr>
    </w:p>
    <w:p>
      <w:pPr>
        <w:ind w:left="420" w:hanging="7"/>
        <w:spacing w:after="0" w:line="251" w:lineRule="auto"/>
        <w:tabs>
          <w:tab w:leader="none" w:pos="656" w:val="left"/>
        </w:tabs>
        <w:numPr>
          <w:ilvl w:val="0"/>
          <w:numId w:val="8"/>
        </w:numPr>
        <w:rPr>
          <w:rFonts w:ascii="Calibri" w:cs="Calibri" w:eastAsia="Calibri" w:hAnsi="Calibri"/>
          <w:sz w:val="17"/>
          <w:szCs w:val="17"/>
          <w:color w:val="auto"/>
        </w:rPr>
      </w:pPr>
      <w:r>
        <w:rPr>
          <w:rFonts w:ascii="Calibri" w:cs="Calibri" w:eastAsia="Calibri" w:hAnsi="Calibri"/>
          <w:sz w:val="17"/>
          <w:szCs w:val="17"/>
          <w:b w:val="1"/>
          <w:bCs w:val="1"/>
          <w:i w:val="1"/>
          <w:iCs w:val="1"/>
          <w:color w:val="auto"/>
        </w:rPr>
        <w:t xml:space="preserve">SAS, RAID &amp; PCIe Products: </w:t>
      </w:r>
      <w:r>
        <w:rPr>
          <w:rFonts w:ascii="Calibri" w:cs="Calibri" w:eastAsia="Calibri" w:hAnsi="Calibri"/>
          <w:sz w:val="17"/>
          <w:szCs w:val="17"/>
          <w:color w:val="auto"/>
        </w:rPr>
        <w:t>We provide serial atached small computer system interface (SAS) and redundant array of independent disks (RAID)</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controller and adapter solutons to server and storage system original equipment manufacturers (“OEMs”). These solutons enable secure and high-speed data transmission between a host computer, such as a server, and storage peripheral devices, such as HDD, SSD and optcal disk drives and disk and tape-based storage systems. Some of these solutons are delivered as stand-alone semiconductors, typically as a controller. Other solutons are delivered as circuit boards, known as adapter products, which incorporate our semiconductors onto a circuit board with other features. RAID technology is a critcal part of our server storage connectvity solutons as it provides protecton against the loss of critcal data resultng from HDD failures.</w:t>
      </w:r>
    </w:p>
    <w:p>
      <w:pPr>
        <w:spacing w:after="0" w:line="102" w:lineRule="exact"/>
        <w:rPr>
          <w:sz w:val="20"/>
          <w:szCs w:val="20"/>
          <w:color w:val="auto"/>
        </w:rPr>
      </w:pPr>
    </w:p>
    <w:p>
      <w:pPr>
        <w:ind w:left="420" w:right="180"/>
        <w:spacing w:after="0" w:line="235" w:lineRule="auto"/>
        <w:rPr>
          <w:sz w:val="20"/>
          <w:szCs w:val="20"/>
          <w:color w:val="auto"/>
        </w:rPr>
      </w:pPr>
      <w:r>
        <w:rPr>
          <w:rFonts w:ascii="Calibri" w:cs="Calibri" w:eastAsia="Calibri" w:hAnsi="Calibri"/>
          <w:sz w:val="18"/>
          <w:szCs w:val="18"/>
          <w:color w:val="auto"/>
        </w:rPr>
        <w:t>We also provide interconnect semiconductors that support the peripheral component interconnect express (“PCIe”) communicaton standards. PCIe is the primary interconnecton mechanism inside computng systems today.</w:t>
      </w:r>
    </w:p>
    <w:p>
      <w:pPr>
        <w:spacing w:after="0" w:line="105" w:lineRule="exact"/>
        <w:rPr>
          <w:sz w:val="20"/>
          <w:szCs w:val="20"/>
          <w:color w:val="auto"/>
        </w:rPr>
      </w:pPr>
    </w:p>
    <w:p>
      <w:pPr>
        <w:ind w:left="640" w:hanging="227"/>
        <w:spacing w:after="0"/>
        <w:tabs>
          <w:tab w:leader="none" w:pos="640" w:val="left"/>
        </w:tabs>
        <w:numPr>
          <w:ilvl w:val="0"/>
          <w:numId w:val="9"/>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Fibre Channel Products: </w:t>
      </w:r>
      <w:r>
        <w:rPr>
          <w:rFonts w:ascii="Calibri" w:cs="Calibri" w:eastAsia="Calibri" w:hAnsi="Calibri"/>
          <w:sz w:val="18"/>
          <w:szCs w:val="18"/>
          <w:color w:val="auto"/>
        </w:rPr>
        <w:t>We provide fbre channel host bus adapters, which connect host computers such as servers to FC SANs.</w:t>
      </w:r>
    </w:p>
    <w:p>
      <w:pPr>
        <w:spacing w:after="0" w:line="109" w:lineRule="exact"/>
        <w:rPr>
          <w:rFonts w:ascii="Calibri" w:cs="Calibri" w:eastAsia="Calibri" w:hAnsi="Calibri"/>
          <w:sz w:val="18"/>
          <w:szCs w:val="18"/>
          <w:color w:val="auto"/>
        </w:rPr>
      </w:pPr>
    </w:p>
    <w:p>
      <w:pPr>
        <w:ind w:left="420" w:right="400" w:hanging="7"/>
        <w:spacing w:after="0" w:line="235" w:lineRule="auto"/>
        <w:tabs>
          <w:tab w:leader="none" w:pos="656" w:val="left"/>
        </w:tabs>
        <w:numPr>
          <w:ilvl w:val="0"/>
          <w:numId w:val="9"/>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Ethernet NIC Controllers: </w:t>
      </w:r>
      <w:r>
        <w:rPr>
          <w:rFonts w:ascii="Calibri" w:cs="Calibri" w:eastAsia="Calibri" w:hAnsi="Calibri"/>
          <w:sz w:val="18"/>
          <w:szCs w:val="18"/>
          <w:color w:val="auto"/>
        </w:rPr>
        <w:t>Our Ethernet NIC controllers are designed for high-performance virtualizaton, intelligent fow processing, secure data</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center connectvity, and machine learning.</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 w:name="page7"/>
    <w:bookmarkEnd w:id="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20" w:right="40" w:hanging="7"/>
        <w:spacing w:after="0" w:line="235" w:lineRule="auto"/>
        <w:tabs>
          <w:tab w:leader="none" w:pos="656" w:val="left"/>
        </w:tabs>
        <w:numPr>
          <w:ilvl w:val="0"/>
          <w:numId w:val="10"/>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HDD &amp; SSD Solutons: </w:t>
      </w:r>
      <w:r>
        <w:rPr>
          <w:rFonts w:ascii="Calibri" w:cs="Calibri" w:eastAsia="Calibri" w:hAnsi="Calibri"/>
          <w:sz w:val="18"/>
          <w:szCs w:val="18"/>
          <w:color w:val="auto"/>
        </w:rPr>
        <w:t>We provide read channel-based system-on-chip (“SoC”) and preamplifers to HDD OEMs. These are the critcal chips required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to read, write and protect data. An HDD SoC is an integrated circuit (“IC”) that combines the functonality of a read channel, serial interface, memory and a hard disk controller in a small, high-performance, low-power and cost-efectve package. Read channels convert analog signals that are generated by reading the stored data on the physical media into digital signals.</w:t>
      </w:r>
    </w:p>
    <w:p>
      <w:pPr>
        <w:spacing w:after="0" w:line="111" w:lineRule="exact"/>
        <w:rPr>
          <w:sz w:val="20"/>
          <w:szCs w:val="20"/>
          <w:color w:val="auto"/>
        </w:rPr>
      </w:pPr>
    </w:p>
    <w:p>
      <w:pPr>
        <w:ind w:left="420"/>
        <w:spacing w:after="0"/>
        <w:rPr>
          <w:sz w:val="20"/>
          <w:szCs w:val="20"/>
          <w:color w:val="auto"/>
        </w:rPr>
      </w:pPr>
      <w:r>
        <w:rPr>
          <w:rFonts w:ascii="Calibri" w:cs="Calibri" w:eastAsia="Calibri" w:hAnsi="Calibri"/>
          <w:sz w:val="17"/>
          <w:szCs w:val="17"/>
          <w:color w:val="auto"/>
        </w:rPr>
        <w:t>In additon, we sell preamplifers, which are complex, high speed, mixed signal devices that enable writng and reading data to and from the HDD heads.</w:t>
      </w:r>
    </w:p>
    <w:p>
      <w:pPr>
        <w:spacing w:after="0" w:line="4"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The preamplifer interfaces with the SoC to provide the electronics data path in a HDD.</w:t>
      </w:r>
    </w:p>
    <w:p>
      <w:pPr>
        <w:spacing w:after="0" w:line="109" w:lineRule="exact"/>
        <w:rPr>
          <w:sz w:val="20"/>
          <w:szCs w:val="20"/>
          <w:color w:val="auto"/>
        </w:rPr>
      </w:pPr>
    </w:p>
    <w:p>
      <w:pPr>
        <w:jc w:val="both"/>
        <w:ind w:left="420"/>
        <w:spacing w:after="0" w:line="235" w:lineRule="auto"/>
        <w:rPr>
          <w:sz w:val="20"/>
          <w:szCs w:val="20"/>
          <w:color w:val="auto"/>
        </w:rPr>
      </w:pPr>
      <w:r>
        <w:rPr>
          <w:rFonts w:ascii="Calibri" w:cs="Calibri" w:eastAsia="Calibri" w:hAnsi="Calibri"/>
          <w:sz w:val="18"/>
          <w:szCs w:val="18"/>
          <w:color w:val="auto"/>
        </w:rPr>
        <w:t>We also provide custom fash controllers to SSD OEMs. An SSD stores data in fash memory instead of on a hard disk, providing high speed access to the data. Flash controllers manage the underlying fash memory in SSDs, performing critcal functons such as reading and writng data to and from the fash memory and performing error correcton, wear leveling and bad block management.</w:t>
      </w:r>
    </w:p>
    <w:p>
      <w:pPr>
        <w:spacing w:after="0" w:line="106" w:lineRule="exact"/>
        <w:rPr>
          <w:sz w:val="20"/>
          <w:szCs w:val="20"/>
          <w:color w:val="auto"/>
        </w:rPr>
      </w:pPr>
    </w:p>
    <w:p>
      <w:pPr>
        <w:ind w:left="420"/>
        <w:spacing w:after="0"/>
        <w:rPr>
          <w:sz w:val="20"/>
          <w:szCs w:val="20"/>
          <w:color w:val="auto"/>
        </w:rPr>
      </w:pPr>
      <w:r>
        <w:rPr>
          <w:rFonts w:ascii="Calibri" w:cs="Calibri" w:eastAsia="Calibri" w:hAnsi="Calibri"/>
          <w:sz w:val="18"/>
          <w:szCs w:val="18"/>
          <w:b w:val="1"/>
          <w:bCs w:val="1"/>
          <w:color w:val="auto"/>
        </w:rPr>
        <w:t xml:space="preserve">Broadband Solutons. </w:t>
      </w:r>
      <w:r>
        <w:rPr>
          <w:rFonts w:ascii="Calibri" w:cs="Calibri" w:eastAsia="Calibri" w:hAnsi="Calibri"/>
          <w:sz w:val="18"/>
          <w:szCs w:val="18"/>
          <w:color w:val="auto"/>
        </w:rPr>
        <w:t>We provide semiconductor solutons for enabling STBs and broadband access applicatons.</w:t>
      </w:r>
    </w:p>
    <w:p>
      <w:pPr>
        <w:spacing w:after="0" w:line="109" w:lineRule="exact"/>
        <w:rPr>
          <w:sz w:val="20"/>
          <w:szCs w:val="20"/>
          <w:color w:val="auto"/>
        </w:rPr>
      </w:pPr>
    </w:p>
    <w:p>
      <w:pPr>
        <w:ind w:left="420" w:right="60" w:hanging="7"/>
        <w:spacing w:after="0" w:line="235" w:lineRule="auto"/>
        <w:tabs>
          <w:tab w:leader="none" w:pos="656" w:val="left"/>
        </w:tabs>
        <w:numPr>
          <w:ilvl w:val="0"/>
          <w:numId w:val="11"/>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Set-Top Box: </w:t>
      </w:r>
      <w:r>
        <w:rPr>
          <w:rFonts w:ascii="Calibri" w:cs="Calibri" w:eastAsia="Calibri" w:hAnsi="Calibri"/>
          <w:sz w:val="18"/>
          <w:szCs w:val="18"/>
          <w:color w:val="auto"/>
        </w:rPr>
        <w:t>We ofer complete SoC platorm solutons for cable, satellite, Internet Protocol television, over-the-top and terrestrial STBs. Our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products enable global service providers to introduce new and enhanced technologies and services in STBs, including transcoding, digital video recording functonality, higher defniton video processing, increased networking capabilites, and more tuners to enable faster channel change and more simultaneous recordings. We are also enabling service providers in deploying High Efciency Video Coding (“HEVC”), a video compression format that is a successor to the H.264/MPEG-4 format. HEVC enables ultra-high defniton (“Ultra HD”) services by efectvely doubling the capacity of existng networks to deploy new or existng content. Our families of STB solutons support the complete range of resolutons, from standard defniton to high defniton to Ultra HD.</w:t>
      </w:r>
    </w:p>
    <w:p>
      <w:pPr>
        <w:spacing w:after="0" w:line="113" w:lineRule="exact"/>
        <w:rPr>
          <w:rFonts w:ascii="Calibri" w:cs="Calibri" w:eastAsia="Calibri" w:hAnsi="Calibri"/>
          <w:sz w:val="18"/>
          <w:szCs w:val="18"/>
          <w:color w:val="auto"/>
        </w:rPr>
      </w:pPr>
    </w:p>
    <w:p>
      <w:pPr>
        <w:ind w:left="420" w:hanging="7"/>
        <w:spacing w:after="0" w:line="251" w:lineRule="auto"/>
        <w:tabs>
          <w:tab w:leader="none" w:pos="656" w:val="left"/>
        </w:tabs>
        <w:numPr>
          <w:ilvl w:val="0"/>
          <w:numId w:val="11"/>
        </w:numPr>
        <w:rPr>
          <w:rFonts w:ascii="Calibri" w:cs="Calibri" w:eastAsia="Calibri" w:hAnsi="Calibri"/>
          <w:sz w:val="17"/>
          <w:szCs w:val="17"/>
          <w:color w:val="auto"/>
        </w:rPr>
      </w:pPr>
      <w:r>
        <w:rPr>
          <w:rFonts w:ascii="Calibri" w:cs="Calibri" w:eastAsia="Calibri" w:hAnsi="Calibri"/>
          <w:sz w:val="17"/>
          <w:szCs w:val="17"/>
          <w:b w:val="1"/>
          <w:bCs w:val="1"/>
          <w:i w:val="1"/>
          <w:iCs w:val="1"/>
          <w:color w:val="auto"/>
        </w:rPr>
        <w:t xml:space="preserve">Broadband Access: </w:t>
      </w:r>
      <w:r>
        <w:rPr>
          <w:rFonts w:ascii="Calibri" w:cs="Calibri" w:eastAsia="Calibri" w:hAnsi="Calibri"/>
          <w:sz w:val="17"/>
          <w:szCs w:val="17"/>
          <w:color w:val="auto"/>
        </w:rPr>
        <w:t>We ofer complete SoC platorm solutons for digital subscriber line (“DSL”), cable, passive optcal networking (“PON”) and</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wireless local area network for both consumer premise equipment (“CPE”) and central ofce (“CO”) deployments. Our CPE devices are used in broadband modems, residental gateways and Wi-Fi access points and routers. Our CO devices, including DSL Access Multplexer (“DSLAM”), cable modem terminaton systems and PON optcal line terminaton medium access controllers, are empowering modern operator broadband infrastructure. Our products enable global service providers to contnue deploying next generaton broadband access technologies across multple standards, including G.fast, Data Over Cable Service Interface Specifcatons (“DOCSIS”), PON and Wi-Fi to provide more bandwidth and faster speeds to consumers.</w:t>
      </w:r>
    </w:p>
    <w:p>
      <w:pPr>
        <w:spacing w:after="0" w:line="102" w:lineRule="exact"/>
        <w:rPr>
          <w:sz w:val="20"/>
          <w:szCs w:val="20"/>
          <w:color w:val="auto"/>
        </w:rPr>
      </w:pPr>
    </w:p>
    <w:p>
      <w:pPr>
        <w:ind w:right="260" w:firstLine="405"/>
        <w:spacing w:after="0" w:line="235" w:lineRule="auto"/>
        <w:rPr>
          <w:sz w:val="20"/>
          <w:szCs w:val="20"/>
          <w:color w:val="auto"/>
        </w:rPr>
      </w:pPr>
      <w:r>
        <w:rPr>
          <w:rFonts w:ascii="Calibri" w:cs="Calibri" w:eastAsia="Calibri" w:hAnsi="Calibri"/>
          <w:sz w:val="18"/>
          <w:szCs w:val="18"/>
          <w:b w:val="1"/>
          <w:bCs w:val="1"/>
          <w:i w:val="1"/>
          <w:iCs w:val="1"/>
          <w:color w:val="auto"/>
        </w:rPr>
        <w:t xml:space="preserve">Factory Automaton, Renewable Energy and Automotve Electronic Solutons. </w:t>
      </w:r>
      <w:r>
        <w:rPr>
          <w:rFonts w:ascii="Calibri" w:cs="Calibri" w:eastAsia="Calibri" w:hAnsi="Calibri"/>
          <w:sz w:val="18"/>
          <w:szCs w:val="18"/>
          <w:color w:val="auto"/>
        </w:rPr>
        <w:t>We provide a broad variety of products for the general industrial and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automotve markets, including optocouplers, industrial fber optcs, industrial and medical sensors, moton encoders, light emitng diode devices, and Ethernet ICs. Our industrial products are used in a diverse set of applicatons, spanning industrial automaton, power generaton and distributon systems, medical systems and equipment, defense and aerospace, and vehicle subsystems including those used in electric vehicle powertrain, infotainment and advanced driver assistance systems.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Infrastructure Sofware</w:t>
      </w:r>
    </w:p>
    <w:p>
      <w:pPr>
        <w:spacing w:after="0" w:line="109" w:lineRule="exact"/>
        <w:rPr>
          <w:sz w:val="20"/>
          <w:szCs w:val="20"/>
          <w:color w:val="auto"/>
        </w:rPr>
      </w:pPr>
    </w:p>
    <w:p>
      <w:pPr>
        <w:ind w:right="120" w:firstLine="405"/>
        <w:spacing w:after="0" w:line="235" w:lineRule="auto"/>
        <w:rPr>
          <w:sz w:val="20"/>
          <w:szCs w:val="20"/>
          <w:color w:val="auto"/>
        </w:rPr>
      </w:pPr>
      <w:r>
        <w:rPr>
          <w:rFonts w:ascii="Calibri" w:cs="Calibri" w:eastAsia="Calibri" w:hAnsi="Calibri"/>
          <w:sz w:val="18"/>
          <w:szCs w:val="18"/>
          <w:color w:val="auto"/>
        </w:rPr>
        <w:t>Our infrastructure sofware solutons ofer customers greater choice and fexibility to build, run, manage, connect and protect applicatons and data at scale across data center and private and hybrid cloud environments.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7" w:name="page8"/>
    <w:bookmarkEnd w:id="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The table below presents our sofware portolios and their key oferings.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1540" w:type="dxa"/>
            <w:vAlign w:val="bottom"/>
            <w:gridSpan w:val="2"/>
          </w:tcPr>
          <w:p>
            <w:pPr>
              <w:spacing w:after="0"/>
              <w:rPr>
                <w:sz w:val="20"/>
                <w:szCs w:val="20"/>
                <w:color w:val="auto"/>
              </w:rPr>
            </w:pPr>
            <w:r>
              <w:rPr>
                <w:rFonts w:ascii="Calibri" w:cs="Calibri" w:eastAsia="Calibri" w:hAnsi="Calibri"/>
                <w:sz w:val="14"/>
                <w:szCs w:val="14"/>
                <w:b w:val="1"/>
                <w:bCs w:val="1"/>
                <w:color w:val="auto"/>
              </w:rPr>
              <w:t>Sofware Portolio</w:t>
            </w:r>
          </w:p>
        </w:tc>
        <w:tc>
          <w:tcPr>
            <w:tcW w:w="4900" w:type="dxa"/>
            <w:vAlign w:val="bottom"/>
            <w:gridSpan w:val="3"/>
          </w:tcPr>
          <w:p>
            <w:pPr>
              <w:ind w:left="2060"/>
              <w:spacing w:after="0"/>
              <w:rPr>
                <w:sz w:val="20"/>
                <w:szCs w:val="20"/>
                <w:color w:val="auto"/>
              </w:rPr>
            </w:pPr>
            <w:r>
              <w:rPr>
                <w:rFonts w:ascii="Calibri" w:cs="Calibri" w:eastAsia="Calibri" w:hAnsi="Calibri"/>
                <w:sz w:val="14"/>
                <w:szCs w:val="14"/>
                <w:b w:val="1"/>
                <w:bCs w:val="1"/>
                <w:color w:val="auto"/>
              </w:rPr>
              <w:t>Portolio Descripton</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Calibri" w:cs="Calibri" w:eastAsia="Calibri" w:hAnsi="Calibri"/>
                <w:sz w:val="14"/>
                <w:szCs w:val="14"/>
                <w:b w:val="1"/>
                <w:bCs w:val="1"/>
                <w:color w:val="auto"/>
              </w:rPr>
              <w:t>Key Portolio Oferings</w:t>
            </w: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1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420" w:type="dxa"/>
            <w:vAlign w:val="bottom"/>
            <w:gridSpan w:val="3"/>
            <w:shd w:val="clear" w:color="auto" w:fill="CCEEFF"/>
          </w:tcPr>
          <w:p>
            <w:pPr>
              <w:ind w:left="20"/>
              <w:spacing w:after="0" w:line="161" w:lineRule="exact"/>
              <w:rPr>
                <w:sz w:val="20"/>
                <w:szCs w:val="20"/>
                <w:color w:val="auto"/>
              </w:rPr>
            </w:pPr>
            <w:r>
              <w:rPr>
                <w:rFonts w:ascii="Calibri" w:cs="Calibri" w:eastAsia="Calibri" w:hAnsi="Calibri"/>
                <w:sz w:val="14"/>
                <w:szCs w:val="14"/>
                <w:b w:val="1"/>
                <w:bCs w:val="1"/>
                <w:color w:val="auto"/>
              </w:rPr>
              <w:t>Private Cloud</w:t>
            </w:r>
          </w:p>
        </w:tc>
        <w:tc>
          <w:tcPr>
            <w:tcW w:w="4900" w:type="dxa"/>
            <w:vAlign w:val="bottom"/>
            <w:gridSpan w:val="3"/>
            <w:shd w:val="clear" w:color="auto" w:fill="CCEEFF"/>
          </w:tcPr>
          <w:p>
            <w:pPr>
              <w:ind w:left="440"/>
              <w:spacing w:after="0" w:line="161" w:lineRule="exact"/>
              <w:rPr>
                <w:sz w:val="20"/>
                <w:szCs w:val="20"/>
                <w:color w:val="auto"/>
              </w:rPr>
            </w:pPr>
            <w:r>
              <w:rPr>
                <w:rFonts w:ascii="Calibri" w:cs="Calibri" w:eastAsia="Calibri" w:hAnsi="Calibri"/>
                <w:sz w:val="14"/>
                <w:szCs w:val="14"/>
                <w:color w:val="auto"/>
              </w:rPr>
              <w:t>• Cloud infrastructure that is ubiquitous, fexible, and integrated across on-</w:t>
            </w:r>
          </w:p>
        </w:tc>
        <w:tc>
          <w:tcPr>
            <w:tcW w:w="160" w:type="dxa"/>
            <w:vAlign w:val="bottom"/>
            <w:shd w:val="clear" w:color="auto" w:fill="CCEEFF"/>
          </w:tcPr>
          <w:p>
            <w:pPr>
              <w:ind w:left="40"/>
              <w:spacing w:after="0" w:line="161" w:lineRule="exact"/>
              <w:rPr>
                <w:sz w:val="20"/>
                <w:szCs w:val="20"/>
                <w:color w:val="auto"/>
              </w:rPr>
            </w:pPr>
            <w:r>
              <w:rPr>
                <w:rFonts w:ascii="Calibri" w:cs="Calibri" w:eastAsia="Calibri" w:hAnsi="Calibri"/>
                <w:sz w:val="14"/>
                <w:szCs w:val="14"/>
                <w:color w:val="auto"/>
              </w:rPr>
              <w:t>•</w:t>
            </w:r>
          </w:p>
        </w:tc>
        <w:tc>
          <w:tcPr>
            <w:tcW w:w="3760" w:type="dxa"/>
            <w:vAlign w:val="bottom"/>
            <w:gridSpan w:val="3"/>
            <w:shd w:val="clear" w:color="auto" w:fill="CCEEFF"/>
          </w:tcPr>
          <w:p>
            <w:pPr>
              <w:ind w:left="40"/>
              <w:spacing w:after="0" w:line="161" w:lineRule="exact"/>
              <w:rPr>
                <w:sz w:val="20"/>
                <w:szCs w:val="20"/>
                <w:color w:val="auto"/>
              </w:rPr>
            </w:pPr>
            <w:r>
              <w:rPr>
                <w:rFonts w:ascii="Calibri" w:cs="Calibri" w:eastAsia="Calibri" w:hAnsi="Calibri"/>
                <w:sz w:val="14"/>
                <w:szCs w:val="14"/>
                <w:color w:val="auto"/>
              </w:rPr>
              <w:t>VMware Cloud Foundaton</w:t>
            </w:r>
          </w:p>
        </w:tc>
        <w:tc>
          <w:tcPr>
            <w:tcW w:w="0" w:type="dxa"/>
            <w:vAlign w:val="bottom"/>
          </w:tcPr>
          <w:p>
            <w:pPr>
              <w:spacing w:after="0"/>
              <w:rPr>
                <w:sz w:val="1"/>
                <w:szCs w:val="1"/>
                <w:color w:val="auto"/>
              </w:rPr>
            </w:pPr>
          </w:p>
        </w:tc>
      </w:tr>
      <w:tr>
        <w:trPr>
          <w:trHeight w:val="170"/>
        </w:trPr>
        <w:tc>
          <w:tcPr>
            <w:tcW w:w="8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900" w:type="dxa"/>
            <w:vAlign w:val="bottom"/>
            <w:gridSpan w:val="3"/>
            <w:shd w:val="clear" w:color="auto" w:fill="CCEEFF"/>
          </w:tcPr>
          <w:p>
            <w:pPr>
              <w:ind w:left="600"/>
              <w:spacing w:after="0"/>
              <w:rPr>
                <w:sz w:val="20"/>
                <w:szCs w:val="20"/>
                <w:color w:val="auto"/>
              </w:rPr>
            </w:pPr>
            <w:r>
              <w:rPr>
                <w:rFonts w:ascii="Calibri" w:cs="Calibri" w:eastAsia="Calibri" w:hAnsi="Calibri"/>
                <w:sz w:val="14"/>
                <w:szCs w:val="14"/>
                <w:color w:val="auto"/>
              </w:rPr>
              <w:t>premises, edge, public and partner clouds</w:t>
            </w:r>
          </w:p>
        </w:tc>
        <w:tc>
          <w:tcPr>
            <w:tcW w:w="3920" w:type="dxa"/>
            <w:vAlign w:val="bottom"/>
            <w:gridSpan w:val="4"/>
            <w:vMerge w:val="restart"/>
            <w:shd w:val="clear" w:color="auto" w:fill="CCEEFF"/>
          </w:tcPr>
          <w:p>
            <w:pPr>
              <w:ind w:left="40"/>
              <w:spacing w:after="0"/>
              <w:rPr>
                <w:sz w:val="20"/>
                <w:szCs w:val="20"/>
                <w:color w:val="auto"/>
              </w:rPr>
            </w:pPr>
            <w:r>
              <w:rPr>
                <w:rFonts w:ascii="Calibri" w:cs="Calibri" w:eastAsia="Calibri" w:hAnsi="Calibri"/>
                <w:sz w:val="14"/>
                <w:szCs w:val="14"/>
                <w:color w:val="auto"/>
              </w:rPr>
              <w:t>•  VMware Cloud Foundaton Edge</w:t>
            </w:r>
          </w:p>
        </w:tc>
        <w:tc>
          <w:tcPr>
            <w:tcW w:w="0" w:type="dxa"/>
            <w:vAlign w:val="bottom"/>
          </w:tcPr>
          <w:p>
            <w:pPr>
              <w:spacing w:after="0"/>
              <w:rPr>
                <w:sz w:val="1"/>
                <w:szCs w:val="1"/>
                <w:color w:val="auto"/>
              </w:rPr>
            </w:pPr>
          </w:p>
        </w:tc>
      </w:tr>
      <w:tr>
        <w:trPr>
          <w:trHeight w:val="94"/>
        </w:trPr>
        <w:tc>
          <w:tcPr>
            <w:tcW w:w="8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3920" w:type="dxa"/>
            <w:vAlign w:val="bottom"/>
            <w:gridSpan w:val="4"/>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8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Calibri" w:cs="Calibri" w:eastAsia="Calibri" w:hAnsi="Calibri"/>
                <w:sz w:val="14"/>
                <w:szCs w:val="14"/>
                <w:color w:val="auto"/>
              </w:rPr>
              <w:t>•</w:t>
            </w:r>
          </w:p>
        </w:tc>
        <w:tc>
          <w:tcPr>
            <w:tcW w:w="3760" w:type="dxa"/>
            <w:vAlign w:val="bottom"/>
            <w:gridSpan w:val="3"/>
            <w:shd w:val="clear" w:color="auto" w:fill="CCEEFF"/>
          </w:tcPr>
          <w:p>
            <w:pPr>
              <w:ind w:left="40"/>
              <w:spacing w:after="0"/>
              <w:rPr>
                <w:sz w:val="20"/>
                <w:szCs w:val="20"/>
                <w:color w:val="auto"/>
              </w:rPr>
            </w:pPr>
            <w:r>
              <w:rPr>
                <w:rFonts w:ascii="Calibri" w:cs="Calibri" w:eastAsia="Calibri" w:hAnsi="Calibri"/>
                <w:sz w:val="14"/>
                <w:szCs w:val="14"/>
                <w:color w:val="auto"/>
              </w:rPr>
              <w:t>VMware vSphere Foundaton</w:t>
            </w:r>
          </w:p>
        </w:tc>
        <w:tc>
          <w:tcPr>
            <w:tcW w:w="0" w:type="dxa"/>
            <w:vAlign w:val="bottom"/>
          </w:tcPr>
          <w:p>
            <w:pPr>
              <w:spacing w:after="0"/>
              <w:rPr>
                <w:sz w:val="1"/>
                <w:szCs w:val="1"/>
                <w:color w:val="auto"/>
              </w:rPr>
            </w:pPr>
          </w:p>
        </w:tc>
      </w:tr>
      <w:tr>
        <w:trPr>
          <w:trHeight w:val="257"/>
        </w:trPr>
        <w:tc>
          <w:tcPr>
            <w:tcW w:w="8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Calibri" w:cs="Calibri" w:eastAsia="Calibri" w:hAnsi="Calibri"/>
                <w:sz w:val="14"/>
                <w:szCs w:val="14"/>
                <w:color w:val="auto"/>
              </w:rPr>
              <w:t>•</w:t>
            </w:r>
          </w:p>
        </w:tc>
        <w:tc>
          <w:tcPr>
            <w:tcW w:w="3760" w:type="dxa"/>
            <w:vAlign w:val="bottom"/>
            <w:gridSpan w:val="3"/>
            <w:shd w:val="clear" w:color="auto" w:fill="CCEEFF"/>
          </w:tcPr>
          <w:p>
            <w:pPr>
              <w:ind w:left="40"/>
              <w:spacing w:after="0"/>
              <w:rPr>
                <w:sz w:val="20"/>
                <w:szCs w:val="20"/>
                <w:color w:val="auto"/>
              </w:rPr>
            </w:pPr>
            <w:r>
              <w:rPr>
                <w:rFonts w:ascii="Calibri" w:cs="Calibri" w:eastAsia="Calibri" w:hAnsi="Calibri"/>
                <w:sz w:val="14"/>
                <w:szCs w:val="14"/>
                <w:color w:val="auto"/>
              </w:rPr>
              <w:t>Private AI</w:t>
            </w:r>
          </w:p>
        </w:tc>
        <w:tc>
          <w:tcPr>
            <w:tcW w:w="0" w:type="dxa"/>
            <w:vAlign w:val="bottom"/>
          </w:tcPr>
          <w:p>
            <w:pPr>
              <w:spacing w:after="0"/>
              <w:rPr>
                <w:sz w:val="1"/>
                <w:szCs w:val="1"/>
                <w:color w:val="auto"/>
              </w:rPr>
            </w:pPr>
          </w:p>
        </w:tc>
      </w:tr>
      <w:tr>
        <w:trPr>
          <w:trHeight w:val="257"/>
        </w:trPr>
        <w:tc>
          <w:tcPr>
            <w:tcW w:w="8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Calibri" w:cs="Calibri" w:eastAsia="Calibri" w:hAnsi="Calibri"/>
                <w:sz w:val="14"/>
                <w:szCs w:val="14"/>
                <w:color w:val="auto"/>
              </w:rPr>
              <w:t>•</w:t>
            </w:r>
          </w:p>
        </w:tc>
        <w:tc>
          <w:tcPr>
            <w:tcW w:w="3760" w:type="dxa"/>
            <w:vAlign w:val="bottom"/>
            <w:gridSpan w:val="3"/>
            <w:shd w:val="clear" w:color="auto" w:fill="CCEEFF"/>
          </w:tcPr>
          <w:p>
            <w:pPr>
              <w:ind w:left="40"/>
              <w:spacing w:after="0"/>
              <w:rPr>
                <w:sz w:val="20"/>
                <w:szCs w:val="20"/>
                <w:color w:val="auto"/>
              </w:rPr>
            </w:pPr>
            <w:r>
              <w:rPr>
                <w:rFonts w:ascii="Calibri" w:cs="Calibri" w:eastAsia="Calibri" w:hAnsi="Calibri"/>
                <w:sz w:val="14"/>
                <w:szCs w:val="14"/>
                <w:color w:val="auto"/>
              </w:rPr>
              <w:t>Live Recovery</w:t>
            </w:r>
          </w:p>
        </w:tc>
        <w:tc>
          <w:tcPr>
            <w:tcW w:w="0" w:type="dxa"/>
            <w:vAlign w:val="bottom"/>
          </w:tcPr>
          <w:p>
            <w:pPr>
              <w:spacing w:after="0"/>
              <w:rPr>
                <w:sz w:val="1"/>
                <w:szCs w:val="1"/>
                <w:color w:val="auto"/>
              </w:rPr>
            </w:pPr>
          </w:p>
        </w:tc>
      </w:tr>
      <w:tr>
        <w:trPr>
          <w:trHeight w:val="256"/>
        </w:trPr>
        <w:tc>
          <w:tcPr>
            <w:tcW w:w="8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Calibri" w:cs="Calibri" w:eastAsia="Calibri" w:hAnsi="Calibri"/>
                <w:sz w:val="14"/>
                <w:szCs w:val="14"/>
                <w:color w:val="auto"/>
              </w:rPr>
              <w:t>•</w:t>
            </w:r>
          </w:p>
        </w:tc>
        <w:tc>
          <w:tcPr>
            <w:tcW w:w="3760" w:type="dxa"/>
            <w:vAlign w:val="bottom"/>
            <w:gridSpan w:val="3"/>
            <w:shd w:val="clear" w:color="auto" w:fill="CCEEFF"/>
          </w:tcPr>
          <w:p>
            <w:pPr>
              <w:ind w:left="40"/>
              <w:spacing w:after="0"/>
              <w:rPr>
                <w:sz w:val="20"/>
                <w:szCs w:val="20"/>
                <w:color w:val="auto"/>
              </w:rPr>
            </w:pPr>
            <w:r>
              <w:rPr>
                <w:rFonts w:ascii="Calibri" w:cs="Calibri" w:eastAsia="Calibri" w:hAnsi="Calibri"/>
                <w:sz w:val="14"/>
                <w:szCs w:val="14"/>
                <w:color w:val="auto"/>
              </w:rPr>
              <w:t>Telco Cloud Platorm</w:t>
            </w:r>
          </w:p>
        </w:tc>
        <w:tc>
          <w:tcPr>
            <w:tcW w:w="0" w:type="dxa"/>
            <w:vAlign w:val="bottom"/>
          </w:tcPr>
          <w:p>
            <w:pPr>
              <w:spacing w:after="0"/>
              <w:rPr>
                <w:sz w:val="1"/>
                <w:szCs w:val="1"/>
                <w:color w:val="auto"/>
              </w:rPr>
            </w:pPr>
          </w:p>
        </w:tc>
      </w:tr>
      <w:tr>
        <w:trPr>
          <w:trHeight w:val="88"/>
        </w:trPr>
        <w:tc>
          <w:tcPr>
            <w:tcW w:w="8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420" w:type="dxa"/>
            <w:vAlign w:val="bottom"/>
            <w:gridSpan w:val="3"/>
          </w:tcPr>
          <w:p>
            <w:pPr>
              <w:ind w:left="20"/>
              <w:spacing w:after="0" w:line="161" w:lineRule="exact"/>
              <w:rPr>
                <w:sz w:val="20"/>
                <w:szCs w:val="20"/>
                <w:color w:val="auto"/>
              </w:rPr>
            </w:pPr>
            <w:r>
              <w:rPr>
                <w:rFonts w:ascii="Calibri" w:cs="Calibri" w:eastAsia="Calibri" w:hAnsi="Calibri"/>
                <w:sz w:val="14"/>
                <w:szCs w:val="14"/>
                <w:b w:val="1"/>
                <w:bCs w:val="1"/>
                <w:color w:val="auto"/>
              </w:rPr>
              <w:t>Tanzu</w:t>
            </w:r>
          </w:p>
        </w:tc>
        <w:tc>
          <w:tcPr>
            <w:tcW w:w="4900" w:type="dxa"/>
            <w:vAlign w:val="bottom"/>
            <w:gridSpan w:val="3"/>
          </w:tcPr>
          <w:p>
            <w:pPr>
              <w:ind w:left="440"/>
              <w:spacing w:after="0" w:line="161" w:lineRule="exact"/>
              <w:rPr>
                <w:sz w:val="20"/>
                <w:szCs w:val="20"/>
                <w:color w:val="auto"/>
              </w:rPr>
            </w:pPr>
            <w:r>
              <w:rPr>
                <w:rFonts w:ascii="Calibri" w:cs="Calibri" w:eastAsia="Calibri" w:hAnsi="Calibri"/>
                <w:sz w:val="14"/>
                <w:szCs w:val="14"/>
                <w:color w:val="auto"/>
              </w:rPr>
              <w:t>• Comprehensive solutons for applicaton development operatons and</w:t>
            </w:r>
          </w:p>
        </w:tc>
        <w:tc>
          <w:tcPr>
            <w:tcW w:w="160" w:type="dxa"/>
            <w:vAlign w:val="bottom"/>
          </w:tcPr>
          <w:p>
            <w:pPr>
              <w:ind w:left="40"/>
              <w:spacing w:after="0" w:line="161" w:lineRule="exact"/>
              <w:rPr>
                <w:sz w:val="20"/>
                <w:szCs w:val="20"/>
                <w:color w:val="auto"/>
              </w:rPr>
            </w:pPr>
            <w:r>
              <w:rPr>
                <w:rFonts w:ascii="Calibri" w:cs="Calibri" w:eastAsia="Calibri" w:hAnsi="Calibri"/>
                <w:sz w:val="14"/>
                <w:szCs w:val="14"/>
                <w:color w:val="auto"/>
              </w:rPr>
              <w:t>•</w:t>
            </w:r>
          </w:p>
        </w:tc>
        <w:tc>
          <w:tcPr>
            <w:tcW w:w="3760" w:type="dxa"/>
            <w:vAlign w:val="bottom"/>
            <w:gridSpan w:val="3"/>
          </w:tcPr>
          <w:p>
            <w:pPr>
              <w:ind w:left="40"/>
              <w:spacing w:after="0" w:line="161" w:lineRule="exact"/>
              <w:rPr>
                <w:sz w:val="20"/>
                <w:szCs w:val="20"/>
                <w:color w:val="auto"/>
              </w:rPr>
            </w:pPr>
            <w:r>
              <w:rPr>
                <w:rFonts w:ascii="Calibri" w:cs="Calibri" w:eastAsia="Calibri" w:hAnsi="Calibri"/>
                <w:sz w:val="14"/>
                <w:szCs w:val="14"/>
                <w:color w:val="auto"/>
              </w:rPr>
              <w:t>Tanzu Platorm</w:t>
            </w:r>
          </w:p>
        </w:tc>
        <w:tc>
          <w:tcPr>
            <w:tcW w:w="0" w:type="dxa"/>
            <w:vAlign w:val="bottom"/>
          </w:tcPr>
          <w:p>
            <w:pPr>
              <w:spacing w:after="0"/>
              <w:rPr>
                <w:sz w:val="1"/>
                <w:szCs w:val="1"/>
                <w:color w:val="auto"/>
              </w:rPr>
            </w:pPr>
          </w:p>
        </w:tc>
      </w:tr>
      <w:tr>
        <w:trPr>
          <w:trHeight w:val="170"/>
        </w:trPr>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900" w:type="dxa"/>
            <w:vAlign w:val="bottom"/>
            <w:gridSpan w:val="3"/>
          </w:tcPr>
          <w:p>
            <w:pPr>
              <w:ind w:left="600"/>
              <w:spacing w:after="0"/>
              <w:rPr>
                <w:sz w:val="20"/>
                <w:szCs w:val="20"/>
                <w:color w:val="auto"/>
              </w:rPr>
            </w:pPr>
            <w:r>
              <w:rPr>
                <w:rFonts w:ascii="Calibri" w:cs="Calibri" w:eastAsia="Calibri" w:hAnsi="Calibri"/>
                <w:sz w:val="14"/>
                <w:szCs w:val="14"/>
                <w:color w:val="auto"/>
              </w:rPr>
              <w:t>optmizaton</w:t>
            </w:r>
          </w:p>
        </w:tc>
        <w:tc>
          <w:tcPr>
            <w:tcW w:w="160" w:type="dxa"/>
            <w:vAlign w:val="bottom"/>
            <w:vMerge w:val="restart"/>
          </w:tcPr>
          <w:p>
            <w:pPr>
              <w:ind w:left="40"/>
              <w:spacing w:after="0"/>
              <w:rPr>
                <w:sz w:val="20"/>
                <w:szCs w:val="20"/>
                <w:color w:val="auto"/>
              </w:rPr>
            </w:pPr>
            <w:r>
              <w:rPr>
                <w:rFonts w:ascii="Calibri" w:cs="Calibri" w:eastAsia="Calibri" w:hAnsi="Calibri"/>
                <w:sz w:val="14"/>
                <w:szCs w:val="14"/>
                <w:color w:val="auto"/>
              </w:rPr>
              <w:t>•</w:t>
            </w:r>
          </w:p>
        </w:tc>
        <w:tc>
          <w:tcPr>
            <w:tcW w:w="3760" w:type="dxa"/>
            <w:vAlign w:val="bottom"/>
            <w:gridSpan w:val="3"/>
            <w:vMerge w:val="restart"/>
          </w:tcPr>
          <w:p>
            <w:pPr>
              <w:ind w:left="40"/>
              <w:spacing w:after="0"/>
              <w:rPr>
                <w:sz w:val="20"/>
                <w:szCs w:val="20"/>
                <w:color w:val="auto"/>
              </w:rPr>
            </w:pPr>
            <w:r>
              <w:rPr>
                <w:rFonts w:ascii="Calibri" w:cs="Calibri" w:eastAsia="Calibri" w:hAnsi="Calibri"/>
                <w:sz w:val="14"/>
                <w:szCs w:val="14"/>
                <w:color w:val="auto"/>
              </w:rPr>
              <w:t>Tanzu Data Solutons</w:t>
            </w:r>
          </w:p>
        </w:tc>
        <w:tc>
          <w:tcPr>
            <w:tcW w:w="0" w:type="dxa"/>
            <w:vAlign w:val="bottom"/>
          </w:tcPr>
          <w:p>
            <w:pPr>
              <w:spacing w:after="0"/>
              <w:rPr>
                <w:sz w:val="1"/>
                <w:szCs w:val="1"/>
                <w:color w:val="auto"/>
              </w:rPr>
            </w:pPr>
          </w:p>
        </w:tc>
      </w:tr>
      <w:tr>
        <w:trPr>
          <w:trHeight w:val="94"/>
        </w:trPr>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37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Calibri" w:cs="Calibri" w:eastAsia="Calibri" w:hAnsi="Calibri"/>
                <w:sz w:val="14"/>
                <w:szCs w:val="14"/>
                <w:color w:val="auto"/>
              </w:rPr>
              <w:t>•</w:t>
            </w:r>
          </w:p>
        </w:tc>
        <w:tc>
          <w:tcPr>
            <w:tcW w:w="3760" w:type="dxa"/>
            <w:vAlign w:val="bottom"/>
            <w:gridSpan w:val="3"/>
          </w:tcPr>
          <w:p>
            <w:pPr>
              <w:ind w:left="40"/>
              <w:spacing w:after="0"/>
              <w:rPr>
                <w:sz w:val="20"/>
                <w:szCs w:val="20"/>
                <w:color w:val="auto"/>
              </w:rPr>
            </w:pPr>
            <w:r>
              <w:rPr>
                <w:rFonts w:ascii="Calibri" w:cs="Calibri" w:eastAsia="Calibri" w:hAnsi="Calibri"/>
                <w:sz w:val="14"/>
                <w:szCs w:val="14"/>
                <w:color w:val="auto"/>
              </w:rPr>
              <w:t>Tanzu CloudHealth</w:t>
            </w:r>
          </w:p>
        </w:tc>
        <w:tc>
          <w:tcPr>
            <w:tcW w:w="0" w:type="dxa"/>
            <w:vAlign w:val="bottom"/>
          </w:tcPr>
          <w:p>
            <w:pPr>
              <w:spacing w:after="0"/>
              <w:rPr>
                <w:sz w:val="1"/>
                <w:szCs w:val="1"/>
                <w:color w:val="auto"/>
              </w:rPr>
            </w:pPr>
          </w:p>
        </w:tc>
      </w:tr>
      <w:tr>
        <w:trPr>
          <w:trHeight w:val="256"/>
        </w:trPr>
        <w:tc>
          <w:tcPr>
            <w:tcW w:w="8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Calibri" w:cs="Calibri" w:eastAsia="Calibri" w:hAnsi="Calibri"/>
                <w:sz w:val="14"/>
                <w:szCs w:val="14"/>
                <w:color w:val="auto"/>
              </w:rPr>
              <w:t>•</w:t>
            </w:r>
          </w:p>
        </w:tc>
        <w:tc>
          <w:tcPr>
            <w:tcW w:w="3760" w:type="dxa"/>
            <w:vAlign w:val="bottom"/>
            <w:gridSpan w:val="3"/>
          </w:tcPr>
          <w:p>
            <w:pPr>
              <w:ind w:left="40"/>
              <w:spacing w:after="0"/>
              <w:rPr>
                <w:sz w:val="20"/>
                <w:szCs w:val="20"/>
                <w:color w:val="auto"/>
              </w:rPr>
            </w:pPr>
            <w:r>
              <w:rPr>
                <w:rFonts w:ascii="Calibri" w:cs="Calibri" w:eastAsia="Calibri" w:hAnsi="Calibri"/>
                <w:sz w:val="14"/>
                <w:szCs w:val="14"/>
                <w:color w:val="auto"/>
              </w:rPr>
              <w:t>Tanzu Labs</w:t>
            </w:r>
          </w:p>
        </w:tc>
        <w:tc>
          <w:tcPr>
            <w:tcW w:w="0" w:type="dxa"/>
            <w:vAlign w:val="bottom"/>
          </w:tcPr>
          <w:p>
            <w:pPr>
              <w:spacing w:after="0"/>
              <w:rPr>
                <w:sz w:val="1"/>
                <w:szCs w:val="1"/>
                <w:color w:val="auto"/>
              </w:rPr>
            </w:pPr>
          </w:p>
        </w:tc>
      </w:tr>
      <w:tr>
        <w:trPr>
          <w:trHeight w:val="101"/>
        </w:trPr>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420" w:type="dxa"/>
            <w:vAlign w:val="bottom"/>
            <w:gridSpan w:val="3"/>
            <w:shd w:val="clear" w:color="auto" w:fill="CCEEFF"/>
          </w:tcPr>
          <w:p>
            <w:pPr>
              <w:ind w:left="20"/>
              <w:spacing w:after="0"/>
              <w:rPr>
                <w:sz w:val="20"/>
                <w:szCs w:val="20"/>
                <w:color w:val="auto"/>
              </w:rPr>
            </w:pPr>
            <w:r>
              <w:rPr>
                <w:rFonts w:ascii="Calibri" w:cs="Calibri" w:eastAsia="Calibri" w:hAnsi="Calibri"/>
                <w:sz w:val="14"/>
                <w:szCs w:val="14"/>
                <w:b w:val="1"/>
                <w:bCs w:val="1"/>
                <w:color w:val="auto"/>
              </w:rPr>
              <w:t>VeloCloud</w:t>
            </w:r>
          </w:p>
        </w:tc>
        <w:tc>
          <w:tcPr>
            <w:tcW w:w="4900" w:type="dxa"/>
            <w:vAlign w:val="bottom"/>
            <w:gridSpan w:val="3"/>
            <w:shd w:val="clear" w:color="auto" w:fill="CCEEFF"/>
          </w:tcPr>
          <w:p>
            <w:pPr>
              <w:ind w:left="440"/>
              <w:spacing w:after="0"/>
              <w:rPr>
                <w:sz w:val="20"/>
                <w:szCs w:val="20"/>
                <w:color w:val="auto"/>
              </w:rPr>
            </w:pPr>
            <w:r>
              <w:rPr>
                <w:rFonts w:ascii="Calibri" w:cs="Calibri" w:eastAsia="Calibri" w:hAnsi="Calibri"/>
                <w:sz w:val="14"/>
                <w:szCs w:val="14"/>
                <w:color w:val="auto"/>
              </w:rPr>
              <w:t>• Comprehensive sofware-defned network solutons that enable</w:t>
            </w:r>
          </w:p>
        </w:tc>
        <w:tc>
          <w:tcPr>
            <w:tcW w:w="160" w:type="dxa"/>
            <w:vAlign w:val="bottom"/>
            <w:shd w:val="clear" w:color="auto" w:fill="CCEEFF"/>
          </w:tcPr>
          <w:p>
            <w:pPr>
              <w:ind w:left="40"/>
              <w:spacing w:after="0"/>
              <w:rPr>
                <w:sz w:val="20"/>
                <w:szCs w:val="20"/>
                <w:color w:val="auto"/>
              </w:rPr>
            </w:pPr>
            <w:r>
              <w:rPr>
                <w:rFonts w:ascii="Calibri" w:cs="Calibri" w:eastAsia="Calibri" w:hAnsi="Calibri"/>
                <w:sz w:val="14"/>
                <w:szCs w:val="14"/>
                <w:color w:val="auto"/>
              </w:rPr>
              <w:t>•</w:t>
            </w:r>
          </w:p>
        </w:tc>
        <w:tc>
          <w:tcPr>
            <w:tcW w:w="3760" w:type="dxa"/>
            <w:vAlign w:val="bottom"/>
            <w:gridSpan w:val="3"/>
            <w:shd w:val="clear" w:color="auto" w:fill="CCEEFF"/>
          </w:tcPr>
          <w:p>
            <w:pPr>
              <w:ind w:left="40"/>
              <w:spacing w:after="0"/>
              <w:rPr>
                <w:sz w:val="20"/>
                <w:szCs w:val="20"/>
                <w:color w:val="auto"/>
              </w:rPr>
            </w:pPr>
            <w:r>
              <w:rPr>
                <w:rFonts w:ascii="Calibri" w:cs="Calibri" w:eastAsia="Calibri" w:hAnsi="Calibri"/>
                <w:sz w:val="14"/>
                <w:szCs w:val="14"/>
                <w:color w:val="auto"/>
              </w:rPr>
              <w:t>SD-WAN and SASE</w:t>
            </w:r>
          </w:p>
        </w:tc>
        <w:tc>
          <w:tcPr>
            <w:tcW w:w="0" w:type="dxa"/>
            <w:vAlign w:val="bottom"/>
          </w:tcPr>
          <w:p>
            <w:pPr>
              <w:spacing w:after="0"/>
              <w:rPr>
                <w:sz w:val="1"/>
                <w:szCs w:val="1"/>
                <w:color w:val="auto"/>
              </w:rPr>
            </w:pPr>
          </w:p>
        </w:tc>
      </w:tr>
      <w:tr>
        <w:trPr>
          <w:trHeight w:val="148"/>
        </w:trPr>
        <w:tc>
          <w:tcPr>
            <w:tcW w:w="8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900" w:type="dxa"/>
            <w:vAlign w:val="bottom"/>
            <w:gridSpan w:val="3"/>
            <w:shd w:val="clear" w:color="auto" w:fill="CCEEFF"/>
          </w:tcPr>
          <w:p>
            <w:pPr>
              <w:ind w:left="600"/>
              <w:spacing w:after="0" w:line="148" w:lineRule="exact"/>
              <w:rPr>
                <w:sz w:val="20"/>
                <w:szCs w:val="20"/>
                <w:color w:val="auto"/>
              </w:rPr>
            </w:pPr>
            <w:r>
              <w:rPr>
                <w:rFonts w:ascii="Calibri" w:cs="Calibri" w:eastAsia="Calibri" w:hAnsi="Calibri"/>
                <w:sz w:val="14"/>
                <w:szCs w:val="14"/>
                <w:color w:val="auto"/>
              </w:rPr>
              <w:t>enterprise edge connectvity and performance over Internet, fxed</w:t>
            </w:r>
          </w:p>
        </w:tc>
        <w:tc>
          <w:tcPr>
            <w:tcW w:w="160" w:type="dxa"/>
            <w:vAlign w:val="bottom"/>
            <w:vMerge w:val="restart"/>
            <w:shd w:val="clear" w:color="auto" w:fill="CCEEFF"/>
          </w:tcPr>
          <w:p>
            <w:pPr>
              <w:ind w:left="40"/>
              <w:spacing w:after="0"/>
              <w:rPr>
                <w:sz w:val="20"/>
                <w:szCs w:val="20"/>
                <w:color w:val="auto"/>
              </w:rPr>
            </w:pPr>
            <w:r>
              <w:rPr>
                <w:rFonts w:ascii="Calibri" w:cs="Calibri" w:eastAsia="Calibri" w:hAnsi="Calibri"/>
                <w:sz w:val="14"/>
                <w:szCs w:val="14"/>
                <w:color w:val="auto"/>
              </w:rPr>
              <w:t>•</w:t>
            </w:r>
          </w:p>
        </w:tc>
        <w:tc>
          <w:tcPr>
            <w:tcW w:w="3760" w:type="dxa"/>
            <w:vAlign w:val="bottom"/>
            <w:gridSpan w:val="3"/>
            <w:vMerge w:val="restart"/>
            <w:shd w:val="clear" w:color="auto" w:fill="CCEEFF"/>
          </w:tcPr>
          <w:p>
            <w:pPr>
              <w:ind w:left="40"/>
              <w:spacing w:after="0"/>
              <w:rPr>
                <w:sz w:val="20"/>
                <w:szCs w:val="20"/>
                <w:color w:val="auto"/>
              </w:rPr>
            </w:pPr>
            <w:r>
              <w:rPr>
                <w:rFonts w:ascii="Calibri" w:cs="Calibri" w:eastAsia="Calibri" w:hAnsi="Calibri"/>
                <w:sz w:val="14"/>
                <w:szCs w:val="14"/>
                <w:color w:val="auto"/>
              </w:rPr>
              <w:t>VeloRAIN</w:t>
            </w:r>
          </w:p>
        </w:tc>
        <w:tc>
          <w:tcPr>
            <w:tcW w:w="0" w:type="dxa"/>
            <w:vAlign w:val="bottom"/>
          </w:tcPr>
          <w:p>
            <w:pPr>
              <w:spacing w:after="0"/>
              <w:rPr>
                <w:sz w:val="1"/>
                <w:szCs w:val="1"/>
                <w:color w:val="auto"/>
              </w:rPr>
            </w:pPr>
          </w:p>
        </w:tc>
      </w:tr>
      <w:tr>
        <w:trPr>
          <w:trHeight w:val="162"/>
        </w:trPr>
        <w:tc>
          <w:tcPr>
            <w:tcW w:w="8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900" w:type="dxa"/>
            <w:vAlign w:val="bottom"/>
            <w:gridSpan w:val="3"/>
            <w:shd w:val="clear" w:color="auto" w:fill="CCEEFF"/>
          </w:tcPr>
          <w:p>
            <w:pPr>
              <w:ind w:left="600"/>
              <w:spacing w:after="0" w:line="162" w:lineRule="exact"/>
              <w:rPr>
                <w:sz w:val="20"/>
                <w:szCs w:val="20"/>
                <w:color w:val="auto"/>
              </w:rPr>
            </w:pPr>
            <w:r>
              <w:rPr>
                <w:rFonts w:ascii="Calibri" w:cs="Calibri" w:eastAsia="Calibri" w:hAnsi="Calibri"/>
                <w:sz w:val="14"/>
                <w:szCs w:val="14"/>
                <w:color w:val="auto"/>
              </w:rPr>
              <w:t>wireless access and satellite while simplifying deployments and reducing</w:t>
            </w:r>
          </w:p>
        </w:tc>
        <w:tc>
          <w:tcPr>
            <w:tcW w:w="160" w:type="dxa"/>
            <w:vAlign w:val="bottom"/>
            <w:vMerge w:val="continue"/>
            <w:shd w:val="clear" w:color="auto" w:fill="CCEEFF"/>
          </w:tcPr>
          <w:p>
            <w:pPr>
              <w:spacing w:after="0"/>
              <w:rPr>
                <w:sz w:val="14"/>
                <w:szCs w:val="14"/>
                <w:color w:val="auto"/>
              </w:rPr>
            </w:pPr>
          </w:p>
        </w:tc>
        <w:tc>
          <w:tcPr>
            <w:tcW w:w="37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900" w:type="dxa"/>
            <w:vAlign w:val="bottom"/>
            <w:gridSpan w:val="3"/>
            <w:shd w:val="clear" w:color="auto" w:fill="CCEEFF"/>
          </w:tcPr>
          <w:p>
            <w:pPr>
              <w:ind w:left="600"/>
              <w:spacing w:after="0"/>
              <w:rPr>
                <w:sz w:val="20"/>
                <w:szCs w:val="20"/>
                <w:color w:val="auto"/>
              </w:rPr>
            </w:pPr>
            <w:r>
              <w:rPr>
                <w:rFonts w:ascii="Calibri" w:cs="Calibri" w:eastAsia="Calibri" w:hAnsi="Calibri"/>
                <w:sz w:val="14"/>
                <w:szCs w:val="14"/>
                <w:color w:val="auto"/>
              </w:rPr>
              <w:t>costs</w:t>
            </w:r>
          </w:p>
        </w:tc>
        <w:tc>
          <w:tcPr>
            <w:tcW w:w="160" w:type="dxa"/>
            <w:vAlign w:val="bottom"/>
            <w:shd w:val="clear" w:color="auto" w:fill="CCEEFF"/>
          </w:tcPr>
          <w:p>
            <w:pPr>
              <w:ind w:left="40"/>
              <w:spacing w:after="0"/>
              <w:rPr>
                <w:sz w:val="20"/>
                <w:szCs w:val="20"/>
                <w:color w:val="auto"/>
              </w:rPr>
            </w:pPr>
            <w:r>
              <w:rPr>
                <w:rFonts w:ascii="Calibri" w:cs="Calibri" w:eastAsia="Calibri" w:hAnsi="Calibri"/>
                <w:sz w:val="14"/>
                <w:szCs w:val="14"/>
                <w:color w:val="auto"/>
              </w:rPr>
              <w:t>•</w:t>
            </w:r>
          </w:p>
        </w:tc>
        <w:tc>
          <w:tcPr>
            <w:tcW w:w="3760" w:type="dxa"/>
            <w:vAlign w:val="bottom"/>
            <w:gridSpan w:val="3"/>
            <w:shd w:val="clear" w:color="auto" w:fill="CCEEFF"/>
          </w:tcPr>
          <w:p>
            <w:pPr>
              <w:ind w:left="40"/>
              <w:spacing w:after="0"/>
              <w:rPr>
                <w:sz w:val="20"/>
                <w:szCs w:val="20"/>
                <w:color w:val="auto"/>
              </w:rPr>
            </w:pPr>
            <w:r>
              <w:rPr>
                <w:rFonts w:ascii="Calibri" w:cs="Calibri" w:eastAsia="Calibri" w:hAnsi="Calibri"/>
                <w:sz w:val="14"/>
                <w:szCs w:val="14"/>
                <w:color w:val="auto"/>
              </w:rPr>
              <w:t>Fixed Wireless Access</w:t>
            </w:r>
          </w:p>
        </w:tc>
        <w:tc>
          <w:tcPr>
            <w:tcW w:w="0" w:type="dxa"/>
            <w:vAlign w:val="bottom"/>
          </w:tcPr>
          <w:p>
            <w:pPr>
              <w:spacing w:after="0"/>
              <w:rPr>
                <w:sz w:val="1"/>
                <w:szCs w:val="1"/>
                <w:color w:val="auto"/>
              </w:rPr>
            </w:pPr>
          </w:p>
        </w:tc>
      </w:tr>
      <w:tr>
        <w:trPr>
          <w:trHeight w:val="101"/>
        </w:trPr>
        <w:tc>
          <w:tcPr>
            <w:tcW w:w="8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Applicaton Networking and Security</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Mainframe Sofware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Distributed Sofware</w:t>
      </w:r>
    </w:p>
    <w:p>
      <w:pPr>
        <w:spacing w:after="0" w:line="20" w:lineRule="exact"/>
        <w:rPr>
          <w:sz w:val="20"/>
          <w:szCs w:val="20"/>
          <w:color w:val="auto"/>
        </w:rPr>
      </w:pPr>
      <w:r>
        <w:rPr>
          <w:sz w:val="20"/>
          <w:szCs w:val="20"/>
          <w:color w:val="auto"/>
        </w:rPr>
        <w:br w:type="column"/>
      </w:r>
    </w:p>
    <w:p>
      <w:pPr>
        <w:ind w:left="159" w:hanging="159"/>
        <w:spacing w:after="0" w:line="229" w:lineRule="auto"/>
        <w:tabs>
          <w:tab w:leader="none" w:pos="149" w:val="left"/>
        </w:tabs>
        <w:numPr>
          <w:ilvl w:val="0"/>
          <w:numId w:val="12"/>
        </w:numPr>
        <w:rPr>
          <w:rFonts w:ascii="Calibri" w:cs="Calibri" w:eastAsia="Calibri" w:hAnsi="Calibri"/>
          <w:sz w:val="14"/>
          <w:szCs w:val="14"/>
          <w:color w:val="auto"/>
        </w:rPr>
      </w:pPr>
      <w:r>
        <w:rPr>
          <w:rFonts w:ascii="Calibri" w:cs="Calibri" w:eastAsia="Calibri" w:hAnsi="Calibri"/>
          <w:sz w:val="14"/>
          <w:szCs w:val="14"/>
          <w:color w:val="auto"/>
        </w:rPr>
        <w:t>Comprehensive sofware-defned solutons featuring lateral security that protects VCF applicaton trafc from malware and ransomware, and applicaton load balancing with the only plug-and-play app delivery and security soluton for VCF private cloud</w:t>
      </w:r>
    </w:p>
    <w:p>
      <w:pPr>
        <w:spacing w:after="0" w:line="116" w:lineRule="exact"/>
        <w:rPr>
          <w:rFonts w:ascii="Calibri" w:cs="Calibri" w:eastAsia="Calibri" w:hAnsi="Calibri"/>
          <w:sz w:val="14"/>
          <w:szCs w:val="14"/>
          <w:color w:val="auto"/>
        </w:rPr>
      </w:pPr>
    </w:p>
    <w:p>
      <w:pPr>
        <w:ind w:left="159" w:right="260" w:hanging="159"/>
        <w:spacing w:after="0" w:line="223" w:lineRule="auto"/>
        <w:tabs>
          <w:tab w:leader="none" w:pos="166" w:val="left"/>
        </w:tabs>
        <w:numPr>
          <w:ilvl w:val="0"/>
          <w:numId w:val="12"/>
        </w:numPr>
        <w:rPr>
          <w:rFonts w:ascii="Calibri" w:cs="Calibri" w:eastAsia="Calibri" w:hAnsi="Calibri"/>
          <w:sz w:val="14"/>
          <w:szCs w:val="14"/>
          <w:color w:val="auto"/>
        </w:rPr>
      </w:pPr>
      <w:r>
        <w:rPr>
          <w:rFonts w:ascii="Calibri" w:cs="Calibri" w:eastAsia="Calibri" w:hAnsi="Calibri"/>
          <w:sz w:val="14"/>
          <w:szCs w:val="14"/>
          <w:color w:val="auto"/>
        </w:rPr>
        <w:t>DevOps, AIOps, Security, Workload Automaton, Data Management, Foundatonal Sofware Solutons, and Beyond Code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-1811020</wp:posOffset>
            </wp:positionH>
            <wp:positionV relativeFrom="paragraph">
              <wp:posOffset>-200660</wp:posOffset>
            </wp:positionV>
            <wp:extent cx="7132320" cy="130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59" w:right="380" w:hanging="159"/>
        <w:spacing w:after="0" w:line="223" w:lineRule="auto"/>
        <w:tabs>
          <w:tab w:leader="none" w:pos="134" w:val="left"/>
        </w:tabs>
        <w:numPr>
          <w:ilvl w:val="0"/>
          <w:numId w:val="13"/>
        </w:numPr>
        <w:rPr>
          <w:rFonts w:ascii="Calibri" w:cs="Calibri" w:eastAsia="Calibri" w:hAnsi="Calibri"/>
          <w:sz w:val="14"/>
          <w:szCs w:val="14"/>
          <w:color w:val="auto"/>
        </w:rPr>
      </w:pPr>
      <w:r>
        <w:rPr>
          <w:rFonts w:ascii="Calibri" w:cs="Calibri" w:eastAsia="Calibri" w:hAnsi="Calibri"/>
          <w:sz w:val="14"/>
          <w:szCs w:val="14"/>
          <w:color w:val="auto"/>
        </w:rPr>
        <w:t>Solutons that optmize the planning, development and delivery of business critcal services</w:t>
      </w:r>
    </w:p>
    <w:p>
      <w:pPr>
        <w:spacing w:after="0" w:line="20" w:lineRule="exact"/>
        <w:rPr>
          <w:sz w:val="20"/>
          <w:szCs w:val="20"/>
          <w:color w:val="auto"/>
        </w:rPr>
      </w:pPr>
      <w:r>
        <w:rPr>
          <w:sz w:val="20"/>
          <w:szCs w:val="20"/>
          <w:color w:val="auto"/>
        </w:rPr>
        <w:br w:type="column"/>
      </w:r>
    </w:p>
    <w:p>
      <w:pPr>
        <w:ind w:left="164" w:hanging="164"/>
        <w:spacing w:after="0" w:line="218" w:lineRule="auto"/>
        <w:tabs>
          <w:tab w:leader="none" w:pos="164"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Lateral Security Firewall</w:t>
      </w:r>
    </w:p>
    <w:p>
      <w:pPr>
        <w:spacing w:after="0" w:line="99" w:lineRule="exact"/>
        <w:rPr>
          <w:rFonts w:ascii="Calibri" w:cs="Calibri" w:eastAsia="Calibri" w:hAnsi="Calibri"/>
          <w:sz w:val="14"/>
          <w:szCs w:val="14"/>
          <w:color w:val="auto"/>
        </w:rPr>
      </w:pPr>
    </w:p>
    <w:p>
      <w:pPr>
        <w:ind w:left="164" w:hanging="164"/>
        <w:spacing w:after="0"/>
        <w:tabs>
          <w:tab w:leader="none" w:pos="164"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Advanced Threat Protecton</w:t>
      </w:r>
    </w:p>
    <w:p>
      <w:pPr>
        <w:spacing w:after="0" w:line="72" w:lineRule="exact"/>
        <w:rPr>
          <w:rFonts w:ascii="Calibri" w:cs="Calibri" w:eastAsia="Calibri" w:hAnsi="Calibri"/>
          <w:sz w:val="14"/>
          <w:szCs w:val="14"/>
          <w:color w:val="auto"/>
        </w:rPr>
      </w:pPr>
    </w:p>
    <w:p>
      <w:pPr>
        <w:ind w:left="164" w:hanging="164"/>
        <w:spacing w:after="0"/>
        <w:tabs>
          <w:tab w:leader="none" w:pos="164"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Advanced Load Balancing</w:t>
      </w:r>
    </w:p>
    <w:p>
      <w:pPr>
        <w:spacing w:after="0" w:line="99" w:lineRule="exact"/>
        <w:rPr>
          <w:rFonts w:ascii="Calibri" w:cs="Calibri" w:eastAsia="Calibri" w:hAnsi="Calibri"/>
          <w:sz w:val="14"/>
          <w:szCs w:val="14"/>
          <w:color w:val="auto"/>
        </w:rPr>
      </w:pPr>
    </w:p>
    <w:p>
      <w:pPr>
        <w:ind w:left="164" w:hanging="164"/>
        <w:spacing w:after="0"/>
        <w:tabs>
          <w:tab w:leader="none" w:pos="164"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Operatonal Analytcs &amp; Management</w:t>
      </w:r>
    </w:p>
    <w:p>
      <w:pPr>
        <w:spacing w:after="0" w:line="85" w:lineRule="exact"/>
        <w:rPr>
          <w:rFonts w:ascii="Calibri" w:cs="Calibri" w:eastAsia="Calibri" w:hAnsi="Calibri"/>
          <w:sz w:val="14"/>
          <w:szCs w:val="14"/>
          <w:color w:val="auto"/>
        </w:rPr>
      </w:pPr>
    </w:p>
    <w:p>
      <w:pPr>
        <w:ind w:left="164" w:hanging="164"/>
        <w:spacing w:after="0"/>
        <w:tabs>
          <w:tab w:leader="none" w:pos="164"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Workload Automaton</w:t>
      </w:r>
    </w:p>
    <w:p>
      <w:pPr>
        <w:spacing w:after="0" w:line="85" w:lineRule="exact"/>
        <w:rPr>
          <w:rFonts w:ascii="Calibri" w:cs="Calibri" w:eastAsia="Calibri" w:hAnsi="Calibri"/>
          <w:sz w:val="14"/>
          <w:szCs w:val="14"/>
          <w:color w:val="auto"/>
        </w:rPr>
      </w:pPr>
    </w:p>
    <w:p>
      <w:pPr>
        <w:ind w:left="164" w:hanging="164"/>
        <w:spacing w:after="0"/>
        <w:tabs>
          <w:tab w:leader="none" w:pos="164"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Database &amp; Data Management</w:t>
      </w:r>
    </w:p>
    <w:p>
      <w:pPr>
        <w:spacing w:after="0" w:line="85" w:lineRule="exact"/>
        <w:rPr>
          <w:rFonts w:ascii="Calibri" w:cs="Calibri" w:eastAsia="Calibri" w:hAnsi="Calibri"/>
          <w:sz w:val="14"/>
          <w:szCs w:val="14"/>
          <w:color w:val="auto"/>
        </w:rPr>
      </w:pPr>
    </w:p>
    <w:p>
      <w:pPr>
        <w:ind w:left="164" w:hanging="164"/>
        <w:spacing w:after="0"/>
        <w:tabs>
          <w:tab w:leader="none" w:pos="164"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Applicaton Development &amp; Testng</w:t>
      </w:r>
    </w:p>
    <w:p>
      <w:pPr>
        <w:spacing w:after="0" w:line="85" w:lineRule="exact"/>
        <w:rPr>
          <w:rFonts w:ascii="Calibri" w:cs="Calibri" w:eastAsia="Calibri" w:hAnsi="Calibri"/>
          <w:sz w:val="14"/>
          <w:szCs w:val="14"/>
          <w:color w:val="auto"/>
        </w:rPr>
      </w:pPr>
    </w:p>
    <w:p>
      <w:pPr>
        <w:ind w:left="164" w:hanging="164"/>
        <w:spacing w:after="0"/>
        <w:tabs>
          <w:tab w:leader="none" w:pos="164"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Identty &amp; Access Management</w:t>
      </w:r>
    </w:p>
    <w:p>
      <w:pPr>
        <w:spacing w:after="0" w:line="85" w:lineRule="exact"/>
        <w:rPr>
          <w:rFonts w:ascii="Calibri" w:cs="Calibri" w:eastAsia="Calibri" w:hAnsi="Calibri"/>
          <w:sz w:val="14"/>
          <w:szCs w:val="14"/>
          <w:color w:val="auto"/>
        </w:rPr>
      </w:pPr>
    </w:p>
    <w:p>
      <w:pPr>
        <w:ind w:left="164" w:hanging="164"/>
        <w:spacing w:after="0"/>
        <w:tabs>
          <w:tab w:leader="none" w:pos="164"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Compliance &amp; Data Protecton</w:t>
      </w:r>
    </w:p>
    <w:p>
      <w:pPr>
        <w:spacing w:after="0" w:line="85" w:lineRule="exact"/>
        <w:rPr>
          <w:rFonts w:ascii="Calibri" w:cs="Calibri" w:eastAsia="Calibri" w:hAnsi="Calibri"/>
          <w:sz w:val="14"/>
          <w:szCs w:val="14"/>
          <w:color w:val="auto"/>
        </w:rPr>
      </w:pPr>
    </w:p>
    <w:p>
      <w:pPr>
        <w:ind w:left="164" w:hanging="164"/>
        <w:spacing w:after="0"/>
        <w:tabs>
          <w:tab w:leader="none" w:pos="164"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Security Insights</w:t>
      </w:r>
    </w:p>
    <w:p>
      <w:pPr>
        <w:spacing w:after="0" w:line="85" w:lineRule="exact"/>
        <w:rPr>
          <w:rFonts w:ascii="Calibri" w:cs="Calibri" w:eastAsia="Calibri" w:hAnsi="Calibri"/>
          <w:sz w:val="14"/>
          <w:szCs w:val="14"/>
          <w:color w:val="auto"/>
        </w:rPr>
      </w:pPr>
    </w:p>
    <w:p>
      <w:pPr>
        <w:ind w:left="164" w:hanging="164"/>
        <w:spacing w:after="0"/>
        <w:tabs>
          <w:tab w:leader="none" w:pos="164"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Beyond Code programs</w:t>
      </w:r>
    </w:p>
    <w:p>
      <w:pPr>
        <w:spacing w:after="0" w:line="85" w:lineRule="exact"/>
        <w:rPr>
          <w:rFonts w:ascii="Calibri" w:cs="Calibri" w:eastAsia="Calibri" w:hAnsi="Calibri"/>
          <w:sz w:val="14"/>
          <w:szCs w:val="14"/>
          <w:color w:val="auto"/>
        </w:rPr>
      </w:pPr>
    </w:p>
    <w:p>
      <w:pPr>
        <w:ind w:left="164" w:hanging="164"/>
        <w:spacing w:after="0"/>
        <w:tabs>
          <w:tab w:leader="none" w:pos="164"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ValueOps</w:t>
      </w:r>
    </w:p>
    <w:p>
      <w:pPr>
        <w:spacing w:after="0" w:line="85" w:lineRule="exact"/>
        <w:rPr>
          <w:rFonts w:ascii="Calibri" w:cs="Calibri" w:eastAsia="Calibri" w:hAnsi="Calibri"/>
          <w:sz w:val="14"/>
          <w:szCs w:val="14"/>
          <w:color w:val="auto"/>
        </w:rPr>
      </w:pPr>
    </w:p>
    <w:p>
      <w:pPr>
        <w:ind w:left="164" w:hanging="164"/>
        <w:spacing w:after="0"/>
        <w:tabs>
          <w:tab w:leader="none" w:pos="164"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DevOps</w:t>
      </w:r>
    </w:p>
    <w:p>
      <w:pPr>
        <w:spacing w:after="0" w:line="85" w:lineRule="exact"/>
        <w:rPr>
          <w:rFonts w:ascii="Calibri" w:cs="Calibri" w:eastAsia="Calibri" w:hAnsi="Calibri"/>
          <w:sz w:val="14"/>
          <w:szCs w:val="14"/>
          <w:color w:val="auto"/>
        </w:rPr>
      </w:pPr>
    </w:p>
    <w:p>
      <w:pPr>
        <w:ind w:left="164" w:hanging="164"/>
        <w:spacing w:after="0"/>
        <w:tabs>
          <w:tab w:leader="none" w:pos="164"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AIOps</w:t>
      </w:r>
    </w:p>
    <w:p>
      <w:pPr>
        <w:spacing w:after="0" w:line="64" w:lineRule="exact"/>
        <w:rPr>
          <w:sz w:val="20"/>
          <w:szCs w:val="20"/>
          <w:color w:val="auto"/>
        </w:rPr>
      </w:pPr>
    </w:p>
    <w:p>
      <w:pPr>
        <w:sectPr>
          <w:pgSz w:w="11900" w:h="16838" w:orient="portrait"/>
          <w:cols w:equalWidth="0" w:num="3">
            <w:col w:w="2220" w:space="641"/>
            <w:col w:w="4379" w:space="116"/>
            <w:col w:w="3884"/>
          </w:cols>
          <w:pgMar w:left="320" w:top="112" w:right="33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80" w:type="dxa"/>
            <w:vAlign w:val="bottom"/>
            <w:shd w:val="clear" w:color="auto" w:fill="CCEEFF"/>
          </w:tcPr>
          <w:p>
            <w:pPr>
              <w:ind w:left="20"/>
              <w:spacing w:after="0"/>
              <w:rPr>
                <w:sz w:val="20"/>
                <w:szCs w:val="20"/>
                <w:color w:val="auto"/>
              </w:rPr>
            </w:pPr>
            <w:r>
              <w:rPr>
                <w:rFonts w:ascii="Calibri" w:cs="Calibri" w:eastAsia="Calibri" w:hAnsi="Calibri"/>
                <w:sz w:val="14"/>
                <w:szCs w:val="14"/>
                <w:b w:val="1"/>
                <w:bCs w:val="1"/>
                <w:color w:val="auto"/>
              </w:rPr>
              <w:t>Enterprise Security</w:t>
            </w:r>
          </w:p>
        </w:tc>
        <w:tc>
          <w:tcPr>
            <w:tcW w:w="5220" w:type="dxa"/>
            <w:vAlign w:val="bottom"/>
            <w:shd w:val="clear" w:color="auto" w:fill="CCEEFF"/>
          </w:tcPr>
          <w:p>
            <w:pPr>
              <w:ind w:left="780"/>
              <w:spacing w:after="0"/>
              <w:rPr>
                <w:sz w:val="20"/>
                <w:szCs w:val="20"/>
                <w:color w:val="auto"/>
              </w:rPr>
            </w:pPr>
            <w:r>
              <w:rPr>
                <w:rFonts w:ascii="Calibri" w:cs="Calibri" w:eastAsia="Calibri" w:hAnsi="Calibri"/>
                <w:sz w:val="14"/>
                <w:szCs w:val="14"/>
                <w:color w:val="auto"/>
              </w:rPr>
              <w:t>• Comprehensive cybersecurity and compliance solutons that secure</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3760" w:type="dxa"/>
            <w:vAlign w:val="bottom"/>
            <w:shd w:val="clear" w:color="auto" w:fill="CCEEFF"/>
          </w:tcPr>
          <w:p>
            <w:pPr>
              <w:ind w:left="40"/>
              <w:spacing w:after="0"/>
              <w:rPr>
                <w:sz w:val="20"/>
                <w:szCs w:val="20"/>
                <w:color w:val="auto"/>
              </w:rPr>
            </w:pPr>
            <w:r>
              <w:rPr>
                <w:rFonts w:ascii="Calibri" w:cs="Calibri" w:eastAsia="Calibri" w:hAnsi="Calibri"/>
                <w:sz w:val="14"/>
                <w:szCs w:val="14"/>
                <w:color w:val="auto"/>
              </w:rPr>
              <w:t>Endpoint Security</w:t>
            </w: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spacing w:after="0"/>
              <w:rPr>
                <w:sz w:val="14"/>
                <w:szCs w:val="14"/>
                <w:color w:val="auto"/>
              </w:rPr>
            </w:pPr>
          </w:p>
        </w:tc>
        <w:tc>
          <w:tcPr>
            <w:tcW w:w="5220" w:type="dxa"/>
            <w:vAlign w:val="bottom"/>
            <w:shd w:val="clear" w:color="auto" w:fill="CCEEFF"/>
          </w:tcPr>
          <w:p>
            <w:pPr>
              <w:ind w:left="940"/>
              <w:spacing w:after="0" w:line="162" w:lineRule="exact"/>
              <w:rPr>
                <w:sz w:val="20"/>
                <w:szCs w:val="20"/>
                <w:color w:val="auto"/>
              </w:rPr>
            </w:pPr>
            <w:r>
              <w:rPr>
                <w:rFonts w:ascii="Calibri" w:cs="Calibri" w:eastAsia="Calibri" w:hAnsi="Calibri"/>
                <w:sz w:val="14"/>
                <w:szCs w:val="14"/>
                <w:color w:val="auto"/>
              </w:rPr>
              <w:t>against threats and compliance risks by protectng users and data on any</w:t>
            </w:r>
          </w:p>
        </w:tc>
        <w:tc>
          <w:tcPr>
            <w:tcW w:w="18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3760" w:type="dxa"/>
            <w:vAlign w:val="bottom"/>
            <w:vMerge w:val="restart"/>
            <w:shd w:val="clear" w:color="auto" w:fill="CCEEFF"/>
          </w:tcPr>
          <w:p>
            <w:pPr>
              <w:ind w:left="40"/>
              <w:spacing w:after="0"/>
              <w:rPr>
                <w:sz w:val="20"/>
                <w:szCs w:val="20"/>
                <w:color w:val="auto"/>
              </w:rPr>
            </w:pPr>
            <w:r>
              <w:rPr>
                <w:rFonts w:ascii="Calibri" w:cs="Calibri" w:eastAsia="Calibri" w:hAnsi="Calibri"/>
                <w:sz w:val="14"/>
                <w:szCs w:val="14"/>
                <w:color w:val="auto"/>
              </w:rPr>
              <w:t>Network Security</w:t>
            </w:r>
          </w:p>
        </w:tc>
        <w:tc>
          <w:tcPr>
            <w:tcW w:w="0" w:type="dxa"/>
            <w:vAlign w:val="bottom"/>
          </w:tcPr>
          <w:p>
            <w:pPr>
              <w:spacing w:after="0"/>
              <w:rPr>
                <w:sz w:val="1"/>
                <w:szCs w:val="1"/>
                <w:color w:val="auto"/>
              </w:rPr>
            </w:pPr>
          </w:p>
        </w:tc>
      </w:tr>
      <w:tr>
        <w:trPr>
          <w:trHeight w:val="116"/>
        </w:trPr>
        <w:tc>
          <w:tcPr>
            <w:tcW w:w="2080" w:type="dxa"/>
            <w:vAlign w:val="bottom"/>
            <w:shd w:val="clear" w:color="auto" w:fill="CCEEFF"/>
          </w:tcPr>
          <w:p>
            <w:pPr>
              <w:spacing w:after="0"/>
              <w:rPr>
                <w:sz w:val="10"/>
                <w:szCs w:val="10"/>
                <w:color w:val="auto"/>
              </w:rPr>
            </w:pPr>
          </w:p>
        </w:tc>
        <w:tc>
          <w:tcPr>
            <w:tcW w:w="5220" w:type="dxa"/>
            <w:vAlign w:val="bottom"/>
            <w:vMerge w:val="restart"/>
            <w:shd w:val="clear" w:color="auto" w:fill="CCEEFF"/>
          </w:tcPr>
          <w:p>
            <w:pPr>
              <w:ind w:left="940"/>
              <w:spacing w:after="0"/>
              <w:rPr>
                <w:sz w:val="20"/>
                <w:szCs w:val="20"/>
                <w:color w:val="auto"/>
              </w:rPr>
            </w:pPr>
            <w:r>
              <w:rPr>
                <w:rFonts w:ascii="Calibri" w:cs="Calibri" w:eastAsia="Calibri" w:hAnsi="Calibri"/>
                <w:sz w:val="14"/>
                <w:szCs w:val="14"/>
                <w:color w:val="auto"/>
              </w:rPr>
              <w:t>app, device, or network</w:t>
            </w:r>
          </w:p>
        </w:tc>
        <w:tc>
          <w:tcPr>
            <w:tcW w:w="180" w:type="dxa"/>
            <w:vAlign w:val="bottom"/>
            <w:vMerge w:val="continue"/>
            <w:shd w:val="clear" w:color="auto" w:fill="CCEEFF"/>
          </w:tcPr>
          <w:p>
            <w:pPr>
              <w:spacing w:after="0"/>
              <w:rPr>
                <w:sz w:val="10"/>
                <w:szCs w:val="10"/>
                <w:color w:val="auto"/>
              </w:rPr>
            </w:pPr>
          </w:p>
        </w:tc>
        <w:tc>
          <w:tcPr>
            <w:tcW w:w="37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80" w:type="dxa"/>
            <w:vAlign w:val="bottom"/>
            <w:shd w:val="clear" w:color="auto" w:fill="CCEEFF"/>
          </w:tcPr>
          <w:p>
            <w:pPr>
              <w:spacing w:after="0"/>
              <w:rPr>
                <w:sz w:val="4"/>
                <w:szCs w:val="4"/>
                <w:color w:val="auto"/>
              </w:rPr>
            </w:pPr>
          </w:p>
        </w:tc>
        <w:tc>
          <w:tcPr>
            <w:tcW w:w="5220" w:type="dxa"/>
            <w:vAlign w:val="bottom"/>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37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3760" w:type="dxa"/>
            <w:vAlign w:val="bottom"/>
            <w:shd w:val="clear" w:color="auto" w:fill="CCEEFF"/>
          </w:tcPr>
          <w:p>
            <w:pPr>
              <w:ind w:left="40"/>
              <w:spacing w:after="0"/>
              <w:rPr>
                <w:sz w:val="20"/>
                <w:szCs w:val="20"/>
                <w:color w:val="auto"/>
              </w:rPr>
            </w:pPr>
            <w:r>
              <w:rPr>
                <w:rFonts w:ascii="Calibri" w:cs="Calibri" w:eastAsia="Calibri" w:hAnsi="Calibri"/>
                <w:sz w:val="14"/>
                <w:szCs w:val="14"/>
                <w:color w:val="auto"/>
              </w:rPr>
              <w:t>Informaton Security</w:t>
            </w:r>
          </w:p>
        </w:tc>
        <w:tc>
          <w:tcPr>
            <w:tcW w:w="0" w:type="dxa"/>
            <w:vAlign w:val="bottom"/>
          </w:tcPr>
          <w:p>
            <w:pPr>
              <w:spacing w:after="0"/>
              <w:rPr>
                <w:sz w:val="1"/>
                <w:szCs w:val="1"/>
                <w:color w:val="auto"/>
              </w:rPr>
            </w:pPr>
          </w:p>
        </w:tc>
      </w:tr>
      <w:tr>
        <w:trPr>
          <w:trHeight w:val="257"/>
        </w:trPr>
        <w:tc>
          <w:tcPr>
            <w:tcW w:w="2080" w:type="dxa"/>
            <w:vAlign w:val="bottom"/>
            <w:shd w:val="clear" w:color="auto" w:fill="CCEEFF"/>
          </w:tcPr>
          <w:p>
            <w:pPr>
              <w:spacing w:after="0"/>
              <w:rPr>
                <w:sz w:val="22"/>
                <w:szCs w:val="22"/>
                <w:color w:val="auto"/>
              </w:rPr>
            </w:pPr>
          </w:p>
        </w:tc>
        <w:tc>
          <w:tcPr>
            <w:tcW w:w="5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3760" w:type="dxa"/>
            <w:vAlign w:val="bottom"/>
            <w:shd w:val="clear" w:color="auto" w:fill="CCEEFF"/>
          </w:tcPr>
          <w:p>
            <w:pPr>
              <w:ind w:left="40"/>
              <w:spacing w:after="0"/>
              <w:rPr>
                <w:sz w:val="20"/>
                <w:szCs w:val="20"/>
                <w:color w:val="auto"/>
              </w:rPr>
            </w:pPr>
            <w:r>
              <w:rPr>
                <w:rFonts w:ascii="Calibri" w:cs="Calibri" w:eastAsia="Calibri" w:hAnsi="Calibri"/>
                <w:sz w:val="14"/>
                <w:szCs w:val="14"/>
                <w:color w:val="auto"/>
              </w:rPr>
              <w:t>Applicaton Security</w:t>
            </w:r>
          </w:p>
        </w:tc>
        <w:tc>
          <w:tcPr>
            <w:tcW w:w="0" w:type="dxa"/>
            <w:vAlign w:val="bottom"/>
          </w:tcPr>
          <w:p>
            <w:pPr>
              <w:spacing w:after="0"/>
              <w:rPr>
                <w:sz w:val="1"/>
                <w:szCs w:val="1"/>
                <w:color w:val="auto"/>
              </w:rPr>
            </w:pPr>
          </w:p>
        </w:tc>
      </w:tr>
      <w:tr>
        <w:trPr>
          <w:trHeight w:val="256"/>
        </w:trPr>
        <w:tc>
          <w:tcPr>
            <w:tcW w:w="2080" w:type="dxa"/>
            <w:vAlign w:val="bottom"/>
            <w:shd w:val="clear" w:color="auto" w:fill="CCEEFF"/>
          </w:tcPr>
          <w:p>
            <w:pPr>
              <w:spacing w:after="0"/>
              <w:rPr>
                <w:sz w:val="22"/>
                <w:szCs w:val="22"/>
                <w:color w:val="auto"/>
              </w:rPr>
            </w:pPr>
          </w:p>
        </w:tc>
        <w:tc>
          <w:tcPr>
            <w:tcW w:w="5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3760" w:type="dxa"/>
            <w:vAlign w:val="bottom"/>
            <w:shd w:val="clear" w:color="auto" w:fill="CCEEFF"/>
          </w:tcPr>
          <w:p>
            <w:pPr>
              <w:ind w:left="40"/>
              <w:spacing w:after="0"/>
              <w:rPr>
                <w:sz w:val="20"/>
                <w:szCs w:val="20"/>
                <w:color w:val="auto"/>
              </w:rPr>
            </w:pPr>
            <w:r>
              <w:rPr>
                <w:rFonts w:ascii="Calibri" w:cs="Calibri" w:eastAsia="Calibri" w:hAnsi="Calibri"/>
                <w:sz w:val="14"/>
                <w:szCs w:val="14"/>
                <w:color w:val="auto"/>
              </w:rPr>
              <w:t>Identty Security</w:t>
            </w:r>
          </w:p>
        </w:tc>
        <w:tc>
          <w:tcPr>
            <w:tcW w:w="0" w:type="dxa"/>
            <w:vAlign w:val="bottom"/>
          </w:tcPr>
          <w:p>
            <w:pPr>
              <w:spacing w:after="0"/>
              <w:rPr>
                <w:sz w:val="1"/>
                <w:szCs w:val="1"/>
                <w:color w:val="auto"/>
              </w:rPr>
            </w:pPr>
          </w:p>
        </w:tc>
      </w:tr>
      <w:tr>
        <w:trPr>
          <w:trHeight w:val="88"/>
        </w:trPr>
        <w:tc>
          <w:tcPr>
            <w:tcW w:w="2080" w:type="dxa"/>
            <w:vAlign w:val="bottom"/>
            <w:shd w:val="clear" w:color="auto" w:fill="CCEEFF"/>
          </w:tcPr>
          <w:p>
            <w:pPr>
              <w:spacing w:after="0"/>
              <w:rPr>
                <w:sz w:val="7"/>
                <w:szCs w:val="7"/>
                <w:color w:val="auto"/>
              </w:rPr>
            </w:pPr>
          </w:p>
        </w:tc>
        <w:tc>
          <w:tcPr>
            <w:tcW w:w="5400" w:type="dxa"/>
            <w:vAlign w:val="bottom"/>
            <w:gridSpan w:val="2"/>
            <w:shd w:val="clear" w:color="auto" w:fill="CCEEFF"/>
          </w:tcPr>
          <w:p>
            <w:pPr>
              <w:spacing w:after="0"/>
              <w:rPr>
                <w:sz w:val="7"/>
                <w:szCs w:val="7"/>
                <w:color w:val="auto"/>
              </w:rPr>
            </w:pPr>
          </w:p>
        </w:tc>
        <w:tc>
          <w:tcPr>
            <w:tcW w:w="3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8" w:lineRule="exact"/>
              <w:rPr>
                <w:sz w:val="20"/>
                <w:szCs w:val="20"/>
                <w:color w:val="auto"/>
              </w:rPr>
            </w:pPr>
            <w:r>
              <w:rPr>
                <w:rFonts w:ascii="Calibri" w:cs="Calibri" w:eastAsia="Calibri" w:hAnsi="Calibri"/>
                <w:sz w:val="14"/>
                <w:szCs w:val="14"/>
                <w:b w:val="1"/>
                <w:bCs w:val="1"/>
                <w:color w:val="auto"/>
              </w:rPr>
              <w:t>FC SAN Management</w:t>
            </w:r>
          </w:p>
        </w:tc>
        <w:tc>
          <w:tcPr>
            <w:tcW w:w="5400" w:type="dxa"/>
            <w:vAlign w:val="bottom"/>
            <w:gridSpan w:val="2"/>
          </w:tcPr>
          <w:p>
            <w:pPr>
              <w:jc w:val="right"/>
              <w:spacing w:after="0" w:line="148" w:lineRule="exact"/>
              <w:rPr>
                <w:sz w:val="20"/>
                <w:szCs w:val="20"/>
                <w:color w:val="auto"/>
              </w:rPr>
            </w:pPr>
            <w:r>
              <w:rPr>
                <w:rFonts w:ascii="Calibri" w:cs="Calibri" w:eastAsia="Calibri" w:hAnsi="Calibri"/>
                <w:sz w:val="14"/>
                <w:szCs w:val="14"/>
                <w:color w:val="auto"/>
              </w:rPr>
              <w:t>•  Solutons that transform current storage networks with autonomous SAN •</w:t>
            </w:r>
          </w:p>
        </w:tc>
        <w:tc>
          <w:tcPr>
            <w:tcW w:w="3760" w:type="dxa"/>
            <w:vAlign w:val="bottom"/>
          </w:tcPr>
          <w:p>
            <w:pPr>
              <w:ind w:left="40"/>
              <w:spacing w:after="0" w:line="148" w:lineRule="exact"/>
              <w:rPr>
                <w:sz w:val="20"/>
                <w:szCs w:val="20"/>
                <w:color w:val="auto"/>
              </w:rPr>
            </w:pPr>
            <w:r>
              <w:rPr>
                <w:rFonts w:ascii="Calibri" w:cs="Calibri" w:eastAsia="Calibri" w:hAnsi="Calibri"/>
                <w:sz w:val="14"/>
                <w:szCs w:val="14"/>
                <w:color w:val="auto"/>
              </w:rPr>
              <w:t>Fibre Channel Switch</w:t>
            </w:r>
          </w:p>
        </w:tc>
        <w:tc>
          <w:tcPr>
            <w:tcW w:w="0" w:type="dxa"/>
            <w:vAlign w:val="bottom"/>
          </w:tcPr>
          <w:p>
            <w:pPr>
              <w:spacing w:after="0"/>
              <w:rPr>
                <w:sz w:val="1"/>
                <w:szCs w:val="1"/>
                <w:color w:val="auto"/>
              </w:rPr>
            </w:pPr>
          </w:p>
        </w:tc>
      </w:tr>
      <w:tr>
        <w:trPr>
          <w:trHeight w:val="170"/>
        </w:trPr>
        <w:tc>
          <w:tcPr>
            <w:tcW w:w="2080" w:type="dxa"/>
            <w:vAlign w:val="bottom"/>
          </w:tcPr>
          <w:p>
            <w:pPr>
              <w:spacing w:after="0"/>
              <w:rPr>
                <w:sz w:val="14"/>
                <w:szCs w:val="14"/>
                <w:color w:val="auto"/>
              </w:rPr>
            </w:pPr>
          </w:p>
        </w:tc>
        <w:tc>
          <w:tcPr>
            <w:tcW w:w="5220" w:type="dxa"/>
            <w:vAlign w:val="bottom"/>
          </w:tcPr>
          <w:p>
            <w:pPr>
              <w:ind w:left="940"/>
              <w:spacing w:after="0"/>
              <w:rPr>
                <w:sz w:val="20"/>
                <w:szCs w:val="20"/>
                <w:color w:val="auto"/>
              </w:rPr>
            </w:pPr>
            <w:r>
              <w:rPr>
                <w:rFonts w:ascii="Calibri" w:cs="Calibri" w:eastAsia="Calibri" w:hAnsi="Calibri"/>
                <w:sz w:val="14"/>
                <w:szCs w:val="14"/>
                <w:color w:val="auto"/>
              </w:rPr>
              <w:t>capabilites</w:t>
            </w:r>
          </w:p>
        </w:tc>
        <w:tc>
          <w:tcPr>
            <w:tcW w:w="1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80" w:type="dxa"/>
            <w:vAlign w:val="bottom"/>
          </w:tcPr>
          <w:p>
            <w:pPr>
              <w:spacing w:after="0"/>
              <w:rPr>
                <w:sz w:val="4"/>
                <w:szCs w:val="4"/>
                <w:color w:val="auto"/>
              </w:rPr>
            </w:pPr>
          </w:p>
        </w:tc>
        <w:tc>
          <w:tcPr>
            <w:tcW w:w="5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80" w:type="dxa"/>
            <w:vAlign w:val="bottom"/>
            <w:shd w:val="clear" w:color="auto" w:fill="CCEEFF"/>
          </w:tcPr>
          <w:p>
            <w:pPr>
              <w:ind w:left="20"/>
              <w:spacing w:after="0"/>
              <w:rPr>
                <w:sz w:val="20"/>
                <w:szCs w:val="20"/>
                <w:color w:val="auto"/>
              </w:rPr>
            </w:pPr>
            <w:r>
              <w:rPr>
                <w:rFonts w:ascii="Calibri" w:cs="Calibri" w:eastAsia="Calibri" w:hAnsi="Calibri"/>
                <w:sz w:val="14"/>
                <w:szCs w:val="14"/>
                <w:b w:val="1"/>
                <w:bCs w:val="1"/>
                <w:color w:val="auto"/>
              </w:rPr>
              <w:t>Payment Security</w:t>
            </w:r>
          </w:p>
        </w:tc>
        <w:tc>
          <w:tcPr>
            <w:tcW w:w="5220" w:type="dxa"/>
            <w:vAlign w:val="bottom"/>
            <w:shd w:val="clear" w:color="auto" w:fill="CCEEFF"/>
          </w:tcPr>
          <w:p>
            <w:pPr>
              <w:ind w:left="780"/>
              <w:spacing w:after="0"/>
              <w:rPr>
                <w:sz w:val="20"/>
                <w:szCs w:val="20"/>
                <w:color w:val="auto"/>
              </w:rPr>
            </w:pPr>
            <w:r>
              <w:rPr>
                <w:rFonts w:ascii="Calibri" w:cs="Calibri" w:eastAsia="Calibri" w:hAnsi="Calibri"/>
                <w:sz w:val="14"/>
                <w:szCs w:val="14"/>
                <w:color w:val="auto"/>
              </w:rPr>
              <w:t>•  Arcot payment authentcaton network powered by 3-D Secure</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3760" w:type="dxa"/>
            <w:vAlign w:val="bottom"/>
            <w:shd w:val="clear" w:color="auto" w:fill="CCEEFF"/>
          </w:tcPr>
          <w:p>
            <w:pPr>
              <w:ind w:left="40"/>
              <w:spacing w:after="0"/>
              <w:rPr>
                <w:sz w:val="20"/>
                <w:szCs w:val="20"/>
                <w:color w:val="auto"/>
              </w:rPr>
            </w:pPr>
            <w:r>
              <w:rPr>
                <w:rFonts w:ascii="Calibri" w:cs="Calibri" w:eastAsia="Calibri" w:hAnsi="Calibri"/>
                <w:sz w:val="14"/>
                <w:szCs w:val="14"/>
                <w:color w:val="auto"/>
              </w:rPr>
              <w:t>Payment Security Suite</w:t>
            </w:r>
          </w:p>
        </w:tc>
        <w:tc>
          <w:tcPr>
            <w:tcW w:w="0" w:type="dxa"/>
            <w:vAlign w:val="bottom"/>
          </w:tcPr>
          <w:p>
            <w:pPr>
              <w:spacing w:after="0"/>
              <w:rPr>
                <w:sz w:val="1"/>
                <w:szCs w:val="1"/>
                <w:color w:val="auto"/>
              </w:rPr>
            </w:pPr>
          </w:p>
        </w:tc>
      </w:tr>
      <w:tr>
        <w:trPr>
          <w:trHeight w:val="46"/>
        </w:trPr>
        <w:tc>
          <w:tcPr>
            <w:tcW w:w="2080" w:type="dxa"/>
            <w:vAlign w:val="bottom"/>
            <w:shd w:val="clear" w:color="auto" w:fill="CCEEFF"/>
          </w:tcPr>
          <w:p>
            <w:pPr>
              <w:spacing w:after="0"/>
              <w:rPr>
                <w:sz w:val="4"/>
                <w:szCs w:val="4"/>
                <w:color w:val="auto"/>
              </w:rPr>
            </w:pPr>
          </w:p>
        </w:tc>
        <w:tc>
          <w:tcPr>
            <w:tcW w:w="52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37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120" w:firstLine="405"/>
        <w:spacing w:after="0" w:line="235" w:lineRule="auto"/>
        <w:rPr>
          <w:sz w:val="20"/>
          <w:szCs w:val="20"/>
          <w:color w:val="auto"/>
        </w:rPr>
      </w:pPr>
      <w:r>
        <w:rPr>
          <w:rFonts w:ascii="Calibri" w:cs="Calibri" w:eastAsia="Calibri" w:hAnsi="Calibri"/>
          <w:sz w:val="18"/>
          <w:szCs w:val="18"/>
          <w:b w:val="1"/>
          <w:bCs w:val="1"/>
          <w:i w:val="1"/>
          <w:iCs w:val="1"/>
          <w:color w:val="auto"/>
        </w:rPr>
        <w:t xml:space="preserve">Private Cloud Sofware Portolio. </w:t>
      </w:r>
      <w:r>
        <w:rPr>
          <w:rFonts w:ascii="Calibri" w:cs="Calibri" w:eastAsia="Calibri" w:hAnsi="Calibri"/>
          <w:sz w:val="18"/>
          <w:szCs w:val="18"/>
          <w:color w:val="auto"/>
        </w:rPr>
        <w:t>Our private cloud infrastructure sofware delivers public cloud scale and agility with private cloud security, resilience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and performance, and low overall total cost of ownership. Our VMware sofware supports customers’ digital innovaton with faster infrastructure modernizaton, a unifed cloud experience and beter platorm security and cyber resiliency. The full portolio is available directly from Broadcom, resellers and distributors, hyperscale cloud providers, value-added OEMs and VMware cloud service provider partners. VMware Cloud Foundaton (“VCF”) provides license portability, which enables customers to purchase subscriptons of VCF sofware and move their VCF environments between on-premises data centers and supported cloud endpoints. Advanced services for Private AI provide customers with the benefts of AI without having to compromise control of data, privacy, and compliance by bringing the AI model to customers’ data.</w:t>
      </w:r>
    </w:p>
    <w:p>
      <w:pPr>
        <w:spacing w:after="0" w:line="114" w:lineRule="exact"/>
        <w:rPr>
          <w:sz w:val="20"/>
          <w:szCs w:val="20"/>
          <w:color w:val="auto"/>
        </w:rPr>
      </w:pPr>
    </w:p>
    <w:p>
      <w:pPr>
        <w:jc w:val="both"/>
        <w:ind w:left="420" w:right="20" w:hanging="7"/>
        <w:spacing w:after="0" w:line="235" w:lineRule="auto"/>
        <w:tabs>
          <w:tab w:leader="none" w:pos="656" w:val="left"/>
        </w:tabs>
        <w:numPr>
          <w:ilvl w:val="0"/>
          <w:numId w:val="15"/>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VCF: </w:t>
      </w:r>
      <w:r>
        <w:rPr>
          <w:rFonts w:ascii="Calibri" w:cs="Calibri" w:eastAsia="Calibri" w:hAnsi="Calibri"/>
          <w:sz w:val="18"/>
          <w:szCs w:val="18"/>
          <w:color w:val="auto"/>
        </w:rPr>
        <w:t>VCF delivers integrated, enterprise-class compute, networking, storage, management, and security across any environment. VCF includes natve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Kubernetes to support both virtual machines and containerized workloads on a single platorm, enables advanced AI and machine learning workloads at enterprise scale and ofers integrated data services capabilites. Our solutons enhance our customers’ ability to contnuously optmize performance and costs, protect the</w:t>
      </w:r>
    </w:p>
    <w:p>
      <w:pPr>
        <w:sectPr>
          <w:pgSz w:w="11900" w:h="16838" w:orient="portrait"/>
          <w:cols w:equalWidth="0" w:num="1">
            <w:col w:w="11240"/>
          </w:cols>
          <w:pgMar w:left="320" w:top="112" w:right="339"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business from threats and enable the business to focus on outcomes instead of operatons through advanced observability and insights.</w:t>
      </w:r>
    </w:p>
    <w:p>
      <w:pPr>
        <w:spacing w:after="0" w:line="109" w:lineRule="exact"/>
        <w:rPr>
          <w:sz w:val="20"/>
          <w:szCs w:val="20"/>
          <w:color w:val="auto"/>
        </w:rPr>
      </w:pPr>
    </w:p>
    <w:p>
      <w:pPr>
        <w:ind w:left="420" w:right="20" w:hanging="7"/>
        <w:spacing w:after="0" w:line="235" w:lineRule="auto"/>
        <w:tabs>
          <w:tab w:leader="none" w:pos="656" w:val="left"/>
        </w:tabs>
        <w:numPr>
          <w:ilvl w:val="0"/>
          <w:numId w:val="16"/>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VMware Cloud Foundaton Edge</w:t>
      </w:r>
      <w:r>
        <w:rPr>
          <w:rFonts w:ascii="Calibri" w:cs="Calibri" w:eastAsia="Calibri" w:hAnsi="Calibri"/>
          <w:sz w:val="18"/>
          <w:szCs w:val="18"/>
          <w:color w:val="auto"/>
        </w:rPr>
        <w:t>: The edge compute stack designed to deliver frictonless management of edge apps and infrastructure across many</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sites with limited resources. It efciently manages infrastructure and applicatons at dispersed sites.</w:t>
      </w:r>
    </w:p>
    <w:p>
      <w:pPr>
        <w:spacing w:after="0" w:line="109" w:lineRule="exact"/>
        <w:rPr>
          <w:rFonts w:ascii="Calibri" w:cs="Calibri" w:eastAsia="Calibri" w:hAnsi="Calibri"/>
          <w:sz w:val="18"/>
          <w:szCs w:val="18"/>
          <w:color w:val="auto"/>
        </w:rPr>
      </w:pPr>
    </w:p>
    <w:p>
      <w:pPr>
        <w:ind w:left="420" w:right="480" w:hanging="7"/>
        <w:spacing w:after="0" w:line="235" w:lineRule="auto"/>
        <w:tabs>
          <w:tab w:leader="none" w:pos="656" w:val="left"/>
        </w:tabs>
        <w:numPr>
          <w:ilvl w:val="0"/>
          <w:numId w:val="16"/>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vSphere Foundaton IT Infrastructure Optmizaton: </w:t>
      </w:r>
      <w:r>
        <w:rPr>
          <w:rFonts w:ascii="Calibri" w:cs="Calibri" w:eastAsia="Calibri" w:hAnsi="Calibri"/>
          <w:sz w:val="18"/>
          <w:szCs w:val="18"/>
          <w:color w:val="auto"/>
        </w:rPr>
        <w:t>vSphere Foundaton supports modern IT requirements by boostng operatonal efciency,</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elevatng security and supercharging workload performance, all in support of acceleratng innovaton.</w:t>
      </w:r>
    </w:p>
    <w:p>
      <w:pPr>
        <w:spacing w:after="0" w:line="109" w:lineRule="exact"/>
        <w:rPr>
          <w:rFonts w:ascii="Calibri" w:cs="Calibri" w:eastAsia="Calibri" w:hAnsi="Calibri"/>
          <w:sz w:val="18"/>
          <w:szCs w:val="18"/>
          <w:color w:val="auto"/>
        </w:rPr>
      </w:pPr>
    </w:p>
    <w:p>
      <w:pPr>
        <w:ind w:left="640" w:hanging="227"/>
        <w:spacing w:after="0"/>
        <w:tabs>
          <w:tab w:leader="none" w:pos="640" w:val="left"/>
        </w:tabs>
        <w:numPr>
          <w:ilvl w:val="0"/>
          <w:numId w:val="16"/>
        </w:numPr>
        <w:rPr>
          <w:rFonts w:ascii="Calibri" w:cs="Calibri" w:eastAsia="Calibri" w:hAnsi="Calibri"/>
          <w:sz w:val="17"/>
          <w:szCs w:val="17"/>
          <w:color w:val="auto"/>
        </w:rPr>
      </w:pPr>
      <w:r>
        <w:rPr>
          <w:rFonts w:ascii="Calibri" w:cs="Calibri" w:eastAsia="Calibri" w:hAnsi="Calibri"/>
          <w:sz w:val="17"/>
          <w:szCs w:val="17"/>
          <w:b w:val="1"/>
          <w:bCs w:val="1"/>
          <w:i w:val="1"/>
          <w:iCs w:val="1"/>
          <w:color w:val="auto"/>
        </w:rPr>
        <w:t xml:space="preserve">Private AI: </w:t>
      </w:r>
      <w:r>
        <w:rPr>
          <w:rFonts w:ascii="Calibri" w:cs="Calibri" w:eastAsia="Calibri" w:hAnsi="Calibri"/>
          <w:sz w:val="17"/>
          <w:szCs w:val="17"/>
          <w:color w:val="auto"/>
        </w:rPr>
        <w:t>This soluton enables organizatons to use generatve AI technologies while addressing privacy and compliance needs of the organizaton.</w:t>
      </w:r>
    </w:p>
    <w:p>
      <w:pPr>
        <w:spacing w:after="0" w:line="116" w:lineRule="exact"/>
        <w:rPr>
          <w:rFonts w:ascii="Calibri" w:cs="Calibri" w:eastAsia="Calibri" w:hAnsi="Calibri"/>
          <w:sz w:val="17"/>
          <w:szCs w:val="17"/>
          <w:color w:val="auto"/>
        </w:rPr>
      </w:pPr>
    </w:p>
    <w:p>
      <w:pPr>
        <w:ind w:left="420" w:right="20" w:hanging="7"/>
        <w:spacing w:after="0" w:line="235" w:lineRule="auto"/>
        <w:tabs>
          <w:tab w:leader="none" w:pos="656" w:val="left"/>
        </w:tabs>
        <w:numPr>
          <w:ilvl w:val="0"/>
          <w:numId w:val="16"/>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Live Recovery: </w:t>
      </w:r>
      <w:r>
        <w:rPr>
          <w:rFonts w:ascii="Calibri" w:cs="Calibri" w:eastAsia="Calibri" w:hAnsi="Calibri"/>
          <w:sz w:val="18"/>
          <w:szCs w:val="18"/>
          <w:color w:val="auto"/>
        </w:rPr>
        <w:t>This soluton helps organizatons combat the evolving threat landscape through solutons and technologies that enable organizatonal</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resilience through rapid recovery of applicatons, data and critcal business services.</w:t>
      </w:r>
    </w:p>
    <w:p>
      <w:pPr>
        <w:spacing w:after="0" w:line="109" w:lineRule="exact"/>
        <w:rPr>
          <w:rFonts w:ascii="Calibri" w:cs="Calibri" w:eastAsia="Calibri" w:hAnsi="Calibri"/>
          <w:sz w:val="18"/>
          <w:szCs w:val="18"/>
          <w:color w:val="auto"/>
        </w:rPr>
      </w:pPr>
    </w:p>
    <w:p>
      <w:pPr>
        <w:ind w:left="420" w:right="40" w:hanging="7"/>
        <w:spacing w:after="0" w:line="235" w:lineRule="auto"/>
        <w:tabs>
          <w:tab w:leader="none" w:pos="656" w:val="left"/>
        </w:tabs>
        <w:numPr>
          <w:ilvl w:val="0"/>
          <w:numId w:val="16"/>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Telco Cloud Platorm: </w:t>
      </w:r>
      <w:r>
        <w:rPr>
          <w:rFonts w:ascii="Calibri" w:cs="Calibri" w:eastAsia="Calibri" w:hAnsi="Calibri"/>
          <w:sz w:val="18"/>
          <w:szCs w:val="18"/>
          <w:color w:val="auto"/>
        </w:rPr>
        <w:t>This soluton supports network operatons for telecom operators and communicatons service providers to modernize their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infrastructure and allows them to create monetzable services. The modernizaton of the telecom infrastructure is critcal to enabling operatonal agility, onboarding and delivering services much faster across domains and simplifying operatons with automaton.</w:t>
      </w:r>
    </w:p>
    <w:p>
      <w:pPr>
        <w:spacing w:after="0" w:line="111" w:lineRule="exact"/>
        <w:rPr>
          <w:sz w:val="20"/>
          <w:szCs w:val="20"/>
          <w:color w:val="auto"/>
        </w:rPr>
      </w:pPr>
    </w:p>
    <w:p>
      <w:pPr>
        <w:ind w:right="480" w:firstLine="405"/>
        <w:spacing w:after="0" w:line="235" w:lineRule="auto"/>
        <w:rPr>
          <w:sz w:val="20"/>
          <w:szCs w:val="20"/>
          <w:color w:val="auto"/>
        </w:rPr>
      </w:pPr>
      <w:r>
        <w:rPr>
          <w:rFonts w:ascii="Calibri" w:cs="Calibri" w:eastAsia="Calibri" w:hAnsi="Calibri"/>
          <w:sz w:val="18"/>
          <w:szCs w:val="18"/>
          <w:b w:val="1"/>
          <w:bCs w:val="1"/>
          <w:i w:val="1"/>
          <w:iCs w:val="1"/>
          <w:color w:val="auto"/>
        </w:rPr>
        <w:t xml:space="preserve">Tanzu Sofware Portolio. </w:t>
      </w:r>
      <w:r>
        <w:rPr>
          <w:rFonts w:ascii="Calibri" w:cs="Calibri" w:eastAsia="Calibri" w:hAnsi="Calibri"/>
          <w:sz w:val="18"/>
          <w:szCs w:val="18"/>
          <w:color w:val="auto"/>
        </w:rPr>
        <w:t>Our applicaton development, operatons and optmizaton solutons help leading enterprises deliver highly performant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applicatons and best-in-class user experiences.</w:t>
      </w:r>
    </w:p>
    <w:p>
      <w:pPr>
        <w:spacing w:after="0" w:line="110" w:lineRule="exact"/>
        <w:rPr>
          <w:sz w:val="20"/>
          <w:szCs w:val="20"/>
          <w:color w:val="auto"/>
        </w:rPr>
      </w:pPr>
    </w:p>
    <w:p>
      <w:pPr>
        <w:ind w:left="420" w:right="140" w:hanging="7"/>
        <w:spacing w:after="0" w:line="235" w:lineRule="auto"/>
        <w:tabs>
          <w:tab w:leader="none" w:pos="656" w:val="left"/>
        </w:tabs>
        <w:numPr>
          <w:ilvl w:val="0"/>
          <w:numId w:val="17"/>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Tanzu Platorm: </w:t>
      </w:r>
      <w:r>
        <w:rPr>
          <w:rFonts w:ascii="Calibri" w:cs="Calibri" w:eastAsia="Calibri" w:hAnsi="Calibri"/>
          <w:sz w:val="18"/>
          <w:szCs w:val="18"/>
          <w:color w:val="auto"/>
        </w:rPr>
        <w:t>This cloud natve applicaton platorm accelerates sofware delivery, providing platorm engineering teams with enhanced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governance and operatonal efciency while reducing toil and complexity for development teams. Tanzu Platorm includes access to content including enterprise-ready curated distributons of open source sofware technologies used for storing and processing data. It also includes Tanzu AI Solutons, a set of capabilites that help applicaton teams deliver generatve AI-powered, intelligent applicatons quickly, safely, and at scale. Tanzu Platorm also ofers teams full-stack visibility from applicatons to infrastructure and efcient modern applicaton lifecycle management across public and private clouds with Cloud Foundry and/or with any conformant Kubernetes.</w:t>
      </w:r>
    </w:p>
    <w:p>
      <w:pPr>
        <w:spacing w:after="0" w:line="113" w:lineRule="exact"/>
        <w:rPr>
          <w:rFonts w:ascii="Calibri" w:cs="Calibri" w:eastAsia="Calibri" w:hAnsi="Calibri"/>
          <w:sz w:val="18"/>
          <w:szCs w:val="18"/>
          <w:color w:val="auto"/>
        </w:rPr>
      </w:pPr>
    </w:p>
    <w:p>
      <w:pPr>
        <w:ind w:left="420" w:right="400" w:hanging="7"/>
        <w:spacing w:after="0" w:line="235" w:lineRule="auto"/>
        <w:tabs>
          <w:tab w:leader="none" w:pos="656" w:val="left"/>
        </w:tabs>
        <w:numPr>
          <w:ilvl w:val="0"/>
          <w:numId w:val="17"/>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Tanzu Data: </w:t>
      </w:r>
      <w:r>
        <w:rPr>
          <w:rFonts w:ascii="Calibri" w:cs="Calibri" w:eastAsia="Calibri" w:hAnsi="Calibri"/>
          <w:sz w:val="18"/>
          <w:szCs w:val="18"/>
          <w:color w:val="auto"/>
        </w:rPr>
        <w:t>A suite of data services that provides advanced analytcal data warehouse capabilites and real-tme transactons and processing at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massive scale with an in-memory data grid with vector database capabilites for AI use cases.</w:t>
      </w:r>
    </w:p>
    <w:p>
      <w:pPr>
        <w:spacing w:after="0" w:line="109" w:lineRule="exact"/>
        <w:rPr>
          <w:rFonts w:ascii="Calibri" w:cs="Calibri" w:eastAsia="Calibri" w:hAnsi="Calibri"/>
          <w:sz w:val="18"/>
          <w:szCs w:val="18"/>
          <w:color w:val="auto"/>
        </w:rPr>
      </w:pPr>
    </w:p>
    <w:p>
      <w:pPr>
        <w:ind w:left="420" w:right="340" w:hanging="7"/>
        <w:spacing w:after="0" w:line="235" w:lineRule="auto"/>
        <w:tabs>
          <w:tab w:leader="none" w:pos="656" w:val="left"/>
        </w:tabs>
        <w:numPr>
          <w:ilvl w:val="0"/>
          <w:numId w:val="17"/>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Tanzu CloudHealth: </w:t>
      </w:r>
      <w:r>
        <w:rPr>
          <w:rFonts w:ascii="Calibri" w:cs="Calibri" w:eastAsia="Calibri" w:hAnsi="Calibri"/>
          <w:sz w:val="18"/>
          <w:szCs w:val="18"/>
          <w:color w:val="auto"/>
        </w:rPr>
        <w:t>This soluton simplifes fnancial management, streamlines operatons, and improves organizatonal collaboraton across the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mult-cloud environment.</w:t>
      </w:r>
    </w:p>
    <w:p>
      <w:pPr>
        <w:spacing w:after="0" w:line="109" w:lineRule="exact"/>
        <w:rPr>
          <w:rFonts w:ascii="Calibri" w:cs="Calibri" w:eastAsia="Calibri" w:hAnsi="Calibri"/>
          <w:sz w:val="18"/>
          <w:szCs w:val="18"/>
          <w:color w:val="auto"/>
        </w:rPr>
      </w:pPr>
    </w:p>
    <w:p>
      <w:pPr>
        <w:ind w:left="420" w:right="340" w:hanging="7"/>
        <w:spacing w:after="0" w:line="235" w:lineRule="auto"/>
        <w:tabs>
          <w:tab w:leader="none" w:pos="656" w:val="left"/>
        </w:tabs>
        <w:numPr>
          <w:ilvl w:val="0"/>
          <w:numId w:val="17"/>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Tanzu Labs: </w:t>
      </w:r>
      <w:r>
        <w:rPr>
          <w:rFonts w:ascii="Calibri" w:cs="Calibri" w:eastAsia="Calibri" w:hAnsi="Calibri"/>
          <w:sz w:val="18"/>
          <w:szCs w:val="18"/>
          <w:color w:val="auto"/>
        </w:rPr>
        <w:t>This service provides hands-on cloud natve consultng services to help customers move sofware to producton while strengthening</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platorm engineering skills.</w:t>
      </w:r>
    </w:p>
    <w:p>
      <w:pPr>
        <w:spacing w:after="0" w:line="110"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b w:val="1"/>
          <w:bCs w:val="1"/>
          <w:i w:val="1"/>
          <w:iCs w:val="1"/>
          <w:color w:val="auto"/>
        </w:rPr>
        <w:t xml:space="preserve">VeloCloud Portolio. </w:t>
      </w:r>
      <w:r>
        <w:rPr>
          <w:rFonts w:ascii="Calibri" w:cs="Calibri" w:eastAsia="Calibri" w:hAnsi="Calibri"/>
          <w:sz w:val="18"/>
          <w:szCs w:val="18"/>
          <w:color w:val="auto"/>
        </w:rPr>
        <w:t>VeloCloud provides networking solutons to connect, secure and optmize workloads across distributed locatons. By combining our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VeloRAIN (Robust AI Networking) architecture with seamless connectvity and outcome-based quality of service, VeloCloud provides users and devices with compute and connectvity to optmize performance, security and reliability across fxed or mobile environments, while simplifying operatons.</w:t>
      </w:r>
    </w:p>
    <w:p>
      <w:pPr>
        <w:spacing w:after="0" w:line="111" w:lineRule="exact"/>
        <w:rPr>
          <w:sz w:val="20"/>
          <w:szCs w:val="20"/>
          <w:color w:val="auto"/>
        </w:rPr>
      </w:pPr>
    </w:p>
    <w:p>
      <w:pPr>
        <w:ind w:left="420" w:right="360" w:hanging="7"/>
        <w:spacing w:after="0" w:line="252" w:lineRule="auto"/>
        <w:tabs>
          <w:tab w:leader="none" w:pos="656" w:val="left"/>
        </w:tabs>
        <w:numPr>
          <w:ilvl w:val="0"/>
          <w:numId w:val="18"/>
        </w:numPr>
        <w:rPr>
          <w:rFonts w:ascii="Calibri" w:cs="Calibri" w:eastAsia="Calibri" w:hAnsi="Calibri"/>
          <w:sz w:val="17"/>
          <w:szCs w:val="17"/>
          <w:color w:val="auto"/>
        </w:rPr>
      </w:pPr>
      <w:r>
        <w:rPr>
          <w:rFonts w:ascii="Calibri" w:cs="Calibri" w:eastAsia="Calibri" w:hAnsi="Calibri"/>
          <w:sz w:val="17"/>
          <w:szCs w:val="17"/>
          <w:b w:val="1"/>
          <w:bCs w:val="1"/>
          <w:i w:val="1"/>
          <w:iCs w:val="1"/>
          <w:color w:val="auto"/>
        </w:rPr>
        <w:t>SD-WAN and SASE</w:t>
      </w:r>
      <w:r>
        <w:rPr>
          <w:rFonts w:ascii="Calibri" w:cs="Calibri" w:eastAsia="Calibri" w:hAnsi="Calibri"/>
          <w:sz w:val="17"/>
          <w:szCs w:val="17"/>
          <w:color w:val="auto"/>
        </w:rPr>
        <w:t>: Our SD-WAN (sofware-defned wide area network) soluton, whether a part of our SASE (secure access service edge)</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architecture ofering or standalone, provides a platorm for enterprises to distribute modern applicatons and advanced AI systems while delivering security and ubiquity of access for distributed applicatons. Our SD-WAN or SASE solutons bring sofware-defned networking, security and AIOps together to support ubiquitous access across fber, cellular and satellite for optmal performance and availability for modern applicatons.</w:t>
      </w:r>
    </w:p>
    <w:p>
      <w:pPr>
        <w:spacing w:after="0" w:line="95" w:lineRule="exact"/>
        <w:rPr>
          <w:rFonts w:ascii="Calibri" w:cs="Calibri" w:eastAsia="Calibri" w:hAnsi="Calibri"/>
          <w:sz w:val="17"/>
          <w:szCs w:val="17"/>
          <w:color w:val="auto"/>
        </w:rPr>
      </w:pPr>
    </w:p>
    <w:p>
      <w:pPr>
        <w:ind w:left="640" w:hanging="227"/>
        <w:spacing w:after="0"/>
        <w:tabs>
          <w:tab w:leader="none" w:pos="640" w:val="left"/>
        </w:tabs>
        <w:numPr>
          <w:ilvl w:val="0"/>
          <w:numId w:val="18"/>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VeloRAIN</w:t>
      </w:r>
      <w:r>
        <w:rPr>
          <w:rFonts w:ascii="Calibri" w:cs="Calibri" w:eastAsia="Calibri" w:hAnsi="Calibri"/>
          <w:sz w:val="18"/>
          <w:szCs w:val="18"/>
          <w:color w:val="auto"/>
        </w:rPr>
        <w:t>: Our architecture uses AI or machine learning to improve the performance and security of distributed workloads.</w:t>
      </w:r>
    </w:p>
    <w:p>
      <w:pPr>
        <w:spacing w:after="0" w:line="109" w:lineRule="exact"/>
        <w:rPr>
          <w:rFonts w:ascii="Calibri" w:cs="Calibri" w:eastAsia="Calibri" w:hAnsi="Calibri"/>
          <w:sz w:val="18"/>
          <w:szCs w:val="18"/>
          <w:color w:val="auto"/>
        </w:rPr>
      </w:pPr>
    </w:p>
    <w:p>
      <w:pPr>
        <w:ind w:left="420" w:right="440" w:hanging="7"/>
        <w:spacing w:after="0" w:line="235" w:lineRule="auto"/>
        <w:tabs>
          <w:tab w:leader="none" w:pos="656" w:val="left"/>
        </w:tabs>
        <w:numPr>
          <w:ilvl w:val="0"/>
          <w:numId w:val="18"/>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Fixed Wireless Access</w:t>
      </w:r>
      <w:r>
        <w:rPr>
          <w:rFonts w:ascii="Calibri" w:cs="Calibri" w:eastAsia="Calibri" w:hAnsi="Calibri"/>
          <w:sz w:val="18"/>
          <w:szCs w:val="18"/>
          <w:color w:val="auto"/>
        </w:rPr>
        <w:t>: This soluton provides enterprises with reliable 5G connectvity to businesses and enterprise branches at the edge while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optmizing the network through intelligence and network programmability.</w:t>
      </w:r>
    </w:p>
    <w:p>
      <w:pPr>
        <w:spacing w:after="0" w:line="110"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b w:val="1"/>
          <w:bCs w:val="1"/>
          <w:i w:val="1"/>
          <w:iCs w:val="1"/>
          <w:color w:val="auto"/>
        </w:rPr>
        <w:t xml:space="preserve">Applicaton Networking and Security Sofware Portolio. </w:t>
      </w:r>
      <w:r>
        <w:rPr>
          <w:rFonts w:ascii="Calibri" w:cs="Calibri" w:eastAsia="Calibri" w:hAnsi="Calibri"/>
          <w:sz w:val="18"/>
          <w:szCs w:val="18"/>
          <w:color w:val="auto"/>
        </w:rPr>
        <w:t>Our applicaton networking and security sofware delivers zero-trust lateral security and load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balancing solutons enabling global digital organizatons to combat malware and ransomware. These sofware-defned solutons provide distributed and scale-out architectures, deep visibility, plug-and-play operatons and self-service consumpton. Customers can deploy our solutons at speed and operate them at scale across all their private cloud applicatons, which can reduce the total cost of ownership.</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9" w:name="page10"/>
    <w:bookmarkEnd w:id="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20" w:right="240" w:hanging="7"/>
        <w:spacing w:after="0" w:line="235" w:lineRule="auto"/>
        <w:tabs>
          <w:tab w:leader="none" w:pos="656" w:val="left"/>
        </w:tabs>
        <w:numPr>
          <w:ilvl w:val="0"/>
          <w:numId w:val="19"/>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Lateral Security Firewall: </w:t>
      </w:r>
      <w:r>
        <w:rPr>
          <w:rFonts w:ascii="Calibri" w:cs="Calibri" w:eastAsia="Calibri" w:hAnsi="Calibri"/>
          <w:sz w:val="18"/>
          <w:szCs w:val="18"/>
          <w:color w:val="auto"/>
        </w:rPr>
        <w:t>This soluton enables access control for applicatons, protects against lateral movement of threats and provides security</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policy recommendatons based on the workloads, and enables isolaton of sensitve applicatons for enhanced regulatory compliance.</w:t>
      </w:r>
    </w:p>
    <w:p>
      <w:pPr>
        <w:spacing w:after="0" w:line="109" w:lineRule="exact"/>
        <w:rPr>
          <w:rFonts w:ascii="Calibri" w:cs="Calibri" w:eastAsia="Calibri" w:hAnsi="Calibri"/>
          <w:sz w:val="18"/>
          <w:szCs w:val="18"/>
          <w:color w:val="auto"/>
        </w:rPr>
      </w:pPr>
    </w:p>
    <w:p>
      <w:pPr>
        <w:jc w:val="both"/>
        <w:ind w:left="420" w:right="240" w:hanging="7"/>
        <w:spacing w:after="0" w:line="235" w:lineRule="auto"/>
        <w:tabs>
          <w:tab w:leader="none" w:pos="656" w:val="left"/>
        </w:tabs>
        <w:numPr>
          <w:ilvl w:val="0"/>
          <w:numId w:val="19"/>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Advanced Threat Preventon: </w:t>
      </w:r>
      <w:r>
        <w:rPr>
          <w:rFonts w:ascii="Calibri" w:cs="Calibri" w:eastAsia="Calibri" w:hAnsi="Calibri"/>
          <w:sz w:val="18"/>
          <w:szCs w:val="18"/>
          <w:color w:val="auto"/>
        </w:rPr>
        <w:t>This soluton integrates multple threat detecton and preventon technologies to deliver comprehensive protecton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from malware and ransomware atacks, including utlizing behavior-based techniques and advanced correlatons to identfy lateral threat movement and ransomware threat campaigns.</w:t>
      </w:r>
    </w:p>
    <w:p>
      <w:pPr>
        <w:spacing w:after="0" w:line="110" w:lineRule="exact"/>
        <w:rPr>
          <w:rFonts w:ascii="Calibri" w:cs="Calibri" w:eastAsia="Calibri" w:hAnsi="Calibri"/>
          <w:sz w:val="18"/>
          <w:szCs w:val="18"/>
          <w:color w:val="auto"/>
        </w:rPr>
      </w:pPr>
    </w:p>
    <w:p>
      <w:pPr>
        <w:ind w:left="420" w:right="200" w:hanging="7"/>
        <w:spacing w:after="0" w:line="235" w:lineRule="auto"/>
        <w:tabs>
          <w:tab w:leader="none" w:pos="656" w:val="left"/>
        </w:tabs>
        <w:numPr>
          <w:ilvl w:val="0"/>
          <w:numId w:val="19"/>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Advanced Load Balancing: </w:t>
      </w:r>
      <w:r>
        <w:rPr>
          <w:rFonts w:ascii="Calibri" w:cs="Calibri" w:eastAsia="Calibri" w:hAnsi="Calibri"/>
          <w:sz w:val="18"/>
          <w:szCs w:val="18"/>
          <w:color w:val="auto"/>
        </w:rPr>
        <w:t>This soluton simplifes and accelerates applicaton deployments and enhances applicaton availability and resiliency to</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deliver load balancing at the speed of applicatons, allowing customers to leverage built-in automaton to deploy load balancing as code as part of DevOps workfows for rapid infrastructure roll out.</w:t>
      </w:r>
    </w:p>
    <w:p>
      <w:pPr>
        <w:spacing w:after="0" w:line="111" w:lineRule="exact"/>
        <w:rPr>
          <w:sz w:val="20"/>
          <w:szCs w:val="20"/>
          <w:color w:val="auto"/>
        </w:rPr>
      </w:pPr>
    </w:p>
    <w:p>
      <w:pPr>
        <w:ind w:right="40" w:firstLine="405"/>
        <w:spacing w:after="0" w:line="235" w:lineRule="auto"/>
        <w:rPr>
          <w:sz w:val="20"/>
          <w:szCs w:val="20"/>
          <w:color w:val="auto"/>
        </w:rPr>
      </w:pPr>
      <w:r>
        <w:rPr>
          <w:rFonts w:ascii="Calibri" w:cs="Calibri" w:eastAsia="Calibri" w:hAnsi="Calibri"/>
          <w:sz w:val="18"/>
          <w:szCs w:val="18"/>
          <w:b w:val="1"/>
          <w:bCs w:val="1"/>
          <w:i w:val="1"/>
          <w:iCs w:val="1"/>
          <w:color w:val="auto"/>
        </w:rPr>
        <w:t xml:space="preserve">Mainframe Sofware Portolio. </w:t>
      </w:r>
      <w:r>
        <w:rPr>
          <w:rFonts w:ascii="Calibri" w:cs="Calibri" w:eastAsia="Calibri" w:hAnsi="Calibri"/>
          <w:sz w:val="18"/>
          <w:szCs w:val="18"/>
          <w:color w:val="auto"/>
        </w:rPr>
        <w:t>Our mainframe sofware provides market-leading DevOps, AIOps, Cybersecurity, Workload Automaton, Data</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Management, and Foundatonal Sofware solutons which enable customers to embrace open tools and technologies, innovate with their mainframe as part of their hybrid environment, and extend the value of their mainframe investments. Our commitment to partnering with our customers goes beyond products and technology. Through our unique Beyond Code programs we address challenges such as skills development, stafng, change management and cost-saving initatves that drive greater overall business success with the platorm.</w:t>
      </w:r>
    </w:p>
    <w:p>
      <w:pPr>
        <w:spacing w:after="0" w:line="112" w:lineRule="exact"/>
        <w:rPr>
          <w:sz w:val="20"/>
          <w:szCs w:val="20"/>
          <w:color w:val="auto"/>
        </w:rPr>
      </w:pPr>
    </w:p>
    <w:p>
      <w:pPr>
        <w:ind w:left="420" w:right="100" w:hanging="7"/>
        <w:spacing w:after="0" w:line="235" w:lineRule="auto"/>
        <w:tabs>
          <w:tab w:leader="none" w:pos="656" w:val="left"/>
        </w:tabs>
        <w:numPr>
          <w:ilvl w:val="0"/>
          <w:numId w:val="20"/>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Operatonal Analytcs &amp; Management</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These solutons combine big data, machine learning and AI with mainframe expertse to deliver meaningful</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and actonable insights to augment and automate day-to-day operatons and deliver exceptonal customer experiences.</w:t>
      </w:r>
    </w:p>
    <w:p>
      <w:pPr>
        <w:spacing w:after="0" w:line="109" w:lineRule="exact"/>
        <w:rPr>
          <w:rFonts w:ascii="Calibri" w:cs="Calibri" w:eastAsia="Calibri" w:hAnsi="Calibri"/>
          <w:sz w:val="18"/>
          <w:szCs w:val="18"/>
          <w:color w:val="auto"/>
        </w:rPr>
      </w:pPr>
    </w:p>
    <w:p>
      <w:pPr>
        <w:ind w:left="420" w:right="140" w:hanging="7"/>
        <w:spacing w:after="0" w:line="235" w:lineRule="auto"/>
        <w:tabs>
          <w:tab w:leader="none" w:pos="656" w:val="left"/>
        </w:tabs>
        <w:numPr>
          <w:ilvl w:val="0"/>
          <w:numId w:val="20"/>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Workload Automaton: </w:t>
      </w:r>
      <w:r>
        <w:rPr>
          <w:rFonts w:ascii="Calibri" w:cs="Calibri" w:eastAsia="Calibri" w:hAnsi="Calibri"/>
          <w:sz w:val="18"/>
          <w:szCs w:val="18"/>
          <w:color w:val="auto"/>
        </w:rPr>
        <w:t>These solutons reduce manual efort by enabling customers to proactvely optmize resources and orchestrate automaton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across enterprise applicatons and systems.</w:t>
      </w:r>
    </w:p>
    <w:p>
      <w:pPr>
        <w:spacing w:after="0" w:line="109" w:lineRule="exact"/>
        <w:rPr>
          <w:rFonts w:ascii="Calibri" w:cs="Calibri" w:eastAsia="Calibri" w:hAnsi="Calibri"/>
          <w:sz w:val="18"/>
          <w:szCs w:val="18"/>
          <w:color w:val="auto"/>
        </w:rPr>
      </w:pPr>
    </w:p>
    <w:p>
      <w:pPr>
        <w:jc w:val="both"/>
        <w:ind w:left="420" w:hanging="7"/>
        <w:spacing w:after="0" w:line="235" w:lineRule="auto"/>
        <w:tabs>
          <w:tab w:leader="none" w:pos="656" w:val="left"/>
        </w:tabs>
        <w:numPr>
          <w:ilvl w:val="0"/>
          <w:numId w:val="20"/>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Databases &amp; Data Management</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These high-performance databases and management tools store, organize, and manage mainframe data to ensure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optmal performance, efcient administraton, and reliability of critcal systems. Customers can also manage their mainframe data storage using modern mainframe solutons that securely store data on any device that customers choose, including the cloud. These sofware-only solutons are designed to save on costs and maintain confdence in data security.</w:t>
      </w:r>
    </w:p>
    <w:p>
      <w:pPr>
        <w:spacing w:after="0" w:line="111" w:lineRule="exact"/>
        <w:rPr>
          <w:rFonts w:ascii="Calibri" w:cs="Calibri" w:eastAsia="Calibri" w:hAnsi="Calibri"/>
          <w:sz w:val="18"/>
          <w:szCs w:val="18"/>
          <w:color w:val="auto"/>
        </w:rPr>
      </w:pPr>
    </w:p>
    <w:p>
      <w:pPr>
        <w:ind w:left="420" w:right="20" w:hanging="7"/>
        <w:spacing w:after="0" w:line="235" w:lineRule="auto"/>
        <w:tabs>
          <w:tab w:leader="none" w:pos="656" w:val="left"/>
        </w:tabs>
        <w:numPr>
          <w:ilvl w:val="0"/>
          <w:numId w:val="20"/>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Applicaton Development &amp; Testng</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These solutons enable customers to accelerate sofware delivery while increasing code quality through the use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of our agile processes and tools, and DevOps solutons. Our open-frst strategy helps customers modernize their mainframe environment through the use of open source and open applicaton programming technologies across people, process, tooling and applicatons, resultng in greater synergy and alignment with their corporate IT environment.</w:t>
      </w:r>
    </w:p>
    <w:p>
      <w:pPr>
        <w:spacing w:after="0" w:line="111" w:lineRule="exact"/>
        <w:rPr>
          <w:rFonts w:ascii="Calibri" w:cs="Calibri" w:eastAsia="Calibri" w:hAnsi="Calibri"/>
          <w:sz w:val="18"/>
          <w:szCs w:val="18"/>
          <w:color w:val="auto"/>
        </w:rPr>
      </w:pPr>
    </w:p>
    <w:p>
      <w:pPr>
        <w:ind w:left="420" w:right="20" w:hanging="7"/>
        <w:spacing w:after="0" w:line="235" w:lineRule="auto"/>
        <w:tabs>
          <w:tab w:leader="none" w:pos="656" w:val="left"/>
        </w:tabs>
        <w:numPr>
          <w:ilvl w:val="0"/>
          <w:numId w:val="20"/>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Identty &amp; Access Management</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These solutons manage mainframe access and elevate it with modern practces such as mult-factor authentcaton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and privileged user management, and support all external security managers.</w:t>
      </w:r>
    </w:p>
    <w:p>
      <w:pPr>
        <w:spacing w:after="0" w:line="109" w:lineRule="exact"/>
        <w:rPr>
          <w:rFonts w:ascii="Calibri" w:cs="Calibri" w:eastAsia="Calibri" w:hAnsi="Calibri"/>
          <w:sz w:val="18"/>
          <w:szCs w:val="18"/>
          <w:color w:val="auto"/>
        </w:rPr>
      </w:pPr>
    </w:p>
    <w:p>
      <w:pPr>
        <w:ind w:left="420" w:right="100" w:hanging="7"/>
        <w:spacing w:after="0" w:line="235" w:lineRule="auto"/>
        <w:tabs>
          <w:tab w:leader="none" w:pos="656" w:val="left"/>
        </w:tabs>
        <w:numPr>
          <w:ilvl w:val="0"/>
          <w:numId w:val="20"/>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Compliance &amp; Data Protecton</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These solutons protect crucial mainframe data to ensure compliance, identfy risk, proactvely respond to potental</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threats, and reduce those risks to lighten the load on security management with automated identfcaton and authorizaton cleanup.</w:t>
      </w:r>
    </w:p>
    <w:p>
      <w:pPr>
        <w:spacing w:after="0" w:line="109" w:lineRule="exact"/>
        <w:rPr>
          <w:rFonts w:ascii="Calibri" w:cs="Calibri" w:eastAsia="Calibri" w:hAnsi="Calibri"/>
          <w:sz w:val="18"/>
          <w:szCs w:val="18"/>
          <w:color w:val="auto"/>
        </w:rPr>
      </w:pPr>
    </w:p>
    <w:p>
      <w:pPr>
        <w:ind w:left="420" w:right="140" w:hanging="7"/>
        <w:spacing w:after="0" w:line="235" w:lineRule="auto"/>
        <w:tabs>
          <w:tab w:leader="none" w:pos="656" w:val="left"/>
        </w:tabs>
        <w:numPr>
          <w:ilvl w:val="0"/>
          <w:numId w:val="20"/>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Security Insights Platorm</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This soluton helps ensure a trusted environment for customers and their employees by quickly interpretng and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assessing mainframe security posture, identfying risks and developing remediaton steps on an ongoing and ad hoc basis. This data is available for use with in-house tools for security informaton and event management.</w:t>
      </w:r>
    </w:p>
    <w:p>
      <w:pPr>
        <w:spacing w:after="0" w:line="110" w:lineRule="exact"/>
        <w:rPr>
          <w:rFonts w:ascii="Calibri" w:cs="Calibri" w:eastAsia="Calibri" w:hAnsi="Calibri"/>
          <w:sz w:val="18"/>
          <w:szCs w:val="18"/>
          <w:color w:val="auto"/>
        </w:rPr>
      </w:pPr>
    </w:p>
    <w:p>
      <w:pPr>
        <w:ind w:left="420" w:right="160" w:hanging="7"/>
        <w:spacing w:after="0" w:line="235" w:lineRule="auto"/>
        <w:tabs>
          <w:tab w:leader="none" w:pos="656" w:val="left"/>
        </w:tabs>
        <w:numPr>
          <w:ilvl w:val="0"/>
          <w:numId w:val="20"/>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Beyond Code Programs</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These value-added oferings help ensure our customers get the most out of their mainframe investments. These oferings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unlock additonal value for organizatons in areas such as educatng and upskilling the workforce, providing expert guidance and support for change events, and uncovering opportunites to improve efciency and save costs.</w:t>
      </w:r>
    </w:p>
    <w:p>
      <w:pPr>
        <w:spacing w:after="0" w:line="111"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b w:val="1"/>
          <w:bCs w:val="1"/>
          <w:i w:val="1"/>
          <w:iCs w:val="1"/>
          <w:color w:val="auto"/>
        </w:rPr>
        <w:t xml:space="preserve">Distributed Sofware Portolio. </w:t>
      </w:r>
      <w:r>
        <w:rPr>
          <w:rFonts w:ascii="Calibri" w:cs="Calibri" w:eastAsia="Calibri" w:hAnsi="Calibri"/>
          <w:sz w:val="18"/>
          <w:szCs w:val="18"/>
          <w:color w:val="auto"/>
        </w:rPr>
        <w:t>Our distributed sofware solutons enable global enterprises to optmize the planning, development and delivery of</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sofware, powering their business-critcal digital services. Our solutons are designed to enable customers to innovate, improve customer experience, and drive proftability by aligning business, development, and operatonal teams. Our products, organized in the domains of ValueOps, DevOps, and AIOps, deliver end-to-end visibility across all stages of the digital lifecycle and help our customers realize beter business outcomes and beter experiences for their customers.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0" w:name="page11"/>
    <w:bookmarkEnd w:id="1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20" w:right="160" w:hanging="7"/>
        <w:spacing w:after="0" w:line="235" w:lineRule="auto"/>
        <w:tabs>
          <w:tab w:leader="none" w:pos="656" w:val="left"/>
        </w:tabs>
        <w:numPr>
          <w:ilvl w:val="0"/>
          <w:numId w:val="21"/>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ValueOps</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This soluton delivers value stream management capabilites that enable customers to schedule, track, and manage work throughout its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lifecycle from investment planning to executon. It aligns business and development teams across the enterprise, increasing transparency, reducing inefciencies, and improving tme to value.</w:t>
      </w:r>
    </w:p>
    <w:p>
      <w:pPr>
        <w:spacing w:after="0" w:line="110" w:lineRule="exact"/>
        <w:rPr>
          <w:rFonts w:ascii="Calibri" w:cs="Calibri" w:eastAsia="Calibri" w:hAnsi="Calibri"/>
          <w:sz w:val="18"/>
          <w:szCs w:val="18"/>
          <w:color w:val="auto"/>
        </w:rPr>
      </w:pPr>
    </w:p>
    <w:p>
      <w:pPr>
        <w:ind w:left="420" w:right="300" w:hanging="7"/>
        <w:spacing w:after="0" w:line="254" w:lineRule="auto"/>
        <w:tabs>
          <w:tab w:leader="none" w:pos="656" w:val="left"/>
        </w:tabs>
        <w:numPr>
          <w:ilvl w:val="0"/>
          <w:numId w:val="21"/>
        </w:numPr>
        <w:rPr>
          <w:rFonts w:ascii="Calibri" w:cs="Calibri" w:eastAsia="Calibri" w:hAnsi="Calibri"/>
          <w:sz w:val="17"/>
          <w:szCs w:val="17"/>
          <w:color w:val="auto"/>
        </w:rPr>
      </w:pPr>
      <w:r>
        <w:rPr>
          <w:rFonts w:ascii="Calibri" w:cs="Calibri" w:eastAsia="Calibri" w:hAnsi="Calibri"/>
          <w:sz w:val="17"/>
          <w:szCs w:val="17"/>
          <w:b w:val="1"/>
          <w:bCs w:val="1"/>
          <w:i w:val="1"/>
          <w:iCs w:val="1"/>
          <w:color w:val="auto"/>
        </w:rPr>
        <w:t xml:space="preserve">DevOps: </w:t>
      </w:r>
      <w:r>
        <w:rPr>
          <w:rFonts w:ascii="Calibri" w:cs="Calibri" w:eastAsia="Calibri" w:hAnsi="Calibri"/>
          <w:sz w:val="17"/>
          <w:szCs w:val="17"/>
          <w:color w:val="auto"/>
        </w:rPr>
        <w:t>This soluton ofers capabilites that empower users of our agile processes and tools to track development progress and deploy releases</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confdently with assurance of feature completeness, high-quality and reduced risk. Key stakeholders have a single view of key insights into release progress, health, quality, defect trends, and metrics that drive focus, gauge readiness, and help to ensure successful, quality releases.</w:t>
      </w:r>
    </w:p>
    <w:p>
      <w:pPr>
        <w:spacing w:after="0" w:line="97" w:lineRule="exact"/>
        <w:rPr>
          <w:rFonts w:ascii="Calibri" w:cs="Calibri" w:eastAsia="Calibri" w:hAnsi="Calibri"/>
          <w:sz w:val="17"/>
          <w:szCs w:val="17"/>
          <w:color w:val="auto"/>
        </w:rPr>
      </w:pPr>
    </w:p>
    <w:p>
      <w:pPr>
        <w:ind w:left="420" w:right="220" w:hanging="7"/>
        <w:spacing w:after="0" w:line="235" w:lineRule="auto"/>
        <w:tabs>
          <w:tab w:leader="none" w:pos="656" w:val="left"/>
        </w:tabs>
        <w:numPr>
          <w:ilvl w:val="0"/>
          <w:numId w:val="21"/>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AIOps: </w:t>
      </w:r>
      <w:r>
        <w:rPr>
          <w:rFonts w:ascii="Calibri" w:cs="Calibri" w:eastAsia="Calibri" w:hAnsi="Calibri"/>
          <w:sz w:val="18"/>
          <w:szCs w:val="18"/>
          <w:color w:val="auto"/>
        </w:rPr>
        <w:t>This soluton combines applicaton, infrastructure and network monitoring and correlaton with intelligent remediaton capabilites to help</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customers create more resilient producton environments and improve customer experience.</w:t>
      </w:r>
    </w:p>
    <w:p>
      <w:pPr>
        <w:spacing w:after="0" w:line="110"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b w:val="1"/>
          <w:bCs w:val="1"/>
          <w:i w:val="1"/>
          <w:iCs w:val="1"/>
          <w:color w:val="auto"/>
        </w:rPr>
        <w:t xml:space="preserve">Enterprise Security Portolio. </w:t>
      </w:r>
      <w:r>
        <w:rPr>
          <w:rFonts w:ascii="Calibri" w:cs="Calibri" w:eastAsia="Calibri" w:hAnsi="Calibri"/>
          <w:sz w:val="18"/>
          <w:szCs w:val="18"/>
          <w:color w:val="auto"/>
        </w:rPr>
        <w:t>Our Enterprise Security solutons help organizatons and governments secure against threats and compliance risks by</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protectng their users and data on any app, device, or network. Our integrated cyber defense approach simplifes cybersecurity with comprehensive solutons designed to secure critcal business assets across on-premises and cloud infrastructures. Enterprise Security solutons utlize rich threat intelligence from a global network of security engineers, threat analyst and researchers, as well as advanced AI and machine learning engines, enabling customers to protect data, connect authorized users with trusted applicatons, and detect and respond to the most advanced targeted atacks.</w:t>
      </w:r>
    </w:p>
    <w:p>
      <w:pPr>
        <w:spacing w:after="0" w:line="112" w:lineRule="exact"/>
        <w:rPr>
          <w:sz w:val="20"/>
          <w:szCs w:val="20"/>
          <w:color w:val="auto"/>
        </w:rPr>
      </w:pPr>
    </w:p>
    <w:p>
      <w:pPr>
        <w:ind w:left="420" w:right="60" w:hanging="7"/>
        <w:spacing w:after="0" w:line="235" w:lineRule="auto"/>
        <w:tabs>
          <w:tab w:leader="none" w:pos="656" w:val="left"/>
        </w:tabs>
        <w:numPr>
          <w:ilvl w:val="0"/>
          <w:numId w:val="22"/>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Endpoint Security: </w:t>
      </w:r>
      <w:r>
        <w:rPr>
          <w:rFonts w:ascii="Calibri" w:cs="Calibri" w:eastAsia="Calibri" w:hAnsi="Calibri"/>
          <w:sz w:val="18"/>
          <w:szCs w:val="18"/>
          <w:color w:val="auto"/>
        </w:rPr>
        <w:t>Endpoints are the critcal last line of defense against cyber atackers. Our Symantec and Carbon Black endpoint security solutons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prevent, detect and respond to emerging threats across all devices and operatng systems including laptops, desktops, tablets, mobile phones, servers and cloud workloads through an AI driven security console and single agent.</w:t>
      </w:r>
    </w:p>
    <w:p>
      <w:pPr>
        <w:spacing w:after="0" w:line="110" w:lineRule="exact"/>
        <w:rPr>
          <w:rFonts w:ascii="Calibri" w:cs="Calibri" w:eastAsia="Calibri" w:hAnsi="Calibri"/>
          <w:sz w:val="18"/>
          <w:szCs w:val="18"/>
          <w:color w:val="auto"/>
        </w:rPr>
      </w:pPr>
    </w:p>
    <w:p>
      <w:pPr>
        <w:jc w:val="both"/>
        <w:ind w:left="420" w:right="140" w:hanging="7"/>
        <w:spacing w:after="0" w:line="235" w:lineRule="auto"/>
        <w:tabs>
          <w:tab w:leader="none" w:pos="656" w:val="left"/>
        </w:tabs>
        <w:numPr>
          <w:ilvl w:val="0"/>
          <w:numId w:val="22"/>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Network Security: </w:t>
      </w:r>
      <w:r>
        <w:rPr>
          <w:rFonts w:ascii="Calibri" w:cs="Calibri" w:eastAsia="Calibri" w:hAnsi="Calibri"/>
          <w:sz w:val="18"/>
          <w:szCs w:val="18"/>
          <w:color w:val="auto"/>
        </w:rPr>
        <w:t>Email and web access are the lifeblood and essental communicaton means for every modern organizaton. We have a full array</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of network security solutons, as well as a shared set of advanced threat protecton technologies to stop inbound and outbound threats targetng end users, informaton and key infrastructure.</w:t>
      </w:r>
    </w:p>
    <w:p>
      <w:pPr>
        <w:spacing w:after="0" w:line="110" w:lineRule="exact"/>
        <w:rPr>
          <w:rFonts w:ascii="Calibri" w:cs="Calibri" w:eastAsia="Calibri" w:hAnsi="Calibri"/>
          <w:sz w:val="18"/>
          <w:szCs w:val="18"/>
          <w:color w:val="auto"/>
        </w:rPr>
      </w:pPr>
    </w:p>
    <w:p>
      <w:pPr>
        <w:jc w:val="both"/>
        <w:ind w:left="420" w:right="160" w:hanging="7"/>
        <w:spacing w:after="0" w:line="235" w:lineRule="auto"/>
        <w:tabs>
          <w:tab w:leader="none" w:pos="656" w:val="left"/>
        </w:tabs>
        <w:numPr>
          <w:ilvl w:val="0"/>
          <w:numId w:val="22"/>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Informaton Security: </w:t>
      </w:r>
      <w:r>
        <w:rPr>
          <w:rFonts w:ascii="Calibri" w:cs="Calibri" w:eastAsia="Calibri" w:hAnsi="Calibri"/>
          <w:sz w:val="18"/>
          <w:szCs w:val="18"/>
          <w:color w:val="auto"/>
        </w:rPr>
        <w:t>Informaton protecton and compliance is critcal to managing risk. We ofer integrated informaton security solutons, based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on an efcient, single-policy that can be applied across the entre environment, to help organizatons identfy and protect risky users, applicatons and their most sensitve data everywhere across endpoints, on-premises networks, cloud services and private applicatons.</w:t>
      </w:r>
    </w:p>
    <w:p>
      <w:pPr>
        <w:spacing w:after="0" w:line="110" w:lineRule="exact"/>
        <w:rPr>
          <w:rFonts w:ascii="Calibri" w:cs="Calibri" w:eastAsia="Calibri" w:hAnsi="Calibri"/>
          <w:sz w:val="18"/>
          <w:szCs w:val="18"/>
          <w:color w:val="auto"/>
        </w:rPr>
      </w:pPr>
    </w:p>
    <w:p>
      <w:pPr>
        <w:ind w:left="420" w:hanging="7"/>
        <w:spacing w:after="0" w:line="235" w:lineRule="auto"/>
        <w:tabs>
          <w:tab w:leader="none" w:pos="656" w:val="left"/>
        </w:tabs>
        <w:numPr>
          <w:ilvl w:val="0"/>
          <w:numId w:val="22"/>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Applicaton Security: </w:t>
      </w:r>
      <w:r>
        <w:rPr>
          <w:rFonts w:ascii="Calibri" w:cs="Calibri" w:eastAsia="Calibri" w:hAnsi="Calibri"/>
          <w:sz w:val="18"/>
          <w:szCs w:val="18"/>
          <w:color w:val="auto"/>
        </w:rPr>
        <w:t>Applicatons are increasingly targeted by cyber atackers. Our solutons secure critcal systems, prevent unwanted changes, and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ensure contnuous compliance with regulatory mandates. Carbon Black solutons employ a positve security model that secures ofen overlooked use cases such as end-of-life operatng systems, critcal systems, fxed functon devices, and air-gapped systems.</w:t>
      </w:r>
    </w:p>
    <w:p>
      <w:pPr>
        <w:spacing w:after="0" w:line="110" w:lineRule="exact"/>
        <w:rPr>
          <w:rFonts w:ascii="Calibri" w:cs="Calibri" w:eastAsia="Calibri" w:hAnsi="Calibri"/>
          <w:sz w:val="18"/>
          <w:szCs w:val="18"/>
          <w:color w:val="auto"/>
        </w:rPr>
      </w:pPr>
    </w:p>
    <w:p>
      <w:pPr>
        <w:ind w:left="420" w:right="440" w:hanging="7"/>
        <w:spacing w:after="0" w:line="235" w:lineRule="auto"/>
        <w:tabs>
          <w:tab w:leader="none" w:pos="656" w:val="left"/>
        </w:tabs>
        <w:numPr>
          <w:ilvl w:val="0"/>
          <w:numId w:val="22"/>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Identty Security: </w:t>
      </w:r>
      <w:r>
        <w:rPr>
          <w:rFonts w:ascii="Calibri" w:cs="Calibri" w:eastAsia="Calibri" w:hAnsi="Calibri"/>
          <w:sz w:val="18"/>
          <w:szCs w:val="18"/>
          <w:color w:val="auto"/>
        </w:rPr>
        <w:t>User identtes are under atack by cyber criminals hoping to exploit their access and privileges and do harm. Our soluton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mitgates these atacks by positvely identfying legitmate users, enforcing granular access control policies, and streamlining access governance to prevent unauthorized access to sensitve resources and data.</w:t>
      </w:r>
    </w:p>
    <w:p>
      <w:pPr>
        <w:spacing w:after="0" w:line="111"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b w:val="1"/>
          <w:bCs w:val="1"/>
          <w:i w:val="1"/>
          <w:iCs w:val="1"/>
          <w:color w:val="auto"/>
        </w:rPr>
        <w:t xml:space="preserve">FC SAN Management. </w:t>
      </w:r>
      <w:r>
        <w:rPr>
          <w:rFonts w:ascii="Calibri" w:cs="Calibri" w:eastAsia="Calibri" w:hAnsi="Calibri"/>
          <w:sz w:val="18"/>
          <w:szCs w:val="18"/>
          <w:color w:val="auto"/>
        </w:rPr>
        <w:t>We also ofer mission-critcal FC SAN products designed to help customers reduce the cost and complexity of managing business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informaton within a shared data storage environment, enabling high levels of availability of mission-critcal applicatons in the form of modules, switches and subsystems incorporatng multple semiconductor products. We deliver reliable and simplifed management of these FC SAN products through our sofware-based management tools designed to maximize uptme, dramatcally simplify storage area networking deployment and management, and provide high levels of visibility and insight into the storage network. Our Brocade Fibre Channel switch products provide interconnecton, bandwidth and high-speed switching between servers and storage devices which are in a FC SAN.</w:t>
      </w:r>
    </w:p>
    <w:p>
      <w:pPr>
        <w:spacing w:after="0" w:line="113" w:lineRule="exact"/>
        <w:rPr>
          <w:sz w:val="20"/>
          <w:szCs w:val="20"/>
          <w:color w:val="auto"/>
        </w:rPr>
      </w:pPr>
    </w:p>
    <w:p>
      <w:pPr>
        <w:ind w:right="360" w:firstLine="405"/>
        <w:spacing w:after="0" w:line="235" w:lineRule="auto"/>
        <w:rPr>
          <w:sz w:val="20"/>
          <w:szCs w:val="20"/>
          <w:color w:val="auto"/>
        </w:rPr>
      </w:pPr>
      <w:r>
        <w:rPr>
          <w:rFonts w:ascii="Calibri" w:cs="Calibri" w:eastAsia="Calibri" w:hAnsi="Calibri"/>
          <w:sz w:val="18"/>
          <w:szCs w:val="18"/>
          <w:b w:val="1"/>
          <w:bCs w:val="1"/>
          <w:i w:val="1"/>
          <w:iCs w:val="1"/>
          <w:color w:val="auto"/>
        </w:rPr>
        <w:t xml:space="preserve">Payment Security Portolio. </w:t>
      </w:r>
      <w:r>
        <w:rPr>
          <w:rFonts w:ascii="Calibri" w:cs="Calibri" w:eastAsia="Calibri" w:hAnsi="Calibri"/>
          <w:sz w:val="18"/>
          <w:szCs w:val="18"/>
          <w:color w:val="auto"/>
        </w:rPr>
        <w:t>Our payment security suite is a sofware as a service (“SaaS”)-based payment authentcaton service to help banks and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merchants protect against fraud and ensure a hassle-free online shopping experience for their customers.</w:t>
      </w: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Research and Development</w:t>
      </w:r>
    </w:p>
    <w:p>
      <w:pPr>
        <w:spacing w:after="0" w:line="109"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We are commited to contnuous investment in product development and enhancement, with a focus on rapidly introducing new, proprietary products and releases. Many of our products have grown out of our own research and development eforts, and have given us compettve advantages in certain target markets due to performance diferentaton. However, we opportunistcally seek to enhance our capabilites through the acquisiton of engineers with complementary research and development skills and complementary technologies and businesses. We focus our research and development eforts on the development of mission-critcal, innovatve, sustainable and higher value product platorms and those that improve the quality and stability in our broadly deployed products. We leverage our design capabilites in markets where we believe our innovaton and reputaton will allow us to earn atractve margins by developing high value-add products.</w:t>
      </w:r>
    </w:p>
    <w:p>
      <w:pPr>
        <w:spacing w:after="0" w:line="114"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color w:val="auto"/>
        </w:rPr>
        <w:t>We plan to contnue investng in product development, both organically and through acquisitons, to drive growth in our business. We also invest in process development and improvements to product features and functons, as well as fabricaton capabilites to optmize processes for devices that are manufactured internally. Our feld applicaton engineers, design engineers, and product and sofware development engineers are located in many places around the world, and in many cases, near our top customers. This enhances our customer reach and our visibility into new product opportunites and, in the case of our semiconductor customers, enables us to support our customers in each stage of their product development cycle, from the early stages of producton design to volume manufacturing and future growth. By collaboratng with our customers, we have opportunites to develop high value-added, customized products for them that leverage our existng technologies. We antcipate that we will contnue to make signifcant research and development investments in order to maintain our compettve positon, and to ensure a contnuous fow of innovatve and sustainable product platorms.</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Customers, Sales and Distributon</w:t>
      </w:r>
    </w:p>
    <w:p>
      <w:pPr>
        <w:spacing w:after="0" w:line="109" w:lineRule="exact"/>
        <w:rPr>
          <w:sz w:val="20"/>
          <w:szCs w:val="20"/>
          <w:color w:val="auto"/>
        </w:rPr>
      </w:pPr>
    </w:p>
    <w:p>
      <w:pPr>
        <w:ind w:right="100" w:firstLine="405"/>
        <w:spacing w:after="0" w:line="251" w:lineRule="auto"/>
        <w:rPr>
          <w:sz w:val="20"/>
          <w:szCs w:val="20"/>
          <w:color w:val="auto"/>
        </w:rPr>
      </w:pPr>
      <w:r>
        <w:rPr>
          <w:rFonts w:ascii="Calibri" w:cs="Calibri" w:eastAsia="Calibri" w:hAnsi="Calibri"/>
          <w:sz w:val="17"/>
          <w:szCs w:val="17"/>
          <w:color w:val="auto"/>
        </w:rPr>
        <w:t>We sell our products through our direct sales force and a select network of distributors and channel partners globally. Distributors and OEMs, or their contract manufacturers, typically account for the substantal majority of our semiconductor sales. A relatvely small number of customers account for a signifcant porton of our net revenue. Sales to distributors accounted for 48% and 57% of our net revenue for fscal years 2024 and 2023, respectvely. We believe aggregate sales to our top fve end customers, through all channels, accounted for approximately 40% and 35% of our net revenue for fscal years 2024 and 2023, respectvely. We expect to contnue to experience signifcant customer concentraton in future periods. The loss of, or signifcant decrease in demand from, any of our top fve end customers could have a material adverse efect on our business, results of operatons and fnancial conditon.</w:t>
      </w:r>
    </w:p>
    <w:p>
      <w:pPr>
        <w:spacing w:after="0" w:line="102" w:lineRule="exact"/>
        <w:rPr>
          <w:sz w:val="20"/>
          <w:szCs w:val="20"/>
          <w:color w:val="auto"/>
        </w:rPr>
      </w:pPr>
    </w:p>
    <w:p>
      <w:pPr>
        <w:jc w:val="both"/>
        <w:ind w:right="40" w:firstLine="405"/>
        <w:spacing w:after="0" w:line="249" w:lineRule="auto"/>
        <w:rPr>
          <w:sz w:val="20"/>
          <w:szCs w:val="20"/>
          <w:color w:val="auto"/>
        </w:rPr>
      </w:pPr>
      <w:r>
        <w:rPr>
          <w:rFonts w:ascii="Calibri" w:cs="Calibri" w:eastAsia="Calibri" w:hAnsi="Calibri"/>
          <w:sz w:val="17"/>
          <w:szCs w:val="17"/>
          <w:color w:val="auto"/>
        </w:rPr>
        <w:t>Many of our semiconductor customers design products in North America or Europe that are then manufactured in Asia. To serve customers around the world, we have strategically developed relatonships with large global electronic component distributors, complemented by a number of regional distributors with customer relatonships based on their respectve product ranges. We also sell our products to a wide variety of OEMs or their contract manufacturers.</w:t>
      </w:r>
    </w:p>
    <w:p>
      <w:pPr>
        <w:spacing w:after="0" w:line="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have established strong relatonships with leading OEM customers across multple target markets. Our direct sales force focuses on supportng our large OEM customers, and has specialized product and service knowledge that enables us to sell specifc oferings at key levels throughout a customer’s organizaton. Certain customers require us to contract with them directly and with specifed intermediaries, such as contract manufacturers. Many of our major customer relatonships have been in place for many years and are ofen the result of years of collaboratve product development. This has enabled us to build our extensive IP portolio and develop critcal expertse regarding our customers’ requirements, including substantal system-level knowledge. This collaboraton has provided us with key insights into our customers' businesses and has enabled us to be more efcient and productve and to beter serve our target markets and customers. Many of our customers and their contract manufacturers ofen require tme critcal delivery of our products to multple locatons around the world. With sales ofces located in various countries, our primary warehouse in Malaysia, and dedicated regional customer support call centers, where we address customer issues and handle logistcs and other order fulfllment requirements, we believe we are well-positoned to support our customers throughout the design, technology transfer and manufacturing stages across all geographies.</w:t>
      </w:r>
    </w:p>
    <w:p>
      <w:pPr>
        <w:spacing w:after="0" w:line="116"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color w:val="auto"/>
        </w:rPr>
        <w:t>Our sofware customers generally consist of large enterprises that have computng environments from multple vendors and are in most major industries worldwide, including banks, insurance companies, other fnancial services providers, government agencies, global IT service providers, telecommunicaton providers, transportaton companies, manufacturers, technology companies, retailers, educatonal organizatons and health care insttutons. Our private cloud infrastructure suite of solutons are available directly from Broadcom, resellers and distributors, hyperscale cloud providers, value-added OEMs and VMware cloud service provider partners. VCF provides license portability, which enables customers to purchase subscriptons of VCF sofware and move their VCF environments between on-premises data centers and supported cloud endpoints. We remain focused on strengthening relatonships and increasing penetraton within our existng core, mainframe, VMware, and Symantec endpoint customers and expanding the adopton of our enterprise sofware oferings with these customers. We believe our enterprise-wide license model will contnue to ofer our customers reduced complexity, more fexibility and an easier renewal process that will help drive revenue growth.</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2" w:name="page13"/>
    <w:bookmarkEnd w:id="1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Manufacturing</w:t>
      </w:r>
    </w:p>
    <w:p>
      <w:pPr>
        <w:spacing w:after="0" w:line="109" w:lineRule="exact"/>
        <w:rPr>
          <w:sz w:val="20"/>
          <w:szCs w:val="20"/>
          <w:color w:val="auto"/>
        </w:rPr>
      </w:pPr>
    </w:p>
    <w:p>
      <w:pPr>
        <w:ind w:right="220" w:firstLine="405"/>
        <w:spacing w:after="0" w:line="235" w:lineRule="auto"/>
        <w:rPr>
          <w:sz w:val="20"/>
          <w:szCs w:val="20"/>
          <w:color w:val="auto"/>
        </w:rPr>
      </w:pPr>
      <w:r>
        <w:rPr>
          <w:rFonts w:ascii="Calibri" w:cs="Calibri" w:eastAsia="Calibri" w:hAnsi="Calibri"/>
          <w:sz w:val="18"/>
          <w:szCs w:val="18"/>
          <w:color w:val="auto"/>
        </w:rPr>
        <w:t>We focus on maintaining an efcient global supply chain and a variable, low-cost operatng model. Accordingly, we outsource a majority of our manufacturing operatons, utlizing third-party foundry and assembly and test capabilites, as well as some of our corporate infrastructure functons. The majority of our front-end wafer manufacturing operatons is outsourced to external foundries, including Taiwan Semiconductor Manufacturing Company Limited (“TSMC”). We use third-party contract manufacturers for a signifcant majority of our assembly and test operatons, including TSMC, Advanced Semiconductor Engineering, Inc., Foxconn Technology Group, Amkor Technology, Inc. and Siliconware Precision Industries Co., Ltd. We use our internal fabricaton facilites for products utlizing our innovatve and proprietary processes, such as our FBAR flters for wireless communicatons and our vertcal-cavity surface emitng laser and side emitng lasers based on GaAs and InP lasers for fber optc communicatons, while outsourcing commodity processes such as standard CMOS. By doing so, we can protect our IP and accelerate tme to market for our products. The majority of our internal III-V semiconductor wafer fabricaton is done in the U.S. and Singapore.</w:t>
      </w:r>
    </w:p>
    <w:p>
      <w:pPr>
        <w:spacing w:after="0" w:line="116" w:lineRule="exact"/>
        <w:rPr>
          <w:sz w:val="20"/>
          <w:szCs w:val="20"/>
          <w:color w:val="auto"/>
        </w:rPr>
      </w:pPr>
    </w:p>
    <w:p>
      <w:pPr>
        <w:ind w:right="40" w:firstLine="405"/>
        <w:spacing w:after="0" w:line="235" w:lineRule="auto"/>
        <w:rPr>
          <w:sz w:val="20"/>
          <w:szCs w:val="20"/>
          <w:color w:val="auto"/>
        </w:rPr>
      </w:pPr>
      <w:r>
        <w:rPr>
          <w:rFonts w:ascii="Calibri" w:cs="Calibri" w:eastAsia="Calibri" w:hAnsi="Calibri"/>
          <w:sz w:val="18"/>
          <w:szCs w:val="18"/>
          <w:color w:val="auto"/>
        </w:rPr>
        <w:t>We purchase materials from hundreds of suppliers on a global basis. These purchases are generally on a purchase order basis and some parts are not readily available from alternate suppliers due to their unique design or the length of tme and cost necessary for re-design or qualifcaton. To address the potental disrupton in our supply chain, we may use a number of techniques, including redesigning products for alternatve components, making incremental or “lifetme” purchases, or qualifying more than one source of supply. Our long-term relatonships with our suppliers allow us to proactvely manage our technology development and product discontnuance plans, and to monitor our suppliers' fnancial health.</w:t>
      </w:r>
    </w:p>
    <w:p>
      <w:pPr>
        <w:spacing w:after="0" w:line="112" w:lineRule="exact"/>
        <w:rPr>
          <w:sz w:val="20"/>
          <w:szCs w:val="20"/>
          <w:color w:val="auto"/>
        </w:rPr>
      </w:pPr>
    </w:p>
    <w:p>
      <w:pPr>
        <w:jc w:val="both"/>
        <w:ind w:right="60" w:firstLine="405"/>
        <w:spacing w:after="0" w:line="258" w:lineRule="auto"/>
        <w:rPr>
          <w:sz w:val="20"/>
          <w:szCs w:val="20"/>
          <w:color w:val="auto"/>
        </w:rPr>
      </w:pPr>
      <w:r>
        <w:rPr>
          <w:rFonts w:ascii="Calibri" w:cs="Calibri" w:eastAsia="Calibri" w:hAnsi="Calibri"/>
          <w:sz w:val="17"/>
          <w:szCs w:val="17"/>
          <w:color w:val="auto"/>
        </w:rPr>
        <w:t>We also have a long history of operatng in Asia where we manufacture and source the majority of our products and materials. We store the majority of our product inventory in our warehouse in Malaysia and our presence in Asia places us in close proximity to many of our customers’ manufacturing facilites.</w:t>
      </w:r>
    </w:p>
    <w:p>
      <w:pPr>
        <w:spacing w:after="0" w:line="8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Competton</w:t>
      </w:r>
    </w:p>
    <w:p>
      <w:pPr>
        <w:spacing w:after="0" w:line="109" w:lineRule="exact"/>
        <w:rPr>
          <w:sz w:val="20"/>
          <w:szCs w:val="20"/>
          <w:color w:val="auto"/>
        </w:rPr>
      </w:pPr>
    </w:p>
    <w:p>
      <w:pPr>
        <w:ind w:right="80" w:firstLine="405"/>
        <w:spacing w:after="0" w:line="251" w:lineRule="auto"/>
        <w:rPr>
          <w:sz w:val="20"/>
          <w:szCs w:val="20"/>
          <w:color w:val="auto"/>
        </w:rPr>
      </w:pPr>
      <w:r>
        <w:rPr>
          <w:rFonts w:ascii="Calibri" w:cs="Calibri" w:eastAsia="Calibri" w:hAnsi="Calibri"/>
          <w:sz w:val="17"/>
          <w:szCs w:val="17"/>
          <w:color w:val="auto"/>
        </w:rPr>
        <w:t>The markets in which we partcipate are highly compettve. Our compettors range from large internatonal companies ofering a wide range of products to smaller companies specializing in narrow markets. The compettve landscape is changing as a result of a trend toward consolidaton within many industries, as some of our compettors have merged with or been acquired by other compettors, while others have begun collaboratng with each other. We expect this consolidaton trend to contnue. We expect competton in the markets in which we partcipate to contnue to increase as existng compettors improve or expand their product oferings and as new companies enter the market. Additonally, our ability to compete efectvely depends on a number of factors, including: quality, technical performance, price, product features, product system compatbility, system-level design capability, engineering expertse, responsiveness to customers, new product innovaton, product availability, delivery tming and reliability, and customer sales and technical support.</w:t>
      </w:r>
    </w:p>
    <w:p>
      <w:pPr>
        <w:spacing w:after="0" w:line="101"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color w:val="auto"/>
        </w:rPr>
        <w:t>In semiconductor solutons, we compete with integrated device manufacturers, fabless semiconductor companies and the internal resources of large integrated OEMs, such as Advanced Micro Devices, Inc., Amlogic Inc., Analog Devices, Inc., Cisco Systems, Inc., Coherent Corp., Hamamatsu Photonics K.K., Heidenhain Corporaton, iC-Haus GmbH, Intel Corporaton, Lumentum Holdings Inc., MACOM Technology Solutons Holdings, Inc., Marvell Technology, Inc., MaxLinear, Inc., MediaTek Inc., Microchip Technology Incorporated, Mitsubishi Electric Corporaton, Murata Manufacturing Co., Ltd., NVIDIA Corporaton, NXP Semiconductors N.V., ON Semiconductor Corporaton, OSRAM Licht AG, Qorvo, Inc., Qualcomm Inc., Realtek Semiconductor Corp., Renesas Electronics Corporaton, Skyworks Solutons, Inc., STMicroelectronics N.V., Sumitomo Corporaton, Synaptcs Incorporated, Texas Instruments, Inc., TDK-EPC Corporaton, Toshiba Corporaton, and Wolfspeed, Inc. (f/k/a Cree, Inc.).</w:t>
      </w:r>
    </w:p>
    <w:p>
      <w:pPr>
        <w:spacing w:after="0" w:line="114"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In infrastructure sofware, we compete with large enterprise sofware vendors who contnue to expand their product and service oferings and consolidate oferings into broad product lines, and smaller, niche players focused on specifc markets, such as Atlassian Corporaton, Plc, BeyondTrust Corporaton, BMC Sofware Inc., Cisco Systems, Inc., CrowdStrike Holdings, Inc., CyberArk Sofware, Ltd., Dino-Sofware Corporaton, Fortnet, Inc., Hewlet Packard Enterprise Company, Internatonal Business Machines Corporaton, Microsof Corporaton, New Relic, Inc., OpenText Corporaton, Oracle Corporaton, Palo Alto Networks, Inc., Proofpoint, Inc., Rocket Sofware, Inc., SailPoint Technologies Holdings, Inc., Salesforce.com, Inc., ServiceNow, Inc., SolarWinds Corporaton, Versa Networks, Inc., and Zscaler, Inc.</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Intellectual Property</w:t>
      </w:r>
    </w:p>
    <w:p>
      <w:pPr>
        <w:spacing w:after="0" w:line="109" w:lineRule="exact"/>
        <w:rPr>
          <w:sz w:val="20"/>
          <w:szCs w:val="20"/>
          <w:color w:val="auto"/>
        </w:rPr>
      </w:pPr>
    </w:p>
    <w:p>
      <w:pPr>
        <w:ind w:right="220" w:firstLine="405"/>
        <w:spacing w:after="0" w:line="235" w:lineRule="auto"/>
        <w:rPr>
          <w:sz w:val="20"/>
          <w:szCs w:val="20"/>
          <w:color w:val="auto"/>
        </w:rPr>
      </w:pPr>
      <w:r>
        <w:rPr>
          <w:rFonts w:ascii="Calibri" w:cs="Calibri" w:eastAsia="Calibri" w:hAnsi="Calibri"/>
          <w:sz w:val="18"/>
          <w:szCs w:val="18"/>
          <w:color w:val="auto"/>
        </w:rPr>
        <w:t>Our success depends in part upon our ability to protect our IP. To accomplish this, we rely on a combinaton of IP rights, including patents, copyrights, trademarks, service marks, trade secrets and similar IP, as well as customary contractual protectons with our customers, suppliers, employees and consultants, and through security measures to protect our trade secrets. We believe our current product expertse, key engineering talent and IP portolio provide us with a strong platorm from which to develop applicaton specifc products in key target markets.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40" w:firstLine="405"/>
        <w:spacing w:after="0" w:line="235" w:lineRule="auto"/>
        <w:rPr>
          <w:sz w:val="20"/>
          <w:szCs w:val="20"/>
          <w:color w:val="auto"/>
        </w:rPr>
      </w:pPr>
      <w:r>
        <w:rPr>
          <w:rFonts w:ascii="Calibri" w:cs="Calibri" w:eastAsia="Calibri" w:hAnsi="Calibri"/>
          <w:sz w:val="18"/>
          <w:szCs w:val="18"/>
          <w:color w:val="auto"/>
        </w:rPr>
        <w:t>As of November 3, 2024, we had 20,870 U.S. and other patents and 2,650 U.S. and other pending patent applicatons. The expiraton dates of our patents range from 2024 to 2043, with a small number of patents expiring in the near future, none of which are expected to be material to our IP portolio. We are not substantally dependent on any single patent or group of related patents.</w:t>
      </w:r>
    </w:p>
    <w:p>
      <w:pPr>
        <w:spacing w:after="0" w:line="111" w:lineRule="exact"/>
        <w:rPr>
          <w:sz w:val="20"/>
          <w:szCs w:val="20"/>
          <w:color w:val="auto"/>
        </w:rPr>
      </w:pPr>
    </w:p>
    <w:p>
      <w:pPr>
        <w:jc w:val="both"/>
        <w:ind w:right="220" w:firstLine="405"/>
        <w:spacing w:after="0" w:line="235" w:lineRule="auto"/>
        <w:rPr>
          <w:sz w:val="20"/>
          <w:szCs w:val="20"/>
          <w:color w:val="auto"/>
        </w:rPr>
      </w:pPr>
      <w:r>
        <w:rPr>
          <w:rFonts w:ascii="Calibri" w:cs="Calibri" w:eastAsia="Calibri" w:hAnsi="Calibri"/>
          <w:sz w:val="18"/>
          <w:szCs w:val="18"/>
          <w:color w:val="auto"/>
        </w:rPr>
        <w:t>We focus our patent applicaton program to a greater extent on those inventons and improvements that we believe are likely to be incorporated into our products, as contrasted with more basic research. However, we do not know how many of our pending patent applicatons will result in the issuance of patents or the extent to which the examinaton process could require us to narrow our claims.</w:t>
      </w:r>
    </w:p>
    <w:p>
      <w:pPr>
        <w:spacing w:after="0" w:line="111" w:lineRule="exact"/>
        <w:rPr>
          <w:sz w:val="20"/>
          <w:szCs w:val="20"/>
          <w:color w:val="auto"/>
        </w:rPr>
      </w:pPr>
    </w:p>
    <w:p>
      <w:pPr>
        <w:jc w:val="both"/>
        <w:ind w:right="180" w:firstLine="405"/>
        <w:spacing w:after="0" w:line="235" w:lineRule="auto"/>
        <w:rPr>
          <w:sz w:val="20"/>
          <w:szCs w:val="20"/>
          <w:color w:val="auto"/>
        </w:rPr>
      </w:pPr>
      <w:r>
        <w:rPr>
          <w:rFonts w:ascii="Calibri" w:cs="Calibri" w:eastAsia="Calibri" w:hAnsi="Calibri"/>
          <w:sz w:val="18"/>
          <w:szCs w:val="18"/>
          <w:color w:val="auto"/>
        </w:rPr>
        <w:t>We and our predecessors have also entered into a variety of IP licensing and cross-licensing arrangements that have both benefted our business and enabled some of our compettors. A porton of our revenue comes from IP licensing royalty payments and from litgaton setlements relatng to such IP. We also license third-party technologies that are incorporated into some elements of our design actvites, products and manufacturing processes. Historically, licenses of the third-party technologies used by us have generally been available to us on acceptable terms.</w:t>
      </w:r>
    </w:p>
    <w:p>
      <w:pPr>
        <w:spacing w:after="0" w:line="111"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The industries in which we compete are characterized by the existence of a large number of patents, copyrights, trademarks and trade secrets and by the vigorous pursuit, protecton and enforcement of IP rights, including by patent holding companies that do not make or sell products. Some of our customer agreements require us to indemnify our customers for third-party IP infringement claims arising from our products. Claims of this sort could harm our relatonships with our customers and might deter future customers from doing business with us. With respect to any IP rights claims against us or our customers or distributors, we may be required to defend ourselves or our customers or distributors in litgaton, cease manufacturing the infringing products, pay damages, expend resources to develop non-infringing technology, seek a license which may not be available on commercially reasonable terms or at all, or relinquish patents or other IP rights.</w:t>
      </w:r>
    </w:p>
    <w:p>
      <w:pPr>
        <w:spacing w:after="0" w:line="114"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color w:val="auto"/>
        </w:rPr>
        <w:t>In additon, the proprietary portons of our source code for our infrastructure sofware products are protected both as a trade secret and as copyrighted works. Except with respect to sofware components that are subject to open source licenses, our customers do not generally have access to the source code for our products. Rather, on-premises customers typically access only the executable code for our products, and SaaS customers access only the functonality of our SaaS oferings. Under certain contngent circumstances, some of our customers are benefciaries of a source code escrow arrangement that would enable them to obtain a limited right to access and use our source code if specifc conditons are met.</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Employees</w:t>
      </w:r>
    </w:p>
    <w:p>
      <w:pPr>
        <w:spacing w:after="0" w:line="109" w:lineRule="exact"/>
        <w:rPr>
          <w:sz w:val="20"/>
          <w:szCs w:val="20"/>
          <w:color w:val="auto"/>
        </w:rPr>
      </w:pPr>
    </w:p>
    <w:p>
      <w:pPr>
        <w:ind w:right="400" w:firstLine="405"/>
        <w:spacing w:after="0" w:line="235" w:lineRule="auto"/>
        <w:rPr>
          <w:sz w:val="20"/>
          <w:szCs w:val="20"/>
          <w:color w:val="auto"/>
        </w:rPr>
      </w:pPr>
      <w:r>
        <w:rPr>
          <w:rFonts w:ascii="Calibri" w:cs="Calibri" w:eastAsia="Calibri" w:hAnsi="Calibri"/>
          <w:sz w:val="18"/>
          <w:szCs w:val="18"/>
          <w:color w:val="auto"/>
        </w:rPr>
        <w:t>Our contnued success depends on our ability to atract, motvate and retain our workforce in a highly compettve labor market. Specifcally, as the source of our technological and product innovatons, our engineering and technical personnel are a critcal asset.</w:t>
      </w:r>
    </w:p>
    <w:p>
      <w:pPr>
        <w:spacing w:after="0" w:line="110" w:lineRule="exact"/>
        <w:rPr>
          <w:sz w:val="20"/>
          <w:szCs w:val="20"/>
          <w:color w:val="auto"/>
        </w:rPr>
      </w:pPr>
    </w:p>
    <w:p>
      <w:pPr>
        <w:ind w:right="100" w:firstLine="405"/>
        <w:spacing w:after="0" w:line="235" w:lineRule="auto"/>
        <w:rPr>
          <w:sz w:val="20"/>
          <w:szCs w:val="20"/>
          <w:color w:val="auto"/>
        </w:rPr>
      </w:pPr>
      <w:r>
        <w:rPr>
          <w:rFonts w:ascii="Calibri" w:cs="Calibri" w:eastAsia="Calibri" w:hAnsi="Calibri"/>
          <w:sz w:val="18"/>
          <w:szCs w:val="18"/>
          <w:color w:val="auto"/>
        </w:rPr>
        <w:t>We measure our employees’ engagement by our voluntary atriton rate and employee feedback. Our global voluntary atriton rates in fscal year 2024 were approximately 2.9% (excluding employees who joined Broadcom as a result of the VMware Merger) and approximately 6.2% (including employees who joined Broadcom as a result of the VMware Merger), which are both below the technology industry benchmark (AON, 2024 Salary Increase and Turnover Study — Second Editon, September 2024).</w:t>
      </w:r>
    </w:p>
    <w:p>
      <w:pPr>
        <w:spacing w:after="0" w:line="111" w:lineRule="exact"/>
        <w:rPr>
          <w:sz w:val="20"/>
          <w:szCs w:val="20"/>
          <w:color w:val="auto"/>
        </w:rPr>
      </w:pPr>
    </w:p>
    <w:p>
      <w:pPr>
        <w:ind w:right="280" w:firstLine="405"/>
        <w:spacing w:after="0" w:line="235" w:lineRule="auto"/>
        <w:rPr>
          <w:sz w:val="20"/>
          <w:szCs w:val="20"/>
          <w:color w:val="auto"/>
        </w:rPr>
      </w:pPr>
      <w:r>
        <w:rPr>
          <w:rFonts w:ascii="Calibri" w:cs="Calibri" w:eastAsia="Calibri" w:hAnsi="Calibri"/>
          <w:sz w:val="18"/>
          <w:szCs w:val="18"/>
          <w:color w:val="auto"/>
        </w:rPr>
        <w:t>We also track the porton of our workforce in research and development roles. As of November 3, 2024, we had approximately 37,000 employees worldwide, with approximately 55% in research and development roles. By geography, approximately 48% of our employees are located in North America, 36% in Asia, and 16% in Europe, the Middle East and Africa.</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Governmental Regulaton</w:t>
      </w:r>
    </w:p>
    <w:p>
      <w:pPr>
        <w:spacing w:after="0" w:line="109" w:lineRule="exact"/>
        <w:rPr>
          <w:sz w:val="20"/>
          <w:szCs w:val="20"/>
          <w:color w:val="auto"/>
        </w:rPr>
      </w:pPr>
    </w:p>
    <w:p>
      <w:pPr>
        <w:ind w:right="340" w:firstLine="405"/>
        <w:spacing w:after="0" w:line="235" w:lineRule="auto"/>
        <w:rPr>
          <w:sz w:val="20"/>
          <w:szCs w:val="20"/>
          <w:color w:val="auto"/>
        </w:rPr>
      </w:pPr>
      <w:r>
        <w:rPr>
          <w:rFonts w:ascii="Calibri" w:cs="Calibri" w:eastAsia="Calibri" w:hAnsi="Calibri"/>
          <w:sz w:val="18"/>
          <w:szCs w:val="18"/>
          <w:color w:val="auto"/>
        </w:rPr>
        <w:t>We are subject to numerous regulatons and laws in the United States and abroad involving maters central to our business. Many of these laws and regulatons are evolving and their applicability and scope, as interpreted by the courts, remain uncertain.</w:t>
      </w:r>
    </w:p>
    <w:p>
      <w:pPr>
        <w:spacing w:after="0" w:line="110" w:lineRule="exact"/>
        <w:rPr>
          <w:sz w:val="20"/>
          <w:szCs w:val="20"/>
          <w:color w:val="auto"/>
        </w:rPr>
      </w:pPr>
    </w:p>
    <w:p>
      <w:pPr>
        <w:ind w:right="260" w:firstLine="405"/>
        <w:spacing w:after="0" w:line="235" w:lineRule="auto"/>
        <w:rPr>
          <w:sz w:val="20"/>
          <w:szCs w:val="20"/>
          <w:color w:val="auto"/>
        </w:rPr>
      </w:pPr>
      <w:r>
        <w:rPr>
          <w:rFonts w:ascii="Calibri" w:cs="Calibri" w:eastAsia="Calibri" w:hAnsi="Calibri"/>
          <w:sz w:val="18"/>
          <w:szCs w:val="18"/>
          <w:color w:val="auto"/>
        </w:rPr>
        <w:t>We are subject to regulaton by the U.S. Occupatonal Safety and Health Administraton and similar health and safety laws in other jurisdictons. We believe that our propertes and operatons at our facilites comply in all material respects with applicable environmental laws and worker health and safety laws. However, the risk of environmental liabilites cannot be completely eliminated and there can be no assurance that the applicaton of environmental, health and safety laws to our business will not require us to incur signifcant expenditures.</w:t>
      </w:r>
    </w:p>
    <w:p>
      <w:pPr>
        <w:spacing w:after="0" w:line="111" w:lineRule="exact"/>
        <w:rPr>
          <w:sz w:val="20"/>
          <w:szCs w:val="20"/>
          <w:color w:val="auto"/>
        </w:rPr>
      </w:pPr>
    </w:p>
    <w:p>
      <w:pPr>
        <w:jc w:val="both"/>
        <w:ind w:right="240" w:firstLine="405"/>
        <w:spacing w:after="0" w:line="235" w:lineRule="auto"/>
        <w:rPr>
          <w:sz w:val="20"/>
          <w:szCs w:val="20"/>
          <w:color w:val="auto"/>
        </w:rPr>
      </w:pPr>
      <w:r>
        <w:rPr>
          <w:rFonts w:ascii="Calibri" w:cs="Calibri" w:eastAsia="Calibri" w:hAnsi="Calibri"/>
          <w:sz w:val="18"/>
          <w:szCs w:val="18"/>
          <w:color w:val="auto"/>
        </w:rPr>
        <w:t>In additon, our business is subject to various import/export regulatons, such as the U.S. Export Administraton Regulatons, and applicable executve orders, and rules of industrial standards bodies, like the Internatonal Organizaton for Standardizaton, as well as regulaton by other agencies, such as the U.S. Federal Trade Commission (“FTC”). These laws,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color w:val="auto"/>
        </w:rPr>
        <w:t>regulatons and orders are complex, may change frequently and with limited notce, have generally and may contnue to become more stringent over tme.</w:t>
      </w:r>
    </w:p>
    <w:p>
      <w:pPr>
        <w:spacing w:after="0" w:line="235" w:lineRule="auto"/>
        <w:rPr>
          <w:sz w:val="20"/>
          <w:szCs w:val="20"/>
          <w:color w:val="auto"/>
        </w:rPr>
      </w:pPr>
      <w:r>
        <w:rPr>
          <w:rFonts w:ascii="Calibri" w:cs="Calibri" w:eastAsia="Calibri" w:hAnsi="Calibri"/>
          <w:sz w:val="18"/>
          <w:szCs w:val="18"/>
          <w:color w:val="auto"/>
        </w:rPr>
        <w:t>We may incur signifcant expenditures in future periods as a result.</w:t>
      </w:r>
    </w:p>
    <w:p>
      <w:pPr>
        <w:spacing w:after="0" w:line="110" w:lineRule="exact"/>
        <w:rPr>
          <w:sz w:val="20"/>
          <w:szCs w:val="20"/>
          <w:color w:val="auto"/>
        </w:rPr>
      </w:pPr>
    </w:p>
    <w:p>
      <w:pPr>
        <w:ind w:right="60" w:firstLine="405"/>
        <w:spacing w:after="0" w:line="235" w:lineRule="auto"/>
        <w:rPr>
          <w:sz w:val="20"/>
          <w:szCs w:val="20"/>
          <w:color w:val="auto"/>
        </w:rPr>
      </w:pPr>
      <w:r>
        <w:rPr>
          <w:rFonts w:ascii="Calibri" w:cs="Calibri" w:eastAsia="Calibri" w:hAnsi="Calibri"/>
          <w:sz w:val="18"/>
          <w:szCs w:val="18"/>
          <w:color w:val="auto"/>
        </w:rPr>
        <w:t>Our semiconductor manufacturing operatons and research and development involve the use of hazardous substances and are regulated under internatonal, federal, state and local laws governing health, safety and the environment. These regulatons include limitatons on discharge of pollutants to air, water, and soil; remediaton requirements; product chemical content limitatons; manufacturing chemical use and handling restrictons; polluton control requirements; waste minimizaton consideratons; and treatment, transport, storage and disposal of solid and hazardous wastes. We are also regulated under a number of internatonal, federal, state and local laws regarding recycling, product packaging and product content requirements, including legislaton enacted in the U.S., European Union and China, among a growing number of jurisdictons, which have placed greater restrictons on the use of lead, among other restricted substances, in electronic products, which afects materials compositon and semiconductor packaging.</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Seasonality</w:t>
      </w:r>
    </w:p>
    <w:p>
      <w:pPr>
        <w:spacing w:after="0" w:line="109" w:lineRule="exact"/>
        <w:rPr>
          <w:sz w:val="20"/>
          <w:szCs w:val="20"/>
          <w:color w:val="auto"/>
        </w:rPr>
      </w:pPr>
    </w:p>
    <w:p>
      <w:pPr>
        <w:ind w:right="300" w:firstLine="405"/>
        <w:spacing w:after="0" w:line="235" w:lineRule="auto"/>
        <w:rPr>
          <w:sz w:val="20"/>
          <w:szCs w:val="20"/>
          <w:color w:val="auto"/>
        </w:rPr>
      </w:pPr>
      <w:r>
        <w:rPr>
          <w:rFonts w:ascii="Calibri" w:cs="Calibri" w:eastAsia="Calibri" w:hAnsi="Calibri"/>
          <w:sz w:val="18"/>
          <w:szCs w:val="18"/>
          <w:color w:val="auto"/>
        </w:rPr>
        <w:t>Historically, our net revenue has typically been higher in the second half of the fscal year than in the frst half, primarily due to seasonality in our wireless communicatons products. These products have historically experienced seasonality due to launches of new mobile devices manufactured by our OEM customers. However, from tme to tme, typical seasonality and industry cyclicality are overshadowed by other factors such as wider macroeconomic efects, the tming of customer deployments, signifcant product transitons and launches by large OEMs, partcularly with our AI and wireless communicatons products. We have a diversifed business portolio and we believe that our overall revenue is less susceptble to seasonal variatons as a result of this diversifcaton.</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Available Informaton</w:t>
      </w:r>
    </w:p>
    <w:p>
      <w:pPr>
        <w:spacing w:after="0" w:line="109"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Our website is www.broadcom.com. At the “Investor Center” page on this website, we promptly make available free of charge the reports we fle or furnish pursuant to Secton 13(a) or 15(d) of the Securites Exchange Act of 1934 (the “Exchange Act”) with the Securites and Exchange Commission (the “SEC”), as well as our proxy statements. Such periodic reports, proxy statements and other informaton are also available at the SEC’s website at www.sec.gov. The informaton posted on our website is not incorporated into this Annual Report on Form 10-K.</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Informaton About Our Executve Ofcers</w:t>
      </w:r>
    </w:p>
    <w:p>
      <w:pPr>
        <w:spacing w:after="0" w:line="104"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The following table provides informaton regarding our executve ofcers as of December 20, 2024: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Calibri" w:cs="Calibri" w:eastAsia="Calibri" w:hAnsi="Calibri"/>
                <w:sz w:val="18"/>
                <w:szCs w:val="18"/>
                <w:b w:val="1"/>
                <w:bCs w:val="1"/>
                <w:color w:val="auto"/>
              </w:rPr>
              <w:t>Name and Title</w:t>
            </w:r>
          </w:p>
        </w:tc>
        <w:tc>
          <w:tcPr>
            <w:tcW w:w="1260" w:type="dxa"/>
            <w:vAlign w:val="bottom"/>
            <w:gridSpan w:val="3"/>
          </w:tcPr>
          <w:p>
            <w:pPr>
              <w:jc w:val="center"/>
              <w:ind w:left="570"/>
              <w:spacing w:after="0"/>
              <w:rPr>
                <w:sz w:val="20"/>
                <w:szCs w:val="20"/>
                <w:color w:val="auto"/>
              </w:rPr>
            </w:pPr>
            <w:r>
              <w:rPr>
                <w:rFonts w:ascii="Calibri" w:cs="Calibri" w:eastAsia="Calibri" w:hAnsi="Calibri"/>
                <w:sz w:val="18"/>
                <w:szCs w:val="18"/>
                <w:b w:val="1"/>
                <w:bCs w:val="1"/>
                <w:color w:val="auto"/>
                <w:w w:val="98"/>
              </w:rPr>
              <w:t>Age</w:t>
            </w:r>
          </w:p>
        </w:tc>
        <w:tc>
          <w:tcPr>
            <w:tcW w:w="6760" w:type="dxa"/>
            <w:vAlign w:val="bottom"/>
            <w:gridSpan w:val="3"/>
          </w:tcPr>
          <w:p>
            <w:pPr>
              <w:ind w:left="160"/>
              <w:spacing w:after="0"/>
              <w:rPr>
                <w:sz w:val="20"/>
                <w:szCs w:val="20"/>
                <w:color w:val="auto"/>
              </w:rPr>
            </w:pPr>
            <w:r>
              <w:rPr>
                <w:rFonts w:ascii="Calibri" w:cs="Calibri" w:eastAsia="Calibri" w:hAnsi="Calibri"/>
                <w:sz w:val="18"/>
                <w:szCs w:val="18"/>
                <w:b w:val="1"/>
                <w:bCs w:val="1"/>
                <w:color w:val="auto"/>
              </w:rPr>
              <w:t>Positon and Ofces</w:t>
            </w:r>
          </w:p>
        </w:tc>
      </w:tr>
      <w:tr>
        <w:trPr>
          <w:trHeight w:val="34"/>
        </w:trPr>
        <w:tc>
          <w:tcPr>
            <w:tcW w:w="2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516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gridSpan w:val="2"/>
            <w:shd w:val="clear" w:color="auto" w:fill="CCEEFF"/>
          </w:tcPr>
          <w:p>
            <w:pPr>
              <w:spacing w:after="0" w:line="215" w:lineRule="exact"/>
              <w:rPr>
                <w:sz w:val="20"/>
                <w:szCs w:val="20"/>
                <w:color w:val="auto"/>
              </w:rPr>
            </w:pPr>
            <w:r>
              <w:rPr>
                <w:rFonts w:ascii="Calibri" w:cs="Calibri" w:eastAsia="Calibri" w:hAnsi="Calibri"/>
                <w:sz w:val="18"/>
                <w:szCs w:val="18"/>
                <w:color w:val="auto"/>
              </w:rPr>
              <w:t>Hock E. Tan</w:t>
            </w:r>
          </w:p>
        </w:tc>
        <w:tc>
          <w:tcPr>
            <w:tcW w:w="1100" w:type="dxa"/>
            <w:vAlign w:val="bottom"/>
            <w:tcBorders>
              <w:bottom w:val="single" w:sz="8" w:color="CCEEFF"/>
            </w:tcBorders>
            <w:gridSpan w:val="2"/>
            <w:shd w:val="clear" w:color="auto" w:fill="CCEEFF"/>
          </w:tcPr>
          <w:p>
            <w:pPr>
              <w:jc w:val="center"/>
              <w:ind w:left="710"/>
              <w:spacing w:after="0" w:line="215" w:lineRule="exact"/>
              <w:rPr>
                <w:sz w:val="20"/>
                <w:szCs w:val="20"/>
                <w:color w:val="auto"/>
              </w:rPr>
            </w:pPr>
            <w:r>
              <w:rPr>
                <w:rFonts w:ascii="Calibri" w:cs="Calibri" w:eastAsia="Calibri" w:hAnsi="Calibri"/>
                <w:sz w:val="18"/>
                <w:szCs w:val="18"/>
                <w:color w:val="auto"/>
                <w:w w:val="98"/>
              </w:rPr>
              <w:t>73</w:t>
            </w:r>
          </w:p>
        </w:tc>
        <w:tc>
          <w:tcPr>
            <w:tcW w:w="16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gridSpan w:val="3"/>
            <w:shd w:val="clear" w:color="auto" w:fill="CCEEFF"/>
          </w:tcPr>
          <w:p>
            <w:pPr>
              <w:ind w:left="160"/>
              <w:spacing w:after="0" w:line="215" w:lineRule="exact"/>
              <w:rPr>
                <w:sz w:val="20"/>
                <w:szCs w:val="20"/>
                <w:color w:val="auto"/>
              </w:rPr>
            </w:pPr>
            <w:r>
              <w:rPr>
                <w:rFonts w:ascii="Calibri" w:cs="Calibri" w:eastAsia="Calibri" w:hAnsi="Calibri"/>
                <w:sz w:val="18"/>
                <w:szCs w:val="18"/>
                <w:color w:val="242424"/>
              </w:rPr>
              <w:t>President, Chief Executve Ofcer and Director</w:t>
            </w:r>
          </w:p>
        </w:tc>
      </w:tr>
      <w:tr>
        <w:trPr>
          <w:trHeight w:val="215"/>
        </w:trPr>
        <w:tc>
          <w:tcPr>
            <w:tcW w:w="20" w:type="dxa"/>
            <w:vAlign w:val="bottom"/>
          </w:tcPr>
          <w:p>
            <w:pPr>
              <w:spacing w:after="0"/>
              <w:rPr>
                <w:sz w:val="18"/>
                <w:szCs w:val="18"/>
                <w:color w:val="auto"/>
              </w:rPr>
            </w:pPr>
          </w:p>
        </w:tc>
        <w:tc>
          <w:tcPr>
            <w:tcW w:w="2560" w:type="dxa"/>
            <w:vAlign w:val="bottom"/>
            <w:gridSpan w:val="2"/>
          </w:tcPr>
          <w:p>
            <w:pPr>
              <w:spacing w:after="0" w:line="215" w:lineRule="exact"/>
              <w:rPr>
                <w:sz w:val="20"/>
                <w:szCs w:val="20"/>
                <w:color w:val="auto"/>
              </w:rPr>
            </w:pPr>
            <w:r>
              <w:rPr>
                <w:rFonts w:ascii="Calibri" w:cs="Calibri" w:eastAsia="Calibri" w:hAnsi="Calibri"/>
                <w:sz w:val="18"/>
                <w:szCs w:val="18"/>
                <w:color w:val="242424"/>
              </w:rPr>
              <w:t>Kirsten M. Spears</w:t>
            </w:r>
          </w:p>
        </w:tc>
        <w:tc>
          <w:tcPr>
            <w:tcW w:w="1100" w:type="dxa"/>
            <w:vAlign w:val="bottom"/>
            <w:gridSpan w:val="2"/>
          </w:tcPr>
          <w:p>
            <w:pPr>
              <w:jc w:val="center"/>
              <w:ind w:left="710"/>
              <w:spacing w:after="0" w:line="215" w:lineRule="exact"/>
              <w:rPr>
                <w:sz w:val="20"/>
                <w:szCs w:val="20"/>
                <w:color w:val="auto"/>
              </w:rPr>
            </w:pPr>
            <w:r>
              <w:rPr>
                <w:rFonts w:ascii="Calibri" w:cs="Calibri" w:eastAsia="Calibri" w:hAnsi="Calibri"/>
                <w:sz w:val="18"/>
                <w:szCs w:val="18"/>
                <w:color w:val="auto"/>
                <w:w w:val="98"/>
              </w:rPr>
              <w:t>60</w:t>
            </w:r>
          </w:p>
        </w:tc>
        <w:tc>
          <w:tcPr>
            <w:tcW w:w="160" w:type="dxa"/>
            <w:vAlign w:val="bottom"/>
          </w:tcPr>
          <w:p>
            <w:pPr>
              <w:spacing w:after="0"/>
              <w:rPr>
                <w:sz w:val="18"/>
                <w:szCs w:val="18"/>
                <w:color w:val="auto"/>
              </w:rPr>
            </w:pPr>
          </w:p>
        </w:tc>
        <w:tc>
          <w:tcPr>
            <w:tcW w:w="6760" w:type="dxa"/>
            <w:vAlign w:val="bottom"/>
            <w:gridSpan w:val="3"/>
          </w:tcPr>
          <w:p>
            <w:pPr>
              <w:ind w:left="160"/>
              <w:spacing w:after="0" w:line="215" w:lineRule="exact"/>
              <w:rPr>
                <w:sz w:val="20"/>
                <w:szCs w:val="20"/>
                <w:color w:val="auto"/>
              </w:rPr>
            </w:pPr>
            <w:r>
              <w:rPr>
                <w:rFonts w:ascii="Calibri" w:cs="Calibri" w:eastAsia="Calibri" w:hAnsi="Calibri"/>
                <w:sz w:val="18"/>
                <w:szCs w:val="18"/>
                <w:color w:val="242424"/>
              </w:rPr>
              <w:t>Chief Financial Ofcer and Chief Accountng Ofcer</w:t>
            </w:r>
          </w:p>
        </w:tc>
      </w:tr>
      <w:tr>
        <w:trPr>
          <w:trHeight w:val="42"/>
        </w:trPr>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160" w:type="dxa"/>
            <w:vAlign w:val="bottom"/>
          </w:tcPr>
          <w:p>
            <w:pPr>
              <w:spacing w:after="0"/>
              <w:rPr>
                <w:sz w:val="3"/>
                <w:szCs w:val="3"/>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gridSpan w:val="2"/>
            <w:shd w:val="clear" w:color="auto" w:fill="CCEEFF"/>
          </w:tcPr>
          <w:p>
            <w:pPr>
              <w:spacing w:after="0" w:line="215" w:lineRule="exact"/>
              <w:rPr>
                <w:sz w:val="20"/>
                <w:szCs w:val="20"/>
                <w:color w:val="auto"/>
              </w:rPr>
            </w:pPr>
            <w:r>
              <w:rPr>
                <w:rFonts w:ascii="Calibri" w:cs="Calibri" w:eastAsia="Calibri" w:hAnsi="Calibri"/>
                <w:sz w:val="18"/>
                <w:szCs w:val="18"/>
                <w:color w:val="242424"/>
              </w:rPr>
              <w:t>Mark D. Brazeal</w:t>
            </w:r>
          </w:p>
        </w:tc>
        <w:tc>
          <w:tcPr>
            <w:tcW w:w="1100" w:type="dxa"/>
            <w:vAlign w:val="bottom"/>
            <w:tcBorders>
              <w:bottom w:val="single" w:sz="8" w:color="CCEEFF"/>
            </w:tcBorders>
            <w:gridSpan w:val="2"/>
            <w:shd w:val="clear" w:color="auto" w:fill="CCEEFF"/>
          </w:tcPr>
          <w:p>
            <w:pPr>
              <w:jc w:val="center"/>
              <w:ind w:left="710"/>
              <w:spacing w:after="0" w:line="215" w:lineRule="exact"/>
              <w:rPr>
                <w:sz w:val="20"/>
                <w:szCs w:val="20"/>
                <w:color w:val="auto"/>
              </w:rPr>
            </w:pPr>
            <w:r>
              <w:rPr>
                <w:rFonts w:ascii="Calibri" w:cs="Calibri" w:eastAsia="Calibri" w:hAnsi="Calibri"/>
                <w:sz w:val="18"/>
                <w:szCs w:val="18"/>
                <w:color w:val="auto"/>
                <w:w w:val="98"/>
              </w:rPr>
              <w:t>56</w:t>
            </w:r>
          </w:p>
        </w:tc>
        <w:tc>
          <w:tcPr>
            <w:tcW w:w="16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gridSpan w:val="3"/>
            <w:shd w:val="clear" w:color="auto" w:fill="CCEEFF"/>
          </w:tcPr>
          <w:p>
            <w:pPr>
              <w:ind w:left="160"/>
              <w:spacing w:after="0" w:line="215" w:lineRule="exact"/>
              <w:rPr>
                <w:sz w:val="20"/>
                <w:szCs w:val="20"/>
                <w:color w:val="auto"/>
              </w:rPr>
            </w:pPr>
            <w:r>
              <w:rPr>
                <w:rFonts w:ascii="Calibri" w:cs="Calibri" w:eastAsia="Calibri" w:hAnsi="Calibri"/>
                <w:sz w:val="18"/>
                <w:szCs w:val="18"/>
                <w:color w:val="242424"/>
              </w:rPr>
              <w:t>Chief Legal and Corporate Afairs Ofcer</w:t>
            </w:r>
          </w:p>
        </w:tc>
      </w:tr>
      <w:tr>
        <w:trPr>
          <w:trHeight w:val="215"/>
        </w:trPr>
        <w:tc>
          <w:tcPr>
            <w:tcW w:w="20" w:type="dxa"/>
            <w:vAlign w:val="bottom"/>
          </w:tcPr>
          <w:p>
            <w:pPr>
              <w:spacing w:after="0"/>
              <w:rPr>
                <w:sz w:val="18"/>
                <w:szCs w:val="18"/>
                <w:color w:val="auto"/>
              </w:rPr>
            </w:pPr>
          </w:p>
        </w:tc>
        <w:tc>
          <w:tcPr>
            <w:tcW w:w="2560" w:type="dxa"/>
            <w:vAlign w:val="bottom"/>
            <w:gridSpan w:val="2"/>
          </w:tcPr>
          <w:p>
            <w:pPr>
              <w:spacing w:after="0" w:line="215" w:lineRule="exact"/>
              <w:rPr>
                <w:sz w:val="20"/>
                <w:szCs w:val="20"/>
                <w:color w:val="auto"/>
              </w:rPr>
            </w:pPr>
            <w:r>
              <w:rPr>
                <w:rFonts w:ascii="Calibri" w:cs="Calibri" w:eastAsia="Calibri" w:hAnsi="Calibri"/>
                <w:sz w:val="18"/>
                <w:szCs w:val="18"/>
                <w:color w:val="242424"/>
              </w:rPr>
              <w:t>Charlie B. Kawwas, Ph.D.</w:t>
            </w:r>
          </w:p>
        </w:tc>
        <w:tc>
          <w:tcPr>
            <w:tcW w:w="1100" w:type="dxa"/>
            <w:vAlign w:val="bottom"/>
            <w:gridSpan w:val="2"/>
          </w:tcPr>
          <w:p>
            <w:pPr>
              <w:jc w:val="center"/>
              <w:ind w:left="710"/>
              <w:spacing w:after="0" w:line="215" w:lineRule="exact"/>
              <w:rPr>
                <w:sz w:val="20"/>
                <w:szCs w:val="20"/>
                <w:color w:val="auto"/>
              </w:rPr>
            </w:pPr>
            <w:r>
              <w:rPr>
                <w:rFonts w:ascii="Calibri" w:cs="Calibri" w:eastAsia="Calibri" w:hAnsi="Calibri"/>
                <w:sz w:val="18"/>
                <w:szCs w:val="18"/>
                <w:color w:val="auto"/>
                <w:w w:val="98"/>
              </w:rPr>
              <w:t>54</w:t>
            </w:r>
          </w:p>
        </w:tc>
        <w:tc>
          <w:tcPr>
            <w:tcW w:w="160" w:type="dxa"/>
            <w:vAlign w:val="bottom"/>
          </w:tcPr>
          <w:p>
            <w:pPr>
              <w:spacing w:after="0"/>
              <w:rPr>
                <w:sz w:val="18"/>
                <w:szCs w:val="18"/>
                <w:color w:val="auto"/>
              </w:rPr>
            </w:pPr>
          </w:p>
        </w:tc>
        <w:tc>
          <w:tcPr>
            <w:tcW w:w="6760" w:type="dxa"/>
            <w:vAlign w:val="bottom"/>
            <w:gridSpan w:val="3"/>
          </w:tcPr>
          <w:p>
            <w:pPr>
              <w:ind w:left="160"/>
              <w:spacing w:after="0" w:line="215" w:lineRule="exact"/>
              <w:rPr>
                <w:sz w:val="20"/>
                <w:szCs w:val="20"/>
                <w:color w:val="auto"/>
              </w:rPr>
            </w:pPr>
            <w:r>
              <w:rPr>
                <w:rFonts w:ascii="Calibri" w:cs="Calibri" w:eastAsia="Calibri" w:hAnsi="Calibri"/>
                <w:sz w:val="18"/>
                <w:szCs w:val="18"/>
                <w:color w:val="242424"/>
              </w:rPr>
              <w:t>President, Semiconductor Solutons Group</w:t>
            </w:r>
          </w:p>
        </w:tc>
      </w:tr>
    </w:tbl>
    <w:p>
      <w:pPr>
        <w:spacing w:after="0" w:line="222"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color w:val="auto"/>
        </w:rPr>
        <w:t>Hock E. Tan has served as our President and Chief Executve Ofcer since March 2006. He was President and Chief Executve Ofcer at Integrated Circuit Systems, Inc. (“ICS”), a publicly traded tming solutons IC company, from 1999 untl its acquisiton by Integrated Device Technology, Inc. in 2005. He also served in a number of executve positons at ICS, including Chief Operatng Ofcer from 1996 to 1999 and Senior Vice President and Chief Financial Ofcer from 1995 to 1999. He was Vice President of Finance at Commodore Internatonal, Ltd. from 1992 to 1994, and held senior management positons at PepsiCo, Inc. and General Motors Corporaton. He was also managing director of Pacven Investment, Ltd., a venture capital fund in Singapore, from 1988 to 1992, and was managing director of Hume Industries Ltd. in Malaysia from 1983 to 1988.</w:t>
      </w:r>
    </w:p>
    <w:p>
      <w:pPr>
        <w:spacing w:after="0" w:line="113" w:lineRule="exact"/>
        <w:rPr>
          <w:sz w:val="20"/>
          <w:szCs w:val="20"/>
          <w:color w:val="auto"/>
        </w:rPr>
      </w:pPr>
    </w:p>
    <w:p>
      <w:pPr>
        <w:ind w:right="220" w:firstLine="405"/>
        <w:spacing w:after="0" w:line="235" w:lineRule="auto"/>
        <w:rPr>
          <w:sz w:val="20"/>
          <w:szCs w:val="20"/>
          <w:color w:val="auto"/>
        </w:rPr>
      </w:pPr>
      <w:r>
        <w:rPr>
          <w:rFonts w:ascii="Calibri" w:cs="Calibri" w:eastAsia="Calibri" w:hAnsi="Calibri"/>
          <w:sz w:val="18"/>
          <w:szCs w:val="18"/>
          <w:color w:val="auto"/>
        </w:rPr>
        <w:t>Kirsten M. Spears has served as our Chief Financial Ofcer and Chief Accountng Ofcer since December 2020. She served as our Principal Accountng Ofcer from March 2016 to December 2020 and Vice President and Corporate Controller from May 2014 to December 2020. She was Vice President and Corporate Controller at LSI Corporaton from 2007 untl its acquisiton by us in 2014. She held several management positons in accountng and reportng at LSI from 1997 to 2007. She also worked for PriceWaterhouseCoopers prior to joining LSI.</w:t>
      </w:r>
    </w:p>
    <w:p>
      <w:pPr>
        <w:spacing w:after="0" w:line="111"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color w:val="auto"/>
        </w:rPr>
        <w:t>Mark D. Brazeal has served as our Chief Legal and Corporate Afairs Ofcer since December 2021. He served as our Chief Legal Ofcer from March 2017 to December 2021. He was Chief Legal Ofcer and Senior Vice President, IP Licensing for SanDisk Corporaton from 2014 untl its acquisiton by Western Digital Corporaton in 2016. He held several senior legal positons at Broadcom Corporaton from 2000 to 2014, including Senior Vice President and Senior Deputy General Counsel in charge of all commercial, operatonal, IP licensing and litgaton maters. He was also an atorney in the transactonal and IP groups at the law frms of Wilson Sonsini Goodrich &amp; Rosat, Yuasa &amp; Hara and Howrey &amp; Simon prior to joining Broadcom Corporaton.</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Charlie B. Kawwas has served as our President, Semiconductor Solutons Group since July 2022. He served as our Chief Operatng Ofcer from December 2020 to July 2022, Senior Vice President and Chief Sales Ofcer from June 2015 to December 2020 and Senior Vice President, Worldwide Sales from May 2014 to June 2015. He was head of worldwide sales at LSI Corporaton from 2010 untl its acquisiton by us in 2014. He held several executve leadership positons at LSI from 2007 to 2010, including Vice President of Sales and Marketng for the networking division and Vice President of Marketng for the networking and storage products group. He was also the leader of Product Line Management for the Optcal Ethernet and Mult-service Edge portolio at Nortel Networks Corporaton prior to joining LSI.</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16" w:name="page17"/>
    <w:bookmarkEnd w:id="1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18"/>
          <w:szCs w:val="18"/>
          <w:b w:val="1"/>
          <w:bCs w:val="1"/>
          <w:color w:val="auto"/>
        </w:rPr>
        <w:t>ITEM 1A.</w:t>
      </w:r>
      <w:r>
        <w:rPr>
          <w:sz w:val="20"/>
          <w:szCs w:val="20"/>
          <w:color w:val="auto"/>
        </w:rPr>
        <w:tab/>
      </w:r>
      <w:r>
        <w:rPr>
          <w:rFonts w:ascii="Calibri" w:cs="Calibri" w:eastAsia="Calibri" w:hAnsi="Calibri"/>
          <w:sz w:val="17"/>
          <w:szCs w:val="17"/>
          <w:b w:val="1"/>
          <w:bCs w:val="1"/>
          <w:color w:val="auto"/>
        </w:rPr>
        <w:t>RISK FACTORS</w:t>
      </w:r>
    </w:p>
    <w:p>
      <w:pPr>
        <w:spacing w:after="0" w:line="109" w:lineRule="exact"/>
        <w:rPr>
          <w:sz w:val="20"/>
          <w:szCs w:val="20"/>
          <w:color w:val="auto"/>
        </w:rPr>
      </w:pPr>
    </w:p>
    <w:p>
      <w:pPr>
        <w:ind w:right="140" w:firstLine="324"/>
        <w:spacing w:after="0" w:line="235" w:lineRule="auto"/>
        <w:rPr>
          <w:sz w:val="20"/>
          <w:szCs w:val="20"/>
          <w:color w:val="auto"/>
        </w:rPr>
      </w:pPr>
      <w:r>
        <w:rPr>
          <w:rFonts w:ascii="Calibri" w:cs="Calibri" w:eastAsia="Calibri" w:hAnsi="Calibri"/>
          <w:sz w:val="18"/>
          <w:szCs w:val="18"/>
          <w:color w:val="auto"/>
        </w:rPr>
        <w:t>Our business, operatons and fnancial results are subject to various risks and uncertaintes, including those described below, that could adversely afect our business, fnancial conditon, results of operatons, cash fows, and the trading price of our common stock. The following material factors, among others, could cause our actual results to difer materially from historical results and those expressed in forward-looking statements made by us or on our behalf in flings with the SEC, press releases, communicatons with investors and oral statements. Additonal risks, trends and uncertaintes not presently known to us or that we currently believe are immaterial may also harm our business, fnancial conditon, results of operatons, cash fows, our reputaton or the trading price of our common stock.</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 Factors Summary</w:t>
      </w:r>
    </w:p>
    <w:p>
      <w:pPr>
        <w:spacing w:after="0" w:line="104"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The following is a summary of the material risks that could adversely afect our business, operatons and fnancial results.</w:t>
      </w:r>
    </w:p>
    <w:p>
      <w:pPr>
        <w:spacing w:after="0" w:line="104"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Risks Related to Our Business</w:t>
      </w:r>
    </w:p>
    <w:p>
      <w:pPr>
        <w:spacing w:after="0" w:line="50" w:lineRule="exact"/>
        <w:rPr>
          <w:sz w:val="20"/>
          <w:szCs w:val="20"/>
          <w:color w:val="auto"/>
        </w:rPr>
      </w:pPr>
    </w:p>
    <w:p>
      <w:pPr>
        <w:ind w:left="640" w:hanging="30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Adverse global economic conditons could have a negatve efect on us.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Our business is subject to various governmental regulatons and trade restrictons.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Global politcal and economic conditons and other factors related to our internatonal operatons could adversely afect us.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Failure to realize the benefts expected from the VMware Merger could adversely afect our business and the value of our common stock.</w:t>
      </w:r>
    </w:p>
    <w:p>
      <w:pPr>
        <w:spacing w:after="0" w:line="55" w:lineRule="exact"/>
        <w:rPr>
          <w:rFonts w:ascii="Calibri" w:cs="Calibri" w:eastAsia="Calibri" w:hAnsi="Calibri"/>
          <w:sz w:val="18"/>
          <w:szCs w:val="18"/>
          <w:color w:val="auto"/>
        </w:rPr>
      </w:pPr>
    </w:p>
    <w:p>
      <w:pPr>
        <w:ind w:left="660" w:right="60" w:hanging="328"/>
        <w:spacing w:after="0" w:line="235" w:lineRule="auto"/>
        <w:tabs>
          <w:tab w:leader="none" w:pos="65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We have pursued, and may in the future pursue mergers, acquisitons, investments, joint ventures and dispositons, which could adversely afect our results of operatons.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We are subject to risks associated with our distributors and other channel partners.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We are dependent on senior management and if we are unable to atract and retain qualifed personnel, we may not be able to execute our business strategy efectvely.</w:t>
      </w:r>
    </w:p>
    <w:p>
      <w:pPr>
        <w:spacing w:after="0" w:line="55" w:lineRule="exact"/>
        <w:rPr>
          <w:rFonts w:ascii="Calibri" w:cs="Calibri" w:eastAsia="Calibri" w:hAnsi="Calibri"/>
          <w:sz w:val="18"/>
          <w:szCs w:val="18"/>
          <w:color w:val="auto"/>
        </w:rPr>
      </w:pPr>
    </w:p>
    <w:p>
      <w:pPr>
        <w:ind w:left="660" w:right="180" w:hanging="328"/>
        <w:spacing w:after="0" w:line="235" w:lineRule="auto"/>
        <w:tabs>
          <w:tab w:leader="none" w:pos="65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Cyber security threats or other security breaches, or any other impairment of the confdentality, integrity or availability of our IT systems, or those of one or more of our corporate infrastructure vendors, could have a material adverse efect on our business.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A signifcant reducton in demand or loss of one or more of our signifcant customers may adversely afect our business.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We operate in the highly cyclical semiconductor industry.</w:t>
      </w:r>
    </w:p>
    <w:p>
      <w:pPr>
        <w:spacing w:after="0" w:line="55" w:lineRule="exact"/>
        <w:rPr>
          <w:rFonts w:ascii="Calibri" w:cs="Calibri" w:eastAsia="Calibri" w:hAnsi="Calibri"/>
          <w:sz w:val="18"/>
          <w:szCs w:val="18"/>
          <w:color w:val="auto"/>
        </w:rPr>
      </w:pPr>
    </w:p>
    <w:p>
      <w:pPr>
        <w:ind w:left="660" w:right="400" w:hanging="328"/>
        <w:spacing w:after="0" w:line="235" w:lineRule="auto"/>
        <w:tabs>
          <w:tab w:leader="none" w:pos="65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We make investments in research and development and the slow or unsuccessful return of our investments in research and development could adversely afect us.</w:t>
      </w:r>
    </w:p>
    <w:p>
      <w:pPr>
        <w:spacing w:after="0" w:line="55" w:lineRule="exact"/>
        <w:rPr>
          <w:rFonts w:ascii="Calibri" w:cs="Calibri" w:eastAsia="Calibri" w:hAnsi="Calibri"/>
          <w:sz w:val="18"/>
          <w:szCs w:val="18"/>
          <w:color w:val="auto"/>
        </w:rPr>
      </w:pPr>
    </w:p>
    <w:p>
      <w:pPr>
        <w:ind w:left="660" w:right="340" w:hanging="328"/>
        <w:spacing w:after="0" w:line="235" w:lineRule="auto"/>
        <w:tabs>
          <w:tab w:leader="none" w:pos="65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Winning business in the semiconductor solutons industry is subject to a lengthy process that ofen requires us to incur signifcant expense, from which we may ultmately generate no revenue.</w:t>
      </w:r>
    </w:p>
    <w:p>
      <w:pPr>
        <w:spacing w:after="0" w:line="55" w:lineRule="exact"/>
        <w:rPr>
          <w:rFonts w:ascii="Calibri" w:cs="Calibri" w:eastAsia="Calibri" w:hAnsi="Calibri"/>
          <w:sz w:val="18"/>
          <w:szCs w:val="18"/>
          <w:color w:val="auto"/>
        </w:rPr>
      </w:pPr>
    </w:p>
    <w:p>
      <w:pPr>
        <w:ind w:left="660" w:right="580" w:hanging="328"/>
        <w:spacing w:after="0" w:line="235" w:lineRule="auto"/>
        <w:tabs>
          <w:tab w:leader="none" w:pos="65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Dependence on contract manufacturing and suppliers of critcal components within our supply chain may adversely afect our ability to bring products to market.</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We purchase a signifcant amount of the materials used in our products from a limited number of suppliers.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Failure to adjust our manufacturing and supply chain to accurately meet customer demand could adversely afect our results of operatons.</w:t>
      </w:r>
    </w:p>
    <w:p>
      <w:pPr>
        <w:spacing w:after="0" w:line="55" w:lineRule="exact"/>
        <w:rPr>
          <w:rFonts w:ascii="Calibri" w:cs="Calibri" w:eastAsia="Calibri" w:hAnsi="Calibri"/>
          <w:sz w:val="18"/>
          <w:szCs w:val="18"/>
          <w:color w:val="auto"/>
        </w:rPr>
      </w:pPr>
    </w:p>
    <w:p>
      <w:pPr>
        <w:ind w:left="660" w:right="640" w:hanging="328"/>
        <w:spacing w:after="0" w:line="235" w:lineRule="auto"/>
        <w:tabs>
          <w:tab w:leader="none" w:pos="65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A prolonged disrupton of our or our suppliers’ manufacturing facilites, research and development facilites, warehouses or other signifcant operatons could have a material adverse efect on us.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We may be unable to maintain appropriate manufacturing capacity or product yields at our own manufacturing facilites.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We may be involved in legal proceedings that could materially adversely afect our business.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Failure of our sofware products to manage and secure IT infrastructures and environments could have a material adverse efect on our business.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The growth of our sofware business depends on customer acceptance of our newer products and services.</w:t>
      </w:r>
    </w:p>
    <w:p>
      <w:pPr>
        <w:spacing w:after="0" w:line="55" w:lineRule="exact"/>
        <w:rPr>
          <w:rFonts w:ascii="Calibri" w:cs="Calibri" w:eastAsia="Calibri" w:hAnsi="Calibri"/>
          <w:sz w:val="18"/>
          <w:szCs w:val="18"/>
          <w:color w:val="auto"/>
        </w:rPr>
      </w:pPr>
    </w:p>
    <w:p>
      <w:pPr>
        <w:ind w:left="660" w:right="480" w:hanging="328"/>
        <w:spacing w:after="0" w:line="235" w:lineRule="auto"/>
        <w:tabs>
          <w:tab w:leader="none" w:pos="65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Incompatbility of our sofware products with operatng environments, platorms, or third-party products may adversely afect demand for our products and services.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Failure to enter into sofware license agreements on a satsfactory basis could adversely afect us.</w:t>
      </w:r>
    </w:p>
    <w:p>
      <w:pPr>
        <w:spacing w:after="0" w:line="55" w:lineRule="exact"/>
        <w:rPr>
          <w:rFonts w:ascii="Calibri" w:cs="Calibri" w:eastAsia="Calibri" w:hAnsi="Calibri"/>
          <w:sz w:val="18"/>
          <w:szCs w:val="18"/>
          <w:color w:val="auto"/>
        </w:rPr>
      </w:pPr>
    </w:p>
    <w:p>
      <w:pPr>
        <w:ind w:left="660" w:right="300" w:hanging="328"/>
        <w:spacing w:after="0" w:line="235" w:lineRule="auto"/>
        <w:tabs>
          <w:tab w:leader="none" w:pos="65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Our use of open source sofware in certain products and services could materially adversely afect our business, fnancial conditon and results of operatons.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hanging="308"/>
        <w:spacing w:after="0"/>
        <w:tabs>
          <w:tab w:leader="none" w:pos="64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Our sales to government customers subject us to uncertaintes and additonal governmental regulatons.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Failure to efectvely manage our products and services lifecycles could harm our business.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Our operatng results are subject to substantal quarterly and annual fuctuatons.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Competton in our industries could prevent us from growing our revenue.</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Our ability to maintain or improve gross margin.</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If we are unable to protect the signifcant amount of IP we utlize in our business, our business could be adversely afected.</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We are subject to warranty claims, product recalls and product liability.</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The complexity of our products could result in unforeseen delays or expense or undetected defects or bugs.</w:t>
      </w:r>
    </w:p>
    <w:p>
      <w:pPr>
        <w:spacing w:after="0" w:line="55" w:lineRule="exact"/>
        <w:rPr>
          <w:rFonts w:ascii="Calibri" w:cs="Calibri" w:eastAsia="Calibri" w:hAnsi="Calibri"/>
          <w:sz w:val="18"/>
          <w:szCs w:val="18"/>
          <w:color w:val="auto"/>
        </w:rPr>
      </w:pPr>
    </w:p>
    <w:p>
      <w:pPr>
        <w:ind w:left="660" w:right="300" w:hanging="328"/>
        <w:spacing w:after="0" w:line="235" w:lineRule="auto"/>
        <w:tabs>
          <w:tab w:leader="none" w:pos="653"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We are subject to privacy and data security laws and contractual commitments, and our actual or perceived failure to comply with such laws and commitments could harm our business.</w:t>
      </w:r>
    </w:p>
    <w:p>
      <w:pPr>
        <w:spacing w:after="0" w:line="55" w:lineRule="exact"/>
        <w:rPr>
          <w:rFonts w:ascii="Calibri" w:cs="Calibri" w:eastAsia="Calibri" w:hAnsi="Calibri"/>
          <w:sz w:val="18"/>
          <w:szCs w:val="18"/>
          <w:color w:val="auto"/>
        </w:rPr>
      </w:pPr>
    </w:p>
    <w:p>
      <w:pPr>
        <w:ind w:left="660" w:right="220" w:hanging="328"/>
        <w:spacing w:after="0" w:line="235" w:lineRule="auto"/>
        <w:tabs>
          <w:tab w:leader="none" w:pos="653"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We must comply with a variety of technical standards, domestc and internatonal laws and regulatons in the manufacture and distributon of our semiconductors.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Environmental, social and governance maters may adversely afect our relatonships with customers and investors.</w:t>
      </w:r>
    </w:p>
    <w:p>
      <w:pPr>
        <w:spacing w:after="0" w:line="104"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Risks Relatng to Our Taxes</w:t>
      </w:r>
    </w:p>
    <w:p>
      <w:pPr>
        <w:spacing w:after="0" w:line="50" w:lineRule="exact"/>
        <w:rPr>
          <w:sz w:val="20"/>
          <w:szCs w:val="20"/>
          <w:color w:val="auto"/>
        </w:rPr>
      </w:pPr>
    </w:p>
    <w:p>
      <w:pPr>
        <w:ind w:left="640" w:hanging="308"/>
        <w:spacing w:after="0"/>
        <w:tabs>
          <w:tab w:leader="none" w:pos="640"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Our income taxes and overall cash tax costs are afected by a number of factors that could have a material, adverse efect on our fnancial results.</w:t>
      </w:r>
    </w:p>
    <w:p>
      <w:pPr>
        <w:spacing w:after="0" w:line="55" w:lineRule="exact"/>
        <w:rPr>
          <w:rFonts w:ascii="Calibri" w:cs="Calibri" w:eastAsia="Calibri" w:hAnsi="Calibri"/>
          <w:sz w:val="18"/>
          <w:szCs w:val="18"/>
          <w:color w:val="auto"/>
        </w:rPr>
      </w:pPr>
    </w:p>
    <w:p>
      <w:pPr>
        <w:ind w:left="660" w:right="620" w:hanging="328"/>
        <w:spacing w:after="0" w:line="235" w:lineRule="auto"/>
        <w:tabs>
          <w:tab w:leader="none" w:pos="653"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If our tax incentves or tax holiday arrangements change or cease to be in efect or applicable, our corporate income taxes could signifcantly increase.</w:t>
      </w:r>
    </w:p>
    <w:p>
      <w:pPr>
        <w:spacing w:after="0" w:line="55" w:lineRule="exact"/>
        <w:rPr>
          <w:rFonts w:ascii="Calibri" w:cs="Calibri" w:eastAsia="Calibri" w:hAnsi="Calibri"/>
          <w:sz w:val="18"/>
          <w:szCs w:val="18"/>
          <w:color w:val="auto"/>
        </w:rPr>
      </w:pPr>
    </w:p>
    <w:p>
      <w:pPr>
        <w:ind w:left="660" w:right="300" w:hanging="328"/>
        <w:spacing w:after="0" w:line="235" w:lineRule="auto"/>
        <w:tabs>
          <w:tab w:leader="none" w:pos="653"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We have potental tax liabilites as a result of VMware’s former controlling ownership by Dell, which could have an adverse efect on our fnancial conditon and operatng results.</w:t>
      </w:r>
    </w:p>
    <w:p>
      <w:pPr>
        <w:spacing w:after="0" w:line="105"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Risks Relatng to Our Indebtedness</w:t>
      </w:r>
    </w:p>
    <w:p>
      <w:pPr>
        <w:spacing w:after="0" w:line="50" w:lineRule="exact"/>
        <w:rPr>
          <w:sz w:val="20"/>
          <w:szCs w:val="20"/>
          <w:color w:val="auto"/>
        </w:rPr>
      </w:pPr>
    </w:p>
    <w:p>
      <w:pPr>
        <w:ind w:left="640" w:hanging="308"/>
        <w:spacing w:after="0"/>
        <w:tabs>
          <w:tab w:leader="none" w:pos="64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Our substantal indebtedness could adversely afect our fnancial health and our ability to execute our business strategy.</w:t>
      </w:r>
    </w:p>
    <w:p>
      <w:pPr>
        <w:spacing w:after="0" w:line="104"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Risks Relatng to Owning Our Common Stock</w:t>
      </w:r>
    </w:p>
    <w:p>
      <w:pPr>
        <w:spacing w:after="0" w:line="50" w:lineRule="exact"/>
        <w:rPr>
          <w:sz w:val="20"/>
          <w:szCs w:val="20"/>
          <w:color w:val="auto"/>
        </w:rPr>
      </w:pPr>
    </w:p>
    <w:p>
      <w:pPr>
        <w:ind w:left="640" w:hanging="308"/>
        <w:spacing w:after="0"/>
        <w:tabs>
          <w:tab w:leader="none" w:pos="640"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Our stock price may be volatle and your investment could lose value.</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There can be no assurance that we will contnue to declare cash dividends.</w:t>
      </w:r>
    </w:p>
    <w:p>
      <w:pPr>
        <w:spacing w:after="0" w:line="104"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For a more complete discussion of the material risks facing our business, see below.</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Business</w:t>
      </w:r>
    </w:p>
    <w:p>
      <w:pPr>
        <w:spacing w:after="0" w:line="104"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Adverse global economic conditons could have a negatve efect on our business, results of operatons and fnancial conditon and liquidity.</w:t>
      </w:r>
    </w:p>
    <w:p>
      <w:pPr>
        <w:spacing w:after="0" w:line="1" w:lineRule="exact"/>
        <w:rPr>
          <w:sz w:val="20"/>
          <w:szCs w:val="20"/>
          <w:color w:val="auto"/>
        </w:rPr>
      </w:pPr>
    </w:p>
    <w:p>
      <w:pPr>
        <w:ind w:firstLine="324"/>
        <w:spacing w:after="0" w:line="235" w:lineRule="auto"/>
        <w:rPr>
          <w:sz w:val="20"/>
          <w:szCs w:val="20"/>
          <w:color w:val="auto"/>
        </w:rPr>
      </w:pPr>
      <w:r>
        <w:rPr>
          <w:rFonts w:ascii="Calibri" w:cs="Calibri" w:eastAsia="Calibri" w:hAnsi="Calibri"/>
          <w:sz w:val="18"/>
          <w:szCs w:val="18"/>
          <w:color w:val="auto"/>
        </w:rPr>
        <w:t>A general slowdown in the global economy or in a partcular region or industry, other unfavorable changes in economic conditons, such as infaton, higher interest rates, tghtening of the credit markets, recession or slowing growth, or an increase in trade tensions with U.S. trading partners could negatvely impact our business, fnancial conditon and liquidity. Adverse global economic conditons have from tme to tme caused or exacerbated signifcant slowdowns in the industries and markets in which we operate, which have adversely afected our business and results of operatons. Macroeconomic weakness and uncertainty also make it more difcult for us to accurately forecast operatng results, and may make it more difcult to raise or refnance debt. An escalaton of trade tensions between the U.S. and China has resulted in trade restrictons, increased protectonism and increased tarifs that harm our ability to partcipate in Chinese markets or compete efectvely with Chinese companies. Sustained uncertainty about, or worsening of, current global economic conditons and further escalaton of trade tensions between the U.S. and its trading partners, especially China, and the decoupling of the U.S. and China economies, could result in a global economic slowdown and long-term changes to global trade. Such events may also (i) cause our customers and consumers to reduce, delay or forgo technology spending, (ii) result in customers sourcing products from other suppliers not subject to such restrictons or tarifs, (iii) lead to the insolvency or consolidaton of key suppliers and customers, and (iv) intensify pricing pressures. Any or all of these factors could negatvely afect demand for our products and our business, fnancial conditon and results of operatons.</w:t>
      </w:r>
    </w:p>
    <w:p>
      <w:pPr>
        <w:spacing w:after="0" w:line="118" w:lineRule="exact"/>
        <w:rPr>
          <w:sz w:val="20"/>
          <w:szCs w:val="20"/>
          <w:color w:val="auto"/>
        </w:rPr>
      </w:pPr>
    </w:p>
    <w:p>
      <w:pPr>
        <w:ind w:right="160" w:firstLine="81"/>
        <w:spacing w:after="0" w:line="235" w:lineRule="auto"/>
        <w:rPr>
          <w:sz w:val="20"/>
          <w:szCs w:val="20"/>
          <w:color w:val="auto"/>
        </w:rPr>
      </w:pPr>
      <w:r>
        <w:rPr>
          <w:rFonts w:ascii="Calibri" w:cs="Calibri" w:eastAsia="Calibri" w:hAnsi="Calibri"/>
          <w:sz w:val="18"/>
          <w:szCs w:val="18"/>
          <w:b w:val="1"/>
          <w:bCs w:val="1"/>
          <w:i w:val="1"/>
          <w:iCs w:val="1"/>
          <w:color w:val="auto"/>
        </w:rPr>
        <w:t>Our business is subject to various governmental regulatons. Compliance with these regulatons may cause us to incur signifcant expense and failure to maintain compliance with applicable regulatons could adversely afect our business.</w:t>
      </w:r>
    </w:p>
    <w:p>
      <w:pPr>
        <w:spacing w:after="0" w:line="110" w:lineRule="exact"/>
        <w:rPr>
          <w:sz w:val="20"/>
          <w:szCs w:val="20"/>
          <w:color w:val="auto"/>
        </w:rPr>
      </w:pPr>
    </w:p>
    <w:p>
      <w:pPr>
        <w:ind w:right="780" w:firstLine="324"/>
        <w:spacing w:after="0" w:line="235" w:lineRule="auto"/>
        <w:rPr>
          <w:sz w:val="20"/>
          <w:szCs w:val="20"/>
          <w:color w:val="auto"/>
        </w:rPr>
      </w:pPr>
      <w:r>
        <w:rPr>
          <w:rFonts w:ascii="Calibri" w:cs="Calibri" w:eastAsia="Calibri" w:hAnsi="Calibri"/>
          <w:sz w:val="18"/>
          <w:szCs w:val="18"/>
          <w:color w:val="auto"/>
        </w:rPr>
        <w:t>Our business is subject to various domestc and internatonal laws and other legal requirements, including ant-competton and import/export regulatons, such as the U.S. Export Administraton Regulatons, and applicable executve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8" w:name="page19"/>
    <w:bookmarkEnd w:id="1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orders. These laws, regulatons and orders are complex, may change frequently and with limited notce, and generally become more stringent over tme. We may be required to incur signifcant expense to comply with, or to remedy violatons of, these regulatons. In additon, if our customers fail to comply with these regulatons, we may be required to suspend sales to these customers, which could damage our reputaton and negatvely impact our results of operatons. The U.S. government may contnue to add companies to its restricted entty list and/or technologies to its list of prohibited exports to specifc countries, which have had and may in the future have an adverse efect on our revenue and our ability to sell our products. These restrictve governmental actons and any similar measures that may be imposed on U.S. companies by other governments, especially in light of ongoing trade tensions with China, will likely limit or prevent us from doing business with certain of our customers or suppliers and harm our ability to compete efectvely or otherwise negatvely afect our ability to sell our products. Furthermore, government authorites may take retaliatory actons, impose conditons for the supply of products or require the license or other transfer of IP, which could have a material adverse efect on our business.</w:t>
      </w:r>
    </w:p>
    <w:p>
      <w:pPr>
        <w:spacing w:after="0" w:line="116" w:lineRule="exact"/>
        <w:rPr>
          <w:sz w:val="20"/>
          <w:szCs w:val="20"/>
          <w:color w:val="auto"/>
        </w:rPr>
      </w:pPr>
    </w:p>
    <w:p>
      <w:pPr>
        <w:ind w:firstLine="324"/>
        <w:spacing w:after="0" w:line="235" w:lineRule="auto"/>
        <w:rPr>
          <w:sz w:val="20"/>
          <w:szCs w:val="20"/>
          <w:color w:val="auto"/>
        </w:rPr>
      </w:pPr>
      <w:r>
        <w:rPr>
          <w:rFonts w:ascii="Calibri" w:cs="Calibri" w:eastAsia="Calibri" w:hAnsi="Calibri"/>
          <w:sz w:val="18"/>
          <w:szCs w:val="18"/>
          <w:color w:val="auto"/>
        </w:rPr>
        <w:t>Our products and operatons are also subject to regulaton by U.S. and non-U.S. regulatory agencies, such as the U.S. Federal Trade Commission. We have previously been, and may in the future be, involved or required to partcipate in regulatory investgatons or inquiries, such as the ongoing investgaton by the Korean Fair Trade Commission into certain of our contractng and business practces, which have previously and may in the future evolve into legal or other administratve proceedings. Growing public concern over concentraton of economic power in corporatons is leading to increased ant-competton legislaton, regulaton, administratve rule making and enforcement actvity. Involvement in regulatory investgatons or inquiries can be costly, lengthy, complex and tme consuming, divertng the atenton and energies of our management and technical personnel. If any pending or future governmental investgatons result in an unfavorable resoluton, we could be required to cease the manufacture and sale of the subject products or technology, pay fnes or disgorge profts or other payments, and/or cease certain conduct and/or modify our contractng or business practces, which could have a material adverse efect on our business, fnancial conditon and results of operatons.</w:t>
      </w:r>
    </w:p>
    <w:p>
      <w:pPr>
        <w:spacing w:after="0" w:line="116" w:lineRule="exact"/>
        <w:rPr>
          <w:sz w:val="20"/>
          <w:szCs w:val="20"/>
          <w:color w:val="auto"/>
        </w:rPr>
      </w:pPr>
    </w:p>
    <w:p>
      <w:pPr>
        <w:ind w:right="80" w:firstLine="81"/>
        <w:spacing w:after="0" w:line="235" w:lineRule="auto"/>
        <w:rPr>
          <w:sz w:val="20"/>
          <w:szCs w:val="20"/>
          <w:color w:val="auto"/>
        </w:rPr>
      </w:pPr>
      <w:r>
        <w:rPr>
          <w:rFonts w:ascii="Calibri" w:cs="Calibri" w:eastAsia="Calibri" w:hAnsi="Calibri"/>
          <w:sz w:val="18"/>
          <w:szCs w:val="18"/>
          <w:b w:val="1"/>
          <w:bCs w:val="1"/>
          <w:i w:val="1"/>
          <w:iCs w:val="1"/>
          <w:color w:val="auto"/>
        </w:rPr>
        <w:t>Global politcal and economic conditons and other factors related to our internatonal operatons could adversely afect our business, fnancial conditon and results of operatons.</w:t>
      </w:r>
    </w:p>
    <w:p>
      <w:pPr>
        <w:spacing w:after="0" w:line="110" w:lineRule="exact"/>
        <w:rPr>
          <w:sz w:val="20"/>
          <w:szCs w:val="20"/>
          <w:color w:val="auto"/>
        </w:rPr>
      </w:pPr>
    </w:p>
    <w:p>
      <w:pPr>
        <w:ind w:right="100" w:firstLine="324"/>
        <w:spacing w:after="0" w:line="235" w:lineRule="auto"/>
        <w:rPr>
          <w:sz w:val="20"/>
          <w:szCs w:val="20"/>
          <w:color w:val="auto"/>
        </w:rPr>
      </w:pPr>
      <w:r>
        <w:rPr>
          <w:rFonts w:ascii="Calibri" w:cs="Calibri" w:eastAsia="Calibri" w:hAnsi="Calibri"/>
          <w:sz w:val="18"/>
          <w:szCs w:val="18"/>
          <w:color w:val="auto"/>
        </w:rPr>
        <w:t>A majority of our products are produced, sourced and sold internatonally and our internatonal revenue represents a signifcant percentage of our overall revenue. Multple factors relatng to our internatonal operatons and to partcular countries in which we operate could have a material adverse efect on our business, fnancial conditon and results of operatons. These factors include:</w:t>
      </w:r>
    </w:p>
    <w:p>
      <w:pPr>
        <w:spacing w:after="0" w:line="111" w:lineRule="exact"/>
        <w:rPr>
          <w:sz w:val="20"/>
          <w:szCs w:val="20"/>
          <w:color w:val="auto"/>
        </w:rPr>
      </w:pPr>
    </w:p>
    <w:p>
      <w:pPr>
        <w:ind w:left="660" w:right="180" w:hanging="328"/>
        <w:spacing w:after="0" w:line="258" w:lineRule="auto"/>
        <w:tabs>
          <w:tab w:leader="none" w:pos="653" w:val="left"/>
        </w:tabs>
        <w:numPr>
          <w:ilvl w:val="0"/>
          <w:numId w:val="28"/>
        </w:numPr>
        <w:rPr>
          <w:rFonts w:ascii="Calibri" w:cs="Calibri" w:eastAsia="Calibri" w:hAnsi="Calibri"/>
          <w:sz w:val="17"/>
          <w:szCs w:val="17"/>
          <w:color w:val="auto"/>
        </w:rPr>
      </w:pPr>
      <w:r>
        <w:rPr>
          <w:rFonts w:ascii="Calibri" w:cs="Calibri" w:eastAsia="Calibri" w:hAnsi="Calibri"/>
          <w:sz w:val="17"/>
          <w:szCs w:val="17"/>
          <w:color w:val="auto"/>
        </w:rPr>
        <w:t>changes in politcal, regulatory, legal or economic conditons, geopolitcal turmoil (including China-Taiwan relatons), including terrorism, war or politcal or military coups, state-sponsored or politcally motvated cyber-atacks, or civil disturbances or politcal instability (foreign and domestc);</w:t>
      </w:r>
    </w:p>
    <w:p>
      <w:pPr>
        <w:spacing w:after="0" w:line="93" w:lineRule="exact"/>
        <w:rPr>
          <w:rFonts w:ascii="Calibri" w:cs="Calibri" w:eastAsia="Calibri" w:hAnsi="Calibri"/>
          <w:sz w:val="17"/>
          <w:szCs w:val="17"/>
          <w:color w:val="auto"/>
        </w:rPr>
      </w:pPr>
    </w:p>
    <w:p>
      <w:pPr>
        <w:ind w:left="660" w:right="120" w:hanging="328"/>
        <w:spacing w:after="0" w:line="235" w:lineRule="auto"/>
        <w:tabs>
          <w:tab w:leader="none" w:pos="653"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restrictve governmental actons, such as restrictons on the transfer or repatriaton of funds and foreign investments, data privacy regulatons, climate change regulatons and trade protecton measures, including increasing protectonism, import/export restrictons (including with regards to advanced technologies), import/export dutes and quotas, trade sanctons and customs dutes and tarifs, all of which have increased and may further increase;</w:t>
      </w:r>
    </w:p>
    <w:p>
      <w:pPr>
        <w:spacing w:after="0" w:line="106" w:lineRule="exact"/>
        <w:rPr>
          <w:rFonts w:ascii="Calibri" w:cs="Calibri" w:eastAsia="Calibri" w:hAnsi="Calibri"/>
          <w:sz w:val="18"/>
          <w:szCs w:val="18"/>
          <w:color w:val="auto"/>
        </w:rPr>
      </w:pPr>
    </w:p>
    <w:p>
      <w:pPr>
        <w:ind w:left="640" w:hanging="308"/>
        <w:spacing w:after="0"/>
        <w:tabs>
          <w:tab w:leader="none" w:pos="64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changes in global tax regulatons;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difculty in obtaining product distributon and support, and transportaton delays;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potental inability to localize sofware products;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difculty in enforcing contracts, collectng accounts receivables and maintaining appropriate fnancial controls;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difculty in conductng due diligence with respect to business partners;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public health or safety concerns, medical epidemics or pandemics, and other natural- or man-made disasters; and</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natonalizaton of businesses and expropriaton of assets.</w:t>
      </w:r>
    </w:p>
    <w:p>
      <w:pPr>
        <w:spacing w:after="0" w:line="109" w:lineRule="exact"/>
        <w:rPr>
          <w:sz w:val="20"/>
          <w:szCs w:val="20"/>
          <w:color w:val="auto"/>
        </w:rPr>
      </w:pPr>
    </w:p>
    <w:p>
      <w:pPr>
        <w:jc w:val="both"/>
        <w:ind w:right="100" w:firstLine="324"/>
        <w:spacing w:after="0" w:line="235" w:lineRule="auto"/>
        <w:rPr>
          <w:sz w:val="20"/>
          <w:szCs w:val="20"/>
          <w:color w:val="auto"/>
        </w:rPr>
      </w:pPr>
      <w:r>
        <w:rPr>
          <w:rFonts w:ascii="Calibri" w:cs="Calibri" w:eastAsia="Calibri" w:hAnsi="Calibri"/>
          <w:sz w:val="18"/>
          <w:szCs w:val="18"/>
          <w:color w:val="auto"/>
        </w:rPr>
        <w:t>A signifcant legal risk associated with conductng business internatonally is compliance with the various and difering laws and regulatons of the many countries in which we do business. Although our policies prohibit us, our employees and our agents from engaging in unethical business practces, there can be no assurance that all of our employees, distributors or other agents will refrain from actng in violaton of our related ant-corrupton or other policies and procedures. Any such violaton could have a material adverse efect on our business.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Failure to realize the benefts expected from the VMware Merger could adversely afect our business and the value of our common stock.</w:t>
      </w:r>
    </w:p>
    <w:p>
      <w:pPr>
        <w:spacing w:after="0" w:line="109" w:lineRule="exact"/>
        <w:rPr>
          <w:sz w:val="20"/>
          <w:szCs w:val="20"/>
          <w:color w:val="auto"/>
        </w:rPr>
      </w:pPr>
    </w:p>
    <w:p>
      <w:pPr>
        <w:ind w:right="80" w:firstLine="324"/>
        <w:spacing w:after="0" w:line="235" w:lineRule="auto"/>
        <w:rPr>
          <w:sz w:val="20"/>
          <w:szCs w:val="20"/>
          <w:color w:val="auto"/>
        </w:rPr>
      </w:pPr>
      <w:r>
        <w:rPr>
          <w:rFonts w:ascii="Calibri" w:cs="Calibri" w:eastAsia="Calibri" w:hAnsi="Calibri"/>
          <w:sz w:val="18"/>
          <w:szCs w:val="18"/>
          <w:color w:val="auto"/>
        </w:rPr>
        <w:t>As part of our integraton of the VMware business, we are focusing on VMware’s core business of creatng private cloud environments on-premises among large enterprises globally and divestng non-core assets. If VMware customers do not accept our business strategy, including our transiton from a perpetual to a subscripton licensing model and our simplifed product portolio, the investments we have made or may make to implement our strategy may be of no or limited value, we may lose signifcant customers, our fnancial results may be adversely afected and our stock price may sufer.</w:t>
      </w:r>
    </w:p>
    <w:p>
      <w:pPr>
        <w:spacing w:after="0" w:line="111" w:lineRule="exact"/>
        <w:rPr>
          <w:sz w:val="20"/>
          <w:szCs w:val="20"/>
          <w:color w:val="auto"/>
        </w:rPr>
      </w:pPr>
    </w:p>
    <w:p>
      <w:pPr>
        <w:ind w:right="40" w:firstLine="324"/>
        <w:spacing w:after="0" w:line="228" w:lineRule="auto"/>
        <w:rPr>
          <w:sz w:val="20"/>
          <w:szCs w:val="20"/>
          <w:color w:val="auto"/>
        </w:rPr>
      </w:pPr>
      <w:r>
        <w:rPr>
          <w:rFonts w:ascii="Calibri" w:cs="Calibri" w:eastAsia="Calibri" w:hAnsi="Calibri"/>
          <w:sz w:val="18"/>
          <w:szCs w:val="18"/>
          <w:color w:val="auto"/>
        </w:rPr>
        <w:t>Although we expect signifcant benefts to result from the VMware Merger, if we do not successfully manage the challenges inherent in integratng an acquired business, we may not realize these benefts, and our revenue, expenses, operatng results, fnancial conditon and stock price could be materially adversely afected. Achieving these benefts will depend, in part, on our ability to integrate VMware's business successfully and efciently and VMware customers acceptng our business strategy, including our transiton from a perpetual to a subscripton licensing model and our simplifed product portolio. The successful integraton of the VMware business has required, and will contnue to require, signifcant management atenton, and may divert the atenton of management from other business and operatonal issues.</w:t>
      </w:r>
    </w:p>
    <w:p>
      <w:pPr>
        <w:spacing w:after="0" w:line="98" w:lineRule="exact"/>
        <w:rPr>
          <w:sz w:val="20"/>
          <w:szCs w:val="20"/>
          <w:color w:val="auto"/>
        </w:rPr>
      </w:pPr>
    </w:p>
    <w:p>
      <w:pPr>
        <w:ind w:right="380" w:firstLine="81"/>
        <w:spacing w:after="0" w:line="235" w:lineRule="auto"/>
        <w:rPr>
          <w:sz w:val="20"/>
          <w:szCs w:val="20"/>
          <w:color w:val="auto"/>
        </w:rPr>
      </w:pPr>
      <w:r>
        <w:rPr>
          <w:rFonts w:ascii="Calibri" w:cs="Calibri" w:eastAsia="Calibri" w:hAnsi="Calibri"/>
          <w:sz w:val="18"/>
          <w:szCs w:val="18"/>
          <w:b w:val="1"/>
          <w:bCs w:val="1"/>
          <w:i w:val="1"/>
          <w:iCs w:val="1"/>
          <w:color w:val="auto"/>
        </w:rPr>
        <w:t>We have pursued, and may in the future pursue, mergers, acquisitons, investments, joint ventures and dispositons, which could adversely afect our results of operatons.</w:t>
      </w:r>
    </w:p>
    <w:p>
      <w:pPr>
        <w:spacing w:after="0" w:line="110" w:lineRule="exact"/>
        <w:rPr>
          <w:sz w:val="20"/>
          <w:szCs w:val="20"/>
          <w:color w:val="auto"/>
        </w:rPr>
      </w:pPr>
    </w:p>
    <w:p>
      <w:pPr>
        <w:jc w:val="both"/>
        <w:ind w:firstLine="324"/>
        <w:spacing w:after="0" w:line="235" w:lineRule="auto"/>
        <w:rPr>
          <w:sz w:val="20"/>
          <w:szCs w:val="20"/>
          <w:color w:val="auto"/>
        </w:rPr>
      </w:pPr>
      <w:r>
        <w:rPr>
          <w:rFonts w:ascii="Calibri" w:cs="Calibri" w:eastAsia="Calibri" w:hAnsi="Calibri"/>
          <w:sz w:val="18"/>
          <w:szCs w:val="18"/>
          <w:color w:val="auto"/>
        </w:rPr>
        <w:t>Our growth strategy includes acquiring or investng in businesses that ofer complementary products, services and technologies, or enhancing our market coverage or technological capabilites. Any acquisitons we may undertake, including the VMware Merger, and their integraton involve risks and uncertaintes, which could impede the executon of our business strategy, such as:</w:t>
      </w:r>
    </w:p>
    <w:p>
      <w:pPr>
        <w:spacing w:after="0" w:line="106" w:lineRule="exact"/>
        <w:rPr>
          <w:sz w:val="20"/>
          <w:szCs w:val="20"/>
          <w:color w:val="auto"/>
        </w:rPr>
      </w:pPr>
    </w:p>
    <w:p>
      <w:pPr>
        <w:ind w:left="640" w:hanging="308"/>
        <w:spacing w:after="0"/>
        <w:tabs>
          <w:tab w:leader="none" w:pos="64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U.S. and non-U.S. regulatory approval may take longer than antcipated, not be forthcoming or contain burdensome conditons;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unexpected delays, challenges and related expenses, and disrupton of our business;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diversion of management’s atenton from daily operatons and the pursuit of other opportunites;</w:t>
      </w:r>
    </w:p>
    <w:p>
      <w:pPr>
        <w:spacing w:after="0" w:line="109" w:lineRule="exact"/>
        <w:rPr>
          <w:rFonts w:ascii="Calibri" w:cs="Calibri" w:eastAsia="Calibri" w:hAnsi="Calibri"/>
          <w:sz w:val="18"/>
          <w:szCs w:val="18"/>
          <w:color w:val="auto"/>
        </w:rPr>
      </w:pPr>
    </w:p>
    <w:p>
      <w:pPr>
        <w:ind w:left="660" w:right="480" w:hanging="328"/>
        <w:spacing w:after="0" w:line="235" w:lineRule="auto"/>
        <w:tabs>
          <w:tab w:leader="none" w:pos="653"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incurring signifcant restructuring charges and amortzaton expense, assuming liabilites and ongoing or new lawsuits, potental impairment of acquired goodwill and other intangible assets, and increasing our expenses and working capital requirements;</w:t>
      </w:r>
    </w:p>
    <w:p>
      <w:pPr>
        <w:spacing w:after="0" w:line="109" w:lineRule="exact"/>
        <w:rPr>
          <w:rFonts w:ascii="Calibri" w:cs="Calibri" w:eastAsia="Calibri" w:hAnsi="Calibri"/>
          <w:sz w:val="18"/>
          <w:szCs w:val="18"/>
          <w:color w:val="auto"/>
        </w:rPr>
      </w:pPr>
    </w:p>
    <w:p>
      <w:pPr>
        <w:ind w:left="660" w:right="460" w:hanging="328"/>
        <w:spacing w:after="0" w:line="235" w:lineRule="auto"/>
        <w:tabs>
          <w:tab w:leader="none" w:pos="653"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the potental for defciencies in internal controls of the acquired business, as well as implementng our own management informaton systems, operatng systems and internal controls for the acquired operatons;</w:t>
      </w:r>
    </w:p>
    <w:p>
      <w:pPr>
        <w:spacing w:after="0" w:line="109" w:lineRule="exact"/>
        <w:rPr>
          <w:rFonts w:ascii="Calibri" w:cs="Calibri" w:eastAsia="Calibri" w:hAnsi="Calibri"/>
          <w:sz w:val="18"/>
          <w:szCs w:val="18"/>
          <w:color w:val="auto"/>
        </w:rPr>
      </w:pPr>
    </w:p>
    <w:p>
      <w:pPr>
        <w:ind w:left="660" w:right="20" w:hanging="328"/>
        <w:spacing w:after="0" w:line="235" w:lineRule="auto"/>
        <w:tabs>
          <w:tab w:leader="none" w:pos="653"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our due diligence process may fail to identfy signifcant issues with the acquired business’ products, fnancial disclosures, accountng practces, legal, tax and other contngencies, compliance with local laws and regulatons (and interpretatons thereof) in the U.S. and multple internatonal jurisdictons;</w:t>
      </w:r>
    </w:p>
    <w:p>
      <w:pPr>
        <w:spacing w:after="0" w:line="105" w:lineRule="exact"/>
        <w:rPr>
          <w:rFonts w:ascii="Calibri" w:cs="Calibri" w:eastAsia="Calibri" w:hAnsi="Calibri"/>
          <w:sz w:val="18"/>
          <w:szCs w:val="18"/>
          <w:color w:val="auto"/>
        </w:rPr>
      </w:pPr>
    </w:p>
    <w:p>
      <w:pPr>
        <w:ind w:left="640" w:hanging="308"/>
        <w:spacing w:after="0"/>
        <w:tabs>
          <w:tab w:leader="none" w:pos="64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difcultes integratng the acquired business or company and in managing and retaining acquired employees, vendors and customers; and</w:t>
      </w:r>
    </w:p>
    <w:p>
      <w:pPr>
        <w:spacing w:after="0" w:line="109" w:lineRule="exact"/>
        <w:rPr>
          <w:rFonts w:ascii="Calibri" w:cs="Calibri" w:eastAsia="Calibri" w:hAnsi="Calibri"/>
          <w:sz w:val="18"/>
          <w:szCs w:val="18"/>
          <w:color w:val="auto"/>
        </w:rPr>
      </w:pPr>
    </w:p>
    <w:p>
      <w:pPr>
        <w:ind w:left="660" w:right="320" w:hanging="328"/>
        <w:spacing w:after="0" w:line="235" w:lineRule="auto"/>
        <w:tabs>
          <w:tab w:leader="none" w:pos="653"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inaccuracies in our original estmates and assumptons used to assess a transacton, which may result in us not realizing the expected fnancial or strategic benefts of any such transacton.</w:t>
      </w:r>
    </w:p>
    <w:p>
      <w:pPr>
        <w:spacing w:after="0" w:line="110" w:lineRule="exact"/>
        <w:rPr>
          <w:sz w:val="20"/>
          <w:szCs w:val="20"/>
          <w:color w:val="auto"/>
        </w:rPr>
      </w:pPr>
    </w:p>
    <w:p>
      <w:pPr>
        <w:ind w:right="60" w:firstLine="324"/>
        <w:spacing w:after="0" w:line="235" w:lineRule="auto"/>
        <w:rPr>
          <w:sz w:val="20"/>
          <w:szCs w:val="20"/>
          <w:color w:val="auto"/>
        </w:rPr>
      </w:pPr>
      <w:r>
        <w:rPr>
          <w:rFonts w:ascii="Calibri" w:cs="Calibri" w:eastAsia="Calibri" w:hAnsi="Calibri"/>
          <w:sz w:val="18"/>
          <w:szCs w:val="18"/>
          <w:color w:val="auto"/>
        </w:rPr>
        <w:t>From tme to tme, we seek to divest or wind down portons of our business or exit minority investments, any of which could materially afect our cash fows and results of operatons. Such dispositons involve risks and uncertaintes, including disrupton to other parts of our business, potental loss of employees or customers, or exposure to unantcipated liabilites or ongoing obligatons following any such dispositons. In additon, dispositons may include the transfer of technology and/or the licensing of certain IP rights to third-party purchasers that limits our ability to utlize such IP rights or assert these rights against third partes. Such events could have a material adverse impact on our business and operatons.</w:t>
      </w:r>
    </w:p>
    <w:p>
      <w:pPr>
        <w:spacing w:after="0" w:line="107"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We are subject to risks associated with our distributors and other channel partners, including product inventory levels and product sell-through.</w:t>
      </w:r>
    </w:p>
    <w:p>
      <w:pPr>
        <w:spacing w:after="0" w:line="109" w:lineRule="exact"/>
        <w:rPr>
          <w:sz w:val="20"/>
          <w:szCs w:val="20"/>
          <w:color w:val="auto"/>
        </w:rPr>
      </w:pPr>
    </w:p>
    <w:p>
      <w:pPr>
        <w:ind w:right="60" w:firstLine="324"/>
        <w:spacing w:after="0" w:line="235" w:lineRule="auto"/>
        <w:rPr>
          <w:sz w:val="20"/>
          <w:szCs w:val="20"/>
          <w:color w:val="auto"/>
        </w:rPr>
      </w:pPr>
      <w:r>
        <w:rPr>
          <w:rFonts w:ascii="Calibri" w:cs="Calibri" w:eastAsia="Calibri" w:hAnsi="Calibri"/>
          <w:sz w:val="18"/>
          <w:szCs w:val="18"/>
          <w:color w:val="auto"/>
        </w:rPr>
        <w:t>We sell our products through a direct sales force and a select network of distributors and other channel partners globally. Sales to distributors accounted for 48% of our net revenue in fscal year 2024 and are subject to a number of risks, including:</w:t>
      </w:r>
    </w:p>
    <w:p>
      <w:pPr>
        <w:spacing w:after="0" w:line="105" w:lineRule="exact"/>
        <w:rPr>
          <w:sz w:val="20"/>
          <w:szCs w:val="20"/>
          <w:color w:val="auto"/>
        </w:rPr>
      </w:pPr>
    </w:p>
    <w:p>
      <w:pPr>
        <w:ind w:left="640" w:hanging="308"/>
        <w:spacing w:after="0"/>
        <w:tabs>
          <w:tab w:leader="none" w:pos="640"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fuctuatons in demand based on our distributors’ product inventory levels, and the tming of delivery to and demand of end customers;</w:t>
      </w:r>
    </w:p>
    <w:p>
      <w:pPr>
        <w:spacing w:after="0" w:line="109" w:lineRule="exact"/>
        <w:rPr>
          <w:rFonts w:ascii="Calibri" w:cs="Calibri" w:eastAsia="Calibri" w:hAnsi="Calibri"/>
          <w:sz w:val="18"/>
          <w:szCs w:val="18"/>
          <w:color w:val="auto"/>
        </w:rPr>
      </w:pPr>
    </w:p>
    <w:p>
      <w:pPr>
        <w:ind w:left="660" w:right="280" w:hanging="328"/>
        <w:spacing w:after="0" w:line="235" w:lineRule="auto"/>
        <w:tabs>
          <w:tab w:leader="none" w:pos="653"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our distributors and other channel partners are generally not subject to minimum sales requirements or any obligaton to market our products to their customers and may market and distribute competng products; and</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 w:name="page21"/>
    <w:bookmarkEnd w:id="2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40" w:hanging="308"/>
        <w:spacing w:after="0"/>
        <w:tabs>
          <w:tab w:leader="none" w:pos="640" w:val="left"/>
        </w:tabs>
        <w:numPr>
          <w:ilvl w:val="0"/>
          <w:numId w:val="31"/>
        </w:numPr>
        <w:rPr>
          <w:rFonts w:ascii="Calibri" w:cs="Calibri" w:eastAsia="Calibri" w:hAnsi="Calibri"/>
          <w:sz w:val="18"/>
          <w:szCs w:val="18"/>
          <w:color w:val="auto"/>
        </w:rPr>
      </w:pPr>
      <w:r>
        <w:rPr>
          <w:rFonts w:ascii="Calibri" w:cs="Calibri" w:eastAsia="Calibri" w:hAnsi="Calibri"/>
          <w:sz w:val="18"/>
          <w:szCs w:val="18"/>
          <w:color w:val="auto"/>
        </w:rPr>
        <w:t>our distributors’ and other channel partners’ agreements are generally nonexclusive and may be terminated at any tme without cause.</w:t>
      </w:r>
    </w:p>
    <w:p>
      <w:pPr>
        <w:spacing w:after="0" w:line="109" w:lineRule="exact"/>
        <w:rPr>
          <w:sz w:val="20"/>
          <w:szCs w:val="20"/>
          <w:color w:val="auto"/>
        </w:rPr>
      </w:pPr>
    </w:p>
    <w:p>
      <w:pPr>
        <w:ind w:firstLine="324"/>
        <w:spacing w:after="0" w:line="235" w:lineRule="auto"/>
        <w:rPr>
          <w:sz w:val="20"/>
          <w:szCs w:val="20"/>
          <w:color w:val="auto"/>
        </w:rPr>
      </w:pPr>
      <w:r>
        <w:rPr>
          <w:rFonts w:ascii="Calibri" w:cs="Calibri" w:eastAsia="Calibri" w:hAnsi="Calibri"/>
          <w:sz w:val="18"/>
          <w:szCs w:val="18"/>
          <w:color w:val="auto"/>
        </w:rPr>
        <w:t>Our dependence on channel partners has increased following the VMware Merger. Failure to maintain good relatonships with our distributors and channel partners could adversely impact our business. In additon, we sell our semiconductor products through an increasingly limited number of distributors, which exposes us to additonal customer concentraton and related credit risks.</w:t>
      </w:r>
    </w:p>
    <w:p>
      <w:pPr>
        <w:spacing w:after="0" w:line="111" w:lineRule="exact"/>
        <w:rPr>
          <w:sz w:val="20"/>
          <w:szCs w:val="20"/>
          <w:color w:val="auto"/>
        </w:rPr>
      </w:pPr>
    </w:p>
    <w:p>
      <w:pPr>
        <w:jc w:val="both"/>
        <w:ind w:right="340" w:firstLine="324"/>
        <w:spacing w:after="0" w:line="252" w:lineRule="auto"/>
        <w:rPr>
          <w:sz w:val="20"/>
          <w:szCs w:val="20"/>
          <w:color w:val="auto"/>
        </w:rPr>
      </w:pPr>
      <w:r>
        <w:rPr>
          <w:rFonts w:ascii="Calibri" w:cs="Calibri" w:eastAsia="Calibri" w:hAnsi="Calibri"/>
          <w:sz w:val="17"/>
          <w:szCs w:val="17"/>
          <w:color w:val="auto"/>
        </w:rPr>
        <w:t>From tme to tme, we enlist our distributors and channel partners to lead go-to-market and customer relatonships for certain products, such as our Accelerate Program and Catalyst Initatve for certain infrastructure sofware products, with certain sole distributon relatonships by region. To the extent these distributors and channel partners fail to maintain good relatonships with our customers or we are unable to contnue enlistng our distributors and channel partners to lead go-to-market and customer relatonships, our business, operatng results and cash fow may be adversely impacted.</w:t>
      </w:r>
    </w:p>
    <w:p>
      <w:pPr>
        <w:spacing w:after="0" w:line="100" w:lineRule="exact"/>
        <w:rPr>
          <w:sz w:val="20"/>
          <w:szCs w:val="20"/>
          <w:color w:val="auto"/>
        </w:rPr>
      </w:pPr>
    </w:p>
    <w:p>
      <w:pPr>
        <w:ind w:right="20" w:firstLine="324"/>
        <w:spacing w:after="0" w:line="235" w:lineRule="auto"/>
        <w:rPr>
          <w:sz w:val="20"/>
          <w:szCs w:val="20"/>
          <w:color w:val="auto"/>
        </w:rPr>
      </w:pPr>
      <w:r>
        <w:rPr>
          <w:rFonts w:ascii="Calibri" w:cs="Calibri" w:eastAsia="Calibri" w:hAnsi="Calibri"/>
          <w:sz w:val="18"/>
          <w:szCs w:val="18"/>
          <w:color w:val="auto"/>
        </w:rPr>
        <w:t>We do not always have a direct relatonship with the end customers of our products. As a result, our semiconductor products may be used in applicatons for which they were not necessarily designed or tested, and the misuse or failure of our semiconductor products could result in signifcant liabilites to us, damage our reputaton and harm our business, operatng results and cash fow.</w:t>
      </w:r>
    </w:p>
    <w:p>
      <w:pPr>
        <w:spacing w:after="0" w:line="106"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Our business would be adversely afected by the departure of existng members of our senior management team.</w:t>
      </w:r>
    </w:p>
    <w:p>
      <w:pPr>
        <w:spacing w:after="0" w:line="109" w:lineRule="exact"/>
        <w:rPr>
          <w:sz w:val="20"/>
          <w:szCs w:val="20"/>
          <w:color w:val="auto"/>
        </w:rPr>
      </w:pPr>
    </w:p>
    <w:p>
      <w:pPr>
        <w:ind w:firstLine="324"/>
        <w:spacing w:after="0" w:line="251" w:lineRule="auto"/>
        <w:rPr>
          <w:sz w:val="20"/>
          <w:szCs w:val="20"/>
          <w:color w:val="auto"/>
        </w:rPr>
      </w:pPr>
      <w:r>
        <w:rPr>
          <w:rFonts w:ascii="Calibri" w:cs="Calibri" w:eastAsia="Calibri" w:hAnsi="Calibri"/>
          <w:sz w:val="17"/>
          <w:szCs w:val="17"/>
          <w:color w:val="auto"/>
        </w:rPr>
        <w:t>Our success depends, in large part, on the contnued contributons of our senior management team, in partcular the services of Hock E. Tan, our President and Chief Executve Ofcer. Efectve succession planning is also important for our long-term success. Failure to ensure efectve transfers of knowledge and smooth transitons involving senior management could hinder our strategic planning and executon. None of our senior management is bound by writen employment contracts. In additon, we do not currently maintain key person life insurance covering our senior management. The loss of any of our senior management could harm our ability to implement our business strategy and respond to the rapidly changing market conditons in which we operate.</w:t>
      </w:r>
    </w:p>
    <w:p>
      <w:pPr>
        <w:spacing w:after="0" w:line="103" w:lineRule="exact"/>
        <w:rPr>
          <w:sz w:val="20"/>
          <w:szCs w:val="20"/>
          <w:color w:val="auto"/>
        </w:rPr>
      </w:pPr>
    </w:p>
    <w:p>
      <w:pPr>
        <w:ind w:right="20" w:firstLine="81"/>
        <w:spacing w:after="0" w:line="235" w:lineRule="auto"/>
        <w:rPr>
          <w:sz w:val="20"/>
          <w:szCs w:val="20"/>
          <w:color w:val="auto"/>
        </w:rPr>
      </w:pPr>
      <w:r>
        <w:rPr>
          <w:rFonts w:ascii="Calibri" w:cs="Calibri" w:eastAsia="Calibri" w:hAnsi="Calibri"/>
          <w:sz w:val="18"/>
          <w:szCs w:val="18"/>
          <w:b w:val="1"/>
          <w:bCs w:val="1"/>
          <w:i w:val="1"/>
          <w:iCs w:val="1"/>
          <w:color w:val="auto"/>
        </w:rPr>
        <w:t>If we are unable to atract and retain qualifed personnel, especially our engineering and technical personnel, we may not be able to execute our business strategy efectvely.</w:t>
      </w:r>
    </w:p>
    <w:p>
      <w:pPr>
        <w:spacing w:after="0" w:line="110" w:lineRule="exact"/>
        <w:rPr>
          <w:sz w:val="20"/>
          <w:szCs w:val="20"/>
          <w:color w:val="auto"/>
        </w:rPr>
      </w:pPr>
    </w:p>
    <w:p>
      <w:pPr>
        <w:ind w:right="20" w:firstLine="324"/>
        <w:spacing w:after="0" w:line="235" w:lineRule="auto"/>
        <w:rPr>
          <w:sz w:val="20"/>
          <w:szCs w:val="20"/>
          <w:color w:val="auto"/>
        </w:rPr>
      </w:pPr>
      <w:r>
        <w:rPr>
          <w:rFonts w:ascii="Calibri" w:cs="Calibri" w:eastAsia="Calibri" w:hAnsi="Calibri"/>
          <w:sz w:val="18"/>
          <w:szCs w:val="18"/>
          <w:color w:val="auto"/>
        </w:rPr>
        <w:t>Our future success depends on our ability to atract, retain and motvate qualifed personnel. As the source of our technological and product innovatons, our engineering and technical personnel, such as our AI-related product engineers and cybersecurity experts, are a signifcant asset. Competton for these employees is signifcant in many areas of the world in which we operate, partcularly in Silicon Valley and Southeast Asia where qualifed engineers are in high demand. In additon, current or future immigraton laws may make it more difcult to hire or retain qualifed engineers, further limitng the pool of available talent. We believe equity awards provide a powerful long-term retenton incentve and have historically granted these awards to the substantal majority of our employees. If we are unable to contnue our current equity grantng philosophy or our stock underperforms, this could impair our eforts to atract and retain necessary personnel. Any inability to retain, atract or motvate such personnel and provide compettve employment benefts could have a material adverse efect on our business, fnancial conditon and results of operatons.</w:t>
      </w:r>
    </w:p>
    <w:p>
      <w:pPr>
        <w:spacing w:after="0" w:line="115" w:lineRule="exact"/>
        <w:rPr>
          <w:sz w:val="20"/>
          <w:szCs w:val="20"/>
          <w:color w:val="auto"/>
        </w:rPr>
      </w:pPr>
    </w:p>
    <w:p>
      <w:pPr>
        <w:ind w:right="20" w:firstLine="81"/>
        <w:spacing w:after="0" w:line="235" w:lineRule="auto"/>
        <w:rPr>
          <w:sz w:val="20"/>
          <w:szCs w:val="20"/>
          <w:color w:val="auto"/>
        </w:rPr>
      </w:pPr>
      <w:r>
        <w:rPr>
          <w:rFonts w:ascii="Calibri" w:cs="Calibri" w:eastAsia="Calibri" w:hAnsi="Calibri"/>
          <w:sz w:val="18"/>
          <w:szCs w:val="18"/>
          <w:b w:val="1"/>
          <w:bCs w:val="1"/>
          <w:i w:val="1"/>
          <w:iCs w:val="1"/>
          <w:color w:val="auto"/>
        </w:rPr>
        <w:t>Cyber security threats or other security breaches, or any other impairment of the confdentality, integrity or availability of our IT systems, or those of one or more of our corporate infrastructure vendors, could have a material adverse efect on our business.</w:t>
      </w:r>
    </w:p>
    <w:p>
      <w:pPr>
        <w:spacing w:after="0" w:line="110" w:lineRule="exact"/>
        <w:rPr>
          <w:sz w:val="20"/>
          <w:szCs w:val="20"/>
          <w:color w:val="auto"/>
        </w:rPr>
      </w:pPr>
    </w:p>
    <w:p>
      <w:pPr>
        <w:ind w:right="140" w:firstLine="324"/>
        <w:spacing w:after="0" w:line="235" w:lineRule="auto"/>
        <w:rPr>
          <w:sz w:val="20"/>
          <w:szCs w:val="20"/>
          <w:color w:val="auto"/>
        </w:rPr>
      </w:pPr>
      <w:r>
        <w:rPr>
          <w:rFonts w:ascii="Calibri" w:cs="Calibri" w:eastAsia="Calibri" w:hAnsi="Calibri"/>
          <w:sz w:val="18"/>
          <w:szCs w:val="18"/>
          <w:color w:val="auto"/>
        </w:rPr>
        <w:t>Our business depends on a wide variety of complex IT systems and services, including cloud-based and other critcal corporate services relatng to, among other things, product research and development, fnancial reportng, product orders and fulfllment, HR, beneft plan administraton, IT network management, and electronic communicaton and collaboraton services. These systems and services are both internally managed and outsourced, and in many cases we rely upon third-party data centers. Any failure of these internal or third-party systems and services to operate efectvely could disrupt our operatons and could have a material adverse efect on our business, fnancial conditon and results of operatons. Our operatons are dependent upon our ability to protect our IT infrastructure against damage from business contnuity events that could have a signifcant disruptve efect. Although these systems are designed to protect and secure our customers’, suppliers’ and employees’ confdental informaton, as well as our own proprietary informaton, we are, out of necessity, dependent on our vendors to adequately address cybersecurity threats to their own systems. In additon, sofware products we use and technologies produced by us have occasionally had in the past and may have in the future, vulnerabilites that, if lef unmitgated, could reduce the overall level of security of the systems on which the sofware is installed.</w:t>
      </w:r>
    </w:p>
    <w:p>
      <w:pPr>
        <w:spacing w:after="0" w:line="116" w:lineRule="exact"/>
        <w:rPr>
          <w:sz w:val="20"/>
          <w:szCs w:val="20"/>
          <w:color w:val="auto"/>
        </w:rPr>
      </w:pPr>
    </w:p>
    <w:p>
      <w:pPr>
        <w:ind w:right="200" w:firstLine="324"/>
        <w:spacing w:after="0" w:line="235" w:lineRule="auto"/>
        <w:rPr>
          <w:sz w:val="20"/>
          <w:szCs w:val="20"/>
          <w:color w:val="auto"/>
        </w:rPr>
      </w:pPr>
      <w:r>
        <w:rPr>
          <w:rFonts w:ascii="Calibri" w:cs="Calibri" w:eastAsia="Calibri" w:hAnsi="Calibri"/>
          <w:sz w:val="18"/>
          <w:szCs w:val="18"/>
          <w:color w:val="auto"/>
        </w:rPr>
        <w:t>Cyber-atacks are increasing in number and sophistcaton, are well-fnanced, in some cases supported by state actors, and are designed to not only atack, but also to evade detecton. Since the techniques used to obtain unauthorized access to systems, or to otherwise sabotage them, change frequently and are ofen not recognized untl launched against a target, we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 w:name="page22"/>
    <w:bookmarkEnd w:id="2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may be unable to antcipate these techniques or to implement adequate preventatve measures. The emergence and maturaton of AI capabilites may also lead to new and/or more sophistcated methods of atack, including fraud that relies upon “deep fake” impersonaton technology or other forms of generatve automaton that may scale up the efciency or efectveness of cyber threat actvity.</w:t>
      </w:r>
    </w:p>
    <w:p>
      <w:pPr>
        <w:spacing w:after="0" w:line="111" w:lineRule="exact"/>
        <w:rPr>
          <w:sz w:val="20"/>
          <w:szCs w:val="20"/>
          <w:color w:val="auto"/>
        </w:rPr>
      </w:pPr>
    </w:p>
    <w:p>
      <w:pPr>
        <w:ind w:right="100" w:firstLine="324"/>
        <w:spacing w:after="0" w:line="235" w:lineRule="auto"/>
        <w:rPr>
          <w:sz w:val="20"/>
          <w:szCs w:val="20"/>
          <w:color w:val="auto"/>
        </w:rPr>
      </w:pPr>
      <w:r>
        <w:rPr>
          <w:rFonts w:ascii="Calibri" w:cs="Calibri" w:eastAsia="Calibri" w:hAnsi="Calibri"/>
          <w:sz w:val="18"/>
          <w:szCs w:val="18"/>
          <w:color w:val="auto"/>
        </w:rPr>
        <w:t>As a critcal vendor in the digital supply chain for both governmental enttes and critcal infrastructure operators, we and our products may be targeted by those seeking to threaten the confdentality, integrity and availability of systems supportng essental public services. Geopolitcal instability may increase the likelihood that we will experience direct or collateral consequences from cyber conficts between naton-states or other politcally motvated actors targetng critcal technology infrastructure.</w:t>
      </w:r>
    </w:p>
    <w:p>
      <w:pPr>
        <w:spacing w:after="0" w:line="111" w:lineRule="exact"/>
        <w:rPr>
          <w:sz w:val="20"/>
          <w:szCs w:val="20"/>
          <w:color w:val="auto"/>
        </w:rPr>
      </w:pPr>
    </w:p>
    <w:p>
      <w:pPr>
        <w:ind w:right="100" w:firstLine="324"/>
        <w:spacing w:after="0" w:line="235" w:lineRule="auto"/>
        <w:rPr>
          <w:sz w:val="20"/>
          <w:szCs w:val="20"/>
          <w:color w:val="auto"/>
        </w:rPr>
      </w:pPr>
      <w:r>
        <w:rPr>
          <w:rFonts w:ascii="Calibri" w:cs="Calibri" w:eastAsia="Calibri" w:hAnsi="Calibri"/>
          <w:sz w:val="18"/>
          <w:szCs w:val="18"/>
          <w:color w:val="auto"/>
        </w:rPr>
        <w:t>Accidental or willful security breaches or other unauthorized access to our informaton systems or the systems of our service providers and business partners, or the existence of computer viruses or malware (such as ransomware) in our or their data or sofware have in the past exposed, and could in the future expose, us to a risk of informaton loss, business disrupton, and misappropriaton of proprietary and confdental informaton, including informaton relatng to our products or customers and the personal informaton of our employees or third partes. Such an event could disrupt our business and result in, among other things, unfavorable publicity, damage to our reputaton, loss of our trade secrets and other compettve informaton, litgaton by afected partes and possible fnancial obligatons for liabilites and damages related to the thef or misuse of such informaton, signifcant remediaton costs, disrupton of key business operatons and signifcant diversion of our resources, as well as fnes and other sanctons resultng from any regulatory non-compliance, any of which could have a material adverse efect on our business, proftability and fnancial conditon. While we may be enttled to damages if our vendors fail to perform under their agreements with us, any award may be insufcient to cover the actual costs incurred by us and, as a result of a vendor’s failure to perform, we may be unable to collect any damages.</w:t>
      </w:r>
    </w:p>
    <w:p>
      <w:pPr>
        <w:spacing w:after="0" w:line="116" w:lineRule="exact"/>
        <w:rPr>
          <w:sz w:val="20"/>
          <w:szCs w:val="20"/>
          <w:color w:val="auto"/>
        </w:rPr>
      </w:pPr>
    </w:p>
    <w:p>
      <w:pPr>
        <w:ind w:right="20" w:firstLine="324"/>
        <w:spacing w:after="0" w:line="235" w:lineRule="auto"/>
        <w:rPr>
          <w:sz w:val="20"/>
          <w:szCs w:val="20"/>
          <w:color w:val="auto"/>
        </w:rPr>
      </w:pPr>
      <w:r>
        <w:rPr>
          <w:rFonts w:ascii="Calibri" w:cs="Calibri" w:eastAsia="Calibri" w:hAnsi="Calibri"/>
          <w:sz w:val="18"/>
          <w:szCs w:val="18"/>
          <w:color w:val="auto"/>
        </w:rPr>
        <w:t>Despite our internal controls and investment in security measures, we have, from tme to tme, been subject to disruptve cyber-atacks and unauthorized network intrusions and malware on our own IT networks or those of our service providers or business partners. Although no such cybersecurity incidents have been material to us, we contnue to devote resources to protect our systems and data from unauthorized access or misuse, and we may be required to expend greater resources in the future. Businesses we acquire have previously increased, and may contnue to increase, the scope and complexity of our IT networks, and this has, from tme to tme, increased our risk exposure to cyber-atacks when there are difcultes integratng diverse legacy systems that support operatons for the acquired businesses.</w:t>
      </w:r>
    </w:p>
    <w:p>
      <w:pPr>
        <w:spacing w:after="0" w:line="113" w:lineRule="exact"/>
        <w:rPr>
          <w:sz w:val="20"/>
          <w:szCs w:val="20"/>
          <w:color w:val="auto"/>
        </w:rPr>
      </w:pPr>
    </w:p>
    <w:p>
      <w:pPr>
        <w:ind w:firstLine="324"/>
        <w:spacing w:after="0" w:line="235" w:lineRule="auto"/>
        <w:rPr>
          <w:sz w:val="20"/>
          <w:szCs w:val="20"/>
          <w:color w:val="auto"/>
        </w:rPr>
      </w:pPr>
      <w:r>
        <w:rPr>
          <w:rFonts w:ascii="Calibri" w:cs="Calibri" w:eastAsia="Calibri" w:hAnsi="Calibri"/>
          <w:sz w:val="18"/>
          <w:szCs w:val="18"/>
          <w:color w:val="auto"/>
        </w:rPr>
        <w:t>In additon, certain aspects of efectve cybersecurity are dependent upon our employees, contractors and other trusted partners reliably safeguarding secrets (e.g., applicaton credentals) and adhering to our security policies and access control mechanisms. We have in the past experienced, and expect in the future to experience, security incidents arising from a failure to properly handle such secrets or adhere to such policies and, although no such events have had a material adverse efect on our business, there can be no assurance that an insider threat will not result in a material cyber incident. Our logging, alertng and cyber incident detecton mechanisms may not cover every system potentally targeted by threat actors, may not have the capability to detect certain types of unauthorized actvites, and may not capture and surface informaton sufcient to enable us to tmely detect and take responsive acton to insider or external threats.</w:t>
      </w:r>
    </w:p>
    <w:p>
      <w:pPr>
        <w:spacing w:after="0" w:line="114" w:lineRule="exact"/>
        <w:rPr>
          <w:sz w:val="20"/>
          <w:szCs w:val="20"/>
          <w:color w:val="auto"/>
        </w:rPr>
      </w:pPr>
    </w:p>
    <w:p>
      <w:pPr>
        <w:ind w:right="80" w:firstLine="324"/>
        <w:spacing w:after="0" w:line="235" w:lineRule="auto"/>
        <w:rPr>
          <w:sz w:val="20"/>
          <w:szCs w:val="20"/>
          <w:color w:val="auto"/>
        </w:rPr>
      </w:pPr>
      <w:r>
        <w:rPr>
          <w:rFonts w:ascii="Calibri" w:cs="Calibri" w:eastAsia="Calibri" w:hAnsi="Calibri"/>
          <w:sz w:val="18"/>
          <w:szCs w:val="18"/>
          <w:color w:val="auto"/>
        </w:rPr>
        <w:t>U.S. and non-U.S. regulators, as well as customers and service providers, have also increased their focus on cybersecurity vulnerabilites and risks. Compliance with laws, regulatons, and contractual provisions concerning privacy, cybersecurity, secure technology development, data governance, data protecton, confdentality and IP could result in signifcant expense, and any failure to comply could result in proceedings against us by regulatory authorites or other third partes and may also increase our overall compliance burden. See also “</w:t>
      </w:r>
      <w:r>
        <w:rPr>
          <w:rFonts w:ascii="Calibri" w:cs="Calibri" w:eastAsia="Calibri" w:hAnsi="Calibri"/>
          <w:sz w:val="18"/>
          <w:szCs w:val="18"/>
          <w:i w:val="1"/>
          <w:iCs w:val="1"/>
          <w:color w:val="auto"/>
        </w:rPr>
        <w:t>Failure of our sofware products to manage and security IT</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infrastructures and environments could have a material adverse efect on our business.”</w:t>
      </w:r>
    </w:p>
    <w:p>
      <w:pPr>
        <w:spacing w:after="0" w:line="112" w:lineRule="exact"/>
        <w:rPr>
          <w:sz w:val="20"/>
          <w:szCs w:val="20"/>
          <w:color w:val="auto"/>
        </w:rPr>
      </w:pPr>
    </w:p>
    <w:p>
      <w:pPr>
        <w:ind w:right="280" w:firstLine="81"/>
        <w:spacing w:after="0" w:line="235" w:lineRule="auto"/>
        <w:rPr>
          <w:sz w:val="20"/>
          <w:szCs w:val="20"/>
          <w:color w:val="auto"/>
        </w:rPr>
      </w:pPr>
      <w:r>
        <w:rPr>
          <w:rFonts w:ascii="Calibri" w:cs="Calibri" w:eastAsia="Calibri" w:hAnsi="Calibri"/>
          <w:sz w:val="18"/>
          <w:szCs w:val="18"/>
          <w:b w:val="1"/>
          <w:bCs w:val="1"/>
          <w:i w:val="1"/>
          <w:iCs w:val="1"/>
          <w:color w:val="auto"/>
        </w:rPr>
        <w:t>The majority of our sales have historically come from a small number of customers and a reducton in demand or loss of one or more of our signifcant customers may adversely afect our business.</w:t>
      </w:r>
    </w:p>
    <w:p>
      <w:pPr>
        <w:spacing w:after="0" w:line="110" w:lineRule="exact"/>
        <w:rPr>
          <w:sz w:val="20"/>
          <w:szCs w:val="20"/>
          <w:color w:val="auto"/>
        </w:rPr>
      </w:pPr>
    </w:p>
    <w:p>
      <w:pPr>
        <w:ind w:firstLine="324"/>
        <w:spacing w:after="0" w:line="252" w:lineRule="auto"/>
        <w:rPr>
          <w:sz w:val="20"/>
          <w:szCs w:val="20"/>
          <w:color w:val="auto"/>
        </w:rPr>
      </w:pPr>
      <w:r>
        <w:rPr>
          <w:rFonts w:ascii="Calibri" w:cs="Calibri" w:eastAsia="Calibri" w:hAnsi="Calibri"/>
          <w:sz w:val="17"/>
          <w:szCs w:val="17"/>
          <w:color w:val="auto"/>
        </w:rPr>
        <w:t>We have historically depended on a small number of end customers, OEMs, their respectve contract manufacturers (“CMs”) and certain distributors for a majority of our business and revenue. For fscal year 2024, sales to distributors accounted for 48% of our net revenue. We believe aggregate sales, through all channels, to our top fve end customers accounted for approximately 40% of our net revenue for fscal year 2024. This customer concentraton increases the risk of quarterly fuctuatons in our operatng results and our sensitvity to any material adverse developments experienced by these customers.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2" w:name="page23"/>
    <w:bookmarkEnd w:id="2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firstLine="324"/>
        <w:spacing w:after="0" w:line="251" w:lineRule="auto"/>
        <w:rPr>
          <w:sz w:val="20"/>
          <w:szCs w:val="20"/>
          <w:color w:val="auto"/>
        </w:rPr>
      </w:pPr>
      <w:r>
        <w:rPr>
          <w:rFonts w:ascii="Calibri" w:cs="Calibri" w:eastAsia="Calibri" w:hAnsi="Calibri"/>
          <w:sz w:val="17"/>
          <w:szCs w:val="17"/>
          <w:color w:val="auto"/>
        </w:rPr>
        <w:t>Our semiconductor customers are not generally required to purchase specifc quanttes of products. Even when customers agree to source an agreed porton of their product needs from us, such arrangements ofen include pricing schedules or methodologies that apply regardless of the volume of products purchased, and those customers may not purchase the amount of product we expect. As a result, we may not generate the amount of revenue or achieve the level of proftability we expect under such arrangements. Moreover, our top customers’ purchasing power has, in some cases, given them the ability to make greater demands on us with regard to pricing and contractual terms in general. Some customers may even reduce the amount of products or decline to purchase due to their internal development of the products. The loss of, or any substantal reducton in sales to, any of our top customers, including our hyperscale customers, could have a material adverse efect on our business, fnancial conditon, results of operatons and cash fows.</w:t>
      </w:r>
    </w:p>
    <w:p>
      <w:pPr>
        <w:spacing w:after="0" w:line="96" w:lineRule="exact"/>
        <w:rPr>
          <w:sz w:val="20"/>
          <w:szCs w:val="20"/>
          <w:color w:val="auto"/>
        </w:rPr>
      </w:pPr>
    </w:p>
    <w:p>
      <w:pPr>
        <w:ind w:left="180"/>
        <w:spacing w:after="0"/>
        <w:rPr>
          <w:sz w:val="20"/>
          <w:szCs w:val="20"/>
          <w:color w:val="auto"/>
        </w:rPr>
      </w:pPr>
      <w:r>
        <w:rPr>
          <w:rFonts w:ascii="Calibri" w:cs="Calibri" w:eastAsia="Calibri" w:hAnsi="Calibri"/>
          <w:sz w:val="18"/>
          <w:szCs w:val="18"/>
          <w:b w:val="1"/>
          <w:bCs w:val="1"/>
          <w:i w:val="1"/>
          <w:iCs w:val="1"/>
          <w:color w:val="auto"/>
        </w:rPr>
        <w:t>We operate in the highly cyclical semiconductor industry.</w:t>
      </w:r>
    </w:p>
    <w:p>
      <w:pPr>
        <w:spacing w:after="0" w:line="109" w:lineRule="exact"/>
        <w:rPr>
          <w:sz w:val="20"/>
          <w:szCs w:val="20"/>
          <w:color w:val="auto"/>
        </w:rPr>
      </w:pPr>
    </w:p>
    <w:p>
      <w:pPr>
        <w:ind w:firstLine="324"/>
        <w:spacing w:after="0" w:line="250" w:lineRule="auto"/>
        <w:rPr>
          <w:sz w:val="20"/>
          <w:szCs w:val="20"/>
          <w:color w:val="auto"/>
        </w:rPr>
      </w:pPr>
      <w:r>
        <w:rPr>
          <w:rFonts w:ascii="Calibri" w:cs="Calibri" w:eastAsia="Calibri" w:hAnsi="Calibri"/>
          <w:sz w:val="17"/>
          <w:szCs w:val="17"/>
          <w:color w:val="auto"/>
        </w:rPr>
        <w:t>The semiconductor industry is highly cyclical and is characterized by rapid price erosion, wide fuctuatons in product supply and demand, constant and rapid technological change, evolving technical standards, evolving markets such as AI, frequent new product introductons, and short product life cycles. From tme to tme, these factors, together with changes in general economic conditons, cause signifcant upturns and downturns in the industry and in our business. The market for AI-related products has resulted in a signifcant upturn in certain segments of the industry resultng in record revenue, which may not be sustainable. Previously the industry experienced a signifcant upturn due to a supply imbalance that resulted in record proftability and increases in average selling prices, which was followed by a down-cycle resultng in diminished demand for end-user products, high inventory levels and periods of inventory adjustment, and eliminaton of expedite fees. Historically, such down-cycles have also been characterized by under-utlizaton of manufacturing capacity, changes in revenue mix and accelerated erosion of average selling prices, which can lead to reduced proftability and a decline in our stock price. The Creatng Helpful Incentves to Produce Semiconductors for America Act could also result in an increase in supply leading to excess inventory and a decrease in average selling prices. We expect our business to contnue to be subject to cyclical downturns even when overall economic conditons are relatvely stable. If we cannot ofset industry or market downturns, our net revenue may decline and our fnancial conditon and results of operatons may sufer.</w:t>
      </w:r>
    </w:p>
    <w:p>
      <w:pPr>
        <w:spacing w:after="0" w:line="106" w:lineRule="exact"/>
        <w:rPr>
          <w:sz w:val="20"/>
          <w:szCs w:val="20"/>
          <w:color w:val="auto"/>
        </w:rPr>
      </w:pPr>
    </w:p>
    <w:p>
      <w:pPr>
        <w:ind w:right="20" w:firstLine="81"/>
        <w:spacing w:after="0" w:line="235" w:lineRule="auto"/>
        <w:rPr>
          <w:sz w:val="20"/>
          <w:szCs w:val="20"/>
          <w:color w:val="auto"/>
        </w:rPr>
      </w:pPr>
      <w:r>
        <w:rPr>
          <w:rFonts w:ascii="Calibri" w:cs="Calibri" w:eastAsia="Calibri" w:hAnsi="Calibri"/>
          <w:sz w:val="18"/>
          <w:szCs w:val="18"/>
          <w:b w:val="1"/>
          <w:bCs w:val="1"/>
          <w:i w:val="1"/>
          <w:iCs w:val="1"/>
          <w:color w:val="auto"/>
        </w:rPr>
        <w:t>We make investments in research and development and the slow or unsuccessful return of our investments could materially adversely afect our business, fnancial conditon and results of operatons.</w:t>
      </w:r>
    </w:p>
    <w:p>
      <w:pPr>
        <w:spacing w:after="0" w:line="110" w:lineRule="exact"/>
        <w:rPr>
          <w:sz w:val="20"/>
          <w:szCs w:val="20"/>
          <w:color w:val="auto"/>
        </w:rPr>
      </w:pPr>
    </w:p>
    <w:p>
      <w:pPr>
        <w:ind w:right="60" w:firstLine="324"/>
        <w:spacing w:after="0" w:line="235" w:lineRule="auto"/>
        <w:rPr>
          <w:sz w:val="20"/>
          <w:szCs w:val="20"/>
          <w:color w:val="auto"/>
        </w:rPr>
      </w:pPr>
      <w:r>
        <w:rPr>
          <w:rFonts w:ascii="Calibri" w:cs="Calibri" w:eastAsia="Calibri" w:hAnsi="Calibri"/>
          <w:sz w:val="18"/>
          <w:szCs w:val="18"/>
          <w:color w:val="auto"/>
        </w:rPr>
        <w:t>The industries in which we compete are characterized by rapid technological change, new technological trends such as AI and cloud computng, changes in customer requirements, frequent new product introductons and enhancements, short product cycles, evolving industry standards and new delivery methods. In additon, to compete successfully in the semiconductor industry, we must contnue to develop and respond to technological advancements and requirements, such as low-power consumpton, higher bandwidth and increase in the number of clusters. Failure to successfully develop increasingly advanced technologies, including ASICs such as custom AI accelerators or XPUs and other AI-related products, could impair our compettve positon. In order to remain compettve, we have made, and expect to contnue to make, signifcant investments in research and development. If we fail to tmely develop new and enhanced products and technologies, if we focus on technologies that do not become widely adopted, or if new compettve technologies that we do not support become widely accepted, demand for our products such as our custom AI accelerators or XPUs and other AI-related products may be reduced. Increased investments in research and development, or slow or unsuccessful research and development eforts, would have a negatve impact on our fnancial results.</w:t>
      </w:r>
    </w:p>
    <w:p>
      <w:pPr>
        <w:spacing w:after="0" w:line="116" w:lineRule="exact"/>
        <w:rPr>
          <w:sz w:val="20"/>
          <w:szCs w:val="20"/>
          <w:color w:val="auto"/>
        </w:rPr>
      </w:pPr>
    </w:p>
    <w:p>
      <w:pPr>
        <w:ind w:left="80" w:right="180" w:firstLine="81"/>
        <w:spacing w:after="0" w:line="235" w:lineRule="auto"/>
        <w:rPr>
          <w:sz w:val="20"/>
          <w:szCs w:val="20"/>
          <w:color w:val="auto"/>
        </w:rPr>
      </w:pPr>
      <w:r>
        <w:rPr>
          <w:rFonts w:ascii="Calibri" w:cs="Calibri" w:eastAsia="Calibri" w:hAnsi="Calibri"/>
          <w:sz w:val="18"/>
          <w:szCs w:val="18"/>
          <w:b w:val="1"/>
          <w:bCs w:val="1"/>
          <w:i w:val="1"/>
          <w:iCs w:val="1"/>
          <w:color w:val="auto"/>
        </w:rPr>
        <w:t>Winning business in the semiconductor solutons industry is subject to a lengthy process that ofen requires us to incur signifcant expense, from which we may ultmately generate no revenue.</w:t>
      </w:r>
    </w:p>
    <w:p>
      <w:pPr>
        <w:spacing w:after="0" w:line="110" w:lineRule="exact"/>
        <w:rPr>
          <w:sz w:val="20"/>
          <w:szCs w:val="20"/>
          <w:color w:val="auto"/>
        </w:rPr>
      </w:pPr>
    </w:p>
    <w:p>
      <w:pPr>
        <w:ind w:right="180" w:firstLine="324"/>
        <w:spacing w:after="0" w:line="235" w:lineRule="auto"/>
        <w:rPr>
          <w:sz w:val="20"/>
          <w:szCs w:val="20"/>
          <w:color w:val="auto"/>
        </w:rPr>
      </w:pPr>
      <w:r>
        <w:rPr>
          <w:rFonts w:ascii="Calibri" w:cs="Calibri" w:eastAsia="Calibri" w:hAnsi="Calibri"/>
          <w:sz w:val="18"/>
          <w:szCs w:val="18"/>
          <w:color w:val="auto"/>
        </w:rPr>
        <w:t>Our semiconductor business is dependent on us winning compettve bid selecton processes, known as “design wins.” These selecton processes are typically lengthy and can require us to dedicate signifcant development expenditures and scarce engineering resources in pursuit of a single customer opportunity. Failure to obtain a partcular design win may prevent us from obtaining design wins in subsequent generatons of a partcular product. This can result in lost revenue and can weaken our positon in future selecton processes.</w:t>
      </w:r>
    </w:p>
    <w:p>
      <w:pPr>
        <w:spacing w:after="0" w:line="111" w:lineRule="exact"/>
        <w:rPr>
          <w:sz w:val="20"/>
          <w:szCs w:val="20"/>
          <w:color w:val="auto"/>
        </w:rPr>
      </w:pPr>
    </w:p>
    <w:p>
      <w:pPr>
        <w:ind w:firstLine="324"/>
        <w:spacing w:after="0" w:line="235" w:lineRule="auto"/>
        <w:rPr>
          <w:sz w:val="20"/>
          <w:szCs w:val="20"/>
          <w:color w:val="auto"/>
        </w:rPr>
      </w:pPr>
      <w:r>
        <w:rPr>
          <w:rFonts w:ascii="Calibri" w:cs="Calibri" w:eastAsia="Calibri" w:hAnsi="Calibri"/>
          <w:sz w:val="18"/>
          <w:szCs w:val="18"/>
          <w:color w:val="auto"/>
        </w:rPr>
        <w:t>Winning a product design does not guarantee sales to a customer. Customers could delay or cancel plans, fail to qualify our products, reduce or discontnue use of our products or fail to successfully market and sell their products, which could reduce demand for our products and cause us to hold excess inventory, materially adversely afectng our business, fnancial conditon and results of operatons. In additon, the tming of design wins is unpredictable and implementng producton for a major design win or multple design wins at the same tme, such as our design wins for our custom AI accelerators or XPUs and other AI-related products, may strain our resources and those of our CMs. In such event, we may be forced to dedicate signifcant additonal resources such as product engineering and incur additonal costs and expenses, which we expect to contnue for our AI-related products. These risks are exacerbated by the fact that many of our products, such as our AI-related products, are dependent on our contnued success in the development and quality of our products and product engineering.</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3" w:name="page24"/>
    <w:bookmarkEnd w:id="2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0" w:firstLine="81"/>
        <w:spacing w:after="0" w:line="235" w:lineRule="auto"/>
        <w:rPr>
          <w:sz w:val="20"/>
          <w:szCs w:val="20"/>
          <w:color w:val="auto"/>
        </w:rPr>
      </w:pPr>
      <w:r>
        <w:rPr>
          <w:rFonts w:ascii="Calibri" w:cs="Calibri" w:eastAsia="Calibri" w:hAnsi="Calibri"/>
          <w:sz w:val="18"/>
          <w:szCs w:val="18"/>
          <w:b w:val="1"/>
          <w:bCs w:val="1"/>
          <w:i w:val="1"/>
          <w:iCs w:val="1"/>
          <w:color w:val="auto"/>
        </w:rPr>
        <w:t>Dependence on contract manufacturing and suppliers of critcal components within our supply chain may adversely afect our ability to bring products to market, damage our reputaton and adversely afect our results of operatons.</w:t>
      </w:r>
    </w:p>
    <w:p>
      <w:pPr>
        <w:spacing w:after="0" w:line="110" w:lineRule="exact"/>
        <w:rPr>
          <w:sz w:val="20"/>
          <w:szCs w:val="20"/>
          <w:color w:val="auto"/>
        </w:rPr>
      </w:pPr>
    </w:p>
    <w:p>
      <w:pPr>
        <w:ind w:right="180" w:firstLine="324"/>
        <w:spacing w:after="0" w:line="235" w:lineRule="auto"/>
        <w:rPr>
          <w:sz w:val="20"/>
          <w:szCs w:val="20"/>
          <w:color w:val="auto"/>
        </w:rPr>
      </w:pPr>
      <w:r>
        <w:rPr>
          <w:rFonts w:ascii="Calibri" w:cs="Calibri" w:eastAsia="Calibri" w:hAnsi="Calibri"/>
          <w:sz w:val="18"/>
          <w:szCs w:val="18"/>
          <w:color w:val="auto"/>
        </w:rPr>
        <w:t>We operate a primarily outsourced manufacturing business model that principally utlizes CMs, such as third-party wafer foundries. Our semiconductor products require wafer manufacturers with state-of-the-art fabricaton equipment and techniques, and most of our products are designed to be manufactured in a specifc process, typically at one partcular fab or foundry, either our own or with a partcular CM. Qualifying and establishing reliable producton at acceptable yields with a new CM, if at all, is a lengthy and ofen expensive process.</w:t>
      </w:r>
    </w:p>
    <w:p>
      <w:pPr>
        <w:spacing w:after="0" w:line="111" w:lineRule="exact"/>
        <w:rPr>
          <w:sz w:val="20"/>
          <w:szCs w:val="20"/>
          <w:color w:val="auto"/>
        </w:rPr>
      </w:pPr>
    </w:p>
    <w:p>
      <w:pPr>
        <w:ind w:right="140" w:firstLine="324"/>
        <w:spacing w:after="0" w:line="235" w:lineRule="auto"/>
        <w:rPr>
          <w:sz w:val="20"/>
          <w:szCs w:val="20"/>
          <w:color w:val="auto"/>
        </w:rPr>
      </w:pPr>
      <w:r>
        <w:rPr>
          <w:rFonts w:ascii="Calibri" w:cs="Calibri" w:eastAsia="Calibri" w:hAnsi="Calibri"/>
          <w:sz w:val="18"/>
          <w:szCs w:val="18"/>
          <w:color w:val="auto"/>
        </w:rPr>
        <w:t>We depend on our CMs to allocate sufcient manufacturing capacity to meet our needs, to produce products of acceptable quality at acceptable yields, and to deliver those products to us on a tmely basis. We do not generally have long-term capacity commitments with our CMs and substantally all of our manufacturing services are on a purchase order basis with no minimum quanttes. Further, our CMs may fail to tmely develop or successfully implement new, advanced manufacturing processes, including transitons to smaller geometry process technologies. From tme to tme, our CMs may also cease to, or become unable to, manufacture a component for us.</w:t>
      </w:r>
    </w:p>
    <w:p>
      <w:pPr>
        <w:spacing w:after="0" w:line="112" w:lineRule="exact"/>
        <w:rPr>
          <w:sz w:val="20"/>
          <w:szCs w:val="20"/>
          <w:color w:val="auto"/>
        </w:rPr>
      </w:pPr>
    </w:p>
    <w:p>
      <w:pPr>
        <w:ind w:right="40" w:firstLine="324"/>
        <w:spacing w:after="0" w:line="235" w:lineRule="auto"/>
        <w:rPr>
          <w:sz w:val="20"/>
          <w:szCs w:val="20"/>
          <w:color w:val="auto"/>
        </w:rPr>
      </w:pPr>
      <w:r>
        <w:rPr>
          <w:rFonts w:ascii="Calibri" w:cs="Calibri" w:eastAsia="Calibri" w:hAnsi="Calibri"/>
          <w:sz w:val="18"/>
          <w:szCs w:val="18"/>
          <w:color w:val="auto"/>
        </w:rPr>
        <w:t>TSMC, one of our CMs, manufactured approximately 95% of the wafers manufactured by our CMs during fscal year 2024. We believe our wafer requirements represent a meaningful porton of TSMC’s total producton capacity. However, TSMC also fabricates wafers for other companies, including some of our compettors, and could choose or be required to prioritze capacity for other customers or reduce or eliminate deliveries to us on short notce. In additon, TSMC has, and may in the future, raise their prices to us.</w:t>
      </w:r>
    </w:p>
    <w:p>
      <w:pPr>
        <w:spacing w:after="0" w:line="111" w:lineRule="exact"/>
        <w:rPr>
          <w:sz w:val="20"/>
          <w:szCs w:val="20"/>
          <w:color w:val="auto"/>
        </w:rPr>
      </w:pPr>
    </w:p>
    <w:p>
      <w:pPr>
        <w:jc w:val="both"/>
        <w:ind w:firstLine="324"/>
        <w:spacing w:after="0" w:line="235" w:lineRule="auto"/>
        <w:rPr>
          <w:sz w:val="20"/>
          <w:szCs w:val="20"/>
          <w:color w:val="auto"/>
        </w:rPr>
      </w:pPr>
      <w:r>
        <w:rPr>
          <w:rFonts w:ascii="Calibri" w:cs="Calibri" w:eastAsia="Calibri" w:hAnsi="Calibri"/>
          <w:sz w:val="18"/>
          <w:szCs w:val="18"/>
          <w:color w:val="auto"/>
        </w:rPr>
        <w:t>If any of the foregoing circumstances occur, we may be unable to meet our customer demand, or to the same extent as our compettors, fail to meet our contractual obligatons or forgo revenue opportunites. This could damage our relatonships with our customers, result in litgaton for alleged failure to meet our obligatons, or result in payment of signifcant damages, and our net revenue could decline, adversely afectng our business, fnancial conditon, results of operatons and gross margin.</w:t>
      </w:r>
    </w:p>
    <w:p>
      <w:pPr>
        <w:spacing w:after="0" w:line="107"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We purchase a signifcant amount of the materials, including components, used in our products from a limited number of suppliers.</w:t>
      </w:r>
    </w:p>
    <w:p>
      <w:pPr>
        <w:spacing w:after="0" w:line="109" w:lineRule="exact"/>
        <w:rPr>
          <w:sz w:val="20"/>
          <w:szCs w:val="20"/>
          <w:color w:val="auto"/>
        </w:rPr>
      </w:pPr>
    </w:p>
    <w:p>
      <w:pPr>
        <w:ind w:right="60" w:firstLine="324"/>
        <w:spacing w:after="0" w:line="226" w:lineRule="auto"/>
        <w:rPr>
          <w:sz w:val="20"/>
          <w:szCs w:val="20"/>
          <w:color w:val="auto"/>
        </w:rPr>
      </w:pPr>
      <w:r>
        <w:rPr>
          <w:rFonts w:ascii="Calibri" w:cs="Calibri" w:eastAsia="Calibri" w:hAnsi="Calibri"/>
          <w:sz w:val="18"/>
          <w:szCs w:val="18"/>
          <w:color w:val="auto"/>
        </w:rPr>
        <w:t>Our manufacturing processes and those of our CMs rely on many materials, including silicon, GaAs and InP wafers, copper lead frames, precious and rare earth metals, mold compound, ceramic packages and various chemicals and gases. During fscal year 2024, we purchased approximately two-thirds of our manufacturing materials from fve materials suppliers, some of which are single source suppliers. The lead tme needed to identfy and qualify a new supplier is typically lengthy and there is ofen no readily available alternatve source. We do not generally have long-term contracts with our materials suppliers and substantally all of our purchases are on a purchase order basis. Suppliers may extend lead tmes, limit supplies, place products on allocaton or increase prices, any of which could disrupt supply or increase demand in the industry. Additonally, the supply of these materials may be negatvely impacted by increased trade tensions between the U.S. and its trading partners, partcularly China. Any such supply constraints could result in loss of revenue opportunites and adversely impact our business, fnancial conditon and results of operatons.</w:t>
      </w:r>
    </w:p>
    <w:p>
      <w:pPr>
        <w:spacing w:after="0" w:line="113" w:lineRule="exact"/>
        <w:rPr>
          <w:sz w:val="20"/>
          <w:szCs w:val="20"/>
          <w:color w:val="auto"/>
        </w:rPr>
      </w:pPr>
    </w:p>
    <w:p>
      <w:pPr>
        <w:ind w:left="80" w:right="80" w:firstLine="81"/>
        <w:spacing w:after="0" w:line="227" w:lineRule="auto"/>
        <w:rPr>
          <w:sz w:val="20"/>
          <w:szCs w:val="20"/>
          <w:color w:val="auto"/>
        </w:rPr>
      </w:pPr>
      <w:r>
        <w:rPr>
          <w:rFonts w:ascii="Calibri" w:cs="Calibri" w:eastAsia="Calibri" w:hAnsi="Calibri"/>
          <w:sz w:val="18"/>
          <w:szCs w:val="18"/>
          <w:b w:val="1"/>
          <w:bCs w:val="1"/>
          <w:i w:val="1"/>
          <w:iCs w:val="1"/>
          <w:color w:val="auto"/>
        </w:rPr>
        <w:t>A prolonged disrupton of our or our suppliers’ manufacturing facilites, research and development facilites, warehouses or other signifcant operatons could have a material adverse efect on our business, fnancial conditon and results of operatons.</w:t>
      </w:r>
    </w:p>
    <w:p>
      <w:pPr>
        <w:spacing w:after="0" w:line="97" w:lineRule="exact"/>
        <w:rPr>
          <w:sz w:val="20"/>
          <w:szCs w:val="20"/>
          <w:color w:val="auto"/>
        </w:rPr>
      </w:pPr>
    </w:p>
    <w:p>
      <w:pPr>
        <w:ind w:right="40" w:firstLine="324"/>
        <w:spacing w:after="0" w:line="235" w:lineRule="auto"/>
        <w:rPr>
          <w:sz w:val="20"/>
          <w:szCs w:val="20"/>
          <w:color w:val="auto"/>
        </w:rPr>
      </w:pPr>
      <w:r>
        <w:rPr>
          <w:rFonts w:ascii="Calibri" w:cs="Calibri" w:eastAsia="Calibri" w:hAnsi="Calibri"/>
          <w:sz w:val="18"/>
          <w:szCs w:val="18"/>
          <w:color w:val="auto"/>
        </w:rPr>
        <w:t>Although we operate a primarily outsourced manufacturing business model, we also rely on our own manufacturing facilites, in partcular in Fort Collins, Colorado, Singapore, and Breinigsville, Pennsylvania. Our Fort Collins and Breinigsville facilites are the sole sources for the FBAR components used in many of our wireless devices and for the InP-based wafers used in our fbre optcs products, respectvely. Many of our facilites, and those of our CMs and suppliers, are concentrated in the same geographic regions of California and the Pacifc Rim, which have above average seismic actvity and severe weather actvity, and increases the risk of natural disasters impactng multple suppliers. In additon, a signifcant majority of our research and development personnel are located in the Czech Republic, India, Israel, and the U.S., and our primary warehouse is in Malaysia.</w:t>
      </w:r>
    </w:p>
    <w:p>
      <w:pPr>
        <w:spacing w:after="0" w:line="113" w:lineRule="exact"/>
        <w:rPr>
          <w:sz w:val="20"/>
          <w:szCs w:val="20"/>
          <w:color w:val="auto"/>
        </w:rPr>
      </w:pPr>
    </w:p>
    <w:p>
      <w:pPr>
        <w:ind w:firstLine="324"/>
        <w:spacing w:after="0" w:line="235" w:lineRule="auto"/>
        <w:rPr>
          <w:sz w:val="20"/>
          <w:szCs w:val="20"/>
          <w:color w:val="auto"/>
        </w:rPr>
      </w:pPr>
      <w:r>
        <w:rPr>
          <w:rFonts w:ascii="Calibri" w:cs="Calibri" w:eastAsia="Calibri" w:hAnsi="Calibri"/>
          <w:sz w:val="18"/>
          <w:szCs w:val="18"/>
          <w:color w:val="auto"/>
        </w:rPr>
        <w:t>A prolonged disrupton at or shut-down of one or more of our manufacturing facilites or warehouses or those of our CMs or suppliers, due to natural- or man-made disasters or other events outside of our control, such as climate change, water shortages, politcal unrest, military conficts, geopolitcal turmoil, trade tensions, government orders, labor shortages, medical epidemics, economic instability, equipment failure or for any other reason, would limit our capacity to meet customer demands and delay new product development untl a replacement facility and equipment, if necessary, were found. To date, such events have not had a material adverse efect on our business. However, such an event could disrupt our operatons, forgo revenue opportunites, potentally lose market share, result in us being unable to tmely satsfy customer demand, expose us to claims by our customers, result in signifcant expense to repair or replace our afected facilites, and, in some</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4" w:name="page25"/>
    <w:bookmarkEnd w:id="2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instances, could signifcantly curtail our research and development eforts in a partcular product area or target market, any of which could materially and adversely afect our business. This disrupton could also prevent our customers from resuming their own manufacturing following such an event, they may cancel or scale back their orders from us and this may in turn adversely afect our results of operatons. Such events could also result in increased fxed costs relatve to the revenue we generate and adversely afect our results of operatons.</w:t>
      </w:r>
    </w:p>
    <w:p>
      <w:pPr>
        <w:spacing w:after="0" w:line="107"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Failure to adjust our manufacturing and supply chain to accurately meet customer demand could adversely afect our results of operatons.</w:t>
      </w:r>
    </w:p>
    <w:p>
      <w:pPr>
        <w:spacing w:after="0" w:line="96" w:lineRule="exact"/>
        <w:rPr>
          <w:sz w:val="20"/>
          <w:szCs w:val="20"/>
          <w:color w:val="auto"/>
        </w:rPr>
      </w:pPr>
    </w:p>
    <w:p>
      <w:pPr>
        <w:ind w:right="180" w:firstLine="324"/>
        <w:spacing w:after="0" w:line="235" w:lineRule="auto"/>
        <w:rPr>
          <w:sz w:val="20"/>
          <w:szCs w:val="20"/>
          <w:color w:val="auto"/>
        </w:rPr>
      </w:pPr>
      <w:r>
        <w:rPr>
          <w:rFonts w:ascii="Calibri" w:cs="Calibri" w:eastAsia="Calibri" w:hAnsi="Calibri"/>
          <w:sz w:val="18"/>
          <w:szCs w:val="18"/>
          <w:color w:val="auto"/>
        </w:rPr>
        <w:t>We make signifcant decisions, including determining the levels of business that we will seek and accept, producton schedules, levels of reliance on contract manufacturing and outsourcing, internal fabricaton utlizaton and other resource requirements, based on customer requirements or estmates thereof, which may not be accurate. Many factors could impact our estmates of customers’ demands, including changes in product development cycles, competng technologies and product releases, new or unexpected end-user products, such as demand for AI-related products, and changes in business and economic conditons. If we are unable to tmely respond to changes in customer demand, this could damage our customer relatonships, harm our reputaton, prevent us from taking advantage of opportunites and adversely impact our business, fnancial conditon and results of operatons.</w:t>
      </w:r>
    </w:p>
    <w:p>
      <w:pPr>
        <w:spacing w:after="0" w:line="113" w:lineRule="exact"/>
        <w:rPr>
          <w:sz w:val="20"/>
          <w:szCs w:val="20"/>
          <w:color w:val="auto"/>
        </w:rPr>
      </w:pPr>
    </w:p>
    <w:p>
      <w:pPr>
        <w:ind w:right="220" w:firstLine="81"/>
        <w:spacing w:after="0" w:line="235" w:lineRule="auto"/>
        <w:rPr>
          <w:sz w:val="20"/>
          <w:szCs w:val="20"/>
          <w:color w:val="auto"/>
        </w:rPr>
      </w:pPr>
      <w:r>
        <w:rPr>
          <w:rFonts w:ascii="Calibri" w:cs="Calibri" w:eastAsia="Calibri" w:hAnsi="Calibri"/>
          <w:sz w:val="18"/>
          <w:szCs w:val="18"/>
          <w:b w:val="1"/>
          <w:bCs w:val="1"/>
          <w:i w:val="1"/>
          <w:iCs w:val="1"/>
          <w:color w:val="auto"/>
        </w:rPr>
        <w:t>We may be unable to maintain appropriate manufacturing capacity or product yields at our own manufacturing facilites, which could adversely afect our relatonships with our customers, and our business, fnancial conditon and results of operatons.</w:t>
      </w:r>
    </w:p>
    <w:p>
      <w:pPr>
        <w:spacing w:after="0" w:line="110" w:lineRule="exact"/>
        <w:rPr>
          <w:sz w:val="20"/>
          <w:szCs w:val="20"/>
          <w:color w:val="auto"/>
        </w:rPr>
      </w:pPr>
    </w:p>
    <w:p>
      <w:pPr>
        <w:ind w:firstLine="324"/>
        <w:spacing w:after="0" w:line="235" w:lineRule="auto"/>
        <w:rPr>
          <w:sz w:val="20"/>
          <w:szCs w:val="20"/>
          <w:color w:val="auto"/>
        </w:rPr>
      </w:pPr>
      <w:r>
        <w:rPr>
          <w:rFonts w:ascii="Calibri" w:cs="Calibri" w:eastAsia="Calibri" w:hAnsi="Calibri"/>
          <w:sz w:val="18"/>
          <w:szCs w:val="18"/>
          <w:color w:val="auto"/>
        </w:rPr>
        <w:t>We must maintain appropriate capacity and product yields at our own manufacturing facilites to meet antcipated customer demand. From tme to tme, this requires us to invest in expansion or improvements of those facilites, which may not be sufcient or in tme, to meet customer demand and we may have to put customers on product allocaton, forgo sales or lose customers as a result. Conversely, if we overestmate customer demand, we would experience excess capacity and fxed costs at these facilites will not be fully absorbed, which could adversely afect our results of operatons. Similarly, reduced product yields, due to design or manufacturing issues or otherwise, may involve signifcant tme and cost to remedy and cause delays in our ability to supply product to our customers, all of which could cause us to forgo sales, incur liabilites or lose customers, and harm our results of operatons.</w:t>
      </w:r>
    </w:p>
    <w:p>
      <w:pPr>
        <w:spacing w:after="0" w:line="113" w:lineRule="exact"/>
        <w:rPr>
          <w:sz w:val="20"/>
          <w:szCs w:val="20"/>
          <w:color w:val="auto"/>
        </w:rPr>
      </w:pPr>
    </w:p>
    <w:p>
      <w:pPr>
        <w:jc w:val="both"/>
        <w:ind w:right="100" w:firstLine="81"/>
        <w:spacing w:after="0" w:line="235" w:lineRule="auto"/>
        <w:rPr>
          <w:sz w:val="20"/>
          <w:szCs w:val="20"/>
          <w:color w:val="auto"/>
        </w:rPr>
      </w:pPr>
      <w:r>
        <w:rPr>
          <w:rFonts w:ascii="Calibri" w:cs="Calibri" w:eastAsia="Calibri" w:hAnsi="Calibri"/>
          <w:sz w:val="18"/>
          <w:szCs w:val="18"/>
          <w:b w:val="1"/>
          <w:bCs w:val="1"/>
          <w:i w:val="1"/>
          <w:iCs w:val="1"/>
          <w:color w:val="auto"/>
        </w:rPr>
        <w:t>We may be involved in legal proceedings, including IP, securites litgaton, and employee-related claims, which could, among other things, divert eforts of management and result in signifcant expense and loss of our IP rights.</w:t>
      </w:r>
    </w:p>
    <w:p>
      <w:pPr>
        <w:spacing w:after="0" w:line="110" w:lineRule="exact"/>
        <w:rPr>
          <w:sz w:val="20"/>
          <w:szCs w:val="20"/>
          <w:color w:val="auto"/>
        </w:rPr>
      </w:pPr>
    </w:p>
    <w:p>
      <w:pPr>
        <w:jc w:val="both"/>
        <w:ind w:right="120" w:firstLine="324"/>
        <w:spacing w:after="0" w:line="254" w:lineRule="auto"/>
        <w:rPr>
          <w:sz w:val="20"/>
          <w:szCs w:val="20"/>
          <w:color w:val="auto"/>
        </w:rPr>
      </w:pPr>
      <w:r>
        <w:rPr>
          <w:rFonts w:ascii="Calibri" w:cs="Calibri" w:eastAsia="Calibri" w:hAnsi="Calibri"/>
          <w:sz w:val="17"/>
          <w:szCs w:val="17"/>
          <w:color w:val="auto"/>
        </w:rPr>
        <w:t>We are ofen involved in legal proceedings, including cases involving our IP rights and those of others, commercial maters, acquisiton-related lawsuits, securites class acton lawsuits, employee-related claims and other actons. Litgaton or setlement of such actons, regardless of their merit, have been, and can contnue to be, costly, lengthy, complex and tme consuming, divertng the atenton and energies of our management and technical personnel.</w:t>
      </w:r>
    </w:p>
    <w:p>
      <w:pPr>
        <w:spacing w:after="0" w:line="97" w:lineRule="exact"/>
        <w:rPr>
          <w:sz w:val="20"/>
          <w:szCs w:val="20"/>
          <w:color w:val="auto"/>
        </w:rPr>
      </w:pPr>
    </w:p>
    <w:p>
      <w:pPr>
        <w:ind w:right="20" w:firstLine="324"/>
        <w:spacing w:after="0" w:line="235" w:lineRule="auto"/>
        <w:rPr>
          <w:sz w:val="20"/>
          <w:szCs w:val="20"/>
          <w:color w:val="auto"/>
        </w:rPr>
      </w:pPr>
      <w:r>
        <w:rPr>
          <w:rFonts w:ascii="Calibri" w:cs="Calibri" w:eastAsia="Calibri" w:hAnsi="Calibri"/>
          <w:sz w:val="18"/>
          <w:szCs w:val="18"/>
          <w:color w:val="auto"/>
        </w:rPr>
        <w:t>The industries in which we operate are characterized by companies holding large numbers of patents, copyrights, trademarks and trade secrets and vigorously pursuing, protectng and enforcing IP rights, including actons by patent-holding companies that do not make or sell products. From tme to tme, third partes assert against us and our customers and distributors their IP rights to technologies that are important to our business. We may be required to indemnify our customers or purchasers for third-party IP infringement claims, including costs to defend those claims, and payment of damages in the case of adverse rulings. However, our CMs and suppliers may or may not be required to indemnify us should we or our customers be subject to such third-party claims. Claims of this sort could also harm our relatonships with our customers and might deter future customers from doing business with us. If any pending or future proceedings result in an adverse outcome, we could be required to:</w:t>
      </w:r>
    </w:p>
    <w:p>
      <w:pPr>
        <w:spacing w:after="0" w:line="109" w:lineRule="exact"/>
        <w:rPr>
          <w:sz w:val="20"/>
          <w:szCs w:val="20"/>
          <w:color w:val="auto"/>
        </w:rPr>
      </w:pPr>
    </w:p>
    <w:p>
      <w:pPr>
        <w:ind w:left="640" w:hanging="308"/>
        <w:spacing w:after="0"/>
        <w:tabs>
          <w:tab w:leader="none" w:pos="64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cease the manufacture, use or sale of the infringing products, processes or technology and/or make changes to our processes or products;</w:t>
      </w:r>
    </w:p>
    <w:p>
      <w:pPr>
        <w:spacing w:after="0" w:line="109" w:lineRule="exact"/>
        <w:rPr>
          <w:rFonts w:ascii="Calibri" w:cs="Calibri" w:eastAsia="Calibri" w:hAnsi="Calibri"/>
          <w:sz w:val="18"/>
          <w:szCs w:val="18"/>
          <w:color w:val="auto"/>
        </w:rPr>
      </w:pPr>
    </w:p>
    <w:p>
      <w:pPr>
        <w:ind w:left="640" w:hanging="308"/>
        <w:spacing w:after="0"/>
        <w:tabs>
          <w:tab w:leader="none" w:pos="640" w:val="left"/>
        </w:tabs>
        <w:numPr>
          <w:ilvl w:val="0"/>
          <w:numId w:val="32"/>
        </w:numPr>
        <w:rPr>
          <w:rFonts w:ascii="Calibri" w:cs="Calibri" w:eastAsia="Calibri" w:hAnsi="Calibri"/>
          <w:sz w:val="17"/>
          <w:szCs w:val="17"/>
          <w:color w:val="auto"/>
        </w:rPr>
      </w:pPr>
      <w:r>
        <w:rPr>
          <w:rFonts w:ascii="Calibri" w:cs="Calibri" w:eastAsia="Calibri" w:hAnsi="Calibri"/>
          <w:sz w:val="17"/>
          <w:szCs w:val="17"/>
          <w:color w:val="auto"/>
        </w:rPr>
        <w:t>pay substantal damages for past, present and future use of the infringing technology, including up to treble damages if willful infringement is found;</w:t>
      </w:r>
    </w:p>
    <w:p>
      <w:pPr>
        <w:spacing w:after="0" w:line="111" w:lineRule="exact"/>
        <w:rPr>
          <w:rFonts w:ascii="Calibri" w:cs="Calibri" w:eastAsia="Calibri" w:hAnsi="Calibri"/>
          <w:sz w:val="17"/>
          <w:szCs w:val="17"/>
          <w:color w:val="auto"/>
        </w:rPr>
      </w:pPr>
    </w:p>
    <w:p>
      <w:pPr>
        <w:ind w:left="640" w:hanging="308"/>
        <w:spacing w:after="0"/>
        <w:tabs>
          <w:tab w:leader="none" w:pos="64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expend signifcant resources to develop non-infringing technology;</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license technology from the third party claiming infringement, which license may not be available on commercially reasonable terms, or at all;</w:t>
      </w:r>
    </w:p>
    <w:p>
      <w:pPr>
        <w:spacing w:after="0" w:line="109" w:lineRule="exact"/>
        <w:rPr>
          <w:rFonts w:ascii="Calibri" w:cs="Calibri" w:eastAsia="Calibri" w:hAnsi="Calibri"/>
          <w:sz w:val="18"/>
          <w:szCs w:val="18"/>
          <w:color w:val="auto"/>
        </w:rPr>
      </w:pPr>
    </w:p>
    <w:p>
      <w:pPr>
        <w:ind w:left="660" w:right="720" w:hanging="328"/>
        <w:spacing w:after="0" w:line="235" w:lineRule="auto"/>
        <w:tabs>
          <w:tab w:leader="none" w:pos="653"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enter into cross-licenses with our compettors, which could weaken our overall IP portolio and our ability to compete in partcular product categories;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pay substantal damages to our direct or end customers to discontnue use or replace infringing technology with non-infringing technology; or</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5" w:name="page26"/>
    <w:bookmarkEnd w:id="2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40" w:hanging="308"/>
        <w:spacing w:after="0"/>
        <w:tabs>
          <w:tab w:leader="none" w:pos="64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relinquish IP rights associated with one or more of our patent claims.</w:t>
      </w:r>
    </w:p>
    <w:p>
      <w:pPr>
        <w:spacing w:after="0" w:line="104"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Any of the foregoing results could have a material adverse efect on our business, fnancial conditon and results of operatons.</w:t>
      </w:r>
    </w:p>
    <w:p>
      <w:pPr>
        <w:spacing w:after="0" w:line="104"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Failure of our sofware products to manage and secure IT infrastructures and environments could have a material adverse efect on our business.</w:t>
      </w:r>
    </w:p>
    <w:p>
      <w:pPr>
        <w:spacing w:after="0" w:line="109" w:lineRule="exact"/>
        <w:rPr>
          <w:sz w:val="20"/>
          <w:szCs w:val="20"/>
          <w:color w:val="auto"/>
        </w:rPr>
      </w:pPr>
    </w:p>
    <w:p>
      <w:pPr>
        <w:ind w:right="60" w:firstLine="324"/>
        <w:spacing w:after="0" w:line="251" w:lineRule="auto"/>
        <w:rPr>
          <w:sz w:val="20"/>
          <w:szCs w:val="20"/>
          <w:color w:val="auto"/>
        </w:rPr>
      </w:pPr>
      <w:r>
        <w:rPr>
          <w:rFonts w:ascii="Calibri" w:cs="Calibri" w:eastAsia="Calibri" w:hAnsi="Calibri"/>
          <w:sz w:val="17"/>
          <w:szCs w:val="17"/>
          <w:color w:val="auto"/>
        </w:rPr>
        <w:t>Certain aspects of our sofware products are intended to manage and secure IT infrastructures and environments, and as a result, we expect these products to be ongoing targets of cyber-atacks. Open source code or other third-party sofware used in these products could also be targeted and may make our products vulnerable to additonal security risks not posed by purely proprietary products. Our products are complex and, when deployed, may contain errors, defects or security vulnerabilites, some of which may not be discovered before the product has been released, installed and used by customers. The complexity and breadth of our technical and producton environments, which involve globally dispersed development and engineering teams, increases the risk that errors, defects or vulnerabilites will be introduced and may delay our ability to detect, mitgate or remediate such incidents.</w:t>
      </w:r>
    </w:p>
    <w:p>
      <w:pPr>
        <w:spacing w:after="0" w:line="102" w:lineRule="exact"/>
        <w:rPr>
          <w:sz w:val="20"/>
          <w:szCs w:val="20"/>
          <w:color w:val="auto"/>
        </w:rPr>
      </w:pPr>
    </w:p>
    <w:p>
      <w:pPr>
        <w:ind w:right="400" w:firstLine="324"/>
        <w:spacing w:after="0" w:line="235" w:lineRule="auto"/>
        <w:rPr>
          <w:sz w:val="20"/>
          <w:szCs w:val="20"/>
          <w:color w:val="auto"/>
        </w:rPr>
      </w:pPr>
      <w:r>
        <w:rPr>
          <w:rFonts w:ascii="Calibri" w:cs="Calibri" w:eastAsia="Calibri" w:hAnsi="Calibri"/>
          <w:sz w:val="18"/>
          <w:szCs w:val="18"/>
          <w:color w:val="auto"/>
        </w:rPr>
        <w:t>In the past, elements of our proprietary source code have been exposed in an unauthorized manner. It is possible that such exposure of source code could reveal unknown security vulnerabilites in our products that could be exploited by malicious actors. Our products are also subject to known and unknown security vulnerabilites resultng from integraton with third-party products or services.</w:t>
      </w:r>
    </w:p>
    <w:p>
      <w:pPr>
        <w:spacing w:after="0" w:line="111" w:lineRule="exact"/>
        <w:rPr>
          <w:sz w:val="20"/>
          <w:szCs w:val="20"/>
          <w:color w:val="auto"/>
        </w:rPr>
      </w:pPr>
    </w:p>
    <w:p>
      <w:pPr>
        <w:ind w:firstLine="324"/>
        <w:spacing w:after="0" w:line="235" w:lineRule="auto"/>
        <w:rPr>
          <w:sz w:val="20"/>
          <w:szCs w:val="20"/>
          <w:color w:val="auto"/>
        </w:rPr>
      </w:pPr>
      <w:r>
        <w:rPr>
          <w:rFonts w:ascii="Calibri" w:cs="Calibri" w:eastAsia="Calibri" w:hAnsi="Calibri"/>
          <w:sz w:val="18"/>
          <w:szCs w:val="18"/>
          <w:color w:val="auto"/>
        </w:rPr>
        <w:t>Although we contnually seek to improve our countermeasures to prevent such incidents, we may be unable to antcipate every scenario and it is possible that certain cyber threats or vulnerabilites will be undetected or unmitgated in tme to prevent an atack or an accidental incident on us and our customers. Additonally, eforts by malicious cyber actors or others could cause interruptons, delays or cessaton of our product licensing, or modifcaton of our sofware, which could cause us to lose existng or potental customers.</w:t>
      </w:r>
    </w:p>
    <w:p>
      <w:pPr>
        <w:spacing w:after="0" w:line="111" w:lineRule="exact"/>
        <w:rPr>
          <w:sz w:val="20"/>
          <w:szCs w:val="20"/>
          <w:color w:val="auto"/>
        </w:rPr>
      </w:pPr>
    </w:p>
    <w:p>
      <w:pPr>
        <w:ind w:right="140" w:firstLine="324"/>
        <w:spacing w:after="0" w:line="235" w:lineRule="auto"/>
        <w:rPr>
          <w:sz w:val="20"/>
          <w:szCs w:val="20"/>
          <w:color w:val="auto"/>
        </w:rPr>
      </w:pPr>
      <w:r>
        <w:rPr>
          <w:rFonts w:ascii="Calibri" w:cs="Calibri" w:eastAsia="Calibri" w:hAnsi="Calibri"/>
          <w:sz w:val="18"/>
          <w:szCs w:val="18"/>
          <w:color w:val="auto"/>
        </w:rPr>
        <w:t xml:space="preserve">A successful cyber-atack involving our products could cause customers and potental customers to believe our services are inefectve or unreliable and result in, among other things, the loss of customers, unfavorable publicity, damage to our reputaton, difculty in marketng our products, and allegatons by our customers that we have not performed our contractual obligatons, and give rise to signifcant costs, including costs related to developing solutons or indemnifcaton obligatons under our agreements. Any such event could adversely impact our revenue and results of operatons. See also </w:t>
      </w:r>
      <w:r>
        <w:rPr>
          <w:rFonts w:ascii="Calibri" w:cs="Calibri" w:eastAsia="Calibri" w:hAnsi="Calibri"/>
          <w:sz w:val="18"/>
          <w:szCs w:val="18"/>
          <w:i w:val="1"/>
          <w:iCs w:val="1"/>
          <w:color w:val="auto"/>
        </w:rPr>
        <w:t>“Cyber security</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threats or other security breaches, or any other impairment of the confdentality, integrity or availability of our IT systems, or those of one or more of our corporate infrastructure vendors, could have a material adverse efect on our business.”</w:t>
      </w:r>
    </w:p>
    <w:p>
      <w:pPr>
        <w:spacing w:after="0" w:line="113" w:lineRule="exact"/>
        <w:rPr>
          <w:sz w:val="20"/>
          <w:szCs w:val="20"/>
          <w:color w:val="auto"/>
        </w:rPr>
      </w:pPr>
    </w:p>
    <w:p>
      <w:pPr>
        <w:ind w:right="360" w:firstLine="81"/>
        <w:spacing w:after="0" w:line="235" w:lineRule="auto"/>
        <w:rPr>
          <w:sz w:val="20"/>
          <w:szCs w:val="20"/>
          <w:color w:val="auto"/>
        </w:rPr>
      </w:pPr>
      <w:r>
        <w:rPr>
          <w:rFonts w:ascii="Calibri" w:cs="Calibri" w:eastAsia="Calibri" w:hAnsi="Calibri"/>
          <w:sz w:val="18"/>
          <w:szCs w:val="18"/>
          <w:b w:val="1"/>
          <w:bCs w:val="1"/>
          <w:i w:val="1"/>
          <w:iCs w:val="1"/>
          <w:color w:val="auto"/>
        </w:rPr>
        <w:t>The growth of our sofware business depends on demand for our data center virtualizaton products, as well as customer acceptance of our products, services and business strategy.</w:t>
      </w:r>
    </w:p>
    <w:p>
      <w:pPr>
        <w:spacing w:after="0" w:line="110" w:lineRule="exact"/>
        <w:rPr>
          <w:sz w:val="20"/>
          <w:szCs w:val="20"/>
          <w:color w:val="auto"/>
        </w:rPr>
      </w:pPr>
    </w:p>
    <w:p>
      <w:pPr>
        <w:ind w:right="100" w:firstLine="324"/>
        <w:spacing w:after="0" w:line="235" w:lineRule="auto"/>
        <w:rPr>
          <w:sz w:val="20"/>
          <w:szCs w:val="20"/>
          <w:color w:val="auto"/>
        </w:rPr>
      </w:pPr>
      <w:r>
        <w:rPr>
          <w:rFonts w:ascii="Calibri" w:cs="Calibri" w:eastAsia="Calibri" w:hAnsi="Calibri"/>
          <w:sz w:val="18"/>
          <w:szCs w:val="18"/>
          <w:color w:val="auto"/>
        </w:rPr>
        <w:t>Many of our sofware products and services are based on data center virtualizaton and related hybrid-cloud technologies used to manage distributed computng architectures, which form the foundaton for hybrid-cloud computng. Enabling businesses to modernize applicatons and efciently implement their hybrid-cloud services presents new and difcult technological, operatonal and compliance challenges. If businesses build new or shif existng compute workloads of-premises to public cloud providers, this could limit the market for on-premises deployments of our data center virtualizaton products. Current and future customers may not perceive benefts associated with adoptng our hybrid-cloud and enterprise-grade private cloud platorm or our simplifed product portolios. If demand is signifcantly less than antcipated or we fail to realize the expected returns on our business strategy, our business, fnancial conditon, results of operatons and cash fows may be adversely afected.</w:t>
      </w:r>
    </w:p>
    <w:p>
      <w:pPr>
        <w:spacing w:after="0" w:line="114" w:lineRule="exact"/>
        <w:rPr>
          <w:sz w:val="20"/>
          <w:szCs w:val="20"/>
          <w:color w:val="auto"/>
        </w:rPr>
      </w:pPr>
    </w:p>
    <w:p>
      <w:pPr>
        <w:ind w:right="500" w:firstLine="81"/>
        <w:spacing w:after="0" w:line="235" w:lineRule="auto"/>
        <w:rPr>
          <w:sz w:val="20"/>
          <w:szCs w:val="20"/>
          <w:color w:val="auto"/>
        </w:rPr>
      </w:pPr>
      <w:r>
        <w:rPr>
          <w:rFonts w:ascii="Calibri" w:cs="Calibri" w:eastAsia="Calibri" w:hAnsi="Calibri"/>
          <w:sz w:val="18"/>
          <w:szCs w:val="18"/>
          <w:b w:val="1"/>
          <w:bCs w:val="1"/>
          <w:i w:val="1"/>
          <w:iCs w:val="1"/>
          <w:color w:val="auto"/>
        </w:rPr>
        <w:t>If our sofware products do not remain compatble with ever-changing operatng environments, platorms, or third-party products, demand for our products and services could decrease, which could materially adversely afect our business.</w:t>
      </w:r>
    </w:p>
    <w:p>
      <w:pPr>
        <w:spacing w:after="0" w:line="110" w:lineRule="exact"/>
        <w:rPr>
          <w:sz w:val="20"/>
          <w:szCs w:val="20"/>
          <w:color w:val="auto"/>
        </w:rPr>
      </w:pPr>
    </w:p>
    <w:p>
      <w:pPr>
        <w:ind w:right="100" w:firstLine="324"/>
        <w:spacing w:after="0" w:line="235" w:lineRule="auto"/>
        <w:rPr>
          <w:sz w:val="20"/>
          <w:szCs w:val="20"/>
          <w:color w:val="auto"/>
        </w:rPr>
      </w:pPr>
      <w:r>
        <w:rPr>
          <w:rFonts w:ascii="Calibri" w:cs="Calibri" w:eastAsia="Calibri" w:hAnsi="Calibri"/>
          <w:sz w:val="18"/>
          <w:szCs w:val="18"/>
          <w:color w:val="auto"/>
        </w:rPr>
        <w:t>We may be required to make substantal modifcaton of our products to maintain compatbility with operatng systems, systems sofware and computer hardware used by our customers or to provide our customers with desired features or capabilites. W</w:t>
      </w:r>
      <w:r>
        <w:rPr>
          <w:rFonts w:ascii="Calibri" w:cs="Calibri" w:eastAsia="Calibri" w:hAnsi="Calibri"/>
          <w:sz w:val="18"/>
          <w:szCs w:val="18"/>
          <w:color w:val="212529"/>
        </w:rPr>
        <w:t>e must also contnually address the challenges of</w:t>
      </w:r>
      <w:r>
        <w:rPr>
          <w:rFonts w:ascii="Calibri" w:cs="Calibri" w:eastAsia="Calibri" w:hAnsi="Calibri"/>
          <w:sz w:val="18"/>
          <w:szCs w:val="18"/>
          <w:color w:val="auto"/>
        </w:rPr>
        <w:t xml:space="preserve"> </w:t>
      </w:r>
      <w:r>
        <w:rPr>
          <w:rFonts w:ascii="Calibri" w:cs="Calibri" w:eastAsia="Calibri" w:hAnsi="Calibri"/>
          <w:sz w:val="18"/>
          <w:szCs w:val="18"/>
          <w:color w:val="212529"/>
        </w:rPr>
        <w:t xml:space="preserve">dynamic and acceleratng market trends and compettve developments, such as the emergence of advanced persistent threats in the security space, to compete efectvely. </w:t>
      </w:r>
      <w:r>
        <w:rPr>
          <w:rFonts w:ascii="Calibri" w:cs="Calibri" w:eastAsia="Calibri" w:hAnsi="Calibri"/>
          <w:sz w:val="18"/>
          <w:szCs w:val="18"/>
          <w:color w:val="000000"/>
        </w:rPr>
        <w:t>There can be no assurance that we will be able to adapt our products in response to these developments.</w:t>
      </w:r>
    </w:p>
    <w:p>
      <w:pPr>
        <w:spacing w:after="0" w:line="111" w:lineRule="exact"/>
        <w:rPr>
          <w:sz w:val="20"/>
          <w:szCs w:val="20"/>
          <w:color w:val="auto"/>
        </w:rPr>
      </w:pPr>
    </w:p>
    <w:p>
      <w:pPr>
        <w:ind w:right="180" w:firstLine="324"/>
        <w:spacing w:after="0" w:line="235" w:lineRule="auto"/>
        <w:rPr>
          <w:sz w:val="20"/>
          <w:szCs w:val="20"/>
          <w:color w:val="auto"/>
        </w:rPr>
      </w:pPr>
      <w:r>
        <w:rPr>
          <w:rFonts w:ascii="Calibri" w:cs="Calibri" w:eastAsia="Calibri" w:hAnsi="Calibri"/>
          <w:sz w:val="18"/>
          <w:szCs w:val="18"/>
          <w:color w:val="auto"/>
        </w:rPr>
        <w:t>Further, our sofware solutons interact with a variety of sofware and hardware developed by third partes, as well as cloud providers. If we lose access to third-party code and specifcatons for the development of code or cloud providers fail to support our products or otherwise limit the functonality, compatbility or certfcaton of our products or otherwise impose unfavorable terms and conditons, this could negatvely impact our ability to develop compatble sofware. This could result in higher research and development costs for the enhancement and modifcaton of our existng products or development of</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6" w:name="page27"/>
    <w:bookmarkEnd w:id="2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color w:val="auto"/>
        </w:rPr>
        <w:t>new products. Any additonal restrictons could materially adversely afect our business, fnancial conditon and operatng results and cash fow.</w:t>
      </w:r>
    </w:p>
    <w:p>
      <w:pPr>
        <w:spacing w:after="0" w:line="104"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Failure to enter into sofware license agreements on a satsfactory basis could materially adversely afect our business.</w:t>
      </w:r>
    </w:p>
    <w:p>
      <w:pPr>
        <w:spacing w:after="0" w:line="109" w:lineRule="exact"/>
        <w:rPr>
          <w:sz w:val="20"/>
          <w:szCs w:val="20"/>
          <w:color w:val="auto"/>
        </w:rPr>
      </w:pPr>
    </w:p>
    <w:p>
      <w:pPr>
        <w:ind w:right="160" w:firstLine="324"/>
        <w:spacing w:after="0" w:line="235" w:lineRule="auto"/>
        <w:rPr>
          <w:sz w:val="20"/>
          <w:szCs w:val="20"/>
          <w:color w:val="auto"/>
        </w:rPr>
      </w:pPr>
      <w:r>
        <w:rPr>
          <w:rFonts w:ascii="Calibri" w:cs="Calibri" w:eastAsia="Calibri" w:hAnsi="Calibri"/>
          <w:sz w:val="18"/>
          <w:szCs w:val="18"/>
          <w:color w:val="auto"/>
        </w:rPr>
        <w:t>Many of our existng sofware customers have mult-year enterprise sofware license agreements, some of which involve substantal aggregate fee amounts. These customers ofen do not have a contractual obligaton to purchase additonal solutons and ofen have terminaton for convenience clauses without payment of a substantve penalty. The failure or inability to renew customer agreements of similar scope, on terms that are commercially atractve to us, could materially adversely afect our business, fnancial conditon and operatng results and cash fow, or sofware license agreements without terminaton for convenience clauses could cause our operatng results to fuctuate.</w:t>
      </w:r>
    </w:p>
    <w:p>
      <w:pPr>
        <w:spacing w:after="0" w:line="112" w:lineRule="exact"/>
        <w:rPr>
          <w:sz w:val="20"/>
          <w:szCs w:val="20"/>
          <w:color w:val="auto"/>
        </w:rPr>
      </w:pPr>
    </w:p>
    <w:p>
      <w:pPr>
        <w:ind w:right="40" w:firstLine="81"/>
        <w:spacing w:after="0" w:line="235" w:lineRule="auto"/>
        <w:rPr>
          <w:sz w:val="20"/>
          <w:szCs w:val="20"/>
          <w:color w:val="auto"/>
        </w:rPr>
      </w:pPr>
      <w:r>
        <w:rPr>
          <w:rFonts w:ascii="Calibri" w:cs="Calibri" w:eastAsia="Calibri" w:hAnsi="Calibri"/>
          <w:sz w:val="18"/>
          <w:szCs w:val="18"/>
          <w:b w:val="1"/>
          <w:bCs w:val="1"/>
          <w:i w:val="1"/>
          <w:iCs w:val="1"/>
          <w:color w:val="auto"/>
        </w:rPr>
        <w:t>Our use of open source sofware in certain products and services could materially adversely afect our business, fnancial conditon, operatng results and cash fow.</w:t>
      </w:r>
    </w:p>
    <w:p>
      <w:pPr>
        <w:spacing w:after="0" w:line="110" w:lineRule="exact"/>
        <w:rPr>
          <w:sz w:val="20"/>
          <w:szCs w:val="20"/>
          <w:color w:val="auto"/>
        </w:rPr>
      </w:pPr>
    </w:p>
    <w:p>
      <w:pPr>
        <w:ind w:right="80" w:firstLine="324"/>
        <w:spacing w:after="0" w:line="235" w:lineRule="auto"/>
        <w:rPr>
          <w:sz w:val="20"/>
          <w:szCs w:val="20"/>
          <w:color w:val="auto"/>
        </w:rPr>
      </w:pPr>
      <w:r>
        <w:rPr>
          <w:rFonts w:ascii="Calibri" w:cs="Calibri" w:eastAsia="Calibri" w:hAnsi="Calibri"/>
          <w:sz w:val="18"/>
          <w:szCs w:val="18"/>
          <w:color w:val="auto"/>
        </w:rPr>
        <w:t>Many of our products and services incorporate open source sofware, the use of which may subject us to certain conditons, including the obligaton to ofer such products for no cost or to make the proprietary source code of those products publicly available. Open source licenses are generally “as-is” and do not provide warrantes, support or assurance of ttle or controls on origin, which may expose us to potental liability if the sofware fails to work or has security vulnerabilites.</w:t>
      </w:r>
    </w:p>
    <w:p>
      <w:pPr>
        <w:spacing w:after="0" w:line="111" w:lineRule="exact"/>
        <w:rPr>
          <w:sz w:val="20"/>
          <w:szCs w:val="20"/>
          <w:color w:val="auto"/>
        </w:rPr>
      </w:pPr>
    </w:p>
    <w:p>
      <w:pPr>
        <w:jc w:val="both"/>
        <w:ind w:right="280" w:firstLine="324"/>
        <w:spacing w:after="0" w:line="235" w:lineRule="auto"/>
        <w:rPr>
          <w:sz w:val="20"/>
          <w:szCs w:val="20"/>
          <w:color w:val="auto"/>
        </w:rPr>
      </w:pPr>
      <w:r>
        <w:rPr>
          <w:rFonts w:ascii="Calibri" w:cs="Calibri" w:eastAsia="Calibri" w:hAnsi="Calibri"/>
          <w:sz w:val="18"/>
          <w:szCs w:val="18"/>
          <w:color w:val="auto"/>
        </w:rPr>
        <w:t>Although we monitor our use of open source sofware to avoid subjectng our products to unintended conditons and security vulnerabilites, we may receive third-party claims regarding our compliance with the conditons of such open source licenses and we may be required to take steps to remedy an alleged infringement or noncompliance, including modifying or releasing our product code or paying damages.</w:t>
      </w:r>
    </w:p>
    <w:p>
      <w:pPr>
        <w:spacing w:after="0" w:line="111" w:lineRule="exact"/>
        <w:rPr>
          <w:sz w:val="20"/>
          <w:szCs w:val="20"/>
          <w:color w:val="auto"/>
        </w:rPr>
      </w:pPr>
    </w:p>
    <w:p>
      <w:pPr>
        <w:ind w:right="680" w:firstLine="81"/>
        <w:spacing w:after="0" w:line="235" w:lineRule="auto"/>
        <w:rPr>
          <w:sz w:val="20"/>
          <w:szCs w:val="20"/>
          <w:color w:val="auto"/>
        </w:rPr>
      </w:pPr>
      <w:r>
        <w:rPr>
          <w:rFonts w:ascii="Calibri" w:cs="Calibri" w:eastAsia="Calibri" w:hAnsi="Calibri"/>
          <w:sz w:val="18"/>
          <w:szCs w:val="18"/>
          <w:b w:val="1"/>
          <w:bCs w:val="1"/>
          <w:i w:val="1"/>
          <w:iCs w:val="1"/>
          <w:color w:val="auto"/>
        </w:rPr>
        <w:t>Our sales to government customers subject us to uncertaintes and governmental regulatons, which could have a material adverse efect on our business.</w:t>
      </w:r>
    </w:p>
    <w:p>
      <w:pPr>
        <w:spacing w:after="0" w:line="110" w:lineRule="exact"/>
        <w:rPr>
          <w:sz w:val="20"/>
          <w:szCs w:val="20"/>
          <w:color w:val="auto"/>
        </w:rPr>
      </w:pPr>
    </w:p>
    <w:p>
      <w:pPr>
        <w:ind w:right="160" w:firstLine="324"/>
        <w:spacing w:after="0" w:line="235" w:lineRule="auto"/>
        <w:rPr>
          <w:sz w:val="20"/>
          <w:szCs w:val="20"/>
          <w:color w:val="auto"/>
        </w:rPr>
      </w:pPr>
      <w:r>
        <w:rPr>
          <w:rFonts w:ascii="Calibri" w:cs="Calibri" w:eastAsia="Calibri" w:hAnsi="Calibri"/>
          <w:sz w:val="18"/>
          <w:szCs w:val="18"/>
          <w:color w:val="auto"/>
        </w:rPr>
        <w:t>Our contracts signed with the U.S. federal, state and local government and non-U.S. government agencies are generally subject to annual fscal funding approval and may be renegotated or terminated at the discreton of the government. Terminaton, renegotaton or the lack of funding approval for a contract could adversely afect our sales, revenue and reputaton. Additonally, our government contracts and our arrangements with channel partners who may sell directly to government customers are generally subject to requirements that may generally not be present in commercial contracts and/or may be complex, as well as audits and investgatons. Failure to meet contractual requirements could result in various civil and criminal actons and penaltes, and administratve sanctons, including terminaton of contracts, refund of a porton of fees received, forfeiture of profts, suspension of payments, fnes and suspensions or debarment from doing business with the government, which could materially adversely afect our business, fnancial conditon, operatng results and cash fow.</w:t>
      </w:r>
    </w:p>
    <w:p>
      <w:pPr>
        <w:spacing w:after="0" w:line="110"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Failure to efectvely manage our products and services lifecycles could harm our business.</w:t>
      </w:r>
    </w:p>
    <w:p>
      <w:pPr>
        <w:spacing w:after="0" w:line="109" w:lineRule="exact"/>
        <w:rPr>
          <w:sz w:val="20"/>
          <w:szCs w:val="20"/>
          <w:color w:val="auto"/>
        </w:rPr>
      </w:pPr>
    </w:p>
    <w:p>
      <w:pPr>
        <w:ind w:right="40" w:firstLine="324"/>
        <w:spacing w:after="0" w:line="235" w:lineRule="auto"/>
        <w:rPr>
          <w:sz w:val="20"/>
          <w:szCs w:val="20"/>
          <w:color w:val="auto"/>
        </w:rPr>
      </w:pPr>
      <w:r>
        <w:rPr>
          <w:rFonts w:ascii="Calibri" w:cs="Calibri" w:eastAsia="Calibri" w:hAnsi="Calibri"/>
          <w:sz w:val="18"/>
          <w:szCs w:val="18"/>
          <w:color w:val="auto"/>
        </w:rPr>
        <w:t>As part of the natural lifecycle of our products and services, customers are informed when products or services will be reaching their end of life or end of availability and will no longer be supported or receive updates and security patches. If these products or services remain subject to a service contract, the customer may transiton to alternatve products or services. Failure to efectvely manage our products and services lifecycles could lead to customer dissatsfacton and contractual liabilites, which could adversely afect our business and operatng results.</w:t>
      </w:r>
    </w:p>
    <w:p>
      <w:pPr>
        <w:spacing w:after="0" w:line="107"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Our operatng results are subject to substantal quarterly and annual fuctuatons.</w:t>
      </w:r>
    </w:p>
    <w:p>
      <w:pPr>
        <w:spacing w:after="0" w:line="109" w:lineRule="exact"/>
        <w:rPr>
          <w:sz w:val="20"/>
          <w:szCs w:val="20"/>
          <w:color w:val="auto"/>
        </w:rPr>
      </w:pPr>
    </w:p>
    <w:p>
      <w:pPr>
        <w:ind w:right="40" w:firstLine="324"/>
        <w:spacing w:after="0" w:line="235" w:lineRule="auto"/>
        <w:rPr>
          <w:sz w:val="20"/>
          <w:szCs w:val="20"/>
          <w:color w:val="auto"/>
        </w:rPr>
      </w:pPr>
      <w:r>
        <w:rPr>
          <w:rFonts w:ascii="Calibri" w:cs="Calibri" w:eastAsia="Calibri" w:hAnsi="Calibri"/>
          <w:sz w:val="18"/>
          <w:szCs w:val="18"/>
          <w:color w:val="auto"/>
        </w:rPr>
        <w:t>Our operatng results have fuctuated in the past and are likely to fuctuate in the future. These fuctuatons may occur on a quarterly and annual basis and are due to a number of factors, many of which are beyond our control. In additon to many of the risks described elsewhere in this “Risk Factors” secton, these factors include, among others:</w:t>
      </w:r>
    </w:p>
    <w:p>
      <w:pPr>
        <w:spacing w:after="0" w:line="111" w:lineRule="exact"/>
        <w:rPr>
          <w:sz w:val="20"/>
          <w:szCs w:val="20"/>
          <w:color w:val="auto"/>
        </w:rPr>
      </w:pPr>
    </w:p>
    <w:p>
      <w:pPr>
        <w:ind w:left="660" w:right="240" w:hanging="328"/>
        <w:spacing w:after="0" w:line="235" w:lineRule="auto"/>
        <w:tabs>
          <w:tab w:leader="none" w:pos="653"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the tming of launches by our customers of new products in which our products are included and changes in end-user demand for our customers’ products;</w:t>
      </w:r>
    </w:p>
    <w:p>
      <w:pPr>
        <w:spacing w:after="0" w:line="109"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fuctuatons in the levels of component or product inventories held by our customers, which may lead to increased requests to delay shipment of our semiconductor products;</w:t>
      </w:r>
    </w:p>
    <w:p>
      <w:pPr>
        <w:spacing w:after="0" w:line="109" w:lineRule="exact"/>
        <w:rPr>
          <w:rFonts w:ascii="Calibri" w:cs="Calibri" w:eastAsia="Calibri" w:hAnsi="Calibri"/>
          <w:sz w:val="18"/>
          <w:szCs w:val="18"/>
          <w:color w:val="auto"/>
        </w:rPr>
      </w:pPr>
    </w:p>
    <w:p>
      <w:pPr>
        <w:ind w:left="660" w:right="200" w:hanging="328"/>
        <w:spacing w:after="0" w:line="235" w:lineRule="auto"/>
        <w:tabs>
          <w:tab w:leader="none" w:pos="653"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the shif to cloud-based IT solutons and services, such as hyperscale computng, which may adversely afect the tming and volume of sales of our semiconductor products for use in traditonal enterprise data centers;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the tming and extent of our sofware license and subscripton revenue, and other non-product revenue;</w:t>
      </w:r>
    </w:p>
    <w:p>
      <w:pPr>
        <w:spacing w:after="0" w:line="109" w:lineRule="exact"/>
        <w:rPr>
          <w:rFonts w:ascii="Calibri" w:cs="Calibri" w:eastAsia="Calibri" w:hAnsi="Calibri"/>
          <w:sz w:val="18"/>
          <w:szCs w:val="18"/>
          <w:color w:val="auto"/>
        </w:rPr>
      </w:pPr>
    </w:p>
    <w:p>
      <w:pPr>
        <w:ind w:left="640" w:hanging="308"/>
        <w:spacing w:after="0"/>
        <w:tabs>
          <w:tab w:leader="none" w:pos="640" w:val="left"/>
        </w:tabs>
        <w:numPr>
          <w:ilvl w:val="0"/>
          <w:numId w:val="34"/>
        </w:numPr>
        <w:rPr>
          <w:rFonts w:ascii="Calibri" w:cs="Calibri" w:eastAsia="Calibri" w:hAnsi="Calibri"/>
          <w:sz w:val="17"/>
          <w:szCs w:val="17"/>
          <w:color w:val="auto"/>
        </w:rPr>
      </w:pPr>
      <w:r>
        <w:rPr>
          <w:rFonts w:ascii="Calibri" w:cs="Calibri" w:eastAsia="Calibri" w:hAnsi="Calibri"/>
          <w:sz w:val="17"/>
          <w:szCs w:val="17"/>
          <w:color w:val="auto"/>
        </w:rPr>
        <w:t>the tming of new sofware contracts and renewals, including the tming of sofware contracts that do not have terminaton for convenience clauses;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7" w:name="page28"/>
    <w:bookmarkEnd w:id="2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40" w:hanging="308"/>
        <w:spacing w:after="0"/>
        <w:tabs>
          <w:tab w:leader="none" w:pos="640"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the tming of any terminatons of sofware contracts that require us to refund to customers any pre-paid amounts under the contract;</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the tming of contracts with distributors and channel partners to lead go-to-market and customer relatonships for certain products;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our ability to tmely develop, introduce and market new products and technologies;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new product announcements and introductons by us or our compettors;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seasonality or other fuctuatons in demand in our markets;</w:t>
      </w:r>
    </w:p>
    <w:p>
      <w:pPr>
        <w:spacing w:after="0" w:line="109" w:lineRule="exact"/>
        <w:rPr>
          <w:rFonts w:ascii="Calibri" w:cs="Calibri" w:eastAsia="Calibri" w:hAnsi="Calibri"/>
          <w:sz w:val="18"/>
          <w:szCs w:val="18"/>
          <w:color w:val="auto"/>
        </w:rPr>
      </w:pPr>
    </w:p>
    <w:p>
      <w:pPr>
        <w:ind w:left="660" w:right="60" w:hanging="328"/>
        <w:spacing w:after="0" w:line="235" w:lineRule="auto"/>
        <w:tabs>
          <w:tab w:leader="none" w:pos="653"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tming and amount of research and development and related new product expenditures, and the tming of receipt of any research and development grant monies; and</w:t>
      </w:r>
    </w:p>
    <w:p>
      <w:pPr>
        <w:spacing w:after="0" w:line="109" w:lineRule="exact"/>
        <w:rPr>
          <w:rFonts w:ascii="Calibri" w:cs="Calibri" w:eastAsia="Calibri" w:hAnsi="Calibri"/>
          <w:sz w:val="18"/>
          <w:szCs w:val="18"/>
          <w:color w:val="auto"/>
        </w:rPr>
      </w:pPr>
    </w:p>
    <w:p>
      <w:pPr>
        <w:ind w:left="660" w:right="520" w:hanging="328"/>
        <w:spacing w:after="0" w:line="235" w:lineRule="auto"/>
        <w:tabs>
          <w:tab w:leader="none" w:pos="653"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tming of any regulatory changes, partcularly with respect to trade sanctons and customs dutes and tarifs, and tax reform, or changes in the interpretaton or enforcement of existng requirements.</w:t>
      </w:r>
    </w:p>
    <w:p>
      <w:pPr>
        <w:spacing w:after="0" w:line="110" w:lineRule="exact"/>
        <w:rPr>
          <w:sz w:val="20"/>
          <w:szCs w:val="20"/>
          <w:color w:val="auto"/>
        </w:rPr>
      </w:pPr>
    </w:p>
    <w:p>
      <w:pPr>
        <w:ind w:right="40" w:firstLine="324"/>
        <w:spacing w:after="0" w:line="235" w:lineRule="auto"/>
        <w:rPr>
          <w:sz w:val="20"/>
          <w:szCs w:val="20"/>
          <w:color w:val="auto"/>
        </w:rPr>
      </w:pPr>
      <w:r>
        <w:rPr>
          <w:rFonts w:ascii="Calibri" w:cs="Calibri" w:eastAsia="Calibri" w:hAnsi="Calibri"/>
          <w:sz w:val="18"/>
          <w:szCs w:val="18"/>
          <w:color w:val="auto"/>
        </w:rPr>
        <w:t>The foregoing factors are ofen difcult to predict, and these, as well as other factors, could materially adversely afect our quarterly or annual operatng results. In additon, a signifcant amount of our operatng expenses are relatvely fxed in nature. Any failure to adjust spending quickly enough to compensate for a revenue shortall could magnify the adverse impact of such revenue shortall on our results of operatons. As a result, we believe that quarter-to-quarter comparisons of our revenue and operatng results may not be meaningful or reliable indicators of our future performance. If our operatng results in one or more future quarters fail to meet the expectatons of securites analysts or investors, a signifcant decline in the trading price of our common stock may occur, which may happen immediately or over tme.</w:t>
      </w:r>
    </w:p>
    <w:p>
      <w:pPr>
        <w:spacing w:after="0" w:line="108"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Competton in our industries could prevent us from growing our revenue.</w:t>
      </w:r>
    </w:p>
    <w:p>
      <w:pPr>
        <w:spacing w:after="0" w:line="109" w:lineRule="exact"/>
        <w:rPr>
          <w:sz w:val="20"/>
          <w:szCs w:val="20"/>
          <w:color w:val="auto"/>
        </w:rPr>
      </w:pPr>
    </w:p>
    <w:p>
      <w:pPr>
        <w:ind w:right="140" w:firstLine="324"/>
        <w:spacing w:after="0" w:line="235" w:lineRule="auto"/>
        <w:rPr>
          <w:sz w:val="20"/>
          <w:szCs w:val="20"/>
          <w:color w:val="auto"/>
        </w:rPr>
      </w:pPr>
      <w:r>
        <w:rPr>
          <w:rFonts w:ascii="Calibri" w:cs="Calibri" w:eastAsia="Calibri" w:hAnsi="Calibri"/>
          <w:sz w:val="18"/>
          <w:szCs w:val="18"/>
          <w:color w:val="auto"/>
        </w:rPr>
        <w:t>The industries in which we operate are highly compettve and characterized by rapid technological changes, evolving industry standards, changes in customer requirements, ofen aggressive pricing practces and, in some cases, new delivery methods. We expect competton in these industries to contnue to increase as existng compettors improve or expand their product oferings or as new compettors enter our markets. In additon, the trend toward consolidaton is changing the compettve landscape. We expect this trend to contnue, which may result in combined compettors having greater resources than us.</w:t>
      </w:r>
    </w:p>
    <w:p>
      <w:pPr>
        <w:spacing w:after="0" w:line="112" w:lineRule="exact"/>
        <w:rPr>
          <w:sz w:val="20"/>
          <w:szCs w:val="20"/>
          <w:color w:val="auto"/>
        </w:rPr>
      </w:pPr>
    </w:p>
    <w:p>
      <w:pPr>
        <w:ind w:right="220" w:firstLine="324"/>
        <w:spacing w:after="0" w:line="235" w:lineRule="auto"/>
        <w:rPr>
          <w:sz w:val="20"/>
          <w:szCs w:val="20"/>
          <w:color w:val="auto"/>
        </w:rPr>
      </w:pPr>
      <w:r>
        <w:rPr>
          <w:rFonts w:ascii="Calibri" w:cs="Calibri" w:eastAsia="Calibri" w:hAnsi="Calibri"/>
          <w:sz w:val="18"/>
          <w:szCs w:val="18"/>
          <w:color w:val="auto"/>
        </w:rPr>
        <w:t>Some of our compettors have longer operatng histories, greater name recogniton or presence in key markets, a larger installed customer base, larger technical staf, a more comprehensive IP portolio or beter patent protecton, more established relatonships with vendors or suppliers, or greater manufacturing, distributon, fnancial, research and development, technical and marketng resources than us. We face competton from companies that receive fnancial and other support from their home country government, customers who develop competng products, public cloud providers, numerous smaller companies that specialize in specifc aspects of the highly fragmented sofware industry, open source authors who provide sofware and IP for free, and compettors who ofer their products through try-and-buy or freemium models.</w:t>
      </w:r>
    </w:p>
    <w:p>
      <w:pPr>
        <w:spacing w:after="0" w:line="113" w:lineRule="exact"/>
        <w:rPr>
          <w:sz w:val="20"/>
          <w:szCs w:val="20"/>
          <w:color w:val="auto"/>
        </w:rPr>
      </w:pPr>
    </w:p>
    <w:p>
      <w:pPr>
        <w:ind w:right="40" w:firstLine="324"/>
        <w:spacing w:after="0" w:line="235" w:lineRule="auto"/>
        <w:rPr>
          <w:sz w:val="20"/>
          <w:szCs w:val="20"/>
          <w:color w:val="auto"/>
        </w:rPr>
      </w:pPr>
      <w:r>
        <w:rPr>
          <w:rFonts w:ascii="Calibri" w:cs="Calibri" w:eastAsia="Calibri" w:hAnsi="Calibri"/>
          <w:sz w:val="18"/>
          <w:szCs w:val="18"/>
          <w:color w:val="auto"/>
        </w:rPr>
        <w:t>The actons of our compettors, in the areas of pricing and product bundling in partcular, could have a substantal adverse impact on us. Further, compettors may leverage their superior market positon, as well as IP or other proprietary informaton, including interface, interoperability or technical informaton, in new and emerging technologies and platorms that may inhibit our ability to compete efectvely. If we are unable to compete successfully, we may lose market share for our products or incur signifcant reducton in our gross margins, either of which could have a material adverse efect on our business and results of operatons.</w:t>
      </w:r>
    </w:p>
    <w:p>
      <w:pPr>
        <w:spacing w:after="0" w:line="112" w:lineRule="exact"/>
        <w:rPr>
          <w:sz w:val="20"/>
          <w:szCs w:val="20"/>
          <w:color w:val="auto"/>
        </w:rPr>
      </w:pPr>
    </w:p>
    <w:p>
      <w:pPr>
        <w:ind w:right="240" w:firstLine="81"/>
        <w:spacing w:after="0" w:line="235" w:lineRule="auto"/>
        <w:rPr>
          <w:sz w:val="20"/>
          <w:szCs w:val="20"/>
          <w:color w:val="auto"/>
        </w:rPr>
      </w:pPr>
      <w:r>
        <w:rPr>
          <w:rFonts w:ascii="Calibri" w:cs="Calibri" w:eastAsia="Calibri" w:hAnsi="Calibri"/>
          <w:sz w:val="18"/>
          <w:szCs w:val="18"/>
          <w:b w:val="1"/>
          <w:bCs w:val="1"/>
          <w:i w:val="1"/>
          <w:iCs w:val="1"/>
          <w:color w:val="auto"/>
        </w:rPr>
        <w:t>Our gross margin is dependent on a number of factors, including our product mix, price erosion, acquisitons we may make, level of capacity utlizaton and commodity prices.</w:t>
      </w:r>
    </w:p>
    <w:p>
      <w:pPr>
        <w:spacing w:after="0" w:line="110" w:lineRule="exact"/>
        <w:rPr>
          <w:sz w:val="20"/>
          <w:szCs w:val="20"/>
          <w:color w:val="auto"/>
        </w:rPr>
      </w:pPr>
    </w:p>
    <w:p>
      <w:pPr>
        <w:ind w:firstLine="324"/>
        <w:spacing w:after="0" w:line="235" w:lineRule="auto"/>
        <w:rPr>
          <w:sz w:val="20"/>
          <w:szCs w:val="20"/>
          <w:color w:val="auto"/>
        </w:rPr>
      </w:pPr>
      <w:r>
        <w:rPr>
          <w:rFonts w:ascii="Calibri" w:cs="Calibri" w:eastAsia="Calibri" w:hAnsi="Calibri"/>
          <w:sz w:val="18"/>
          <w:szCs w:val="18"/>
          <w:color w:val="auto"/>
        </w:rPr>
        <w:t>Our gross margin is highly dependent on product mix, which is susceptble to seasonal and other fuctuatons in our markets. A shif in sales mix away from our higher margin products, as well as the tming and amount of our sofware licensing and non-product revenue, could adversely afect our future gross margin percentages. In additon, increased competton and the existence of product alternatves, more complex engineering requirements, lower demand, industry oversupply or reductons in our technological lead compared to our compettors, and other factors have in the past and may in the future lead to further price erosion, lower revenue and lower margin. Conversely, periods of robust demand that create a supply imbalance can lead to higher gross margins that may not be sustainable over the longer term.</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8" w:name="page29"/>
    <w:bookmarkEnd w:id="2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We utlize a signifcant amount of IP in our business. If we are unable or fail to protect our IP, our business could be adversely afected.</w:t>
      </w:r>
    </w:p>
    <w:p>
      <w:pPr>
        <w:spacing w:after="0" w:line="109" w:lineRule="exact"/>
        <w:rPr>
          <w:sz w:val="20"/>
          <w:szCs w:val="20"/>
          <w:color w:val="auto"/>
        </w:rPr>
      </w:pPr>
    </w:p>
    <w:p>
      <w:pPr>
        <w:ind w:right="60" w:firstLine="324"/>
        <w:spacing w:after="0" w:line="235" w:lineRule="auto"/>
        <w:rPr>
          <w:sz w:val="20"/>
          <w:szCs w:val="20"/>
          <w:color w:val="auto"/>
        </w:rPr>
      </w:pPr>
      <w:r>
        <w:rPr>
          <w:rFonts w:ascii="Calibri" w:cs="Calibri" w:eastAsia="Calibri" w:hAnsi="Calibri"/>
          <w:sz w:val="18"/>
          <w:szCs w:val="18"/>
          <w:color w:val="auto"/>
        </w:rPr>
        <w:t>Our success depends in part upon protectng our IP. To accomplish this, we rely on a combinaton of IP rights, including patents, copyrights, trademarks and trade secrets, as well as customary contractual protectons with our customers, suppliers, employees and consultants. We spend signifcant resources to monitor and protect our IP rights, including the unauthorized use of our products and usage rates of the sofware seat licenses and subscriptons that we sell. Even with signifcant expenditures, we may not be able to protect the IP rights that are valuable to our business or have sufcient IP rights to protect our products or our business. Further, efectve IP protecton may be unavailable or more limited in other jurisdictons, relatve to those protectons available in the U.S., and may not be applied for or may be abandoned in one or more relevant jurisdictons. In additon, when patents expire, we lose the protecton and compettve advantages they provided to us.</w:t>
      </w:r>
    </w:p>
    <w:p>
      <w:pPr>
        <w:spacing w:after="0" w:line="114" w:lineRule="exact"/>
        <w:rPr>
          <w:sz w:val="20"/>
          <w:szCs w:val="20"/>
          <w:color w:val="auto"/>
        </w:rPr>
      </w:pPr>
    </w:p>
    <w:p>
      <w:pPr>
        <w:jc w:val="both"/>
        <w:ind w:right="60" w:firstLine="324"/>
        <w:spacing w:after="0" w:line="235" w:lineRule="auto"/>
        <w:rPr>
          <w:sz w:val="20"/>
          <w:szCs w:val="20"/>
          <w:color w:val="auto"/>
        </w:rPr>
      </w:pPr>
      <w:r>
        <w:rPr>
          <w:rFonts w:ascii="Calibri" w:cs="Calibri" w:eastAsia="Calibri" w:hAnsi="Calibri"/>
          <w:sz w:val="18"/>
          <w:szCs w:val="18"/>
          <w:color w:val="auto"/>
        </w:rPr>
        <w:t>We also generate revenue from licensing royalty payments and from technology claim setlements relatng to certain of our IP. Licensing of our IP rights, partcularly exclusive licenses, may limit our ability to assert those IP rights against third partes, including the licensee of those rights. In additon, from tme to tme, we acquire companies with IP that is subject to licensing obligatons to other third partes. These licensing obligatons have extended, and may in the future extend, to our own IP, limitng our ability to assert our IP rights.</w:t>
      </w:r>
    </w:p>
    <w:p>
      <w:pPr>
        <w:spacing w:after="0" w:line="111" w:lineRule="exact"/>
        <w:rPr>
          <w:sz w:val="20"/>
          <w:szCs w:val="20"/>
          <w:color w:val="auto"/>
        </w:rPr>
      </w:pPr>
    </w:p>
    <w:p>
      <w:pPr>
        <w:ind w:right="20" w:firstLine="324"/>
        <w:spacing w:after="0" w:line="235" w:lineRule="auto"/>
        <w:rPr>
          <w:sz w:val="20"/>
          <w:szCs w:val="20"/>
          <w:color w:val="auto"/>
        </w:rPr>
      </w:pPr>
      <w:r>
        <w:rPr>
          <w:rFonts w:ascii="Calibri" w:cs="Calibri" w:eastAsia="Calibri" w:hAnsi="Calibri"/>
          <w:sz w:val="18"/>
          <w:szCs w:val="18"/>
          <w:color w:val="auto"/>
        </w:rPr>
        <w:t>From tme to tme, we pursue litgaton to assert our IP rights, including, in some cases, against our customers and suppliers. Claims of this sort could also harm our relatonships with our customers and might deter future customers from doing business with us. Conversely, third partes have and may in the future pursue IP litgaton against us, including as a result of our IP licensing business. Any inability to adequately protect our IP could limit the value of our technology, result in the loss of opportunites to sell or license our technology to others or limit our collecton of royalty payments, any of which could negatvely impact our business, fnancial conditon and results of operatons.</w:t>
      </w:r>
    </w:p>
    <w:p>
      <w:pPr>
        <w:spacing w:after="0" w:line="112" w:lineRule="exact"/>
        <w:rPr>
          <w:sz w:val="20"/>
          <w:szCs w:val="20"/>
          <w:color w:val="auto"/>
        </w:rPr>
      </w:pPr>
    </w:p>
    <w:p>
      <w:pPr>
        <w:ind w:right="100" w:firstLine="324"/>
        <w:spacing w:after="0" w:line="235" w:lineRule="auto"/>
        <w:rPr>
          <w:sz w:val="20"/>
          <w:szCs w:val="20"/>
          <w:color w:val="auto"/>
        </w:rPr>
      </w:pPr>
      <w:r>
        <w:rPr>
          <w:rFonts w:ascii="Calibri" w:cs="Calibri" w:eastAsia="Calibri" w:hAnsi="Calibri"/>
          <w:sz w:val="18"/>
          <w:szCs w:val="18"/>
          <w:color w:val="auto"/>
        </w:rPr>
        <w:t>In additon, from tme to tme, we obtain or renew IP licenses. Our inability to obtain or renew these licenses on acceptable terms, or at all, could have a material adverse efect on our business and results of operatons.</w:t>
      </w:r>
    </w:p>
    <w:p>
      <w:pPr>
        <w:spacing w:after="0" w:line="105"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We are subject to warranty claims, product recalls and product liability.</w:t>
      </w:r>
    </w:p>
    <w:p>
      <w:pPr>
        <w:spacing w:after="0" w:line="109" w:lineRule="exact"/>
        <w:rPr>
          <w:sz w:val="20"/>
          <w:szCs w:val="20"/>
          <w:color w:val="auto"/>
        </w:rPr>
      </w:pPr>
    </w:p>
    <w:p>
      <w:pPr>
        <w:ind w:firstLine="324"/>
        <w:spacing w:after="0" w:line="235" w:lineRule="auto"/>
        <w:rPr>
          <w:sz w:val="20"/>
          <w:szCs w:val="20"/>
          <w:color w:val="auto"/>
        </w:rPr>
      </w:pPr>
      <w:r>
        <w:rPr>
          <w:rFonts w:ascii="Calibri" w:cs="Calibri" w:eastAsia="Calibri" w:hAnsi="Calibri"/>
          <w:sz w:val="18"/>
          <w:szCs w:val="18"/>
          <w:color w:val="auto"/>
        </w:rPr>
        <w:t>From tme to tme, we may be subject to warranty or product liability claims that may lead to signifcant expense. Our customer contracts typically contain warranty and indemnifcaton provisions, and in certain cases may also contain liquidated damages provisions. The potental liabilites associated with such provisions are signifcant, and in some cases, including in agreements with some of our largest customers, are potentally unlimited. Any such liabilites may greatly exceed any revenue we receive from the relevant products. Costs, payments or damages incurred or paid by us in connecton with warranty and product liability claims and product recalls could materially adversely afect our fnancial conditon and results of operatons. We may also be exposed to such claims as a result of any acquisiton we may undertake in the future. Product liability insurance is subject to signifcant deductbles and there is no guarantee that such insurance will be available or adequate to protect against all such claims, or we may elect to self-insure with respect to certain maters. Although we maintain reserves for reasonably estmable liabilites and purchase product liability insurance, our reserves may be inadequate to cover the uninsured porton of such claims.</w:t>
      </w:r>
    </w:p>
    <w:p>
      <w:pPr>
        <w:spacing w:after="0" w:line="116" w:lineRule="exact"/>
        <w:rPr>
          <w:sz w:val="20"/>
          <w:szCs w:val="20"/>
          <w:color w:val="auto"/>
        </w:rPr>
      </w:pPr>
    </w:p>
    <w:p>
      <w:pPr>
        <w:jc w:val="both"/>
        <w:ind w:right="500" w:firstLine="81"/>
        <w:spacing w:after="0" w:line="258" w:lineRule="auto"/>
        <w:rPr>
          <w:sz w:val="20"/>
          <w:szCs w:val="20"/>
          <w:color w:val="auto"/>
        </w:rPr>
      </w:pPr>
      <w:r>
        <w:rPr>
          <w:rFonts w:ascii="Calibri" w:cs="Calibri" w:eastAsia="Calibri" w:hAnsi="Calibri"/>
          <w:sz w:val="17"/>
          <w:szCs w:val="17"/>
          <w:b w:val="1"/>
          <w:bCs w:val="1"/>
          <w:i w:val="1"/>
          <w:iCs w:val="1"/>
          <w:color w:val="auto"/>
        </w:rPr>
        <w:t>The complexity of our products could result in unforeseen delays or expense or undetected defects or bugs, which could adversely afect the market acceptance of new products, damage our reputaton with current or prospectve customers, and materially and adversely afect our operatng costs.</w:t>
      </w:r>
    </w:p>
    <w:p>
      <w:pPr>
        <w:spacing w:after="0" w:line="94" w:lineRule="exact"/>
        <w:rPr>
          <w:sz w:val="20"/>
          <w:szCs w:val="20"/>
          <w:color w:val="auto"/>
        </w:rPr>
      </w:pPr>
    </w:p>
    <w:p>
      <w:pPr>
        <w:ind w:firstLine="324"/>
        <w:spacing w:after="0" w:line="235" w:lineRule="auto"/>
        <w:rPr>
          <w:sz w:val="20"/>
          <w:szCs w:val="20"/>
          <w:color w:val="auto"/>
        </w:rPr>
      </w:pPr>
      <w:r>
        <w:rPr>
          <w:rFonts w:ascii="Calibri" w:cs="Calibri" w:eastAsia="Calibri" w:hAnsi="Calibri"/>
          <w:sz w:val="18"/>
          <w:szCs w:val="18"/>
          <w:color w:val="auto"/>
        </w:rPr>
        <w:t>Highly complex products, such as those we ofer, may contain defects and bugs when they are frst introduced or as new versions, sofware documentaton or enhancements are released, or their release may be delayed due to unforeseen difcultes during product development. If any of our products or third-party components used in our products, contain defects or bugs, or have reliability, quality or compatbility problems, we may not be able to successfully design workarounds. Furthermore, if any of these problems are not discovered untl afer we have commenced commercial producton or deployment, we may be required to incur additonal development costs and product recall, repair or replacement costs. Signifcant technical challenges also arise with our sofware products because our customers license and deploy our products across a variety of computer platorms and integrate them with a number of third-party sofware applicatons and databases. As a result, if there is system-wide failure or an actual or perceived breach of informaton integrity, security or availability occurs in one of our end-user customer’s system, it can be difcult to determine which product is at fault and we could ultmately be harmed by the failure of another supplier’s product. Consequently, our reputaton may be damaged and customers may be reluctant to buy our products and we may have to invest signifcant capital and other resources, which could materially and adversely afect our ability to retain existng customers and atract new customers. As a result, our fnancial results could be materially adversely afected.</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9" w:name="page30"/>
    <w:bookmarkEnd w:id="2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firstLine="81"/>
        <w:spacing w:after="0" w:line="235" w:lineRule="auto"/>
        <w:rPr>
          <w:sz w:val="20"/>
          <w:szCs w:val="20"/>
          <w:color w:val="auto"/>
        </w:rPr>
      </w:pPr>
      <w:r>
        <w:rPr>
          <w:rFonts w:ascii="Calibri" w:cs="Calibri" w:eastAsia="Calibri" w:hAnsi="Calibri"/>
          <w:sz w:val="18"/>
          <w:szCs w:val="18"/>
          <w:b w:val="1"/>
          <w:bCs w:val="1"/>
          <w:i w:val="1"/>
          <w:iCs w:val="1"/>
          <w:color w:val="auto"/>
        </w:rPr>
        <w:t>We collect, use, store, or otherwise process personal informaton, which subjects us to privacy and data security laws and contractual commitments, and our actual or perceived failure to comply with such laws and commitments could harm our business.</w:t>
      </w:r>
    </w:p>
    <w:p>
      <w:pPr>
        <w:spacing w:after="0" w:line="110" w:lineRule="exact"/>
        <w:rPr>
          <w:sz w:val="20"/>
          <w:szCs w:val="20"/>
          <w:color w:val="auto"/>
        </w:rPr>
      </w:pPr>
    </w:p>
    <w:p>
      <w:pPr>
        <w:ind w:firstLine="324"/>
        <w:spacing w:after="0" w:line="235" w:lineRule="auto"/>
        <w:rPr>
          <w:sz w:val="20"/>
          <w:szCs w:val="20"/>
          <w:color w:val="auto"/>
        </w:rPr>
      </w:pPr>
      <w:r>
        <w:rPr>
          <w:rFonts w:ascii="Calibri" w:cs="Calibri" w:eastAsia="Calibri" w:hAnsi="Calibri"/>
          <w:sz w:val="18"/>
          <w:szCs w:val="18"/>
          <w:color w:val="auto"/>
        </w:rPr>
        <w:t>We collect, use and store (collectvely referred to as “process” in this paragraph) a high volume, variety and velocity of certain personal informaton in connecton with the operaton of our business. This creates various levels of privacy risks across diferent parts of our business, depending on the type of personal informaton, the jurisdicton in queston and the purpose of their processing. The personal informaton we process is subject to an increasing number of federal, state, local, and foreign laws and regulatons regarding privacy and data security, as well as contractual commitments. Privacy legislaton and other data protecton regulatons, enforcement and policy actvity in this area are expanding rapidly in many jurisdictons and creatng a complex regulatory compliance environment. Sectoral legislaton, certfcaton requirements and technical standards applying to certain categories of our customers, such as those in the fnancial services or public sector, have exacerbated this trend. The cost of complying with and implementng these privacy-related and data governance measures could increase depending on any additonal burdensome security, business processes, or business record or data localizaton requirements. Concerns about government interference, sovereignty and expanding privacy, cybersecurity and data governance legislaton could adversely afect our customers and our products and services, partcularly in cloud computng, AI and our own data management practces. The thef, loss or misuse of personal data collected, used, stored or transferred by us to run our business could result in signifcantly increased business and security costs or costs related to defending legal claims. Any inadvertent failure or perceived failure by us to comply with privacy, data governance or cybersecurity obligatons may result in governmental enforcement actons, litgaton, substantal fnes and damages, and could cause our customers to lose trust in us, which could have an adverse efect on our reputaton and business.</w:t>
      </w:r>
    </w:p>
    <w:p>
      <w:pPr>
        <w:spacing w:after="0" w:line="120" w:lineRule="exact"/>
        <w:rPr>
          <w:sz w:val="20"/>
          <w:szCs w:val="20"/>
          <w:color w:val="auto"/>
        </w:rPr>
      </w:pPr>
    </w:p>
    <w:p>
      <w:pPr>
        <w:ind w:right="380" w:firstLine="81"/>
        <w:spacing w:after="0" w:line="235" w:lineRule="auto"/>
        <w:rPr>
          <w:sz w:val="20"/>
          <w:szCs w:val="20"/>
          <w:color w:val="auto"/>
        </w:rPr>
      </w:pPr>
      <w:r>
        <w:rPr>
          <w:rFonts w:ascii="Calibri" w:cs="Calibri" w:eastAsia="Calibri" w:hAnsi="Calibri"/>
          <w:sz w:val="18"/>
          <w:szCs w:val="18"/>
          <w:b w:val="1"/>
          <w:bCs w:val="1"/>
          <w:i w:val="1"/>
          <w:iCs w:val="1"/>
          <w:color w:val="auto"/>
        </w:rPr>
        <w:t>Environmental, social and governance (“ESG”) maters may adversely afect our relatonships with customers and investors and increase compliance costs.</w:t>
      </w:r>
    </w:p>
    <w:p>
      <w:pPr>
        <w:spacing w:after="0" w:line="110" w:lineRule="exact"/>
        <w:rPr>
          <w:sz w:val="20"/>
          <w:szCs w:val="20"/>
          <w:color w:val="auto"/>
        </w:rPr>
      </w:pPr>
    </w:p>
    <w:p>
      <w:pPr>
        <w:ind w:right="60" w:firstLine="324"/>
        <w:spacing w:after="0" w:line="235" w:lineRule="auto"/>
        <w:rPr>
          <w:sz w:val="20"/>
          <w:szCs w:val="20"/>
          <w:color w:val="auto"/>
        </w:rPr>
      </w:pPr>
      <w:r>
        <w:rPr>
          <w:rFonts w:ascii="Calibri" w:cs="Calibri" w:eastAsia="Calibri" w:hAnsi="Calibri"/>
          <w:sz w:val="18"/>
          <w:szCs w:val="18"/>
          <w:color w:val="auto"/>
        </w:rPr>
        <w:t>There is an increasing focus from lawmakers, regulators, investors, customers, employees and other stakeholders concerning ESG maters, including environment, climate, water, diversity and inclusion, human rights and governance transparency. A number of our customers have adopted, or may adopt, procurement policies that include ESG provisions or requirements that their suppliers should comply with, or they may seek to include such provisions or requirements in their procurement terms and conditons. An increasing number of investors are also requiring companies to disclose ESG-related policies, practces and metrics. In additon, various jurisdictons have adopted, or are developing, complex and lengthy ESG-related laws or regulatons that may be difcult to comply with and will increase our direct compliance costs, as well as indirect costs passed on to us from our customers and suppliers. Further, there is an increasing number of state-level ant-ESG initatves in the United States that may confict with other regulatory requirements or our various stakeholders’ expectatons. If we fail to materially comply with or meet the evolving legal and regulatory requirements or expectatons of our various stakeholders, we may be subject to enforcement actons, required to pay fnes, face decreased customer demand or lose investors, which could harm our reputaton, revenue and results of operatons. Our actual or perceived failure to achieve our publicly disclosed ESG-related initatves could negatvely impact our reputaton, subject us to litgaton or enforcement actons, or otherwise harm our business.</w:t>
      </w:r>
    </w:p>
    <w:p>
      <w:pPr>
        <w:spacing w:after="0" w:line="117" w:lineRule="exact"/>
        <w:rPr>
          <w:sz w:val="20"/>
          <w:szCs w:val="20"/>
          <w:color w:val="auto"/>
        </w:rPr>
      </w:pPr>
    </w:p>
    <w:p>
      <w:pPr>
        <w:jc w:val="both"/>
        <w:ind w:right="20" w:firstLine="324"/>
        <w:spacing w:after="0" w:line="235" w:lineRule="auto"/>
        <w:rPr>
          <w:sz w:val="20"/>
          <w:szCs w:val="20"/>
          <w:color w:val="auto"/>
        </w:rPr>
      </w:pPr>
      <w:r>
        <w:rPr>
          <w:rFonts w:ascii="Calibri" w:cs="Calibri" w:eastAsia="Calibri" w:hAnsi="Calibri"/>
          <w:sz w:val="18"/>
          <w:szCs w:val="18"/>
          <w:color w:val="auto"/>
        </w:rPr>
        <w:t>In additon, an increasing number of OEMs are seeking to source products that do not contain confict minerals. This could adversely afect the sourcing, availability and pricing of minerals used in the manufacture of semiconductor devices, including our products. As a result, we may face difcultes in satsfying our customers’ demands, which may harm our sales and operatng results.</w:t>
      </w:r>
    </w:p>
    <w:p>
      <w:pPr>
        <w:spacing w:after="0" w:line="111" w:lineRule="exact"/>
        <w:rPr>
          <w:sz w:val="20"/>
          <w:szCs w:val="20"/>
          <w:color w:val="auto"/>
        </w:rPr>
      </w:pPr>
    </w:p>
    <w:p>
      <w:pPr>
        <w:ind w:right="260" w:firstLine="81"/>
        <w:spacing w:after="0" w:line="235" w:lineRule="auto"/>
        <w:rPr>
          <w:sz w:val="20"/>
          <w:szCs w:val="20"/>
          <w:color w:val="auto"/>
        </w:rPr>
      </w:pPr>
      <w:r>
        <w:rPr>
          <w:rFonts w:ascii="Calibri" w:cs="Calibri" w:eastAsia="Calibri" w:hAnsi="Calibri"/>
          <w:sz w:val="18"/>
          <w:szCs w:val="18"/>
          <w:b w:val="1"/>
          <w:bCs w:val="1"/>
          <w:i w:val="1"/>
          <w:iCs w:val="1"/>
          <w:color w:val="auto"/>
        </w:rPr>
        <w:t>We must comply with technical standards and a variety of domestc and internatonal laws and regulatons in the manufacture and distributon of our semiconductors, the costs of which could have a material adverse efect on our business, fnancial conditon and results of operatons.</w:t>
      </w:r>
    </w:p>
    <w:p>
      <w:pPr>
        <w:spacing w:after="0" w:line="110" w:lineRule="exact"/>
        <w:rPr>
          <w:sz w:val="20"/>
          <w:szCs w:val="20"/>
          <w:color w:val="auto"/>
        </w:rPr>
      </w:pPr>
    </w:p>
    <w:p>
      <w:pPr>
        <w:ind w:right="20" w:firstLine="324"/>
        <w:spacing w:after="0" w:line="235" w:lineRule="auto"/>
        <w:rPr>
          <w:sz w:val="20"/>
          <w:szCs w:val="20"/>
          <w:color w:val="auto"/>
        </w:rPr>
      </w:pPr>
      <w:r>
        <w:rPr>
          <w:rFonts w:ascii="Calibri" w:cs="Calibri" w:eastAsia="Calibri" w:hAnsi="Calibri"/>
          <w:sz w:val="18"/>
          <w:szCs w:val="18"/>
          <w:color w:val="auto"/>
        </w:rPr>
        <w:t>The manufacture and distributon of our semiconductors must comply with technical standards and a variety of domestc and internatonal laws and regulatons, including those related to the materials compositon of our semiconductor products, and the use, disposal, clean-up of and human exposure to hazardous materials. This could increase the complexity and costs of our product design and procurement operatons, require us to stop distributng our products commercially untl they comply with such new standards, lead our customers to suspend imports of their products into that country, require us to re-engineer our products and disrupt cross-border manufacturing relatonships. In additon, we may be required to modify our manufacturing process or equipment, or be restricted in our ability to expand our facilites. Any failure by us to comply with such requirements could result in litgaton against us and the payment of signifcant fnes and damages by us in the event of a signifcant adverse judgment. Any such event could have a material adverse efect on our business, fnancial conditon and results of operatons. Complying with any cleanup or remediaton obligatons for which we are or become responsible could also be costly and have a material adverse efect on our business, fnancial conditon and results of operatons.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30" w:name="page31"/>
    <w:bookmarkEnd w:id="3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Taxes</w:t>
      </w:r>
    </w:p>
    <w:p>
      <w:pPr>
        <w:spacing w:after="0" w:line="104"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Our income taxes and overall cash tax costs are afected by a number of factors that could have a material, adverse efect on our fnancial results.</w:t>
      </w:r>
    </w:p>
    <w:p>
      <w:pPr>
        <w:spacing w:after="0" w:line="109" w:lineRule="exact"/>
        <w:rPr>
          <w:sz w:val="20"/>
          <w:szCs w:val="20"/>
          <w:color w:val="auto"/>
        </w:rPr>
      </w:pPr>
    </w:p>
    <w:p>
      <w:pPr>
        <w:ind w:right="80" w:firstLine="324"/>
        <w:spacing w:after="0" w:line="235" w:lineRule="auto"/>
        <w:rPr>
          <w:sz w:val="20"/>
          <w:szCs w:val="20"/>
          <w:color w:val="auto"/>
        </w:rPr>
      </w:pPr>
      <w:r>
        <w:rPr>
          <w:rFonts w:ascii="Calibri" w:cs="Calibri" w:eastAsia="Calibri" w:hAnsi="Calibri"/>
          <w:sz w:val="18"/>
          <w:szCs w:val="18"/>
          <w:color w:val="auto"/>
        </w:rPr>
        <w:t>Our income taxes are subject to volatlity and could be adversely afected by numerous factors, including reorganizaton or restructuring of our business, tax structure, business combinatons, jurisdictonal mix of our income and assets, and changes in tax legislaton or accountng policies or related interpretatons.</w:t>
      </w:r>
    </w:p>
    <w:p>
      <w:pPr>
        <w:spacing w:after="0" w:line="111" w:lineRule="exact"/>
        <w:rPr>
          <w:sz w:val="20"/>
          <w:szCs w:val="20"/>
          <w:color w:val="auto"/>
        </w:rPr>
      </w:pPr>
    </w:p>
    <w:p>
      <w:pPr>
        <w:ind w:right="40" w:firstLine="324"/>
        <w:spacing w:after="0" w:line="235" w:lineRule="auto"/>
        <w:rPr>
          <w:sz w:val="20"/>
          <w:szCs w:val="20"/>
          <w:color w:val="auto"/>
        </w:rPr>
      </w:pPr>
      <w:r>
        <w:rPr>
          <w:rFonts w:ascii="Calibri" w:cs="Calibri" w:eastAsia="Calibri" w:hAnsi="Calibri"/>
          <w:sz w:val="18"/>
          <w:szCs w:val="18"/>
          <w:color w:val="auto"/>
        </w:rPr>
        <w:t>As a result of U.S. tax reforms, our global income is subject to tax in the U.S. and we expect an increase in our efectve tax rate and our cash tax costs. In additon, many countries are implementng ant-base-erosion legislaton and guidance aimed at standardizing and modernizing global corporate tax policy, including changes to cross-border tax, transfer pricing documentaton rules, and nexus-based tax incentve practces. Many countries have implemented or are in the process of implementng a global minimum tax, which may materially increase our efectve tax rate and cash tax costs. For example, Singapore recently adopted the global minimum tax, which will be efectve for our fscal year 2026. Substantal changes in domestc or internatonal corporate tax policies, regulatons or guidance, enforcement actvites or legislatve investgatons and inquiries may materially adversely afect our business and impact our provision for income taxes, net income, cash fow and our results of operatons generally.</w:t>
      </w:r>
    </w:p>
    <w:p>
      <w:pPr>
        <w:spacing w:after="0" w:line="114" w:lineRule="exact"/>
        <w:rPr>
          <w:sz w:val="20"/>
          <w:szCs w:val="20"/>
          <w:color w:val="auto"/>
        </w:rPr>
      </w:pPr>
    </w:p>
    <w:p>
      <w:pPr>
        <w:ind w:right="60" w:firstLine="324"/>
        <w:spacing w:after="0" w:line="235" w:lineRule="auto"/>
        <w:rPr>
          <w:sz w:val="20"/>
          <w:szCs w:val="20"/>
          <w:color w:val="auto"/>
        </w:rPr>
      </w:pPr>
      <w:r>
        <w:rPr>
          <w:rFonts w:ascii="Calibri" w:cs="Calibri" w:eastAsia="Calibri" w:hAnsi="Calibri"/>
          <w:sz w:val="18"/>
          <w:szCs w:val="18"/>
          <w:color w:val="auto"/>
        </w:rPr>
        <w:t>Signifcant judgment is required in determining our worldwide income taxes, and our calculatons of income taxes payable currently and on a deferred basis are based on our interpretatons of applicable tax laws. Although we believe our tax estmates are reasonable, there is no assurance that the fnal determinaton of our income tax liability will not be materially diferent than what is refected in our income tax provisions and accruals. In additon, we are subject to, and are under, tax audits in various jurisdictons. Although we believe our tax positons are reasonable, the fnal determinaton of tax audits could be materially diferent from our income tax provisions and accruals, which could have a material adverse efect on our results of operatons and cash fows in the period or periods for which that determinaton is made.</w:t>
      </w:r>
    </w:p>
    <w:p>
      <w:pPr>
        <w:spacing w:after="0" w:line="113" w:lineRule="exact"/>
        <w:rPr>
          <w:sz w:val="20"/>
          <w:szCs w:val="20"/>
          <w:color w:val="auto"/>
        </w:rPr>
      </w:pPr>
    </w:p>
    <w:p>
      <w:pPr>
        <w:ind w:right="20" w:firstLine="324"/>
        <w:spacing w:after="0" w:line="235" w:lineRule="auto"/>
        <w:rPr>
          <w:sz w:val="20"/>
          <w:szCs w:val="20"/>
          <w:color w:val="auto"/>
        </w:rPr>
      </w:pPr>
      <w:r>
        <w:rPr>
          <w:rFonts w:ascii="Calibri" w:cs="Calibri" w:eastAsia="Calibri" w:hAnsi="Calibri"/>
          <w:sz w:val="18"/>
          <w:szCs w:val="18"/>
          <w:color w:val="auto"/>
        </w:rPr>
        <w:t>As a result of the VMware Merger, we are subject to tax audits in various jurisdictons for the Dell Technologies, Inc. (“Dell”) consolidated group, of which VMware was a member beginning in Dell’s fscal year 2017 untl November 2021. While VMware is no longer a member of the Dell consolidated group, it is stll subject to audit for the periods in which it was member of the Dell consolidated group. While we believe VMware’s positons are reasonable, the fnal determinaton of tax audits could be materially diferent from our income tax provisions and accruals. Further, pursuant to a tax agreement between VMware and Dell, in the event VMware becomes subject to audits as a member of Dell’s consolidated group, Dell has authority to control the audit and represent Dell and our interests, which could limit our ability to afect the outcome of such audits.</w:t>
      </w:r>
    </w:p>
    <w:p>
      <w:pPr>
        <w:spacing w:after="0" w:line="108"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If our tax incentves or tax holiday arrangements change or cease to be in efect or applicable, our corporate income taxes could signifcantly increase.</w:t>
      </w:r>
    </w:p>
    <w:p>
      <w:pPr>
        <w:spacing w:after="0" w:line="109" w:lineRule="exact"/>
        <w:rPr>
          <w:sz w:val="20"/>
          <w:szCs w:val="20"/>
          <w:color w:val="auto"/>
        </w:rPr>
      </w:pPr>
    </w:p>
    <w:p>
      <w:pPr>
        <w:ind w:firstLine="324"/>
        <w:spacing w:after="0" w:line="235" w:lineRule="auto"/>
        <w:rPr>
          <w:sz w:val="20"/>
          <w:szCs w:val="20"/>
          <w:color w:val="auto"/>
        </w:rPr>
      </w:pPr>
      <w:r>
        <w:rPr>
          <w:rFonts w:ascii="Calibri" w:cs="Calibri" w:eastAsia="Calibri" w:hAnsi="Calibri"/>
          <w:sz w:val="18"/>
          <w:szCs w:val="18"/>
          <w:color w:val="auto"/>
        </w:rPr>
        <w:t>Our operatons beneft from the various tax incentves extended to us in various jurisdictons to encourage investment or employment. Each tax incentve and tax holiday is subject to our compliance with various conditons and may, in some instances, be amended or terminated prior to their scheduled terminaton date by the relevant governmental authority. If we cannot, or elect not to, comply with the conditons related to our tax incentve or tax holiday, we could be required to refund previously realized material tax benefts. If such tax incentve or tax holiday is modifed or terminated prior to its expiraton absent a new incentve applying, we could sufer material adverse tax and other fnancial consequences, which would increase our expenses, reduce our proftability and adversely afect our cash fows. In additon, we may be required, or elect, to modify our operatonal structure and tax strategy in order to keep an incentve, which could result in a decrease in the benefts of the incentve. Adopton of global minimum tax provisions in a country in which we have an existng tax incentve could have a material adverse impact on our tax incentves. Our tax incentves and tax holiday, before taking into consideraton U.S. foreign tax credits, decreased the provision for income taxes by approximately $2,261 million in the aggregate and increased diluted net income per share by $0.47 for fscal year 2024.</w:t>
      </w:r>
    </w:p>
    <w:p>
      <w:pPr>
        <w:spacing w:after="0" w:line="116" w:lineRule="exact"/>
        <w:rPr>
          <w:sz w:val="20"/>
          <w:szCs w:val="20"/>
          <w:color w:val="auto"/>
        </w:rPr>
      </w:pPr>
    </w:p>
    <w:p>
      <w:pPr>
        <w:ind w:right="140" w:firstLine="324"/>
        <w:spacing w:after="0" w:line="235" w:lineRule="auto"/>
        <w:rPr>
          <w:sz w:val="20"/>
          <w:szCs w:val="20"/>
          <w:color w:val="auto"/>
        </w:rPr>
      </w:pPr>
      <w:r>
        <w:rPr>
          <w:rFonts w:ascii="Calibri" w:cs="Calibri" w:eastAsia="Calibri" w:hAnsi="Calibri"/>
          <w:sz w:val="18"/>
          <w:szCs w:val="18"/>
          <w:color w:val="auto"/>
        </w:rPr>
        <w:t>Our interpretatons and conclusions regarding the tax incentves are not binding on any taxing authority, and if our assumptons and interpretatons are incorrect, the benefts of the tax incentves may be adversely afected.</w:t>
      </w:r>
    </w:p>
    <w:p>
      <w:pPr>
        <w:spacing w:after="0" w:line="110" w:lineRule="exact"/>
        <w:rPr>
          <w:sz w:val="20"/>
          <w:szCs w:val="20"/>
          <w:color w:val="auto"/>
        </w:rPr>
      </w:pPr>
    </w:p>
    <w:p>
      <w:pPr>
        <w:ind w:right="580" w:firstLine="81"/>
        <w:spacing w:after="0" w:line="235" w:lineRule="auto"/>
        <w:rPr>
          <w:sz w:val="20"/>
          <w:szCs w:val="20"/>
          <w:color w:val="auto"/>
        </w:rPr>
      </w:pPr>
      <w:r>
        <w:rPr>
          <w:rFonts w:ascii="Calibri" w:cs="Calibri" w:eastAsia="Calibri" w:hAnsi="Calibri"/>
          <w:sz w:val="18"/>
          <w:szCs w:val="18"/>
          <w:b w:val="1"/>
          <w:bCs w:val="1"/>
          <w:i w:val="1"/>
          <w:iCs w:val="1"/>
          <w:color w:val="auto"/>
        </w:rPr>
        <w:t>We have potental tax liabilites as a result of VMware’s former controlling ownership by Dell, which could have an adverse efect on our fnancial conditon and operatng results.</w:t>
      </w:r>
    </w:p>
    <w:p>
      <w:pPr>
        <w:spacing w:after="0" w:line="110" w:lineRule="exact"/>
        <w:rPr>
          <w:sz w:val="20"/>
          <w:szCs w:val="20"/>
          <w:color w:val="auto"/>
        </w:rPr>
      </w:pPr>
    </w:p>
    <w:p>
      <w:pPr>
        <w:jc w:val="both"/>
        <w:ind w:right="380" w:firstLine="324"/>
        <w:spacing w:after="0" w:line="235" w:lineRule="auto"/>
        <w:rPr>
          <w:sz w:val="20"/>
          <w:szCs w:val="20"/>
          <w:color w:val="auto"/>
        </w:rPr>
      </w:pPr>
      <w:r>
        <w:rPr>
          <w:rFonts w:ascii="Calibri" w:cs="Calibri" w:eastAsia="Calibri" w:hAnsi="Calibri"/>
          <w:sz w:val="18"/>
          <w:szCs w:val="18"/>
          <w:color w:val="auto"/>
        </w:rPr>
        <w:t>If the VMware spin-of from Dell in November 2021 is determined to not be tax-free for any reason, we could be liable for all or a porton of the tax liability, which could have a material adverse efect on our fnancial conditon and operatng results. Further, if the VMware Merger results in the spin-of failing to qualify as a tax-free transacton under Secton 355 of the Internal Revenue Code, Dell, its afliates and, potentally, its stockholders would incur signifcant tax liabilites and we may be required to indemnify Dell and its afliates for any such tax liabilites, which could be material.</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31" w:name="page32"/>
    <w:bookmarkEnd w:id="3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Indebtedness</w:t>
      </w:r>
    </w:p>
    <w:p>
      <w:pPr>
        <w:spacing w:after="0" w:line="104"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Our substantal indebtedness could adversely afect our fnancial health and our ability to execute our business strategy.</w:t>
      </w:r>
    </w:p>
    <w:p>
      <w:pPr>
        <w:spacing w:after="0" w:line="109" w:lineRule="exact"/>
        <w:rPr>
          <w:sz w:val="20"/>
          <w:szCs w:val="20"/>
          <w:color w:val="auto"/>
        </w:rPr>
      </w:pPr>
    </w:p>
    <w:p>
      <w:pPr>
        <w:ind w:firstLine="324"/>
        <w:spacing w:after="0" w:line="235" w:lineRule="auto"/>
        <w:rPr>
          <w:sz w:val="20"/>
          <w:szCs w:val="20"/>
          <w:color w:val="auto"/>
        </w:rPr>
      </w:pPr>
      <w:r>
        <w:rPr>
          <w:rFonts w:ascii="Calibri" w:cs="Calibri" w:eastAsia="Calibri" w:hAnsi="Calibri"/>
          <w:sz w:val="18"/>
          <w:szCs w:val="18"/>
          <w:color w:val="auto"/>
        </w:rPr>
        <w:t>As of November 3, 2024, the aggregate indebtedness was $69,847 million. Our substantal indebtedness and the instruments governing our indebtedness could have important consequences including:</w:t>
      </w:r>
    </w:p>
    <w:p>
      <w:pPr>
        <w:spacing w:after="0" w:line="91" w:lineRule="exact"/>
        <w:rPr>
          <w:sz w:val="20"/>
          <w:szCs w:val="20"/>
          <w:color w:val="auto"/>
        </w:rPr>
      </w:pPr>
    </w:p>
    <w:p>
      <w:pPr>
        <w:ind w:left="640" w:hanging="308"/>
        <w:spacing w:after="0"/>
        <w:tabs>
          <w:tab w:leader="none" w:pos="640"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increasing our vulnerability to adverse general economic and industry conditons;</w:t>
      </w:r>
    </w:p>
    <w:p>
      <w:pPr>
        <w:spacing w:after="0" w:line="63" w:lineRule="exact"/>
        <w:rPr>
          <w:rFonts w:ascii="Calibri" w:cs="Calibri" w:eastAsia="Calibri" w:hAnsi="Calibri"/>
          <w:sz w:val="18"/>
          <w:szCs w:val="18"/>
          <w:color w:val="auto"/>
        </w:rPr>
      </w:pPr>
    </w:p>
    <w:p>
      <w:pPr>
        <w:ind w:left="640" w:hanging="308"/>
        <w:spacing w:after="0"/>
        <w:tabs>
          <w:tab w:leader="none" w:pos="640"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exposing us to interest rate risk as our 2023 Term Loans bear foatng interest rates;</w:t>
      </w:r>
    </w:p>
    <w:p>
      <w:pPr>
        <w:spacing w:after="0" w:line="63" w:lineRule="exact"/>
        <w:rPr>
          <w:rFonts w:ascii="Calibri" w:cs="Calibri" w:eastAsia="Calibri" w:hAnsi="Calibri"/>
          <w:sz w:val="18"/>
          <w:szCs w:val="18"/>
          <w:color w:val="auto"/>
        </w:rPr>
      </w:pPr>
    </w:p>
    <w:p>
      <w:pPr>
        <w:ind w:left="640" w:hanging="308"/>
        <w:spacing w:after="0"/>
        <w:tabs>
          <w:tab w:leader="none" w:pos="640"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limitng our fexibility in planning for, or reactng to, changes in the economy and the industries in which we operate;</w:t>
      </w:r>
    </w:p>
    <w:p>
      <w:pPr>
        <w:spacing w:after="0" w:line="77" w:lineRule="exact"/>
        <w:rPr>
          <w:rFonts w:ascii="Calibri" w:cs="Calibri" w:eastAsia="Calibri" w:hAnsi="Calibri"/>
          <w:sz w:val="18"/>
          <w:szCs w:val="18"/>
          <w:color w:val="auto"/>
        </w:rPr>
      </w:pPr>
    </w:p>
    <w:p>
      <w:pPr>
        <w:ind w:left="640" w:hanging="308"/>
        <w:spacing w:after="0"/>
        <w:tabs>
          <w:tab w:leader="none" w:pos="640"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placing us at a compettve disadvantage compared to our compettors with less indebtedness;</w:t>
      </w:r>
    </w:p>
    <w:p>
      <w:pPr>
        <w:spacing w:after="0" w:line="68" w:lineRule="exact"/>
        <w:rPr>
          <w:rFonts w:ascii="Calibri" w:cs="Calibri" w:eastAsia="Calibri" w:hAnsi="Calibri"/>
          <w:sz w:val="18"/>
          <w:szCs w:val="18"/>
          <w:color w:val="auto"/>
        </w:rPr>
      </w:pPr>
    </w:p>
    <w:p>
      <w:pPr>
        <w:ind w:left="660" w:right="600" w:hanging="328"/>
        <w:spacing w:after="0" w:line="235" w:lineRule="auto"/>
        <w:tabs>
          <w:tab w:leader="none" w:pos="653"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making it more difcult to borrow additonal funds in the future to fund growth, acquisitons, working capital, capital expenditures and other purposes; and</w:t>
      </w:r>
    </w:p>
    <w:p>
      <w:pPr>
        <w:spacing w:after="0" w:line="69" w:lineRule="exact"/>
        <w:rPr>
          <w:rFonts w:ascii="Calibri" w:cs="Calibri" w:eastAsia="Calibri" w:hAnsi="Calibri"/>
          <w:sz w:val="18"/>
          <w:szCs w:val="18"/>
          <w:color w:val="auto"/>
        </w:rPr>
      </w:pPr>
    </w:p>
    <w:p>
      <w:pPr>
        <w:ind w:left="660" w:right="220" w:hanging="328"/>
        <w:spacing w:after="0" w:line="235" w:lineRule="auto"/>
        <w:tabs>
          <w:tab w:leader="none" w:pos="653"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potentally requiring us to dedicate a substantal porton of our cash fow from operatons to payments on our indebtedness, thereby reducing the availability of our cash fow to fund our other business needs.</w:t>
      </w:r>
    </w:p>
    <w:p>
      <w:pPr>
        <w:spacing w:after="0" w:line="110" w:lineRule="exact"/>
        <w:rPr>
          <w:sz w:val="20"/>
          <w:szCs w:val="20"/>
          <w:color w:val="auto"/>
        </w:rPr>
      </w:pPr>
    </w:p>
    <w:p>
      <w:pPr>
        <w:ind w:right="240" w:firstLine="324"/>
        <w:spacing w:after="0" w:line="235" w:lineRule="auto"/>
        <w:rPr>
          <w:sz w:val="20"/>
          <w:szCs w:val="20"/>
          <w:color w:val="auto"/>
        </w:rPr>
      </w:pPr>
      <w:r>
        <w:rPr>
          <w:rFonts w:ascii="Calibri" w:cs="Calibri" w:eastAsia="Calibri" w:hAnsi="Calibri"/>
          <w:sz w:val="18"/>
          <w:szCs w:val="18"/>
          <w:color w:val="auto"/>
        </w:rPr>
        <w:t>We receive debt ratngs from the major credit ratng agencies in the U.S., and any downgrade in our credit ratng or the ratngs of our indebtedness, or adverse conditons in the debt capital markets, could materially adversely afect our business, fnancial conditon and results of operatons.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Owning Our Common Stock</w:t>
      </w:r>
    </w:p>
    <w:p>
      <w:pPr>
        <w:spacing w:after="0" w:line="104"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Our stock price has been, and may in the future be, volatle and your investment could lose value.</w:t>
      </w:r>
    </w:p>
    <w:p>
      <w:pPr>
        <w:spacing w:after="0" w:line="109" w:lineRule="exact"/>
        <w:rPr>
          <w:sz w:val="20"/>
          <w:szCs w:val="20"/>
          <w:color w:val="auto"/>
        </w:rPr>
      </w:pPr>
    </w:p>
    <w:p>
      <w:pPr>
        <w:ind w:right="440" w:firstLine="324"/>
        <w:spacing w:after="0" w:line="235" w:lineRule="auto"/>
        <w:rPr>
          <w:sz w:val="20"/>
          <w:szCs w:val="20"/>
          <w:color w:val="auto"/>
        </w:rPr>
      </w:pPr>
      <w:r>
        <w:rPr>
          <w:rFonts w:ascii="Calibri" w:cs="Calibri" w:eastAsia="Calibri" w:hAnsi="Calibri"/>
          <w:sz w:val="18"/>
          <w:szCs w:val="18"/>
          <w:color w:val="auto"/>
        </w:rPr>
        <w:t>The trading price of our common stock has, at tmes, fuctuated signifcantly and could be subject to wide fuctuatons in response to any of the risk factors listed in this “Risk Factors” secton, and others, including:</w:t>
      </w:r>
    </w:p>
    <w:p>
      <w:pPr>
        <w:spacing w:after="0" w:line="105" w:lineRule="exact"/>
        <w:rPr>
          <w:sz w:val="20"/>
          <w:szCs w:val="20"/>
          <w:color w:val="auto"/>
        </w:rPr>
      </w:pPr>
    </w:p>
    <w:p>
      <w:pPr>
        <w:ind w:left="640" w:hanging="308"/>
        <w:spacing w:after="0"/>
        <w:tabs>
          <w:tab w:leader="none" w:pos="64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issuance of new or updated research or other reports by securites analysts;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antcipated or actual demand for AI-related products, including ASICs such as custom AI accelerators or XPUs;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broad market, industry and compettor-related fuctuatons;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unsubstantated news reports or other inaccurate publicity regarding us or our business;</w:t>
      </w:r>
    </w:p>
    <w:p>
      <w:pPr>
        <w:spacing w:after="0" w:line="109" w:lineRule="exact"/>
        <w:rPr>
          <w:rFonts w:ascii="Calibri" w:cs="Calibri" w:eastAsia="Calibri" w:hAnsi="Calibri"/>
          <w:sz w:val="18"/>
          <w:szCs w:val="18"/>
          <w:color w:val="auto"/>
        </w:rPr>
      </w:pPr>
    </w:p>
    <w:p>
      <w:pPr>
        <w:ind w:left="660" w:right="140" w:hanging="328"/>
        <w:spacing w:after="0" w:line="235" w:lineRule="auto"/>
        <w:tabs>
          <w:tab w:leader="none" w:pos="653"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fuctuatons in the valuaton and results of operatons of our signifcant customers as well as companies perceived by investors to be comparable to us;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announcements of proposed acquisitons by us or our compettors;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announcements of, or expectatons of, additonal debt or equity fnancing transactons;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hedging or arbitrage trading actvity involving our common stock; and</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signifcant sales of our common stock by one or more of our largest investors.</w:t>
      </w:r>
    </w:p>
    <w:p>
      <w:pPr>
        <w:spacing w:after="0" w:line="109" w:lineRule="exact"/>
        <w:rPr>
          <w:sz w:val="20"/>
          <w:szCs w:val="20"/>
          <w:color w:val="auto"/>
        </w:rPr>
      </w:pPr>
    </w:p>
    <w:p>
      <w:pPr>
        <w:ind w:right="100" w:firstLine="324"/>
        <w:spacing w:after="0" w:line="235" w:lineRule="auto"/>
        <w:rPr>
          <w:sz w:val="20"/>
          <w:szCs w:val="20"/>
          <w:color w:val="auto"/>
        </w:rPr>
      </w:pPr>
      <w:r>
        <w:rPr>
          <w:rFonts w:ascii="Calibri" w:cs="Calibri" w:eastAsia="Calibri" w:hAnsi="Calibri"/>
          <w:sz w:val="18"/>
          <w:szCs w:val="18"/>
          <w:color w:val="auto"/>
        </w:rPr>
        <w:t>These fuctuatons are ofen unrelated or disproportonate to our operatng performance. Broad market and industry fuctuatons, as well as general economic, politcal and market conditons such as recessions, interest rate changes or currency fuctuatons, may negatvely impact the market price of our common stock. You may not realize any return on your investment in us and may lose some or all of your investment. In the past, companies that have experienced volatlity in the market price of their stock have been subject to securites class acton litgaton. We may be the target of this type of litgaton in the future. In additon, we have been, and in the future we may be, subject to lawsuits stemming from our acquisitons. Securites litgaton against us, including the lawsuits related to such acquisitons, could result in substantal costs and divert our management’s atenton from other business concerns, which could seriously harm our business.</w:t>
      </w:r>
    </w:p>
    <w:p>
      <w:pPr>
        <w:spacing w:after="0" w:line="109"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There can be no assurance that we will contnue to declare cash dividends.</w:t>
      </w:r>
    </w:p>
    <w:p>
      <w:pPr>
        <w:spacing w:after="0" w:line="109" w:lineRule="exact"/>
        <w:rPr>
          <w:sz w:val="20"/>
          <w:szCs w:val="20"/>
          <w:color w:val="auto"/>
        </w:rPr>
      </w:pPr>
    </w:p>
    <w:p>
      <w:pPr>
        <w:ind w:right="80" w:firstLine="324"/>
        <w:spacing w:after="0" w:line="235" w:lineRule="auto"/>
        <w:rPr>
          <w:sz w:val="20"/>
          <w:szCs w:val="20"/>
          <w:color w:val="auto"/>
        </w:rPr>
      </w:pPr>
      <w:r>
        <w:rPr>
          <w:rFonts w:ascii="Calibri" w:cs="Calibri" w:eastAsia="Calibri" w:hAnsi="Calibri"/>
          <w:sz w:val="18"/>
          <w:szCs w:val="18"/>
          <w:color w:val="auto"/>
        </w:rPr>
        <w:t>Our Board of Directors has adopted a dividend policy pursuant to which we currently pay a cash dividend on our common stock on a quarterly basis. The declaraton and payment of any dividend is subject to the approval of our Board of Directors and our dividend may be discontnued or reduced at any tme. Because we are a holding company, our ability to pay cash dividends is also limited by restrictons or limitatons on our ability to obtain sufcient funds through dividends from subsidiaries. There can be no assurance that we will declare cash dividends in the future in any partcular amounts, or at all. A reducton in our cash dividend payments could have a negatve efect on our stock price.</w:t>
      </w:r>
    </w:p>
    <w:p>
      <w:pPr>
        <w:spacing w:after="0" w:line="107" w:lineRule="exact"/>
        <w:rPr>
          <w:sz w:val="20"/>
          <w:szCs w:val="20"/>
          <w:color w:val="auto"/>
        </w:rPr>
      </w:pPr>
    </w:p>
    <w:p>
      <w:pPr>
        <w:spacing w:after="0"/>
        <w:tabs>
          <w:tab w:leader="none" w:pos="1100" w:val="left"/>
        </w:tabs>
        <w:rPr>
          <w:sz w:val="20"/>
          <w:szCs w:val="20"/>
          <w:color w:val="auto"/>
        </w:rPr>
      </w:pPr>
      <w:r>
        <w:rPr>
          <w:rFonts w:ascii="Calibri" w:cs="Calibri" w:eastAsia="Calibri" w:hAnsi="Calibri"/>
          <w:sz w:val="18"/>
          <w:szCs w:val="18"/>
          <w:b w:val="1"/>
          <w:bCs w:val="1"/>
          <w:color w:val="auto"/>
        </w:rPr>
        <w:t>ITEM 1B.</w:t>
      </w:r>
      <w:r>
        <w:rPr>
          <w:sz w:val="20"/>
          <w:szCs w:val="20"/>
          <w:color w:val="auto"/>
        </w:rPr>
        <w:tab/>
      </w:r>
      <w:r>
        <w:rPr>
          <w:rFonts w:ascii="Calibri" w:cs="Calibri" w:eastAsia="Calibri" w:hAnsi="Calibri"/>
          <w:sz w:val="17"/>
          <w:szCs w:val="17"/>
          <w:b w:val="1"/>
          <w:bCs w:val="1"/>
          <w:color w:val="auto"/>
        </w:rPr>
        <w:t>UNRESOLVED STAFF COMMENTS</w:t>
      </w:r>
    </w:p>
    <w:p>
      <w:pPr>
        <w:spacing w:after="0" w:line="104" w:lineRule="exact"/>
        <w:rPr>
          <w:sz w:val="20"/>
          <w:szCs w:val="20"/>
          <w:color w:val="auto"/>
        </w:rPr>
      </w:pPr>
    </w:p>
    <w:p>
      <w:pPr>
        <w:ind w:left="460"/>
        <w:spacing w:after="0"/>
        <w:rPr>
          <w:sz w:val="20"/>
          <w:szCs w:val="20"/>
          <w:color w:val="auto"/>
        </w:rPr>
      </w:pPr>
      <w:r>
        <w:rPr>
          <w:rFonts w:ascii="Calibri" w:cs="Calibri" w:eastAsia="Calibri" w:hAnsi="Calibri"/>
          <w:sz w:val="18"/>
          <w:szCs w:val="18"/>
          <w:color w:val="auto"/>
        </w:rPr>
        <w:t>None.</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100" w:val="left"/>
        </w:tabs>
        <w:rPr>
          <w:sz w:val="20"/>
          <w:szCs w:val="20"/>
          <w:color w:val="auto"/>
        </w:rPr>
      </w:pPr>
      <w:r>
        <w:rPr>
          <w:rFonts w:ascii="Calibri" w:cs="Calibri" w:eastAsia="Calibri" w:hAnsi="Calibri"/>
          <w:sz w:val="18"/>
          <w:szCs w:val="18"/>
          <w:b w:val="1"/>
          <w:bCs w:val="1"/>
          <w:color w:val="auto"/>
        </w:rPr>
        <w:t>ITEM 1C.</w:t>
      </w:r>
      <w:r>
        <w:rPr>
          <w:sz w:val="20"/>
          <w:szCs w:val="20"/>
          <w:color w:val="auto"/>
        </w:rPr>
        <w:tab/>
      </w:r>
      <w:r>
        <w:rPr>
          <w:rFonts w:ascii="Calibri" w:cs="Calibri" w:eastAsia="Calibri" w:hAnsi="Calibri"/>
          <w:sz w:val="17"/>
          <w:szCs w:val="17"/>
          <w:b w:val="1"/>
          <w:bCs w:val="1"/>
          <w:color w:val="auto"/>
        </w:rPr>
        <w:t>CYBERSECURITY</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 Management and Strategy</w:t>
      </w:r>
    </w:p>
    <w:p>
      <w:pPr>
        <w:spacing w:after="0" w:line="109" w:lineRule="exact"/>
        <w:rPr>
          <w:sz w:val="20"/>
          <w:szCs w:val="20"/>
          <w:color w:val="auto"/>
        </w:rPr>
      </w:pPr>
    </w:p>
    <w:p>
      <w:pPr>
        <w:ind w:right="60" w:firstLine="405"/>
        <w:spacing w:after="0" w:line="235" w:lineRule="auto"/>
        <w:rPr>
          <w:sz w:val="20"/>
          <w:szCs w:val="20"/>
          <w:color w:val="auto"/>
        </w:rPr>
      </w:pPr>
      <w:r>
        <w:rPr>
          <w:rFonts w:ascii="Calibri" w:cs="Calibri" w:eastAsia="Calibri" w:hAnsi="Calibri"/>
          <w:sz w:val="18"/>
          <w:szCs w:val="18"/>
          <w:color w:val="auto"/>
        </w:rPr>
        <w:t>Our cybersecurity risk management program is intended to protect the confdentality, integrity and availability of our critcal systems and informaton. Our program includes processes for identfying, assessing and managing material risks from cybersecurity threats that are guided by the Natonal Insttute of Standards &amp; Technology’s Cyber Security Framework, the ISO 27001 internatonal standard for informaton security and other applicable industry benchmarks.</w:t>
      </w:r>
    </w:p>
    <w:p>
      <w:pPr>
        <w:spacing w:after="0" w:line="107"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Our cybersecurity risk management program is integrated into our overall enterprise risk management system and processes, and includes:</w:t>
      </w:r>
    </w:p>
    <w:p>
      <w:pPr>
        <w:spacing w:after="0" w:line="109" w:lineRule="exact"/>
        <w:rPr>
          <w:sz w:val="20"/>
          <w:szCs w:val="20"/>
          <w:color w:val="auto"/>
        </w:rPr>
      </w:pPr>
    </w:p>
    <w:p>
      <w:pPr>
        <w:ind w:left="660" w:right="180" w:hanging="328"/>
        <w:spacing w:after="0" w:line="235" w:lineRule="auto"/>
        <w:tabs>
          <w:tab w:leader="none" w:pos="653"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a team of professionals within our Global Technology Organizaton team who are responsible for identfying and mitgatng cybersecurity risks and managing our security controls and response actvites;</w:t>
      </w:r>
    </w:p>
    <w:p>
      <w:pPr>
        <w:spacing w:after="0" w:line="109" w:lineRule="exact"/>
        <w:rPr>
          <w:rFonts w:ascii="Calibri" w:cs="Calibri" w:eastAsia="Calibri" w:hAnsi="Calibri"/>
          <w:sz w:val="18"/>
          <w:szCs w:val="18"/>
          <w:color w:val="auto"/>
        </w:rPr>
      </w:pPr>
    </w:p>
    <w:p>
      <w:pPr>
        <w:ind w:left="660" w:right="20" w:hanging="328"/>
        <w:spacing w:after="0" w:line="235" w:lineRule="auto"/>
        <w:tabs>
          <w:tab w:leader="none" w:pos="653"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risk assessment processes designed to identfy cybersecurity risks to our critcal systems, informaton, products, services and our broader enterprise IT environment;</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an annual tabletop exercise to simulate a response to a cybersecurity incident; and</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mandatory training annually and upon hiring for all employees on data privacy and cybersecurity topics.</w:t>
      </w:r>
    </w:p>
    <w:p>
      <w:pPr>
        <w:spacing w:after="0" w:line="109" w:lineRule="exact"/>
        <w:rPr>
          <w:sz w:val="20"/>
          <w:szCs w:val="20"/>
          <w:color w:val="auto"/>
        </w:rPr>
      </w:pPr>
    </w:p>
    <w:p>
      <w:pPr>
        <w:ind w:right="100" w:firstLine="405"/>
        <w:spacing w:after="0" w:line="235" w:lineRule="auto"/>
        <w:rPr>
          <w:sz w:val="20"/>
          <w:szCs w:val="20"/>
          <w:color w:val="auto"/>
        </w:rPr>
      </w:pPr>
      <w:r>
        <w:rPr>
          <w:rFonts w:ascii="Calibri" w:cs="Calibri" w:eastAsia="Calibri" w:hAnsi="Calibri"/>
          <w:sz w:val="18"/>
          <w:szCs w:val="18"/>
          <w:color w:val="auto"/>
        </w:rPr>
        <w:t>When appropriate, we utlize independent, external service providers to assess, test or otherwise assist with certain aspects of our cybersecurity risk management program and related processes, including for penetraton testng, threat monitoring and incident response. We also employ a vendor risk assessment process to mitgate risks presented by certain third-party service providers, and we require such providers to manage their cybersecurity risks in conformance to industry standards, notfy us of relevant cybersecurity events and satsfy additonal contractual requirements.</w:t>
      </w:r>
    </w:p>
    <w:p>
      <w:pPr>
        <w:spacing w:after="0" w:line="111" w:lineRule="exact"/>
        <w:rPr>
          <w:sz w:val="20"/>
          <w:szCs w:val="20"/>
          <w:color w:val="auto"/>
        </w:rPr>
      </w:pPr>
    </w:p>
    <w:p>
      <w:pPr>
        <w:ind w:right="100" w:firstLine="405"/>
        <w:spacing w:after="0" w:line="235" w:lineRule="auto"/>
        <w:rPr>
          <w:sz w:val="20"/>
          <w:szCs w:val="20"/>
          <w:color w:val="auto"/>
        </w:rPr>
      </w:pPr>
      <w:r>
        <w:rPr>
          <w:rFonts w:ascii="Calibri" w:cs="Calibri" w:eastAsia="Calibri" w:hAnsi="Calibri"/>
          <w:sz w:val="18"/>
          <w:szCs w:val="18"/>
          <w:color w:val="auto"/>
        </w:rPr>
        <w:t>As of the date of this Annual Report on Form 10-K, we are not aware of any risks from cybersecurity threats, including as a result of any previous cybersecurity incidents, that have materially afected or are reasonably likely to materially afect us, including our business strategy, results of operatons, or fnancial conditon. See Item 1A. Risk Factors, “Cyber security threats or other security breaches, or any other impairment of the confdentality, integrity or availability of our IT systems, or those of one or more of our corporate infrastructure vendors, could have a material adverse efect on our business” in this Annual Report on Form 10-K for additonal informaton about our cybersecurity-related risks.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Cybersecurity Governance</w:t>
      </w:r>
    </w:p>
    <w:p>
      <w:pPr>
        <w:spacing w:after="0" w:line="109" w:lineRule="exact"/>
        <w:rPr>
          <w:sz w:val="20"/>
          <w:szCs w:val="20"/>
          <w:color w:val="auto"/>
        </w:rPr>
      </w:pPr>
    </w:p>
    <w:p>
      <w:pPr>
        <w:ind w:right="80" w:firstLine="405"/>
        <w:spacing w:after="0" w:line="235" w:lineRule="auto"/>
        <w:rPr>
          <w:sz w:val="20"/>
          <w:szCs w:val="20"/>
          <w:color w:val="auto"/>
        </w:rPr>
      </w:pPr>
      <w:r>
        <w:rPr>
          <w:rFonts w:ascii="Calibri" w:cs="Calibri" w:eastAsia="Calibri" w:hAnsi="Calibri"/>
          <w:sz w:val="18"/>
          <w:szCs w:val="18"/>
          <w:color w:val="auto"/>
        </w:rPr>
        <w:t>Our Board of Directors is actvely involved in overseeing our cybersecurity risk management and shares oversight responsibility and processes with the Audit Commitee of the Board of Directors (the “Audit Commitee”).</w:t>
      </w:r>
    </w:p>
    <w:p>
      <w:pPr>
        <w:spacing w:after="0" w:line="110" w:lineRule="exact"/>
        <w:rPr>
          <w:sz w:val="20"/>
          <w:szCs w:val="20"/>
          <w:color w:val="auto"/>
        </w:rPr>
      </w:pPr>
    </w:p>
    <w:p>
      <w:pPr>
        <w:ind w:right="40" w:firstLine="405"/>
        <w:spacing w:after="0" w:line="251" w:lineRule="auto"/>
        <w:rPr>
          <w:sz w:val="20"/>
          <w:szCs w:val="20"/>
          <w:color w:val="auto"/>
        </w:rPr>
      </w:pPr>
      <w:r>
        <w:rPr>
          <w:rFonts w:ascii="Calibri" w:cs="Calibri" w:eastAsia="Calibri" w:hAnsi="Calibri"/>
          <w:sz w:val="17"/>
          <w:szCs w:val="17"/>
          <w:color w:val="auto"/>
        </w:rPr>
        <w:t>Our management, including our Chief Informaton Ofcer (“CIO”), in consultaton with our Chief Informaton Security Ofcer (“CISO”), reviews with the Audit Commitee at least quarterly our cybersecurity security policies, practces and protectve measures, threat intelligence, cybersecurity incidents and related risks. At least quarterly, our CIO also provides the Audit Commitee with an update on our enterprise security program that includes procedures and policies for testng vulnerabilites, responding to cybersecurity threats, and training and evaluatng our employees. The Audit Commitee and management also update our Board of Directors at least quarterly on our cybersecurity performance and risk profle and the efectveness of our cybersecurity processes.</w:t>
      </w:r>
    </w:p>
    <w:p>
      <w:pPr>
        <w:spacing w:after="0" w:line="103" w:lineRule="exact"/>
        <w:rPr>
          <w:sz w:val="20"/>
          <w:szCs w:val="20"/>
          <w:color w:val="auto"/>
        </w:rPr>
      </w:pPr>
    </w:p>
    <w:p>
      <w:pPr>
        <w:ind w:firstLine="405"/>
        <w:spacing w:after="0" w:line="252" w:lineRule="auto"/>
        <w:rPr>
          <w:sz w:val="20"/>
          <w:szCs w:val="20"/>
          <w:color w:val="auto"/>
        </w:rPr>
      </w:pPr>
      <w:r>
        <w:rPr>
          <w:rFonts w:ascii="Calibri" w:cs="Calibri" w:eastAsia="Calibri" w:hAnsi="Calibri"/>
          <w:sz w:val="17"/>
          <w:szCs w:val="17"/>
          <w:color w:val="auto"/>
        </w:rPr>
        <w:t>Our management, including our CIO and CISO, are responsible for assessing and managing material risks from cybersecurity threats. Our CIO oversees our Global Technology Organizaton that has primary responsibility for our overall cybersecurity risk management program. Our CIO, who reports to our Chief Executve Ofcer, has over 20 years of experience managing global IT operatons, including strategy, applicatons, infrastructure, informaton security, support and executon. Our CISO, who reports to the CIO, has approximately 30 years of cybersecurity experience assessing and managing cybersecurity programs.</w:t>
      </w:r>
    </w:p>
    <w:p>
      <w:pPr>
        <w:spacing w:after="0" w:line="100" w:lineRule="exact"/>
        <w:rPr>
          <w:sz w:val="20"/>
          <w:szCs w:val="20"/>
          <w:color w:val="auto"/>
        </w:rPr>
      </w:pPr>
    </w:p>
    <w:p>
      <w:pPr>
        <w:ind w:right="160" w:firstLine="405"/>
        <w:spacing w:after="0" w:line="235" w:lineRule="auto"/>
        <w:rPr>
          <w:sz w:val="20"/>
          <w:szCs w:val="20"/>
          <w:color w:val="auto"/>
        </w:rPr>
      </w:pPr>
      <w:r>
        <w:rPr>
          <w:rFonts w:ascii="Calibri" w:cs="Calibri" w:eastAsia="Calibri" w:hAnsi="Calibri"/>
          <w:sz w:val="18"/>
          <w:szCs w:val="18"/>
          <w:color w:val="auto"/>
        </w:rPr>
        <w:t>Our management is informed about and monitors the preventon, detecton, mitgaton, and remediaton of cybersecurity risks and incidents through various means, which may include, among other things, threat intelligence and other informaton obtained from governmental, public or private sources, including external consultants engaged by us, and alerts and reports produced by security tools deployed in our IT environment.</w:t>
      </w:r>
    </w:p>
    <w:p>
      <w:pPr>
        <w:spacing w:after="0" w:line="106" w:lineRule="exact"/>
        <w:rPr>
          <w:sz w:val="20"/>
          <w:szCs w:val="20"/>
          <w:color w:val="auto"/>
        </w:rPr>
      </w:pPr>
    </w:p>
    <w:p>
      <w:pPr>
        <w:spacing w:after="0"/>
        <w:tabs>
          <w:tab w:leader="none" w:pos="1100" w:val="left"/>
        </w:tabs>
        <w:rPr>
          <w:sz w:val="20"/>
          <w:szCs w:val="20"/>
          <w:color w:val="auto"/>
        </w:rPr>
      </w:pPr>
      <w:r>
        <w:rPr>
          <w:rFonts w:ascii="Calibri" w:cs="Calibri" w:eastAsia="Calibri" w:hAnsi="Calibri"/>
          <w:sz w:val="18"/>
          <w:szCs w:val="18"/>
          <w:b w:val="1"/>
          <w:bCs w:val="1"/>
          <w:color w:val="auto"/>
        </w:rPr>
        <w:t>ITEM 2.</w:t>
      </w:r>
      <w:r>
        <w:rPr>
          <w:sz w:val="20"/>
          <w:szCs w:val="20"/>
          <w:color w:val="auto"/>
        </w:rPr>
        <w:tab/>
      </w:r>
      <w:r>
        <w:rPr>
          <w:rFonts w:ascii="Calibri" w:cs="Calibri" w:eastAsia="Calibri" w:hAnsi="Calibri"/>
          <w:sz w:val="17"/>
          <w:szCs w:val="17"/>
          <w:b w:val="1"/>
          <w:bCs w:val="1"/>
          <w:color w:val="auto"/>
        </w:rPr>
        <w:t>PROPERTIES</w:t>
      </w:r>
    </w:p>
    <w:p>
      <w:pPr>
        <w:spacing w:after="0" w:line="109" w:lineRule="exact"/>
        <w:rPr>
          <w:sz w:val="20"/>
          <w:szCs w:val="20"/>
          <w:color w:val="auto"/>
        </w:rPr>
      </w:pPr>
    </w:p>
    <w:p>
      <w:pPr>
        <w:ind w:right="300" w:firstLine="405"/>
        <w:spacing w:after="0" w:line="235" w:lineRule="auto"/>
        <w:rPr>
          <w:sz w:val="20"/>
          <w:szCs w:val="20"/>
          <w:color w:val="auto"/>
        </w:rPr>
      </w:pPr>
      <w:r>
        <w:rPr>
          <w:rFonts w:ascii="Calibri" w:cs="Calibri" w:eastAsia="Calibri" w:hAnsi="Calibri"/>
          <w:sz w:val="18"/>
          <w:szCs w:val="18"/>
          <w:color w:val="auto"/>
        </w:rPr>
        <w:t>We are headquartered in Palo Alto, California and our primary warehouse is located in Malaysia. We conduct our administraton, manufacturing, research and development, sales and marketng in both owned and leased facilites. We believe that our owned and leased facilites are adequate for our present operatons. We do not identfy or allocate assets by operatng segment.</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33" w:name="page34"/>
    <w:bookmarkEnd w:id="3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As of November 3, 2024, our owned and leased facilites in excess of 100,000 square feet consisted of:</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gridSpan w:val="2"/>
          </w:tcPr>
          <w:p>
            <w:pPr>
              <w:spacing w:after="0"/>
              <w:rPr>
                <w:sz w:val="20"/>
                <w:szCs w:val="20"/>
                <w:color w:val="auto"/>
              </w:rPr>
            </w:pPr>
            <w:r>
              <w:rPr>
                <w:rFonts w:ascii="Calibri" w:cs="Calibri" w:eastAsia="Calibri" w:hAnsi="Calibri"/>
                <w:sz w:val="14"/>
                <w:szCs w:val="14"/>
                <w:b w:val="1"/>
                <w:bCs w:val="1"/>
                <w:color w:val="auto"/>
              </w:rPr>
              <w:t>(In square feet)</w:t>
            </w:r>
          </w:p>
        </w:tc>
        <w:tc>
          <w:tcPr>
            <w:tcW w:w="1640" w:type="dxa"/>
            <w:vAlign w:val="bottom"/>
            <w:gridSpan w:val="2"/>
          </w:tcPr>
          <w:p>
            <w:pPr>
              <w:ind w:left="360"/>
              <w:spacing w:after="0"/>
              <w:rPr>
                <w:sz w:val="20"/>
                <w:szCs w:val="20"/>
                <w:color w:val="auto"/>
              </w:rPr>
            </w:pPr>
            <w:r>
              <w:rPr>
                <w:rFonts w:ascii="Calibri" w:cs="Calibri" w:eastAsia="Calibri" w:hAnsi="Calibri"/>
                <w:sz w:val="14"/>
                <w:szCs w:val="14"/>
                <w:b w:val="1"/>
                <w:bCs w:val="1"/>
                <w:color w:val="auto"/>
              </w:rPr>
              <w:t>United States</w:t>
            </w:r>
          </w:p>
        </w:tc>
        <w:tc>
          <w:tcPr>
            <w:tcW w:w="1640" w:type="dxa"/>
            <w:vAlign w:val="bottom"/>
            <w:gridSpan w:val="2"/>
          </w:tcPr>
          <w:p>
            <w:pPr>
              <w:ind w:left="280"/>
              <w:spacing w:after="0"/>
              <w:rPr>
                <w:sz w:val="20"/>
                <w:szCs w:val="20"/>
                <w:color w:val="auto"/>
              </w:rPr>
            </w:pPr>
            <w:r>
              <w:rPr>
                <w:rFonts w:ascii="Calibri" w:cs="Calibri" w:eastAsia="Calibri" w:hAnsi="Calibri"/>
                <w:sz w:val="14"/>
                <w:szCs w:val="14"/>
                <w:b w:val="1"/>
                <w:bCs w:val="1"/>
                <w:color w:val="auto"/>
              </w:rPr>
              <w:t>Other Countries</w:t>
            </w:r>
          </w:p>
        </w:tc>
        <w:tc>
          <w:tcPr>
            <w:tcW w:w="1520" w:type="dxa"/>
            <w:vAlign w:val="bottom"/>
          </w:tcPr>
          <w:p>
            <w:pPr>
              <w:jc w:val="right"/>
              <w:ind w:right="535"/>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47"/>
        </w:trPr>
        <w:tc>
          <w:tcPr>
            <w:tcW w:w="20" w:type="dxa"/>
            <w:vAlign w:val="bottom"/>
            <w:tcBorders>
              <w:bottom w:val="single" w:sz="8" w:color="CCEEFF"/>
            </w:tcBorders>
          </w:tcPr>
          <w:p>
            <w:pPr>
              <w:spacing w:after="0"/>
              <w:rPr>
                <w:sz w:val="4"/>
                <w:szCs w:val="4"/>
                <w:color w:val="auto"/>
              </w:rPr>
            </w:pPr>
          </w:p>
        </w:tc>
        <w:tc>
          <w:tcPr>
            <w:tcW w:w="1320" w:type="dxa"/>
            <w:vAlign w:val="bottom"/>
            <w:tcBorders>
              <w:bottom w:val="single" w:sz="8" w:color="CCEEFF"/>
            </w:tcBorders>
          </w:tcPr>
          <w:p>
            <w:pPr>
              <w:spacing w:after="0"/>
              <w:rPr>
                <w:sz w:val="4"/>
                <w:szCs w:val="4"/>
                <w:color w:val="auto"/>
              </w:rPr>
            </w:pPr>
          </w:p>
        </w:tc>
        <w:tc>
          <w:tcPr>
            <w:tcW w:w="506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line="223" w:lineRule="exact"/>
              <w:rPr>
                <w:sz w:val="20"/>
                <w:szCs w:val="20"/>
                <w:color w:val="auto"/>
              </w:rPr>
            </w:pPr>
            <w:r>
              <w:rPr>
                <w:rFonts w:ascii="Calibri" w:cs="Calibri" w:eastAsia="Calibri" w:hAnsi="Calibri"/>
                <w:sz w:val="18"/>
                <w:szCs w:val="18"/>
                <w:color w:val="auto"/>
              </w:rPr>
              <w:t xml:space="preserve">Owned facilites </w:t>
            </w:r>
            <w:r>
              <w:rPr>
                <w:rFonts w:ascii="Calibri" w:cs="Calibri" w:eastAsia="Calibri" w:hAnsi="Calibri"/>
                <w:sz w:val="23"/>
                <w:szCs w:val="23"/>
                <w:color w:val="auto"/>
                <w:vertAlign w:val="superscript"/>
              </w:rPr>
              <w:t>(a)</w:t>
            </w:r>
          </w:p>
        </w:tc>
        <w:tc>
          <w:tcPr>
            <w:tcW w:w="15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2,919,706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928,888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3,848,594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spacing w:after="0" w:line="230" w:lineRule="exact"/>
              <w:rPr>
                <w:sz w:val="20"/>
                <w:szCs w:val="20"/>
                <w:color w:val="auto"/>
              </w:rPr>
            </w:pPr>
            <w:r>
              <w:rPr>
                <w:rFonts w:ascii="Calibri" w:cs="Calibri" w:eastAsia="Calibri" w:hAnsi="Calibri"/>
                <w:sz w:val="18"/>
                <w:szCs w:val="18"/>
                <w:color w:val="auto"/>
              </w:rPr>
              <w:t xml:space="preserve">Leased facilites </w:t>
            </w:r>
            <w:r>
              <w:rPr>
                <w:rFonts w:ascii="Calibri" w:cs="Calibri" w:eastAsia="Calibri" w:hAnsi="Calibri"/>
                <w:sz w:val="23"/>
                <w:szCs w:val="23"/>
                <w:color w:val="auto"/>
                <w:vertAlign w:val="superscript"/>
              </w:rPr>
              <w:t>(b)</w:t>
            </w:r>
          </w:p>
        </w:tc>
        <w:tc>
          <w:tcPr>
            <w:tcW w:w="15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849,322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2,354,773</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3,204,095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8"/>
                <w:szCs w:val="18"/>
                <w:color w:val="auto"/>
              </w:rPr>
              <w:t>Total facilites</w:t>
            </w:r>
          </w:p>
        </w:tc>
        <w:tc>
          <w:tcPr>
            <w:tcW w:w="15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3,769,028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3,283,661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7,052,689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spacing w:after="0" w:line="162" w:lineRule="exact"/>
              <w:rPr>
                <w:sz w:val="20"/>
                <w:szCs w:val="20"/>
                <w:color w:val="auto"/>
              </w:rPr>
            </w:pPr>
            <w:r>
              <w:rPr>
                <w:rFonts w:ascii="Calibri" w:cs="Calibri" w:eastAsia="Calibri" w:hAnsi="Calibri"/>
                <w:sz w:val="17"/>
                <w:szCs w:val="17"/>
                <w:color w:val="auto"/>
              </w:rPr>
              <w:t>_______________</w:t>
            </w:r>
          </w:p>
        </w:tc>
        <w:tc>
          <w:tcPr>
            <w:tcW w:w="5060" w:type="dxa"/>
            <w:vAlign w:val="bottom"/>
            <w:tcBorders>
              <w:top w:val="single" w:sz="8" w:color="CCEEFF"/>
              <w:bottom w:val="single" w:sz="8" w:color="CCEEFF"/>
            </w:tcBorders>
            <w:vMerge w:val="restart"/>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506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both"/>
        <w:ind w:left="20" w:right="180" w:firstLine="6"/>
        <w:spacing w:after="0" w:line="210" w:lineRule="auto"/>
        <w:tabs>
          <w:tab w:leader="none" w:pos="25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Includes 318,000 square feet and 153,000 square feet of property owned in Malaysia subject to a 60-year land lease with the state authority expiring in May 2051 and March 2077, respectvely, subject to renewal at our opton. Also includes 561,000 square feet of property in Palo Alto, California subject to a 40-year land lease with the Stanford University Board of Trustees expiring in May 2046 that does not have a renewal opton.</w:t>
      </w:r>
    </w:p>
    <w:p>
      <w:pPr>
        <w:spacing w:after="0" w:line="52" w:lineRule="exact"/>
        <w:rPr>
          <w:rFonts w:ascii="Calibri" w:cs="Calibri" w:eastAsia="Calibri" w:hAnsi="Calibri"/>
          <w:sz w:val="18"/>
          <w:szCs w:val="18"/>
          <w:color w:val="auto"/>
        </w:rPr>
      </w:pPr>
    </w:p>
    <w:p>
      <w:pPr>
        <w:ind w:left="260" w:hanging="234"/>
        <w:spacing w:after="0"/>
        <w:tabs>
          <w:tab w:leader="none" w:pos="26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Building leases expire on varying dates through February 2046 and generally include renewals at our opton.</w:t>
      </w:r>
    </w:p>
    <w:p>
      <w:pPr>
        <w:spacing w:after="0" w:line="239"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18"/>
          <w:szCs w:val="18"/>
          <w:b w:val="1"/>
          <w:bCs w:val="1"/>
          <w:color w:val="auto"/>
        </w:rPr>
        <w:t>ITEM 3.</w:t>
      </w:r>
      <w:r>
        <w:rPr>
          <w:sz w:val="20"/>
          <w:szCs w:val="20"/>
          <w:color w:val="auto"/>
        </w:rPr>
        <w:tab/>
      </w:r>
      <w:r>
        <w:rPr>
          <w:rFonts w:ascii="Calibri" w:cs="Calibri" w:eastAsia="Calibri" w:hAnsi="Calibri"/>
          <w:sz w:val="17"/>
          <w:szCs w:val="17"/>
          <w:b w:val="1"/>
          <w:bCs w:val="1"/>
          <w:color w:val="auto"/>
        </w:rPr>
        <w:t>LEGAL PROCEEDINGS</w:t>
      </w:r>
    </w:p>
    <w:p>
      <w:pPr>
        <w:spacing w:after="0" w:line="109" w:lineRule="exact"/>
        <w:rPr>
          <w:sz w:val="20"/>
          <w:szCs w:val="20"/>
          <w:color w:val="auto"/>
        </w:rPr>
      </w:pPr>
    </w:p>
    <w:p>
      <w:pPr>
        <w:ind w:right="760" w:firstLine="405"/>
        <w:spacing w:after="0" w:line="235" w:lineRule="auto"/>
        <w:rPr>
          <w:sz w:val="20"/>
          <w:szCs w:val="20"/>
          <w:color w:val="auto"/>
        </w:rPr>
      </w:pPr>
      <w:r>
        <w:rPr>
          <w:rFonts w:ascii="Calibri" w:cs="Calibri" w:eastAsia="Calibri" w:hAnsi="Calibri"/>
          <w:sz w:val="18"/>
          <w:szCs w:val="18"/>
          <w:color w:val="auto"/>
        </w:rPr>
        <w:t>The informaton set forth under Note 14. “Commitments and Contngencies” included in Part II, Item 8 of this Annual Report on Form 10-K, is incorporated herein by reference. For an additonal discussion of certain risks associated with legal proceedings, see “Risk Factors” above.</w:t>
      </w:r>
    </w:p>
    <w:p>
      <w:pPr>
        <w:spacing w:after="0" w:line="105"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18"/>
          <w:szCs w:val="18"/>
          <w:b w:val="1"/>
          <w:bCs w:val="1"/>
          <w:color w:val="auto"/>
        </w:rPr>
        <w:t>ITEM 4.</w:t>
      </w:r>
      <w:r>
        <w:rPr>
          <w:sz w:val="20"/>
          <w:szCs w:val="20"/>
          <w:color w:val="auto"/>
        </w:rPr>
        <w:tab/>
      </w:r>
      <w:r>
        <w:rPr>
          <w:rFonts w:ascii="Calibri" w:cs="Calibri" w:eastAsia="Calibri" w:hAnsi="Calibri"/>
          <w:sz w:val="17"/>
          <w:szCs w:val="17"/>
          <w:b w:val="1"/>
          <w:bCs w:val="1"/>
          <w:color w:val="auto"/>
        </w:rPr>
        <w:t>MINE SAFETY DISCLOSURES</w:t>
      </w:r>
    </w:p>
    <w:p>
      <w:pPr>
        <w:spacing w:after="0" w:line="104"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34" w:name="page35"/>
    <w:bookmarkEnd w:id="3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ind w:right="-199"/>
        <w:spacing w:after="0"/>
        <w:rPr>
          <w:sz w:val="20"/>
          <w:szCs w:val="20"/>
          <w:color w:val="auto"/>
        </w:rPr>
      </w:pPr>
      <w:r>
        <w:rPr>
          <w:rFonts w:ascii="Calibri" w:cs="Calibri" w:eastAsia="Calibri" w:hAnsi="Calibri"/>
          <w:sz w:val="18"/>
          <w:szCs w:val="18"/>
          <w:b w:val="1"/>
          <w:bCs w:val="1"/>
          <w:color w:val="auto"/>
        </w:rPr>
        <w:t>PART II</w:t>
      </w:r>
    </w:p>
    <w:p>
      <w:pPr>
        <w:spacing w:after="0" w:line="104" w:lineRule="exact"/>
        <w:rPr>
          <w:sz w:val="20"/>
          <w:szCs w:val="20"/>
          <w:color w:val="auto"/>
        </w:rPr>
      </w:pPr>
    </w:p>
    <w:p>
      <w:pPr>
        <w:spacing w:after="0"/>
        <w:tabs>
          <w:tab w:leader="none" w:pos="1100" w:val="left"/>
        </w:tabs>
        <w:rPr>
          <w:sz w:val="20"/>
          <w:szCs w:val="20"/>
          <w:color w:val="auto"/>
        </w:rPr>
      </w:pPr>
      <w:r>
        <w:rPr>
          <w:rFonts w:ascii="Calibri" w:cs="Calibri" w:eastAsia="Calibri" w:hAnsi="Calibri"/>
          <w:sz w:val="18"/>
          <w:szCs w:val="18"/>
          <w:b w:val="1"/>
          <w:bCs w:val="1"/>
          <w:color w:val="auto"/>
        </w:rPr>
        <w:t>ITEM 5.</w:t>
      </w:r>
      <w:r>
        <w:rPr>
          <w:sz w:val="20"/>
          <w:szCs w:val="20"/>
          <w:color w:val="auto"/>
        </w:rPr>
        <w:tab/>
      </w:r>
      <w:r>
        <w:rPr>
          <w:rFonts w:ascii="Calibri" w:cs="Calibri" w:eastAsia="Calibri" w:hAnsi="Calibri"/>
          <w:sz w:val="17"/>
          <w:szCs w:val="17"/>
          <w:b w:val="1"/>
          <w:bCs w:val="1"/>
          <w:color w:val="auto"/>
        </w:rPr>
        <w:t>MARKET FOR REGISTRANT’S COMMON EQUITY, RELATED STOCKHOLDER MATTERS AND ISSUER PURCHASES OF EQUITY SECURITIES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Market Informaton</w:t>
      </w:r>
    </w:p>
    <w:p>
      <w:pPr>
        <w:spacing w:after="0" w:line="104"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Broadcom common stock is listed on The Nasdaq Global Select Market under the symbol “AVGO”.</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Holders</w:t>
      </w:r>
    </w:p>
    <w:p>
      <w:pPr>
        <w:spacing w:after="0" w:line="109"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As of November 29, 2024, there were 1,735 holders of record of our common stock. A substantally greater number of stockholders are “street name” or benefcial holders, whose shares are held of record by banks, brokers and other fnancial insttutons.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Issuer Purchases of Equity Securites</w:t>
      </w:r>
    </w:p>
    <w:p>
      <w:pPr>
        <w:spacing w:after="0" w:line="109" w:lineRule="exact"/>
        <w:rPr>
          <w:sz w:val="20"/>
          <w:szCs w:val="20"/>
          <w:color w:val="auto"/>
        </w:rPr>
      </w:pPr>
    </w:p>
    <w:p>
      <w:pPr>
        <w:ind w:right="100" w:firstLine="405"/>
        <w:spacing w:after="0" w:line="235" w:lineRule="auto"/>
        <w:rPr>
          <w:sz w:val="20"/>
          <w:szCs w:val="20"/>
          <w:color w:val="auto"/>
        </w:rPr>
      </w:pPr>
      <w:r>
        <w:rPr>
          <w:rFonts w:ascii="Calibri" w:cs="Calibri" w:eastAsia="Calibri" w:hAnsi="Calibri"/>
          <w:sz w:val="18"/>
          <w:szCs w:val="18"/>
          <w:color w:val="auto"/>
        </w:rPr>
        <w:t>During the fscal quarter ended November 3, 2024, we paid approximately $1,204 million in employee withholding taxes due upon the vestng of net setled equity awards. We withheld approximately 8 million shares of common stock from employees in connecton with such net share setlement at an average price of $160.31 per share. These shares may be deemed to be “issuer purchases” of shares.</w:t>
      </w:r>
    </w:p>
    <w:p>
      <w:pPr>
        <w:spacing w:after="0" w:line="111" w:lineRule="exact"/>
        <w:rPr>
          <w:sz w:val="20"/>
          <w:szCs w:val="20"/>
          <w:color w:val="auto"/>
        </w:rPr>
      </w:pPr>
    </w:p>
    <w:p>
      <w:pPr>
        <w:jc w:val="both"/>
        <w:ind w:firstLine="405"/>
        <w:spacing w:after="0" w:line="235" w:lineRule="auto"/>
        <w:rPr>
          <w:sz w:val="20"/>
          <w:szCs w:val="20"/>
          <w:color w:val="auto"/>
        </w:rPr>
      </w:pPr>
      <w:r>
        <w:rPr>
          <w:rFonts w:ascii="Calibri" w:cs="Calibri" w:eastAsia="Calibri" w:hAnsi="Calibri"/>
          <w:sz w:val="18"/>
          <w:szCs w:val="18"/>
          <w:color w:val="auto"/>
        </w:rPr>
        <w:t>In December 2021, our Board of Directors authorized a stock repurchase program to repurchase up to $10 billion of our common stock from tme to tme through December 31, 2022, which was subsequently extended to December 31, 2023. In May 2022, our Board of Directors authorized another stock repurchase program to repurchase up to an additonal $10 billion of our common stock from tme to tme through December 31, 2023. All $20 billion of the authorized amount under these stock repurchase programs was utlized prior to expiraton on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9"/>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2" w:right="519" w:bottom="1440" w:gutter="0" w:footer="0" w:header="0"/>
        </w:sectPr>
      </w:pPr>
    </w:p>
    <w:bookmarkStart w:id="35" w:name="page36"/>
    <w:bookmarkEnd w:id="3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Stock Performance Graph</w:t>
      </w:r>
    </w:p>
    <w:p>
      <w:pPr>
        <w:spacing w:after="0" w:line="109" w:lineRule="exact"/>
        <w:rPr>
          <w:sz w:val="20"/>
          <w:szCs w:val="20"/>
          <w:color w:val="auto"/>
        </w:rPr>
      </w:pPr>
    </w:p>
    <w:p>
      <w:pPr>
        <w:ind w:right="40" w:firstLine="405"/>
        <w:spacing w:after="0" w:line="235" w:lineRule="auto"/>
        <w:rPr>
          <w:sz w:val="20"/>
          <w:szCs w:val="20"/>
          <w:color w:val="auto"/>
        </w:rPr>
      </w:pPr>
      <w:r>
        <w:rPr>
          <w:rFonts w:ascii="Calibri" w:cs="Calibri" w:eastAsia="Calibri" w:hAnsi="Calibri"/>
          <w:sz w:val="18"/>
          <w:szCs w:val="18"/>
          <w:color w:val="auto"/>
        </w:rPr>
        <w:t>The following graph shows a comparison of cumulatve total return for our common stock, the Standard &amp; Poor’s 500 Stock Index (the “S&amp;P 500 Index”) and the NASDAQ 100 Index for the fve fscal years ended November 3, 2024. The total return graph and table assume that $100 was invested on November 1, 2019 (the last trading day of our fscal year 2019) in each of Broadcom Inc. common stock, the S&amp;P 500 Index and the NASDAQ 100 Index and assume that all dividends are reinvested. Indexes are calculated on a month-end basis.</w:t>
      </w:r>
    </w:p>
    <w:p>
      <w:pPr>
        <w:spacing w:after="0" w:line="111" w:lineRule="exact"/>
        <w:rPr>
          <w:sz w:val="20"/>
          <w:szCs w:val="20"/>
          <w:color w:val="auto"/>
        </w:rPr>
      </w:pPr>
    </w:p>
    <w:p>
      <w:pPr>
        <w:ind w:right="160" w:firstLine="445"/>
        <w:spacing w:after="0" w:line="235" w:lineRule="auto"/>
        <w:rPr>
          <w:sz w:val="20"/>
          <w:szCs w:val="20"/>
          <w:color w:val="auto"/>
        </w:rPr>
      </w:pPr>
      <w:r>
        <w:rPr>
          <w:rFonts w:ascii="Calibri" w:cs="Calibri" w:eastAsia="Calibri" w:hAnsi="Calibri"/>
          <w:sz w:val="18"/>
          <w:szCs w:val="18"/>
          <w:color w:val="auto"/>
        </w:rPr>
        <w:t>The comparisons in the graph below are based on historical data and are not indicatve of, or intended to forecast, the possible future performance of our common stock.</w:t>
      </w:r>
    </w:p>
    <w:p>
      <w:pPr>
        <w:spacing w:after="0" w:line="334" w:lineRule="exact"/>
        <w:rPr>
          <w:sz w:val="20"/>
          <w:szCs w:val="20"/>
          <w:color w:val="auto"/>
        </w:rPr>
      </w:pPr>
    </w:p>
    <w:p>
      <w:pPr>
        <w:jc w:val="center"/>
        <w:spacing w:after="0"/>
        <w:rPr>
          <w:sz w:val="20"/>
          <w:szCs w:val="20"/>
          <w:color w:val="auto"/>
        </w:rPr>
      </w:pPr>
      <w:r>
        <w:rPr>
          <w:rFonts w:ascii="Calibri" w:cs="Calibri" w:eastAsia="Calibri" w:hAnsi="Calibri"/>
          <w:sz w:val="25"/>
          <w:szCs w:val="25"/>
          <w:color w:val="auto"/>
        </w:rPr>
        <w:t>Comparison of Five Year Cumulatve Total Return</w:t>
      </w:r>
    </w:p>
    <w:p>
      <w:pPr>
        <w:spacing w:after="0" w:line="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Among Broadcom Inc., the S&amp;P 500 Index and the NASDAQ 100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83820</wp:posOffset>
            </wp:positionV>
            <wp:extent cx="5854700" cy="28543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5470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1380" w:type="dxa"/>
            <w:vAlign w:val="bottom"/>
            <w:gridSpan w:val="3"/>
            <w:vMerge w:val="restart"/>
          </w:tcPr>
          <w:p>
            <w:pPr>
              <w:ind w:left="80"/>
              <w:spacing w:after="0"/>
              <w:rPr>
                <w:sz w:val="20"/>
                <w:szCs w:val="20"/>
                <w:color w:val="auto"/>
              </w:rPr>
            </w:pPr>
            <w:r>
              <w:rPr>
                <w:rFonts w:ascii="Calibri" w:cs="Calibri" w:eastAsia="Calibri" w:hAnsi="Calibri"/>
                <w:sz w:val="14"/>
                <w:szCs w:val="14"/>
                <w:b w:val="1"/>
                <w:bCs w:val="1"/>
                <w:color w:val="auto"/>
              </w:rPr>
              <w:t>November 3, 2019</w:t>
            </w:r>
          </w:p>
        </w:tc>
        <w:tc>
          <w:tcPr>
            <w:tcW w:w="1400" w:type="dxa"/>
            <w:vAlign w:val="bottom"/>
            <w:gridSpan w:val="3"/>
            <w:vMerge w:val="restart"/>
          </w:tcPr>
          <w:p>
            <w:pPr>
              <w:ind w:left="100"/>
              <w:spacing w:after="0"/>
              <w:rPr>
                <w:sz w:val="20"/>
                <w:szCs w:val="20"/>
                <w:color w:val="auto"/>
              </w:rPr>
            </w:pPr>
            <w:r>
              <w:rPr>
                <w:rFonts w:ascii="Calibri" w:cs="Calibri" w:eastAsia="Calibri" w:hAnsi="Calibri"/>
                <w:sz w:val="14"/>
                <w:szCs w:val="14"/>
                <w:b w:val="1"/>
                <w:bCs w:val="1"/>
                <w:color w:val="auto"/>
              </w:rPr>
              <w:t>November 1, 2020</w:t>
            </w:r>
          </w:p>
        </w:tc>
        <w:tc>
          <w:tcPr>
            <w:tcW w:w="12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Calibri" w:cs="Calibri" w:eastAsia="Calibri" w:hAnsi="Calibri"/>
                <w:sz w:val="14"/>
                <w:szCs w:val="14"/>
                <w:b w:val="1"/>
                <w:bCs w:val="1"/>
                <w:color w:val="auto"/>
              </w:rPr>
              <w:t>October 31, 2021</w:t>
            </w:r>
          </w:p>
        </w:tc>
        <w:tc>
          <w:tcPr>
            <w:tcW w:w="22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alibri" w:cs="Calibri" w:eastAsia="Calibri" w:hAnsi="Calibri"/>
                <w:sz w:val="14"/>
                <w:szCs w:val="14"/>
                <w:b w:val="1"/>
                <w:bCs w:val="1"/>
                <w:color w:val="auto"/>
              </w:rPr>
              <w:t>October 30,</w:t>
            </w:r>
          </w:p>
        </w:tc>
        <w:tc>
          <w:tcPr>
            <w:tcW w:w="22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Calibri" w:cs="Calibri" w:eastAsia="Calibri" w:hAnsi="Calibri"/>
                <w:sz w:val="14"/>
                <w:szCs w:val="14"/>
                <w:b w:val="1"/>
                <w:bCs w:val="1"/>
                <w:color w:val="auto"/>
              </w:rPr>
              <w:t>October 29,</w:t>
            </w:r>
          </w:p>
        </w:tc>
        <w:tc>
          <w:tcPr>
            <w:tcW w:w="100" w:type="dxa"/>
            <w:vAlign w:val="bottom"/>
          </w:tcPr>
          <w:p>
            <w:pPr>
              <w:spacing w:after="0"/>
              <w:rPr>
                <w:sz w:val="14"/>
                <w:szCs w:val="14"/>
                <w:color w:val="auto"/>
              </w:rPr>
            </w:pPr>
          </w:p>
        </w:tc>
        <w:tc>
          <w:tcPr>
            <w:tcW w:w="1200" w:type="dxa"/>
            <w:vAlign w:val="bottom"/>
            <w:vMerge w:val="restart"/>
          </w:tcPr>
          <w:p>
            <w:pPr>
              <w:jc w:val="right"/>
              <w:ind w:right="15"/>
              <w:spacing w:after="0"/>
              <w:rPr>
                <w:sz w:val="20"/>
                <w:szCs w:val="20"/>
                <w:color w:val="auto"/>
              </w:rPr>
            </w:pPr>
            <w:r>
              <w:rPr>
                <w:rFonts w:ascii="Calibri" w:cs="Calibri" w:eastAsia="Calibri" w:hAnsi="Calibri"/>
                <w:sz w:val="14"/>
                <w:szCs w:val="14"/>
                <w:b w:val="1"/>
                <w:bCs w:val="1"/>
                <w:color w:val="auto"/>
              </w:rPr>
              <w:t>November 3, 2024</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437"/>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437"/>
              <w:spacing w:after="0"/>
              <w:rPr>
                <w:sz w:val="20"/>
                <w:szCs w:val="20"/>
                <w:color w:val="auto"/>
              </w:rPr>
            </w:pPr>
            <w:r>
              <w:rPr>
                <w:rFonts w:ascii="Calibri" w:cs="Calibri" w:eastAsia="Calibri" w:hAnsi="Calibri"/>
                <w:sz w:val="14"/>
                <w:szCs w:val="14"/>
                <w:b w:val="1"/>
                <w:bCs w:val="1"/>
                <w:color w:val="auto"/>
              </w:rPr>
              <w:t>2023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Broadcom Inc.</w:t>
            </w:r>
          </w:p>
        </w:tc>
        <w:tc>
          <w:tcPr>
            <w:tcW w:w="400" w:type="dxa"/>
            <w:vAlign w:val="bottom"/>
            <w:shd w:val="clear" w:color="auto" w:fill="CCEEFF"/>
          </w:tcPr>
          <w:p>
            <w:pPr>
              <w:jc w:val="right"/>
              <w:ind w:right="215"/>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100.00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123.53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193.73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177.51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323.12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661.00</w:t>
            </w:r>
          </w:p>
        </w:tc>
        <w:tc>
          <w:tcPr>
            <w:tcW w:w="0" w:type="dxa"/>
            <w:vAlign w:val="bottom"/>
          </w:tcPr>
          <w:p>
            <w:pPr>
              <w:spacing w:after="0"/>
              <w:rPr>
                <w:sz w:val="1"/>
                <w:szCs w:val="1"/>
                <w:color w:val="auto"/>
              </w:rPr>
            </w:pPr>
          </w:p>
        </w:tc>
      </w:tr>
      <w:tr>
        <w:trPr>
          <w:trHeight w:val="222"/>
        </w:trPr>
        <w:tc>
          <w:tcPr>
            <w:tcW w:w="2860" w:type="dxa"/>
            <w:vAlign w:val="bottom"/>
          </w:tcPr>
          <w:p>
            <w:pPr>
              <w:ind w:left="20"/>
              <w:spacing w:after="0" w:line="215" w:lineRule="exact"/>
              <w:rPr>
                <w:sz w:val="20"/>
                <w:szCs w:val="20"/>
                <w:color w:val="auto"/>
              </w:rPr>
            </w:pPr>
            <w:r>
              <w:rPr>
                <w:rFonts w:ascii="Calibri" w:cs="Calibri" w:eastAsia="Calibri" w:hAnsi="Calibri"/>
                <w:sz w:val="18"/>
                <w:szCs w:val="18"/>
                <w:color w:val="auto"/>
              </w:rPr>
              <w:t>S&amp;P 500 Index</w:t>
            </w:r>
          </w:p>
        </w:tc>
        <w:tc>
          <w:tcPr>
            <w:tcW w:w="400" w:type="dxa"/>
            <w:vAlign w:val="bottom"/>
          </w:tcPr>
          <w:p>
            <w:pPr>
              <w:jc w:val="right"/>
              <w:ind w:right="215"/>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100.00</w:t>
            </w:r>
          </w:p>
        </w:tc>
        <w:tc>
          <w:tcPr>
            <w:tcW w:w="120" w:type="dxa"/>
            <w:vAlign w:val="bottom"/>
          </w:tcPr>
          <w:p>
            <w:pPr>
              <w:spacing w:after="0"/>
              <w:rPr>
                <w:sz w:val="19"/>
                <w:szCs w:val="19"/>
                <w:color w:val="auto"/>
              </w:rPr>
            </w:pPr>
          </w:p>
        </w:tc>
        <w:tc>
          <w:tcPr>
            <w:tcW w:w="420" w:type="dxa"/>
            <w:vAlign w:val="bottom"/>
          </w:tcPr>
          <w:p>
            <w:pPr>
              <w:jc w:val="right"/>
              <w:ind w:right="235"/>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108.65</w:t>
            </w:r>
          </w:p>
        </w:tc>
        <w:tc>
          <w:tcPr>
            <w:tcW w:w="12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155.28</w:t>
            </w:r>
          </w:p>
        </w:tc>
        <w:tc>
          <w:tcPr>
            <w:tcW w:w="100" w:type="dxa"/>
            <w:vAlign w:val="bottom"/>
          </w:tcPr>
          <w:p>
            <w:pPr>
              <w:spacing w:after="0"/>
              <w:rPr>
                <w:sz w:val="19"/>
                <w:szCs w:val="19"/>
                <w:color w:val="auto"/>
              </w:rPr>
            </w:pPr>
          </w:p>
        </w:tc>
        <w:tc>
          <w:tcPr>
            <w:tcW w:w="2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133.58</w:t>
            </w:r>
          </w:p>
        </w:tc>
        <w:tc>
          <w:tcPr>
            <w:tcW w:w="100" w:type="dxa"/>
            <w:vAlign w:val="bottom"/>
          </w:tcPr>
          <w:p>
            <w:pPr>
              <w:spacing w:after="0"/>
              <w:rPr>
                <w:sz w:val="19"/>
                <w:szCs w:val="19"/>
                <w:color w:val="auto"/>
              </w:rPr>
            </w:pPr>
          </w:p>
        </w:tc>
        <w:tc>
          <w:tcPr>
            <w:tcW w:w="2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143.35</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202.39</w:t>
            </w:r>
          </w:p>
        </w:tc>
        <w:tc>
          <w:tcPr>
            <w:tcW w:w="0" w:type="dxa"/>
            <w:vAlign w:val="bottom"/>
          </w:tcPr>
          <w:p>
            <w:pPr>
              <w:spacing w:after="0"/>
              <w:rPr>
                <w:sz w:val="1"/>
                <w:szCs w:val="1"/>
                <w:color w:val="auto"/>
              </w:rPr>
            </w:pPr>
          </w:p>
        </w:tc>
      </w:tr>
      <w:tr>
        <w:trPr>
          <w:trHeight w:val="237"/>
        </w:trPr>
        <w:tc>
          <w:tcPr>
            <w:tcW w:w="28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NASDAQ 100 Index</w:t>
            </w:r>
          </w:p>
        </w:tc>
        <w:tc>
          <w:tcPr>
            <w:tcW w:w="400" w:type="dxa"/>
            <w:vAlign w:val="bottom"/>
            <w:shd w:val="clear" w:color="auto" w:fill="CCEEFF"/>
          </w:tcPr>
          <w:p>
            <w:pPr>
              <w:jc w:val="right"/>
              <w:ind w:right="215"/>
              <w:spacing w:after="0"/>
              <w:rPr>
                <w:sz w:val="20"/>
                <w:szCs w:val="20"/>
                <w:color w:val="auto"/>
              </w:rPr>
            </w:pPr>
            <w:r>
              <w:rPr>
                <w:rFonts w:ascii="Calibri" w:cs="Calibri" w:eastAsia="Calibri" w:hAnsi="Calibri"/>
                <w:sz w:val="18"/>
                <w:szCs w:val="18"/>
                <w:color w:val="auto"/>
                <w:w w:val="87"/>
              </w:rPr>
              <w:t>$</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100.00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Calibri" w:cs="Calibri" w:eastAsia="Calibri" w:hAnsi="Calibri"/>
                <w:sz w:val="18"/>
                <w:szCs w:val="18"/>
                <w:color w:val="auto"/>
                <w:w w:val="87"/>
              </w:rPr>
              <w:t>$</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136.71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197.45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144.98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179.61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255.89</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240" w:firstLine="405"/>
        <w:spacing w:after="0" w:line="235" w:lineRule="auto"/>
        <w:rPr>
          <w:sz w:val="20"/>
          <w:szCs w:val="20"/>
          <w:color w:val="auto"/>
        </w:rPr>
      </w:pPr>
      <w:r>
        <w:rPr>
          <w:rFonts w:ascii="Calibri" w:cs="Calibri" w:eastAsia="Calibri" w:hAnsi="Calibri"/>
          <w:sz w:val="18"/>
          <w:szCs w:val="18"/>
          <w:i w:val="1"/>
          <w:iCs w:val="1"/>
          <w:color w:val="auto"/>
        </w:rPr>
        <w:t>The graph and the table above shall not be deemed “fled” with the SEC for the purposes of Secton 18 of the Exchange Act or otherwise subject to the liabilites of that secton, nor shall it be deemed incorporated by reference in any fling made by us with the SEC, regardless of any general incorporaton language in such fling.</w:t>
      </w:r>
    </w:p>
    <w:p>
      <w:pPr>
        <w:spacing w:after="0" w:line="106" w:lineRule="exact"/>
        <w:rPr>
          <w:sz w:val="20"/>
          <w:szCs w:val="20"/>
          <w:color w:val="auto"/>
        </w:rPr>
      </w:pPr>
    </w:p>
    <w:p>
      <w:pPr>
        <w:spacing w:after="0"/>
        <w:tabs>
          <w:tab w:leader="none" w:pos="1100" w:val="left"/>
        </w:tabs>
        <w:rPr>
          <w:sz w:val="20"/>
          <w:szCs w:val="20"/>
          <w:color w:val="auto"/>
        </w:rPr>
      </w:pPr>
      <w:r>
        <w:rPr>
          <w:rFonts w:ascii="Calibri" w:cs="Calibri" w:eastAsia="Calibri" w:hAnsi="Calibri"/>
          <w:sz w:val="18"/>
          <w:szCs w:val="18"/>
          <w:b w:val="1"/>
          <w:bCs w:val="1"/>
          <w:color w:val="auto"/>
        </w:rPr>
        <w:t>ITEM 6.</w:t>
      </w:r>
      <w:r>
        <w:rPr>
          <w:sz w:val="20"/>
          <w:szCs w:val="20"/>
          <w:color w:val="auto"/>
        </w:rPr>
        <w:tab/>
      </w:r>
      <w:r>
        <w:rPr>
          <w:rFonts w:ascii="Calibri" w:cs="Calibri" w:eastAsia="Calibri" w:hAnsi="Calibri"/>
          <w:sz w:val="17"/>
          <w:szCs w:val="17"/>
          <w:b w:val="1"/>
          <w:bCs w:val="1"/>
          <w:color w:val="auto"/>
        </w:rPr>
        <w:t>[RESERVED]</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6" w:name="page37"/>
    <w:bookmarkEnd w:id="3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18"/>
          <w:szCs w:val="18"/>
          <w:b w:val="1"/>
          <w:bCs w:val="1"/>
          <w:color w:val="auto"/>
        </w:rPr>
        <w:t>ITEM 7.</w:t>
      </w:r>
      <w:r>
        <w:rPr>
          <w:sz w:val="20"/>
          <w:szCs w:val="20"/>
          <w:color w:val="auto"/>
        </w:rPr>
        <w:tab/>
      </w:r>
      <w:r>
        <w:rPr>
          <w:rFonts w:ascii="Calibri" w:cs="Calibri" w:eastAsia="Calibri" w:hAnsi="Calibri"/>
          <w:sz w:val="17"/>
          <w:szCs w:val="17"/>
          <w:b w:val="1"/>
          <w:bCs w:val="1"/>
          <w:color w:val="auto"/>
        </w:rPr>
        <w:t>MANAGEMENT’S DISCUSSION AND ANALYSIS OF FINANCIAL CONDITION AND RESULTS OF OPERATIONS</w:t>
      </w:r>
    </w:p>
    <w:p>
      <w:pPr>
        <w:spacing w:after="0" w:line="109" w:lineRule="exact"/>
        <w:rPr>
          <w:sz w:val="20"/>
          <w:szCs w:val="20"/>
          <w:color w:val="auto"/>
        </w:rPr>
      </w:pPr>
    </w:p>
    <w:p>
      <w:pPr>
        <w:ind w:right="120" w:firstLine="405"/>
        <w:spacing w:after="0" w:line="252" w:lineRule="auto"/>
        <w:rPr>
          <w:sz w:val="20"/>
          <w:szCs w:val="20"/>
          <w:color w:val="auto"/>
        </w:rPr>
      </w:pPr>
      <w:r>
        <w:rPr>
          <w:rFonts w:ascii="Calibri" w:cs="Calibri" w:eastAsia="Calibri" w:hAnsi="Calibri"/>
          <w:sz w:val="17"/>
          <w:szCs w:val="17"/>
          <w:i w:val="1"/>
          <w:iCs w:val="1"/>
          <w:color w:val="auto"/>
        </w:rPr>
        <w:t>This Management’s Discussion and Analysis of Financial Conditon and Results of Operatons should be read in conjuncton with our consolidated fnancial statements and notes thereto, which appear elsewhere in this Annual Report on Form 10-K. This discussion may contain forward-looking statements based upon current expectatons that involve risks and uncertaintes. Our actual results may difer materially from those antcipated in these forward-looking statements as a result of various factors, including those set forth under the capton “Risk Factors” or in other parts of this Annual Report on Form 10-K.</w:t>
      </w:r>
    </w:p>
    <w:p>
      <w:pPr>
        <w:spacing w:after="0" w:line="100" w:lineRule="exact"/>
        <w:rPr>
          <w:sz w:val="20"/>
          <w:szCs w:val="20"/>
          <w:color w:val="auto"/>
        </w:rPr>
      </w:pPr>
    </w:p>
    <w:p>
      <w:pPr>
        <w:ind w:right="240" w:firstLine="405"/>
        <w:spacing w:after="0" w:line="235" w:lineRule="auto"/>
        <w:rPr>
          <w:sz w:val="20"/>
          <w:szCs w:val="20"/>
          <w:color w:val="auto"/>
        </w:rPr>
      </w:pPr>
      <w:r>
        <w:rPr>
          <w:rFonts w:ascii="Calibri" w:cs="Calibri" w:eastAsia="Calibri" w:hAnsi="Calibri"/>
          <w:sz w:val="18"/>
          <w:szCs w:val="18"/>
          <w:color w:val="auto"/>
        </w:rPr>
        <w:t>The following secton generally discusses our fnancial conditon and results of operatons for our fscal year ended November 3, 2024 (“fscal year 2024”) compared to our fscal year ended October 29, 2023 (“fscal year 2023”). A discussion regarding our fnancial conditon and results of operatons for fscal year 2023 compared to our fscal year ended October 30, 2022 can be found in Part II, Item 7 of our Annual Report on Form 10-K for fscal year 2023, fled with the Securites and Exchange Commission (the “SEC”) on December 14, 2023.</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09"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color w:val="auto"/>
        </w:rPr>
        <w:t>We are a global technology leader that designs, develops and supplies a broad range of semiconductor and infrastructure sofware solutons. We develop semiconductor devices with a focus on complex digital and mixed signal complementary metal oxide semiconductor based devices and analog III-V based products. We ofer thousands of products that are used in end products such as enterprise and data center networking, including artfcial intelligence (“AI”) networking and connectvity, home connectvity, set-top boxes, broadband access, telecommunicaton equipment, smartphones and base statons, data center servers and storage systems, factory automaton, power generaton and alternatve energy systems, and electronic displays. Our infrastructure sofware solutons help enterprises simplify their informaton technology environments so they can increase business velocity and fexibility, and enable customers to plan, develop, deliver, automate, manage and secure applicatons across mainframe, distributed, edge, mobile, and private and hybrid cloud platorms. Our portolio of infrastructure and security sofware is designed to modernize, optmize, and secure the most complex private and hybrid cloud environments, enabling scalability, agility, automaton, insights, resiliency and security making it easy for customers to run their mission-critcal workloads. We also ofer mission-critcal fbre channel storage area networking (“FC SAN”) products and related sofware in the form of modules, switches and subsystems incorporatng multple semiconductor products.</w:t>
      </w:r>
    </w:p>
    <w:p>
      <w:pPr>
        <w:spacing w:after="0" w:line="117" w:lineRule="exact"/>
        <w:rPr>
          <w:sz w:val="20"/>
          <w:szCs w:val="20"/>
          <w:color w:val="auto"/>
        </w:rPr>
      </w:pPr>
    </w:p>
    <w:p>
      <w:pPr>
        <w:ind w:right="180" w:firstLine="405"/>
        <w:spacing w:after="0" w:line="254" w:lineRule="auto"/>
        <w:rPr>
          <w:sz w:val="20"/>
          <w:szCs w:val="20"/>
          <w:color w:val="auto"/>
        </w:rPr>
      </w:pPr>
      <w:r>
        <w:rPr>
          <w:rFonts w:ascii="Calibri" w:cs="Calibri" w:eastAsia="Calibri" w:hAnsi="Calibri"/>
          <w:sz w:val="17"/>
          <w:szCs w:val="17"/>
          <w:color w:val="auto"/>
        </w:rPr>
        <w:t>We have two reportable segments: semiconductor solutons and infrastructure sofware. Our semiconductor solutons segment includes all of our product lines and intellectual property (“IP”) licensing. Our infrastructure sofware segment includes our private and hybrid cloud, applicaton development and delivery, sofware-defned edge, applicaton networking and security, mainframe, distributed and cybersecurity solutons, and our FC SAN business.</w:t>
      </w:r>
    </w:p>
    <w:p>
      <w:pPr>
        <w:spacing w:after="0" w:line="97"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Our fscal year 2024 was a 53-week fscal year compared to our fscal year 2023, which was a 52-week fscal year. The additonal week in the frst quarter of fscal year 2024 resulted in higher net revenue, gross margin dollars, research and development expense, and selling general and administratve expense for fscal year 2024, compared to the corresponding prior year fscal period.</w:t>
      </w:r>
    </w:p>
    <w:p>
      <w:pPr>
        <w:spacing w:after="0" w:line="111" w:lineRule="exact"/>
        <w:rPr>
          <w:sz w:val="20"/>
          <w:szCs w:val="20"/>
          <w:color w:val="auto"/>
        </w:rPr>
      </w:pPr>
    </w:p>
    <w:p>
      <w:pPr>
        <w:ind w:right="60" w:firstLine="405"/>
        <w:spacing w:after="0" w:line="252" w:lineRule="auto"/>
        <w:rPr>
          <w:sz w:val="20"/>
          <w:szCs w:val="20"/>
          <w:color w:val="auto"/>
        </w:rPr>
      </w:pPr>
      <w:r>
        <w:rPr>
          <w:rFonts w:ascii="Calibri" w:cs="Calibri" w:eastAsia="Calibri" w:hAnsi="Calibri"/>
          <w:sz w:val="17"/>
          <w:szCs w:val="17"/>
          <w:color w:val="auto"/>
        </w:rPr>
        <w:t>Our strategy is focused on technology leadership and category-leading semiconductor and infrastructure sofware solutons delivering a comprehensive suite of innovatve infrastructure technology products to the world’s leading business and government customers. We seek to achieve this through strategic acquisitons of businesses and technologies, as well as extensive internal research and development, to ensure our products retain their technology market leadership. This strategy results in a robust business model designed to drive diversifed and sustainable operatng and fnancial results.</w:t>
      </w:r>
    </w:p>
    <w:p>
      <w:pPr>
        <w:spacing w:after="0" w:line="100" w:lineRule="exact"/>
        <w:rPr>
          <w:sz w:val="20"/>
          <w:szCs w:val="20"/>
          <w:color w:val="auto"/>
        </w:rPr>
      </w:pPr>
    </w:p>
    <w:p>
      <w:pPr>
        <w:ind w:right="580" w:firstLine="405"/>
        <w:spacing w:after="0" w:line="235" w:lineRule="auto"/>
        <w:rPr>
          <w:sz w:val="20"/>
          <w:szCs w:val="20"/>
          <w:color w:val="auto"/>
        </w:rPr>
      </w:pPr>
      <w:r>
        <w:rPr>
          <w:rFonts w:ascii="Calibri" w:cs="Calibri" w:eastAsia="Calibri" w:hAnsi="Calibri"/>
          <w:sz w:val="18"/>
          <w:szCs w:val="18"/>
          <w:color w:val="auto"/>
        </w:rPr>
        <w:t>The demand for our products has been afected in the past, and is likely to contnue to be afected in the future, by various factors, including the following:</w:t>
      </w:r>
    </w:p>
    <w:p>
      <w:pPr>
        <w:spacing w:after="0" w:line="105" w:lineRule="exact"/>
        <w:rPr>
          <w:sz w:val="20"/>
          <w:szCs w:val="20"/>
          <w:color w:val="auto"/>
        </w:rPr>
      </w:pPr>
    </w:p>
    <w:p>
      <w:pPr>
        <w:ind w:left="640" w:hanging="227"/>
        <w:spacing w:after="0"/>
        <w:tabs>
          <w:tab w:leader="none" w:pos="64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gain or loss of signifcant customers;</w:t>
      </w:r>
    </w:p>
    <w:p>
      <w:pPr>
        <w:spacing w:after="0" w:line="104" w:lineRule="exact"/>
        <w:rPr>
          <w:rFonts w:ascii="Calibri" w:cs="Calibri" w:eastAsia="Calibri" w:hAnsi="Calibri"/>
          <w:sz w:val="18"/>
          <w:szCs w:val="18"/>
          <w:color w:val="auto"/>
        </w:rPr>
      </w:pPr>
    </w:p>
    <w:p>
      <w:pPr>
        <w:ind w:left="640" w:hanging="227"/>
        <w:spacing w:after="0"/>
        <w:tabs>
          <w:tab w:leader="none" w:pos="64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general economic and market conditons in the industries and markets in which we compete;</w:t>
      </w:r>
    </w:p>
    <w:p>
      <w:pPr>
        <w:spacing w:after="0" w:line="104" w:lineRule="exact"/>
        <w:rPr>
          <w:rFonts w:ascii="Calibri" w:cs="Calibri" w:eastAsia="Calibri" w:hAnsi="Calibri"/>
          <w:sz w:val="18"/>
          <w:szCs w:val="18"/>
          <w:color w:val="auto"/>
        </w:rPr>
      </w:pPr>
    </w:p>
    <w:p>
      <w:pPr>
        <w:ind w:left="640" w:hanging="227"/>
        <w:spacing w:after="0"/>
        <w:tabs>
          <w:tab w:leader="none" w:pos="64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antcipated or actual demand for AI-related products;</w:t>
      </w:r>
    </w:p>
    <w:p>
      <w:pPr>
        <w:spacing w:after="0" w:line="104" w:lineRule="exact"/>
        <w:rPr>
          <w:rFonts w:ascii="Calibri" w:cs="Calibri" w:eastAsia="Calibri" w:hAnsi="Calibri"/>
          <w:sz w:val="18"/>
          <w:szCs w:val="18"/>
          <w:color w:val="auto"/>
        </w:rPr>
      </w:pPr>
    </w:p>
    <w:p>
      <w:pPr>
        <w:ind w:left="640" w:hanging="227"/>
        <w:spacing w:after="0"/>
        <w:tabs>
          <w:tab w:leader="none" w:pos="64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our distributors’ product inventory and end customer demand;</w:t>
      </w:r>
    </w:p>
    <w:p>
      <w:pPr>
        <w:spacing w:after="0" w:line="109" w:lineRule="exact"/>
        <w:rPr>
          <w:rFonts w:ascii="Calibri" w:cs="Calibri" w:eastAsia="Calibri" w:hAnsi="Calibri"/>
          <w:sz w:val="18"/>
          <w:szCs w:val="18"/>
          <w:color w:val="auto"/>
        </w:rPr>
      </w:pPr>
    </w:p>
    <w:p>
      <w:pPr>
        <w:ind w:left="660" w:right="500" w:hanging="247"/>
        <w:spacing w:after="0" w:line="235" w:lineRule="auto"/>
        <w:tabs>
          <w:tab w:leader="none" w:pos="653"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the rate at which our present and future customers and end-users adopt our products and technologies in our target markets, including our AI related products, and the rate at which our customers' products that include our technology are accepted in their markets;</w:t>
      </w:r>
    </w:p>
    <w:p>
      <w:pPr>
        <w:spacing w:after="0" w:line="109" w:lineRule="exact"/>
        <w:rPr>
          <w:rFonts w:ascii="Calibri" w:cs="Calibri" w:eastAsia="Calibri" w:hAnsi="Calibri"/>
          <w:sz w:val="18"/>
          <w:szCs w:val="18"/>
          <w:color w:val="auto"/>
        </w:rPr>
      </w:pPr>
    </w:p>
    <w:p>
      <w:pPr>
        <w:ind w:left="660" w:right="300" w:hanging="247"/>
        <w:spacing w:after="0" w:line="235" w:lineRule="auto"/>
        <w:tabs>
          <w:tab w:leader="none" w:pos="653"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the shif to cloud-based informaton technology solutons and services, such as hyperscale computng, which may adversely afect the tming and volume of sales of our products for use in traditonal enterprise data centers; and</w:t>
      </w:r>
    </w:p>
    <w:p>
      <w:pPr>
        <w:spacing w:after="0" w:line="104" w:lineRule="exact"/>
        <w:rPr>
          <w:rFonts w:ascii="Calibri" w:cs="Calibri" w:eastAsia="Calibri" w:hAnsi="Calibri"/>
          <w:sz w:val="18"/>
          <w:szCs w:val="18"/>
          <w:color w:val="auto"/>
        </w:rPr>
      </w:pPr>
    </w:p>
    <w:p>
      <w:pPr>
        <w:ind w:left="640" w:hanging="227"/>
        <w:spacing w:after="0"/>
        <w:tabs>
          <w:tab w:leader="none" w:pos="64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the tming, rescheduling or cancellaton of expected customer orders.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7" w:name="page38"/>
    <w:bookmarkEnd w:id="3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Fiscal Year Highlights</w:t>
      </w:r>
    </w:p>
    <w:p>
      <w:pPr>
        <w:spacing w:after="0" w:line="104"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Highlights during fscal year 2024 include the following:</w:t>
      </w:r>
    </w:p>
    <w:p>
      <w:pPr>
        <w:spacing w:after="0" w:line="109" w:lineRule="exact"/>
        <w:rPr>
          <w:sz w:val="20"/>
          <w:szCs w:val="20"/>
          <w:color w:val="auto"/>
        </w:rPr>
      </w:pPr>
    </w:p>
    <w:p>
      <w:pPr>
        <w:ind w:left="660" w:right="40" w:hanging="247"/>
        <w:spacing w:after="0" w:line="235" w:lineRule="auto"/>
        <w:tabs>
          <w:tab w:leader="none" w:pos="653"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On November 22, 2023, we completed the acquisiton of VMware, Inc. (“VMware”), for approximately $30.8 billion in cash and 544 million shares of Broadcom common stock (on a split adjusted basis) with a fair value of $53.4 billion.</w:t>
      </w:r>
    </w:p>
    <w:p>
      <w:pPr>
        <w:spacing w:after="0" w:line="104" w:lineRule="exact"/>
        <w:rPr>
          <w:rFonts w:ascii="Calibri" w:cs="Calibri" w:eastAsia="Calibri" w:hAnsi="Calibri"/>
          <w:sz w:val="18"/>
          <w:szCs w:val="18"/>
          <w:color w:val="auto"/>
        </w:rPr>
      </w:pPr>
    </w:p>
    <w:p>
      <w:pPr>
        <w:ind w:left="640" w:hanging="227"/>
        <w:spacing w:after="0"/>
        <w:tabs>
          <w:tab w:leader="none" w:pos="640"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We generated $19,962 million of cash from operatons.</w:t>
      </w:r>
    </w:p>
    <w:p>
      <w:pPr>
        <w:spacing w:after="0" w:line="104" w:lineRule="exact"/>
        <w:rPr>
          <w:rFonts w:ascii="Calibri" w:cs="Calibri" w:eastAsia="Calibri" w:hAnsi="Calibri"/>
          <w:sz w:val="18"/>
          <w:szCs w:val="18"/>
          <w:color w:val="auto"/>
        </w:rPr>
      </w:pPr>
    </w:p>
    <w:p>
      <w:pPr>
        <w:ind w:left="640" w:hanging="227"/>
        <w:spacing w:after="0"/>
        <w:tabs>
          <w:tab w:leader="none" w:pos="640"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We paid $9,814 million in cash dividends.</w:t>
      </w:r>
    </w:p>
    <w:p>
      <w:pPr>
        <w:spacing w:after="0" w:line="104" w:lineRule="exact"/>
        <w:rPr>
          <w:rFonts w:ascii="Calibri" w:cs="Calibri" w:eastAsia="Calibri" w:hAnsi="Calibri"/>
          <w:sz w:val="18"/>
          <w:szCs w:val="18"/>
          <w:color w:val="auto"/>
        </w:rPr>
      </w:pPr>
    </w:p>
    <w:p>
      <w:pPr>
        <w:ind w:left="640" w:hanging="227"/>
        <w:spacing w:after="0"/>
        <w:tabs>
          <w:tab w:leader="none" w:pos="640"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We repurchased $7,176 million of common stock.</w:t>
      </w:r>
    </w:p>
    <w:p>
      <w:pPr>
        <w:spacing w:after="0" w:line="109" w:lineRule="exact"/>
        <w:rPr>
          <w:rFonts w:ascii="Calibri" w:cs="Calibri" w:eastAsia="Calibri" w:hAnsi="Calibri"/>
          <w:sz w:val="18"/>
          <w:szCs w:val="18"/>
          <w:color w:val="auto"/>
        </w:rPr>
      </w:pPr>
    </w:p>
    <w:p>
      <w:pPr>
        <w:ind w:left="660" w:right="540" w:hanging="247"/>
        <w:spacing w:after="0" w:line="235" w:lineRule="auto"/>
        <w:tabs>
          <w:tab w:leader="none" w:pos="653" w:val="left"/>
        </w:tabs>
        <w:numPr>
          <w:ilvl w:val="0"/>
          <w:numId w:val="41"/>
        </w:numPr>
        <w:rPr>
          <w:rFonts w:ascii="Calibri" w:cs="Calibri" w:eastAsia="Calibri" w:hAnsi="Calibri"/>
          <w:sz w:val="18"/>
          <w:szCs w:val="18"/>
          <w:i w:val="1"/>
          <w:iCs w:val="1"/>
          <w:color w:val="auto"/>
        </w:rPr>
      </w:pPr>
      <w:r>
        <w:rPr>
          <w:rFonts w:ascii="Calibri" w:cs="Calibri" w:eastAsia="Calibri" w:hAnsi="Calibri"/>
          <w:sz w:val="18"/>
          <w:szCs w:val="18"/>
          <w:color w:val="auto"/>
        </w:rPr>
        <w:t>We completed a ten-for-one forward stock split of our common stock. All share, equity award and per share amounts have been retroactvely adjusted to refect the stock split.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Acquisitons and Divesttures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Acquisiton of VMware and Divestture of EUC</w:t>
      </w:r>
    </w:p>
    <w:p>
      <w:pPr>
        <w:spacing w:after="0" w:line="109" w:lineRule="exact"/>
        <w:rPr>
          <w:sz w:val="20"/>
          <w:szCs w:val="20"/>
          <w:color w:val="auto"/>
        </w:rPr>
      </w:pPr>
    </w:p>
    <w:p>
      <w:pPr>
        <w:ind w:right="220" w:firstLine="405"/>
        <w:spacing w:after="0" w:line="235" w:lineRule="auto"/>
        <w:rPr>
          <w:sz w:val="20"/>
          <w:szCs w:val="20"/>
          <w:color w:val="auto"/>
        </w:rPr>
      </w:pPr>
      <w:r>
        <w:rPr>
          <w:rFonts w:ascii="Calibri" w:cs="Calibri" w:eastAsia="Calibri" w:hAnsi="Calibri"/>
          <w:sz w:val="18"/>
          <w:szCs w:val="18"/>
          <w:color w:val="auto"/>
        </w:rPr>
        <w:t>On November 22, 2023, we acquired VMware in a cash-and-stock transacton (the “VMware Merger”). The VMware stockholders received approximately $30,788 million in cash and 544 million shares of Broadcom common stock with a fair value of $53,398 million. In additon, we assumed all outstanding VMware restricted stock unit (“RSU”) awards and performance stock unit awards held by contnuing employees. The assumed awards were converted into RSU awards for shares of Broadcom common stock. All outstanding RSU awards held by non-employee directors and in-the-money VMware stock optons were accelerated and converted into the right to receive cash and shares of Broadcom common stock, in equal parts.</w:t>
      </w:r>
    </w:p>
    <w:p>
      <w:pPr>
        <w:spacing w:after="0" w:line="112" w:lineRule="exact"/>
        <w:rPr>
          <w:sz w:val="20"/>
          <w:szCs w:val="20"/>
          <w:color w:val="auto"/>
        </w:rPr>
      </w:pPr>
    </w:p>
    <w:p>
      <w:pPr>
        <w:ind w:left="420"/>
        <w:spacing w:after="0"/>
        <w:rPr>
          <w:sz w:val="20"/>
          <w:szCs w:val="20"/>
          <w:color w:val="auto"/>
        </w:rPr>
      </w:pPr>
      <w:r>
        <w:rPr>
          <w:rFonts w:ascii="Calibri" w:cs="Calibri" w:eastAsia="Calibri" w:hAnsi="Calibri"/>
          <w:sz w:val="17"/>
          <w:szCs w:val="17"/>
          <w:color w:val="auto"/>
        </w:rPr>
        <w:t>We funded the cash porton of the VMware Merger with the net proceeds from the issuance of the 2023 Term Loans, as defned and discussed in Note</w:t>
      </w:r>
    </w:p>
    <w:p>
      <w:pPr>
        <w:spacing w:after="0" w:line="8" w:lineRule="exact"/>
        <w:rPr>
          <w:sz w:val="20"/>
          <w:szCs w:val="20"/>
          <w:color w:val="auto"/>
        </w:rPr>
      </w:pPr>
    </w:p>
    <w:p>
      <w:pPr>
        <w:ind w:right="20" w:firstLine="8"/>
        <w:spacing w:after="0" w:line="235" w:lineRule="auto"/>
        <w:tabs>
          <w:tab w:leader="none" w:pos="262"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“Borrowings” included in Part II, Item 8 of this Annual Report on Form 10-K, as well as cash on hand. We assumed $8,250 million of VMware’s outstanding senior unsecured notes.</w:t>
      </w:r>
    </w:p>
    <w:p>
      <w:pPr>
        <w:spacing w:after="0" w:line="110" w:lineRule="exact"/>
        <w:rPr>
          <w:sz w:val="20"/>
          <w:szCs w:val="20"/>
          <w:color w:val="auto"/>
        </w:rPr>
      </w:pPr>
    </w:p>
    <w:p>
      <w:pPr>
        <w:ind w:right="240" w:firstLine="405"/>
        <w:spacing w:after="0" w:line="235" w:lineRule="auto"/>
        <w:rPr>
          <w:sz w:val="20"/>
          <w:szCs w:val="20"/>
          <w:color w:val="auto"/>
        </w:rPr>
      </w:pPr>
      <w:r>
        <w:rPr>
          <w:rFonts w:ascii="Calibri" w:cs="Calibri" w:eastAsia="Calibri" w:hAnsi="Calibri"/>
          <w:sz w:val="18"/>
          <w:szCs w:val="18"/>
          <w:color w:val="auto"/>
        </w:rPr>
        <w:t>On July 1, 2024, we sold VMware’s end-user computng (“EUC”) business to KKR &amp; Co. Inc. for cash consideraton of $3.5 billion, afer working capital adjustments.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Acquisiton of Seagate’s SoC Operatons</w:t>
      </w:r>
    </w:p>
    <w:p>
      <w:pPr>
        <w:spacing w:after="0" w:line="109" w:lineRule="exact"/>
        <w:rPr>
          <w:sz w:val="20"/>
          <w:szCs w:val="20"/>
          <w:color w:val="auto"/>
        </w:rPr>
      </w:pPr>
    </w:p>
    <w:p>
      <w:pPr>
        <w:ind w:right="260" w:firstLine="405"/>
        <w:spacing w:after="0" w:line="235" w:lineRule="auto"/>
        <w:rPr>
          <w:sz w:val="20"/>
          <w:szCs w:val="20"/>
          <w:color w:val="auto"/>
        </w:rPr>
      </w:pPr>
      <w:r>
        <w:rPr>
          <w:rFonts w:ascii="Calibri" w:cs="Calibri" w:eastAsia="Calibri" w:hAnsi="Calibri"/>
          <w:sz w:val="18"/>
          <w:szCs w:val="18"/>
          <w:color w:val="auto"/>
        </w:rPr>
        <w:t>On April 23, 2024, we acquired certain assets related to the design, development, and manufacture of System-on-Chip (“SoC”) operatons of Seagate Technology Holdings plc for $600 million.</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Net Revenue</w:t>
      </w:r>
    </w:p>
    <w:p>
      <w:pPr>
        <w:spacing w:after="0" w:line="109" w:lineRule="exact"/>
        <w:rPr>
          <w:sz w:val="20"/>
          <w:szCs w:val="20"/>
          <w:color w:val="auto"/>
        </w:rPr>
      </w:pPr>
    </w:p>
    <w:p>
      <w:pPr>
        <w:ind w:right="80" w:firstLine="405"/>
        <w:spacing w:after="0" w:line="235" w:lineRule="auto"/>
        <w:rPr>
          <w:sz w:val="20"/>
          <w:szCs w:val="20"/>
          <w:color w:val="auto"/>
        </w:rPr>
      </w:pPr>
      <w:r>
        <w:rPr>
          <w:rFonts w:ascii="Calibri" w:cs="Calibri" w:eastAsia="Calibri" w:hAnsi="Calibri"/>
          <w:sz w:val="18"/>
          <w:szCs w:val="18"/>
          <w:color w:val="auto"/>
        </w:rPr>
        <w:t>A majority of our net revenue is derived from sales of a broad range of semiconductor devices that are incorporated into electronic products, as well as from modules, switches and subsystems. Net revenue is also generated from the sale of sofware solutons that enable our customers to plan, develop, deliver, automate, manage, and secure applicatons across mainframe, distributed, edge, mobile, and private and hybrid cloud platorms.</w:t>
      </w:r>
    </w:p>
    <w:p>
      <w:pPr>
        <w:spacing w:after="0" w:line="111" w:lineRule="exact"/>
        <w:rPr>
          <w:sz w:val="20"/>
          <w:szCs w:val="20"/>
          <w:color w:val="auto"/>
        </w:rPr>
      </w:pPr>
    </w:p>
    <w:p>
      <w:pPr>
        <w:jc w:val="both"/>
        <w:ind w:right="100" w:firstLine="405"/>
        <w:spacing w:after="0" w:line="235" w:lineRule="auto"/>
        <w:rPr>
          <w:sz w:val="20"/>
          <w:szCs w:val="20"/>
          <w:color w:val="auto"/>
        </w:rPr>
      </w:pPr>
      <w:r>
        <w:rPr>
          <w:rFonts w:ascii="Calibri" w:cs="Calibri" w:eastAsia="Calibri" w:hAnsi="Calibri"/>
          <w:sz w:val="18"/>
          <w:szCs w:val="18"/>
          <w:color w:val="auto"/>
        </w:rPr>
        <w:t xml:space="preserve">Our overall net revenue, as well as the percentage of total net revenue generated by sales in our semiconductor solutons and infrastructure sofware segments, have varied from quarter to quarter, due largely to fuctuatons in end-market demand, including the efects of seasonality, which are discussed in detail in Part I, Item 1. </w:t>
      </w:r>
      <w:r>
        <w:rPr>
          <w:rFonts w:ascii="Calibri" w:cs="Calibri" w:eastAsia="Calibri" w:hAnsi="Calibri"/>
          <w:sz w:val="18"/>
          <w:szCs w:val="18"/>
          <w:i w:val="1"/>
          <w:iCs w:val="1"/>
          <w:color w:val="auto"/>
        </w:rPr>
        <w:t>Business</w:t>
      </w:r>
      <w:r>
        <w:rPr>
          <w:rFonts w:ascii="Calibri" w:cs="Calibri" w:eastAsia="Calibri" w:hAnsi="Calibri"/>
          <w:sz w:val="18"/>
          <w:szCs w:val="18"/>
          <w:color w:val="auto"/>
        </w:rPr>
        <w:t xml:space="preserve"> under “Seasonality” of this Annual Report on Form 10-K.</w:t>
      </w:r>
    </w:p>
    <w:p>
      <w:pPr>
        <w:spacing w:after="0" w:line="111"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Distributors and original equipment manufacturers (“OEMs”), or their contract manufacturers, typically account for the substantal majority of our semiconductor sales. To serve customers around the world, we have strategically developed relatonships with large global electronic component distributors, complemented by a number of regional distributors with customer relatonships based on their respectve product ranges. We have established strong relatonships with leading OEM customers across multple target markets. Our direct sales force focuses on supportng our large OEM customers and has specialized product and service knowledge that enables us to sell specifc oferings at key levels throughout a customer’s organizaton. Certain customers require us to contract with them directly and with specifed intermediaries, such as contract manufacturers. Many of our major customer relatonships have been in place for many years and are ofen the result of years of collaboratve product development. This has enabled us to build our extensive IP portolio and develop critcal expertse regarding our customers’ requirements, including substantal system-level knowledge. This collaboraton has provided us with key insights into our customers' businesses and has enabled us to be more efcient and productve and to beter serve our target markets and customers. We recognize revenue upon the delivery of our products to the distributors, which can cause our quarterly net revenue to fuctuate signifcantly. Such revenue is reduced for estmated returns and distributor allowances.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38" w:name="page39"/>
    <w:bookmarkEnd w:id="3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firstLine="405"/>
        <w:spacing w:after="0" w:line="235" w:lineRule="auto"/>
        <w:rPr>
          <w:sz w:val="20"/>
          <w:szCs w:val="20"/>
          <w:color w:val="auto"/>
        </w:rPr>
      </w:pPr>
      <w:r>
        <w:rPr>
          <w:rFonts w:ascii="Calibri" w:cs="Calibri" w:eastAsia="Calibri" w:hAnsi="Calibri"/>
          <w:sz w:val="18"/>
          <w:szCs w:val="18"/>
          <w:color w:val="auto"/>
        </w:rPr>
        <w:t>Our sofware customers generally consist of large enterprises that have computng environments from multple vendors and are highly complex. Our private cloud infrastructure suite of solutons are available directly from Broadcom, resellers and distributors, hyperscale cloud providers, value-added OEMs and VMware cloud service provider partners. VMware Cloud Foundaton (“VCF”) provides license portability, which enables customers to purchase subscriptons of VCF sofware and move their VCF environments between on-premises data centers and supported cloud endpoints. We remain focused on strengthening relatonships and increasing penetraton within our existng core, mainframe, VMware, and Symantec endpoint customers and expanding the adopton of our enterprise sofware oferings with these customers. We believe our enterprise-wide license model will contnue to ofer our customers reduced complexity, more fexibility and an easier renewal process that will help drive revenue growth.</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Costs and Expenses</w:t>
      </w:r>
    </w:p>
    <w:p>
      <w:pPr>
        <w:spacing w:after="0" w:line="109" w:lineRule="exact"/>
        <w:rPr>
          <w:sz w:val="20"/>
          <w:szCs w:val="20"/>
          <w:color w:val="auto"/>
        </w:rPr>
      </w:pPr>
    </w:p>
    <w:p>
      <w:pPr>
        <w:ind w:right="80" w:firstLine="405"/>
        <w:spacing w:after="0" w:line="235" w:lineRule="auto"/>
        <w:rPr>
          <w:sz w:val="20"/>
          <w:szCs w:val="20"/>
          <w:color w:val="auto"/>
        </w:rPr>
      </w:pPr>
      <w:r>
        <w:rPr>
          <w:rFonts w:ascii="Calibri" w:cs="Calibri" w:eastAsia="Calibri" w:hAnsi="Calibri"/>
          <w:sz w:val="18"/>
          <w:szCs w:val="18"/>
          <w:i w:val="1"/>
          <w:iCs w:val="1"/>
          <w:color w:val="auto"/>
        </w:rPr>
        <w:t xml:space="preserve">Cost of products sold. </w:t>
      </w:r>
      <w:r>
        <w:rPr>
          <w:rFonts w:ascii="Calibri" w:cs="Calibri" w:eastAsia="Calibri" w:hAnsi="Calibri"/>
          <w:sz w:val="18"/>
          <w:szCs w:val="18"/>
          <w:color w:val="auto"/>
        </w:rPr>
        <w:t>Cost of products sold consists primarily of the costs for semiconductor wafers and other materials, as well as the costs of</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assembling and testng those products and materials. Such costs include personnel and overhead related to our manufacturing operatons, which include stock-based compensaton expense, related occupancy, computer services, equipment costs, manufacturing quality, order fulfllment, warranty adjustments, and inventory adjustments including write-downs for inventory obsolescence.</w:t>
      </w:r>
    </w:p>
    <w:p>
      <w:pPr>
        <w:spacing w:after="0" w:line="111" w:lineRule="exact"/>
        <w:rPr>
          <w:sz w:val="20"/>
          <w:szCs w:val="20"/>
          <w:color w:val="auto"/>
        </w:rPr>
      </w:pPr>
    </w:p>
    <w:p>
      <w:pPr>
        <w:jc w:val="both"/>
        <w:ind w:right="60" w:firstLine="405"/>
        <w:spacing w:after="0" w:line="235" w:lineRule="auto"/>
        <w:rPr>
          <w:sz w:val="20"/>
          <w:szCs w:val="20"/>
          <w:color w:val="auto"/>
        </w:rPr>
      </w:pPr>
      <w:r>
        <w:rPr>
          <w:rFonts w:ascii="Calibri" w:cs="Calibri" w:eastAsia="Calibri" w:hAnsi="Calibri"/>
          <w:sz w:val="18"/>
          <w:szCs w:val="18"/>
          <w:color w:val="auto"/>
        </w:rPr>
        <w:t>Although we outsource a signifcant porton of our manufacturing actvites, we do have some proprietary semiconductor fabricaton facilites. If we are unable to utlize our owned fabricaton facilites at a desired level, the fxed costs associated with these facilites will not be fully absorbed, resultng in higher average unit costs and lower gross margins.</w:t>
      </w:r>
    </w:p>
    <w:p>
      <w:pPr>
        <w:spacing w:after="0" w:line="111"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i w:val="1"/>
          <w:iCs w:val="1"/>
          <w:color w:val="auto"/>
        </w:rPr>
        <w:t xml:space="preserve">Cost of subscriptons and services. </w:t>
      </w:r>
      <w:r>
        <w:rPr>
          <w:rFonts w:ascii="Calibri" w:cs="Calibri" w:eastAsia="Calibri" w:hAnsi="Calibri"/>
          <w:sz w:val="18"/>
          <w:szCs w:val="18"/>
          <w:color w:val="auto"/>
        </w:rPr>
        <w:t>Cost of subscriptons and services consists of personnel, project costs associated with professional services or support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of our subscriptons and services revenue, and allocated facilites costs and other corporate expenses. Personnel costs include stock-based compensaton expense.</w:t>
      </w:r>
    </w:p>
    <w:p>
      <w:pPr>
        <w:spacing w:after="0" w:line="106"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Total cost of revenue also includes amortzaton of acquisiton-related intangible assets and restructuring charges.</w:t>
      </w:r>
    </w:p>
    <w:p>
      <w:pPr>
        <w:spacing w:after="0" w:line="109" w:lineRule="exact"/>
        <w:rPr>
          <w:sz w:val="20"/>
          <w:szCs w:val="20"/>
          <w:color w:val="auto"/>
        </w:rPr>
      </w:pPr>
    </w:p>
    <w:p>
      <w:pPr>
        <w:ind w:right="60" w:firstLine="405"/>
        <w:spacing w:after="0" w:line="235" w:lineRule="auto"/>
        <w:rPr>
          <w:sz w:val="20"/>
          <w:szCs w:val="20"/>
          <w:color w:val="auto"/>
        </w:rPr>
      </w:pPr>
      <w:r>
        <w:rPr>
          <w:rFonts w:ascii="Calibri" w:cs="Calibri" w:eastAsia="Calibri" w:hAnsi="Calibri"/>
          <w:sz w:val="18"/>
          <w:szCs w:val="18"/>
          <w:i w:val="1"/>
          <w:iCs w:val="1"/>
          <w:color w:val="auto"/>
        </w:rPr>
        <w:t xml:space="preserve">Research and development. </w:t>
      </w:r>
      <w:r>
        <w:rPr>
          <w:rFonts w:ascii="Calibri" w:cs="Calibri" w:eastAsia="Calibri" w:hAnsi="Calibri"/>
          <w:sz w:val="18"/>
          <w:szCs w:val="18"/>
          <w:color w:val="auto"/>
        </w:rPr>
        <w:t>Research and development expense consists primarily of personnel costs for our engineers engaged in the design and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development of our products and technologies, including stock-based compensaton expense. These expenses also include project material costs, third-party fees paid to consultants, prototype development expense, allocated facilites costs and other corporate expenses and computer services costs related to supportng computer tools used in the engineering and design process.</w:t>
      </w:r>
    </w:p>
    <w:p>
      <w:pPr>
        <w:spacing w:after="0" w:line="111" w:lineRule="exact"/>
        <w:rPr>
          <w:sz w:val="20"/>
          <w:szCs w:val="20"/>
          <w:color w:val="auto"/>
        </w:rPr>
      </w:pPr>
    </w:p>
    <w:p>
      <w:pPr>
        <w:ind w:right="80" w:firstLine="405"/>
        <w:spacing w:after="0" w:line="235" w:lineRule="auto"/>
        <w:rPr>
          <w:sz w:val="20"/>
          <w:szCs w:val="20"/>
          <w:color w:val="auto"/>
        </w:rPr>
      </w:pPr>
      <w:r>
        <w:rPr>
          <w:rFonts w:ascii="Calibri" w:cs="Calibri" w:eastAsia="Calibri" w:hAnsi="Calibri"/>
          <w:sz w:val="18"/>
          <w:szCs w:val="18"/>
          <w:i w:val="1"/>
          <w:iCs w:val="1"/>
          <w:color w:val="auto"/>
        </w:rPr>
        <w:t>Selling</w:t>
      </w:r>
      <w:r>
        <w:rPr>
          <w:rFonts w:ascii="Calibri" w:cs="Calibri" w:eastAsia="Calibri" w:hAnsi="Calibri"/>
          <w:sz w:val="18"/>
          <w:szCs w:val="18"/>
          <w:color w:val="auto"/>
        </w:rPr>
        <w:t>,</w:t>
      </w:r>
      <w:r>
        <w:rPr>
          <w:rFonts w:ascii="Calibri" w:cs="Calibri" w:eastAsia="Calibri" w:hAnsi="Calibri"/>
          <w:sz w:val="18"/>
          <w:szCs w:val="18"/>
          <w:i w:val="1"/>
          <w:iCs w:val="1"/>
          <w:color w:val="auto"/>
        </w:rPr>
        <w:t xml:space="preserve"> general and administratve. </w:t>
      </w:r>
      <w:r>
        <w:rPr>
          <w:rFonts w:ascii="Calibri" w:cs="Calibri" w:eastAsia="Calibri" w:hAnsi="Calibri"/>
          <w:sz w:val="18"/>
          <w:szCs w:val="18"/>
          <w:color w:val="auto"/>
        </w:rPr>
        <w:t>Selling expense consists primarily of compensaton and associated costs for sales and marketng personnel,</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including stock-based compensaton expense, sales commissions paid to our independent sales representatves, advertsing costs, trade shows, corporate marketng, promoton, travel related to our sales and marketng operatons, related occupancy and equipment costs, and other marketng costs. General and administratve expense consists primarily of compensaton and associated costs for executve management, fnance, human resources and other administratve personnel, including stock-based compensaton expense, outside professional fees, allocated facilites costs, acquisiton-related costs, which include direct transacton costs and integraton costs, and other corporate expenses.</w:t>
      </w:r>
    </w:p>
    <w:p>
      <w:pPr>
        <w:spacing w:after="0" w:line="113" w:lineRule="exact"/>
        <w:rPr>
          <w:sz w:val="20"/>
          <w:szCs w:val="20"/>
          <w:color w:val="auto"/>
        </w:rPr>
      </w:pPr>
    </w:p>
    <w:p>
      <w:pPr>
        <w:ind w:right="140" w:firstLine="405"/>
        <w:spacing w:after="0" w:line="235" w:lineRule="auto"/>
        <w:rPr>
          <w:sz w:val="20"/>
          <w:szCs w:val="20"/>
          <w:color w:val="auto"/>
        </w:rPr>
      </w:pPr>
      <w:r>
        <w:rPr>
          <w:rFonts w:ascii="Calibri" w:cs="Calibri" w:eastAsia="Calibri" w:hAnsi="Calibri"/>
          <w:sz w:val="18"/>
          <w:szCs w:val="18"/>
          <w:i w:val="1"/>
          <w:iCs w:val="1"/>
          <w:color w:val="auto"/>
        </w:rPr>
        <w:t xml:space="preserve">Amortzaton of acquisiton-related intangible assets. </w:t>
      </w:r>
      <w:r>
        <w:rPr>
          <w:rFonts w:ascii="Calibri" w:cs="Calibri" w:eastAsia="Calibri" w:hAnsi="Calibri"/>
          <w:sz w:val="18"/>
          <w:szCs w:val="18"/>
          <w:color w:val="auto"/>
        </w:rPr>
        <w:t>In connecton with our acquisitons, we recognize intangible assets that are amortzed over their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estmated useful lives. We also recognize goodwill, which is not amortzed, and in-process research and development (“IPR&amp;D”), which is initally capitalized as an indefnite-lived intangible asset, in connecton with our acquisitons. Upon completon of each underlying project, IPR&amp;D assets are reclassifed as amortzable purchased intangible assets and amortzed over their estmated useful lives.</w:t>
      </w:r>
    </w:p>
    <w:p>
      <w:pPr>
        <w:spacing w:after="0" w:line="111" w:lineRule="exact"/>
        <w:rPr>
          <w:sz w:val="20"/>
          <w:szCs w:val="20"/>
          <w:color w:val="auto"/>
        </w:rPr>
      </w:pPr>
    </w:p>
    <w:p>
      <w:pPr>
        <w:jc w:val="both"/>
        <w:ind w:right="160" w:firstLine="405"/>
        <w:spacing w:after="0" w:line="254" w:lineRule="auto"/>
        <w:rPr>
          <w:sz w:val="20"/>
          <w:szCs w:val="20"/>
          <w:color w:val="auto"/>
        </w:rPr>
      </w:pPr>
      <w:r>
        <w:rPr>
          <w:rFonts w:ascii="Calibri" w:cs="Calibri" w:eastAsia="Calibri" w:hAnsi="Calibri"/>
          <w:sz w:val="17"/>
          <w:szCs w:val="17"/>
          <w:i w:val="1"/>
          <w:iCs w:val="1"/>
          <w:color w:val="auto"/>
        </w:rPr>
        <w:t xml:space="preserve">Restructuring and other charges. </w:t>
      </w:r>
      <w:r>
        <w:rPr>
          <w:rFonts w:ascii="Calibri" w:cs="Calibri" w:eastAsia="Calibri" w:hAnsi="Calibri"/>
          <w:sz w:val="17"/>
          <w:szCs w:val="17"/>
          <w:color w:val="auto"/>
        </w:rPr>
        <w:t>Restructuring and other charges consist primarily of non-recurring charges related to compensaton costs associated</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with employee exit programs, IP litgaton, alignment of our global manufacturing operatons, ratonalizaton of product development program costs, facility and lease abandonments, fxed asset impairment, IPR&amp;D impairment, and other exit costs, including curtailment of service or supply agreements.</w:t>
      </w:r>
    </w:p>
    <w:p>
      <w:pPr>
        <w:spacing w:after="0" w:line="97" w:lineRule="exact"/>
        <w:rPr>
          <w:sz w:val="20"/>
          <w:szCs w:val="20"/>
          <w:color w:val="auto"/>
        </w:rPr>
      </w:pPr>
    </w:p>
    <w:p>
      <w:pPr>
        <w:ind w:right="60" w:firstLine="405"/>
        <w:spacing w:after="0" w:line="235" w:lineRule="auto"/>
        <w:rPr>
          <w:sz w:val="20"/>
          <w:szCs w:val="20"/>
          <w:color w:val="auto"/>
        </w:rPr>
      </w:pPr>
      <w:r>
        <w:rPr>
          <w:rFonts w:ascii="Calibri" w:cs="Calibri" w:eastAsia="Calibri" w:hAnsi="Calibri"/>
          <w:sz w:val="18"/>
          <w:szCs w:val="18"/>
          <w:i w:val="1"/>
          <w:iCs w:val="1"/>
          <w:color w:val="auto"/>
        </w:rPr>
        <w:t xml:space="preserve">Interest expense. </w:t>
      </w:r>
      <w:r>
        <w:rPr>
          <w:rFonts w:ascii="Calibri" w:cs="Calibri" w:eastAsia="Calibri" w:hAnsi="Calibri"/>
          <w:sz w:val="18"/>
          <w:szCs w:val="18"/>
          <w:color w:val="auto"/>
        </w:rPr>
        <w:t>Interest expense includes coupon interest, commitment fees, accreton of original issue discount, amortzaton of debt premiums and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debt issuance costs, and expenses related to debt modifcatons or extnguishments.</w:t>
      </w:r>
    </w:p>
    <w:p>
      <w:pPr>
        <w:spacing w:after="0" w:line="110" w:lineRule="exact"/>
        <w:rPr>
          <w:sz w:val="20"/>
          <w:szCs w:val="20"/>
          <w:color w:val="auto"/>
        </w:rPr>
      </w:pPr>
    </w:p>
    <w:p>
      <w:pPr>
        <w:ind w:right="40" w:firstLine="405"/>
        <w:spacing w:after="0" w:line="235" w:lineRule="auto"/>
        <w:rPr>
          <w:sz w:val="20"/>
          <w:szCs w:val="20"/>
          <w:color w:val="auto"/>
        </w:rPr>
      </w:pPr>
      <w:r>
        <w:rPr>
          <w:rFonts w:ascii="Calibri" w:cs="Calibri" w:eastAsia="Calibri" w:hAnsi="Calibri"/>
          <w:sz w:val="18"/>
          <w:szCs w:val="18"/>
          <w:i w:val="1"/>
          <w:iCs w:val="1"/>
          <w:color w:val="auto"/>
        </w:rPr>
        <w:t xml:space="preserve">Other income (expense), net. </w:t>
      </w:r>
      <w:r>
        <w:rPr>
          <w:rFonts w:ascii="Calibri" w:cs="Calibri" w:eastAsia="Calibri" w:hAnsi="Calibri"/>
          <w:sz w:val="18"/>
          <w:szCs w:val="18"/>
          <w:color w:val="auto"/>
        </w:rPr>
        <w:t>Other income (expense), net includes interest income, gains and losses on investments, foreign currency remeasurement,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and other miscellaneous items.</w:t>
      </w:r>
    </w:p>
    <w:p>
      <w:pPr>
        <w:spacing w:after="0" w:line="110" w:lineRule="exact"/>
        <w:rPr>
          <w:sz w:val="20"/>
          <w:szCs w:val="20"/>
          <w:color w:val="auto"/>
        </w:rPr>
      </w:pPr>
    </w:p>
    <w:p>
      <w:pPr>
        <w:ind w:right="80" w:firstLine="405"/>
        <w:spacing w:after="0" w:line="235" w:lineRule="auto"/>
        <w:rPr>
          <w:sz w:val="20"/>
          <w:szCs w:val="20"/>
          <w:color w:val="auto"/>
        </w:rPr>
      </w:pPr>
      <w:r>
        <w:rPr>
          <w:rFonts w:ascii="Calibri" w:cs="Calibri" w:eastAsia="Calibri" w:hAnsi="Calibri"/>
          <w:sz w:val="18"/>
          <w:szCs w:val="18"/>
          <w:i w:val="1"/>
          <w:iCs w:val="1"/>
          <w:color w:val="auto"/>
        </w:rPr>
        <w:t xml:space="preserve">Provision for income taxes. </w:t>
      </w:r>
      <w:r>
        <w:rPr>
          <w:rFonts w:ascii="Calibri" w:cs="Calibri" w:eastAsia="Calibri" w:hAnsi="Calibri"/>
          <w:sz w:val="18"/>
          <w:szCs w:val="18"/>
          <w:color w:val="auto"/>
        </w:rPr>
        <w:t>We beneft from the tax incentves extended to us in various jurisdictons to encourage investment or employment. Our tax</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incentves from the Singapore Economic Development Board provide that any qualifying income earned in Singapore is subject to tax incentves or reduced rates of Singapore income tax, subject to our compliance with the conditons specifed in these incentves and legislatve developments. These Singapore tax incentves are scheduled</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39" w:name="page40"/>
    <w:bookmarkEnd w:id="3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to expire in November 2030. The corporate income tax rate in Singapore that would otherwise apply to us would be 17%. We also have a tax holiday from our qualifying income earned in Malaysia, which is scheduled to expire in 2028.</w:t>
      </w:r>
    </w:p>
    <w:p>
      <w:pPr>
        <w:spacing w:after="0" w:line="110"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Each tax incentve and tax holiday is subject to our compliance with various operatng and other conditons. If we cannot, or elect not to, comply with any such operatng conditons specifed, we could, in some instances, be required to refund previously realized material tax benefts, or if such tax incentve or tax holiday is terminated prior to its expiraton absent a new incentve applying, we will lose the related tax benefts earlier than scheduled. We may elect to modify our operatonal structure and tax strategy, which may not be as benefcial to us as the benefts provided under the present tax concession arrangements. Before taking into consideraton the efects of the U.S. Tax Cuts and Jobs Act and other indirect tax impacts, the efect of these tax incentves and tax holiday decreased the provision for income taxes by approximately $2,261 million and $2,104 million for fscal years 2024 and 2023, respectvely.</w:t>
      </w:r>
    </w:p>
    <w:p>
      <w:pPr>
        <w:spacing w:after="0" w:line="113" w:lineRule="exact"/>
        <w:rPr>
          <w:sz w:val="20"/>
          <w:szCs w:val="20"/>
          <w:color w:val="auto"/>
        </w:rPr>
      </w:pPr>
    </w:p>
    <w:p>
      <w:pPr>
        <w:ind w:right="320" w:firstLine="405"/>
        <w:spacing w:after="0" w:line="235" w:lineRule="auto"/>
        <w:rPr>
          <w:sz w:val="20"/>
          <w:szCs w:val="20"/>
          <w:color w:val="auto"/>
        </w:rPr>
      </w:pPr>
      <w:r>
        <w:rPr>
          <w:rFonts w:ascii="Calibri" w:cs="Calibri" w:eastAsia="Calibri" w:hAnsi="Calibri"/>
          <w:sz w:val="18"/>
          <w:szCs w:val="18"/>
          <w:color w:val="auto"/>
        </w:rPr>
        <w:t>Our interpretatons and conclusions regarding the tax incentves are not binding on any taxing authority, and if our assumptons about tax and other laws are incorrect, the benefts of the tax incentves may be adversely afected.</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Estmates</w:t>
      </w:r>
    </w:p>
    <w:p>
      <w:pPr>
        <w:spacing w:after="0" w:line="109"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color w:val="auto"/>
        </w:rPr>
        <w:t>The preparaton of fnancial statements in accordance with generally accepted accountng principles in the United States (“GAAP”) requires us to make estmates and assumptons that afect the reported amounts of assets and liabilites and disclosure of contngent assets and liabilites at the date of the fnancial statements and the reported amounts of revenue and expenses during the reportng period. We base our estmates and assumptons on current facts, historical experience and various other factors that we believe to be reasonable under the circumstances, the results of which form the basis for making judgments about the carrying values of assets and liabilites and the accrual of costs and expenses that are not readily apparent from other sources. Our actual fnancial results may difer materially and adversely from our estmates. Our critcal accountng policies are those that afect our fnancial statements materially and involve difcult, subjectve or complex judgments by management. Those policies include revenue recogniton, business combinatons, valuaton of goodwill and long-lived assets, and income taxes. See Note 2. “Summary of Signifcant Accountng Policies” included in Part II, Item 8 of this Annual Report on Form 10-K for further informaton on our critcal accountng policies and estmates.</w:t>
      </w:r>
    </w:p>
    <w:p>
      <w:pPr>
        <w:spacing w:after="0" w:line="116" w:lineRule="exact"/>
        <w:rPr>
          <w:sz w:val="20"/>
          <w:szCs w:val="20"/>
          <w:color w:val="auto"/>
        </w:rPr>
      </w:pPr>
    </w:p>
    <w:p>
      <w:pPr>
        <w:ind w:right="240" w:firstLine="405"/>
        <w:spacing w:after="0" w:line="235" w:lineRule="auto"/>
        <w:rPr>
          <w:sz w:val="20"/>
          <w:szCs w:val="20"/>
          <w:color w:val="auto"/>
        </w:rPr>
      </w:pPr>
      <w:r>
        <w:rPr>
          <w:rFonts w:ascii="Calibri" w:cs="Calibri" w:eastAsia="Calibri" w:hAnsi="Calibri"/>
          <w:sz w:val="18"/>
          <w:szCs w:val="18"/>
          <w:i w:val="1"/>
          <w:iCs w:val="1"/>
          <w:color w:val="auto"/>
        </w:rPr>
        <w:t xml:space="preserve">Revenue recogniton. </w:t>
      </w:r>
      <w:r>
        <w:rPr>
          <w:rFonts w:ascii="Calibri" w:cs="Calibri" w:eastAsia="Calibri" w:hAnsi="Calibri"/>
          <w:sz w:val="18"/>
          <w:szCs w:val="18"/>
          <w:color w:val="auto"/>
        </w:rPr>
        <w:t>We account for a contract with a customer when both partes have approved the contract and are commited to perform their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respectve obligatons, each party’s rights can be identfed, payment terms can be identfed, the contract has commercial substance, and it is probable we will collect substantally all of the consideraton we are enttled to. Revenue is recognized when, or as, performance obligatons are satsfed by transferring control of a promised product or service to a customer. Our products and services can be broadly categorized as sales of products and subscriptons and services.</w:t>
      </w:r>
    </w:p>
    <w:p>
      <w:pPr>
        <w:spacing w:after="0" w:line="112" w:lineRule="exact"/>
        <w:rPr>
          <w:sz w:val="20"/>
          <w:szCs w:val="20"/>
          <w:color w:val="auto"/>
        </w:rPr>
      </w:pPr>
    </w:p>
    <w:p>
      <w:pPr>
        <w:ind w:firstLine="405"/>
        <w:spacing w:after="0" w:line="251" w:lineRule="auto"/>
        <w:rPr>
          <w:sz w:val="20"/>
          <w:szCs w:val="20"/>
          <w:color w:val="auto"/>
        </w:rPr>
      </w:pPr>
      <w:r>
        <w:rPr>
          <w:rFonts w:ascii="Calibri" w:cs="Calibri" w:eastAsia="Calibri" w:hAnsi="Calibri"/>
          <w:sz w:val="17"/>
          <w:szCs w:val="17"/>
          <w:color w:val="auto"/>
        </w:rPr>
        <w:t>We recognize products revenue from sales to direct customers and distributors when control transfers to the customer. An allowance for distributor credits covering price adjustments is made based on our estmate of historical experience rates as well as considering economic conditons and contractual terms. To date, actual distributor claims actvity has been materially consistent with the provisions we have made based on our historical estmates. However, because of the inherent nature of estmates, there is always a risk that there could be signifcant diferences between actual amounts and our estmates. Diferent judgments or estmates could result in variances that might be signifcant to reported operatng results. We also record reductons of revenue for rebates in the same period that the related revenue is recorded. We accrue 100% of potental rebates at the tme of sale. We reverse the accrual of unclaimed rebate amounts as specifc rebate programs contractually end and when we believe unclaimed rebates are no longer subject to payment and will not be paid. Thus, the reversal of unclaimed rebates may have a positve impact on our net revenue and net income in subsequent periods.</w:t>
      </w:r>
    </w:p>
    <w:p>
      <w:pPr>
        <w:spacing w:after="0" w:line="100"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i w:val="1"/>
          <w:iCs w:val="1"/>
          <w:color w:val="auto"/>
        </w:rPr>
        <w:t xml:space="preserve">Business combinatons. </w:t>
      </w:r>
      <w:r>
        <w:rPr>
          <w:rFonts w:ascii="Calibri" w:cs="Calibri" w:eastAsia="Calibri" w:hAnsi="Calibri"/>
          <w:sz w:val="18"/>
          <w:szCs w:val="18"/>
          <w:color w:val="auto"/>
        </w:rPr>
        <w:t>Accountng for business combinatons requires our management to make signifcant estmates and assumptons, especially at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 acquisiton date, for intangible assets, contractual obligatons assumed, restructuring liabilites, pre-acquisiton contngencies, and contngent consideraton, where applicable. Although we believe the assumptons and estmates we have made in the past have been reasonable and appropriate, they are based, in part, on historical experience and informaton obtained from the management of the acquired companies and are inherently uncertain. Critcal estmates in valuing certain acquired intangible assets include, the present value of projected cash fows regarding the projected revenues, projected expenses which include cost of revenue, research and development and selling, general and administratve expenses, technology obsolescence rate, contributory asset charges, discount rate and income tax rate for developed technology; the projected revenues, customer retenton rate, customer ramp up period, discount rate and income tax rate for the customer contracts and related relatonships; the projected revenues, technology obsolescence rate, expected costs to develop IPR&amp;D into commercially viable products, discount rate and income tax rate for the IPR&amp;D; and the projected revenues, brand asset phase-out patern, brand asset royalty rate, discount rate and the income tax rate for the trade name. Unantcipated events and circumstances may occur which could afect the accuracy or validity of such assumptons, estmates or actual results.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i w:val="1"/>
          <w:iCs w:val="1"/>
          <w:color w:val="auto"/>
        </w:rPr>
        <w:t xml:space="preserve">Valuaton of goodwill and long-lived assets. </w:t>
      </w:r>
      <w:r>
        <w:rPr>
          <w:rFonts w:ascii="Calibri" w:cs="Calibri" w:eastAsia="Calibri" w:hAnsi="Calibri"/>
          <w:sz w:val="18"/>
          <w:szCs w:val="18"/>
          <w:color w:val="auto"/>
        </w:rPr>
        <w:t>We perform an annual impairment review of our goodwill during the fourth fscal quarter of each year, and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more frequently if we believe indicators of impairment exist. The process of evaluatng the potental impairment of goodwill is highly subjectve and requires signifcant judgment. To review for impairment, we frst assess qualitatve factors to determine whether events or circumstances lead to a determinaton that it is more likely than not that the fair value of any of our reportng units is less than its carrying amount. Our qualitatve assessment of the recoverability of goodwill, whether performed annually or based on specifc events or circumstances, considers various macroeconomic, industry-specifc and company-specifc factors. These factors include: (i) severe adverse industry or economic trends; (ii) signifcant company-specifc actons, including exitng an actvity in conjuncton with restructuring of operatons; (iii) current, historical or projected deterioraton of our fnancial performance; or (iv) a sustained decrease in our market capitalizaton below our net book value. Afer assessing the totality of events and circumstances, if we determine that it is not more likely than not that the fair value of any of our reportng units is less than its carrying amount, no further assessment is performed. If we determine that it is more likely than not that the fair value of any of our reportng units is less than its carrying amount, we calculate the fair value of that reportng unit and compare the fair value to the reportng unit’s net book value.</w:t>
      </w:r>
    </w:p>
    <w:p>
      <w:pPr>
        <w:spacing w:after="0" w:line="117" w:lineRule="exact"/>
        <w:rPr>
          <w:sz w:val="20"/>
          <w:szCs w:val="20"/>
          <w:color w:val="auto"/>
        </w:rPr>
      </w:pPr>
    </w:p>
    <w:p>
      <w:pPr>
        <w:ind w:right="40" w:firstLine="405"/>
        <w:spacing w:after="0" w:line="251" w:lineRule="auto"/>
        <w:rPr>
          <w:sz w:val="20"/>
          <w:szCs w:val="20"/>
          <w:color w:val="auto"/>
        </w:rPr>
      </w:pPr>
      <w:r>
        <w:rPr>
          <w:rFonts w:ascii="Calibri" w:cs="Calibri" w:eastAsia="Calibri" w:hAnsi="Calibri"/>
          <w:sz w:val="17"/>
          <w:szCs w:val="17"/>
          <w:color w:val="auto"/>
        </w:rPr>
        <w:t>Determining the fair value of a reportng unit involves the use of signifcant estmates and assumptons. Our goodwill impairment test uses both the income approach and the market approach to estmate a reportng unit's fair value. The income approach is based on the discounted cash fow method that uses the reportng unit estmates for forecasted future fnancial performance, including revenues, operatng expenses, and taxes, as well as working capital and capital asset requirements. These estmates are developed as part of our long-term planning process based on assumed market segment growth rates and our assumed market segment share, estmated costs based on historical data and various internal estmates. Projected cash fows are then discounted to a present value employing a discount rate that properly accounts for the estmated market weighted-average cost of capital, as well as any risk unique to the subject cash fows. The market approach is based on weightng the fnancial multples of comparable companies and applying a control premium. A reportng unit's carrying value represents the assignment of various assets and liabilites, excluding certain corporate assets and liabilites, such as cash and debt.</w:t>
      </w:r>
    </w:p>
    <w:p>
      <w:pPr>
        <w:spacing w:after="0" w:line="100" w:lineRule="exact"/>
        <w:rPr>
          <w:sz w:val="20"/>
          <w:szCs w:val="20"/>
          <w:color w:val="auto"/>
        </w:rPr>
      </w:pPr>
    </w:p>
    <w:p>
      <w:pPr>
        <w:ind w:right="60" w:firstLine="405"/>
        <w:spacing w:after="0" w:line="235" w:lineRule="auto"/>
        <w:rPr>
          <w:sz w:val="20"/>
          <w:szCs w:val="20"/>
          <w:color w:val="auto"/>
        </w:rPr>
      </w:pPr>
      <w:r>
        <w:rPr>
          <w:rFonts w:ascii="Calibri" w:cs="Calibri" w:eastAsia="Calibri" w:hAnsi="Calibri"/>
          <w:sz w:val="18"/>
          <w:szCs w:val="18"/>
          <w:color w:val="auto"/>
        </w:rPr>
        <w:t>We assess the impairment of long-lived assets, including purchased IPR&amp;D, property, plant and equipment, right-of-use assets, and intangible assets, whenever events or changes in circumstances indicate that the carrying value of such assets may not be recoverable. Factors we consider important which could trigger an impairment review include: (i) signifcant under-performance relatve to historical or projected future operatng results, (ii) signifcant changes in the manner of our use of the acquired assets or the strategy for our overall business, or (iii) signifcant negatve industry or economic trends. The process of evaluatng the potental impairment of long-lived assets under the accountng guidance on property, plant and equipment, and intangible assets is also highly subjectve and requires signifcant judgment. In order to estmate the fair value of long-lived assets, we typically make various assumptons about the future prospects of our business or the part of our business to which the long-lived assets relate. We also consider market factors specifc to the business and estmate future cash fows to be generated by the business, which requires signifcant judgment as it is based on assumptons about market demand for our products over a number of future years. Based on these assumptons and estmates, we determine whether we need to take an impairment charge to reduce the value of the long-lived assets stated on our consolidated balance sheets to refect their estmated fair value. Assumptons and estmates about future values and remaining useful lives are complex and ofen subjectve. They can be afected by a variety of factors, including external factors, such as the real estate market, industry and economic trends, and internal factors, such as changes in our business strategy and our internal forecasts. Although we believe the assumptons and estmates we have made in the past have been reasonable and appropriate, changes in assumptons and estmates could materially impact our reported fnancial results.</w:t>
      </w:r>
    </w:p>
    <w:p>
      <w:pPr>
        <w:spacing w:after="0" w:line="120"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i w:val="1"/>
          <w:iCs w:val="1"/>
          <w:color w:val="auto"/>
        </w:rPr>
        <w:t xml:space="preserve">Income taxes. </w:t>
      </w:r>
      <w:r>
        <w:rPr>
          <w:rFonts w:ascii="Calibri" w:cs="Calibri" w:eastAsia="Calibri" w:hAnsi="Calibri"/>
          <w:sz w:val="18"/>
          <w:szCs w:val="18"/>
          <w:color w:val="auto"/>
        </w:rPr>
        <w:t>Signifcant management judgment is required in developing our provision for or beneft from income taxes, including the determinaton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of deferred tax assets and liabilites and any valuaton allowances that might be required against the deferred tax assets. We have considered projected future taxable income and ongoing prudent and feasible tax planning strategies in assessing the need for valuaton allowances. An adjustment to the valuaton allowance will either increase or decrease our provision for or beneft from income taxes in the period such determinaton is made. In evaluatng the exposure associated with various tax fling positons, we accrue an income tax liability when such positons do not meet the more-likely-than-not threshold for recogniton.</w:t>
      </w:r>
    </w:p>
    <w:p>
      <w:pPr>
        <w:spacing w:after="0" w:line="113"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The calculaton of our tax liabilites involves dealing with uncertaintes in the applicaton of complex tax laws and regulatons in a multtude of jurisdictons. We recognize potental liabilites for antcipated tax audit issues in the U.S. and other tax jurisdictons based on our estmate of whether, and the extent to which, additonal taxes, interest, and penaltes will be due. If our estmate of income tax liabilites proves to be less than the actual amount ultmately assessed, a further charge to tax expense would be required. If the payment of these amounts ultmately proves to be unnecessary, the reversal of the accrued liabilites would result in tax benefts being recognized in the period when we determine the liabilites no longer exist.</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1" w:name="page42"/>
    <w:bookmarkEnd w:id="4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Fiscal Year Presentaton</w:t>
      </w:r>
    </w:p>
    <w:p>
      <w:pPr>
        <w:spacing w:after="0" w:line="109"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We operate on a 52- or 53-week fscal year ending on the Sunday closest to October 31. Our fscal year 2024 was a 53-week fscal year. Fiscal years 2023 and 2022 each consisted of 52 weeks.</w:t>
      </w:r>
    </w:p>
    <w:p>
      <w:pPr>
        <w:spacing w:after="0" w:line="110" w:lineRule="exact"/>
        <w:rPr>
          <w:sz w:val="20"/>
          <w:szCs w:val="20"/>
          <w:color w:val="auto"/>
        </w:rPr>
      </w:pPr>
    </w:p>
    <w:p>
      <w:pPr>
        <w:ind w:right="580" w:firstLine="405"/>
        <w:spacing w:after="0" w:line="235" w:lineRule="auto"/>
        <w:rPr>
          <w:sz w:val="20"/>
          <w:szCs w:val="20"/>
          <w:color w:val="auto"/>
        </w:rPr>
      </w:pPr>
      <w:r>
        <w:rPr>
          <w:rFonts w:ascii="Calibri" w:cs="Calibri" w:eastAsia="Calibri" w:hAnsi="Calibri"/>
          <w:sz w:val="18"/>
          <w:szCs w:val="18"/>
          <w:color w:val="auto"/>
        </w:rPr>
        <w:t>The fnancial statements included in Part II, Item 8 of this Annual Report on Form 10-K are presented in accordance with GAAP and expressed in U.S. dollars.</w:t>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2" w:name="page43"/>
    <w:bookmarkEnd w:id="4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Results of Operatons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Fiscal Year 2024 Compared to Fiscal Year 2023</w:t>
      </w:r>
    </w:p>
    <w:p>
      <w:pPr>
        <w:spacing w:after="0" w:line="104"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The following table sets forth our results of operatons for the periods presented: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4"/>
          </w:tcPr>
          <w:p>
            <w:pPr>
              <w:ind w:left="720"/>
              <w:spacing w:after="0"/>
              <w:rPr>
                <w:sz w:val="20"/>
                <w:szCs w:val="20"/>
                <w:color w:val="auto"/>
              </w:rPr>
            </w:pPr>
            <w:r>
              <w:rPr>
                <w:rFonts w:ascii="Calibri" w:cs="Calibri" w:eastAsia="Calibri" w:hAnsi="Calibri"/>
                <w:sz w:val="14"/>
                <w:szCs w:val="14"/>
                <w:b w:val="1"/>
                <w:bCs w:val="1"/>
                <w:color w:val="auto"/>
              </w:rPr>
              <w:t>Fiscal Year Ended</w:t>
            </w:r>
          </w:p>
        </w:tc>
        <w:tc>
          <w:tcPr>
            <w:tcW w:w="1360" w:type="dxa"/>
            <w:vAlign w:val="bottom"/>
          </w:tcPr>
          <w:p>
            <w:pPr>
              <w:spacing w:after="0"/>
              <w:rPr>
                <w:sz w:val="14"/>
                <w:szCs w:val="14"/>
                <w:color w:val="auto"/>
              </w:rPr>
            </w:pPr>
          </w:p>
        </w:tc>
      </w:tr>
      <w:tr>
        <w:trPr>
          <w:trHeight w:val="47"/>
        </w:trPr>
        <w:tc>
          <w:tcPr>
            <w:tcW w:w="56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128"/>
        </w:trPr>
        <w:tc>
          <w:tcPr>
            <w:tcW w:w="5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Calibri" w:cs="Calibri" w:eastAsia="Calibri" w:hAnsi="Calibri"/>
                <w:sz w:val="13"/>
                <w:szCs w:val="13"/>
                <w:b w:val="1"/>
                <w:bCs w:val="1"/>
                <w:color w:val="auto"/>
              </w:rPr>
              <w:t>November 3,</w:t>
            </w:r>
          </w:p>
        </w:tc>
        <w:tc>
          <w:tcPr>
            <w:tcW w:w="180" w:type="dxa"/>
            <w:vAlign w:val="bottom"/>
          </w:tcPr>
          <w:p>
            <w:pPr>
              <w:spacing w:after="0"/>
              <w:rPr>
                <w:sz w:val="11"/>
                <w:szCs w:val="11"/>
                <w:color w:val="auto"/>
              </w:rPr>
            </w:pPr>
          </w:p>
        </w:tc>
        <w:tc>
          <w:tcPr>
            <w:tcW w:w="1160" w:type="dxa"/>
            <w:vAlign w:val="bottom"/>
            <w:gridSpan w:val="2"/>
          </w:tcPr>
          <w:p>
            <w:pPr>
              <w:ind w:left="80"/>
              <w:spacing w:after="0" w:line="127" w:lineRule="exact"/>
              <w:rPr>
                <w:sz w:val="20"/>
                <w:szCs w:val="20"/>
                <w:color w:val="auto"/>
              </w:rPr>
            </w:pPr>
            <w:r>
              <w:rPr>
                <w:rFonts w:ascii="Calibri" w:cs="Calibri" w:eastAsia="Calibri" w:hAnsi="Calibri"/>
                <w:sz w:val="13"/>
                <w:szCs w:val="13"/>
                <w:b w:val="1"/>
                <w:bCs w:val="1"/>
                <w:color w:val="auto"/>
              </w:rPr>
              <w:t>October 29,</w:t>
            </w:r>
          </w:p>
        </w:tc>
        <w:tc>
          <w:tcPr>
            <w:tcW w:w="1460" w:type="dxa"/>
            <w:vAlign w:val="bottom"/>
            <w:gridSpan w:val="2"/>
          </w:tcPr>
          <w:p>
            <w:pPr>
              <w:ind w:left="300"/>
              <w:spacing w:after="0" w:line="127" w:lineRule="exact"/>
              <w:rPr>
                <w:sz w:val="20"/>
                <w:szCs w:val="20"/>
                <w:color w:val="auto"/>
              </w:rPr>
            </w:pPr>
            <w:r>
              <w:rPr>
                <w:rFonts w:ascii="Calibri" w:cs="Calibri" w:eastAsia="Calibri" w:hAnsi="Calibri"/>
                <w:sz w:val="13"/>
                <w:szCs w:val="13"/>
                <w:b w:val="1"/>
                <w:bCs w:val="1"/>
                <w:color w:val="auto"/>
              </w:rPr>
              <w:t>November 3,</w:t>
            </w:r>
          </w:p>
        </w:tc>
        <w:tc>
          <w:tcPr>
            <w:tcW w:w="1360" w:type="dxa"/>
            <w:vAlign w:val="bottom"/>
          </w:tcPr>
          <w:p>
            <w:pPr>
              <w:jc w:val="right"/>
              <w:ind w:right="232"/>
              <w:spacing w:after="0" w:line="127" w:lineRule="exact"/>
              <w:rPr>
                <w:sz w:val="20"/>
                <w:szCs w:val="20"/>
                <w:color w:val="auto"/>
              </w:rPr>
            </w:pPr>
            <w:r>
              <w:rPr>
                <w:rFonts w:ascii="Calibri" w:cs="Calibri" w:eastAsia="Calibri" w:hAnsi="Calibri"/>
                <w:sz w:val="13"/>
                <w:szCs w:val="13"/>
                <w:b w:val="1"/>
                <w:bCs w:val="1"/>
                <w:color w:val="auto"/>
              </w:rPr>
              <w:t>October 29,</w:t>
            </w:r>
          </w:p>
        </w:tc>
      </w:tr>
      <w:tr>
        <w:trPr>
          <w:trHeight w:val="170"/>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373"/>
              <w:spacing w:after="0"/>
              <w:rPr>
                <w:sz w:val="20"/>
                <w:szCs w:val="20"/>
                <w:color w:val="auto"/>
              </w:rPr>
            </w:pPr>
            <w:r>
              <w:rPr>
                <w:rFonts w:ascii="Calibri" w:cs="Calibri" w:eastAsia="Calibri" w:hAnsi="Calibri"/>
                <w:sz w:val="14"/>
                <w:szCs w:val="14"/>
                <w:b w:val="1"/>
                <w:bCs w:val="1"/>
                <w:color w:val="auto"/>
              </w:rPr>
              <w:t>2024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93"/>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1360" w:type="dxa"/>
            <w:vAlign w:val="bottom"/>
          </w:tcPr>
          <w:p>
            <w:pPr>
              <w:jc w:val="right"/>
              <w:ind w:right="453"/>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1360" w:type="dxa"/>
            <w:vAlign w:val="bottom"/>
          </w:tcPr>
          <w:p>
            <w:pPr>
              <w:jc w:val="right"/>
              <w:ind w:right="432"/>
              <w:spacing w:after="0"/>
              <w:rPr>
                <w:sz w:val="20"/>
                <w:szCs w:val="20"/>
                <w:color w:val="auto"/>
              </w:rPr>
            </w:pPr>
            <w:r>
              <w:rPr>
                <w:rFonts w:ascii="Calibri" w:cs="Calibri" w:eastAsia="Calibri" w:hAnsi="Calibri"/>
                <w:sz w:val="14"/>
                <w:szCs w:val="14"/>
                <w:b w:val="1"/>
                <w:bCs w:val="1"/>
                <w:color w:val="auto"/>
              </w:rPr>
              <w:t>2023</w:t>
            </w:r>
          </w:p>
        </w:tc>
      </w:tr>
      <w:tr>
        <w:trPr>
          <w:trHeight w:val="33"/>
        </w:trPr>
        <w:tc>
          <w:tcPr>
            <w:tcW w:w="5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9"/>
        </w:trPr>
        <w:tc>
          <w:tcPr>
            <w:tcW w:w="5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ind w:left="780"/>
              <w:spacing w:after="0"/>
              <w:rPr>
                <w:sz w:val="20"/>
                <w:szCs w:val="20"/>
                <w:color w:val="auto"/>
              </w:rPr>
            </w:pPr>
            <w:r>
              <w:rPr>
                <w:rFonts w:ascii="Calibri" w:cs="Calibri" w:eastAsia="Calibri" w:hAnsi="Calibri"/>
                <w:sz w:val="14"/>
                <w:szCs w:val="14"/>
                <w:b w:val="1"/>
                <w:bCs w:val="1"/>
                <w:color w:val="auto"/>
              </w:rPr>
              <w:t>(In millions)</w:t>
            </w:r>
          </w:p>
        </w:tc>
        <w:tc>
          <w:tcPr>
            <w:tcW w:w="2820" w:type="dxa"/>
            <w:vAlign w:val="bottom"/>
            <w:gridSpan w:val="3"/>
          </w:tcPr>
          <w:p>
            <w:pPr>
              <w:jc w:val="right"/>
              <w:ind w:right="352"/>
              <w:spacing w:after="0"/>
              <w:rPr>
                <w:sz w:val="20"/>
                <w:szCs w:val="20"/>
                <w:color w:val="auto"/>
              </w:rPr>
            </w:pPr>
            <w:r>
              <w:rPr>
                <w:rFonts w:ascii="Calibri" w:cs="Calibri" w:eastAsia="Calibri" w:hAnsi="Calibri"/>
                <w:sz w:val="14"/>
                <w:szCs w:val="14"/>
                <w:b w:val="1"/>
                <w:bCs w:val="1"/>
                <w:color w:val="auto"/>
              </w:rPr>
              <w:t>(As a percentage of net revenue)</w:t>
            </w:r>
          </w:p>
        </w:tc>
      </w:tr>
      <w:tr>
        <w:trPr>
          <w:trHeight w:val="253"/>
        </w:trPr>
        <w:tc>
          <w:tcPr>
            <w:tcW w:w="5680" w:type="dxa"/>
            <w:vAlign w:val="bottom"/>
          </w:tcPr>
          <w:p>
            <w:pPr>
              <w:ind w:left="20"/>
              <w:spacing w:after="0"/>
              <w:rPr>
                <w:sz w:val="20"/>
                <w:szCs w:val="20"/>
                <w:color w:val="auto"/>
              </w:rPr>
            </w:pPr>
            <w:r>
              <w:rPr>
                <w:rFonts w:ascii="Calibri" w:cs="Calibri" w:eastAsia="Calibri" w:hAnsi="Calibri"/>
                <w:sz w:val="18"/>
                <w:szCs w:val="18"/>
                <w:b w:val="1"/>
                <w:bCs w:val="1"/>
                <w:color w:val="auto"/>
              </w:rPr>
              <w:t>Statements of Operatons Data:</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
        </w:trPr>
        <w:tc>
          <w:tcPr>
            <w:tcW w:w="5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56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Net revenue: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2"/>
        </w:trPr>
        <w:tc>
          <w:tcPr>
            <w:tcW w:w="5680" w:type="dxa"/>
            <w:vAlign w:val="bottom"/>
          </w:tcPr>
          <w:p>
            <w:pPr>
              <w:ind w:left="140"/>
              <w:spacing w:after="0" w:line="215" w:lineRule="exact"/>
              <w:rPr>
                <w:sz w:val="20"/>
                <w:szCs w:val="20"/>
                <w:color w:val="auto"/>
              </w:rPr>
            </w:pPr>
            <w:r>
              <w:rPr>
                <w:rFonts w:ascii="Calibri" w:cs="Calibri" w:eastAsia="Calibri" w:hAnsi="Calibri"/>
                <w:sz w:val="18"/>
                <w:szCs w:val="18"/>
                <w:color w:val="auto"/>
              </w:rPr>
              <w:t>Products</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30,359</w:t>
            </w:r>
          </w:p>
        </w:tc>
        <w:tc>
          <w:tcPr>
            <w:tcW w:w="12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27,891</w:t>
            </w:r>
          </w:p>
        </w:tc>
        <w:tc>
          <w:tcPr>
            <w:tcW w:w="100" w:type="dxa"/>
            <w:vAlign w:val="bottom"/>
          </w:tcPr>
          <w:p>
            <w:pPr>
              <w:spacing w:after="0"/>
              <w:rPr>
                <w:sz w:val="19"/>
                <w:szCs w:val="19"/>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59 %</w:t>
            </w:r>
          </w:p>
        </w:tc>
        <w:tc>
          <w:tcPr>
            <w:tcW w:w="100" w:type="dxa"/>
            <w:vAlign w:val="bottom"/>
          </w:tcPr>
          <w:p>
            <w:pPr>
              <w:spacing w:after="0"/>
              <w:rPr>
                <w:sz w:val="19"/>
                <w:szCs w:val="19"/>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78 %</w:t>
            </w:r>
          </w:p>
        </w:tc>
      </w:tr>
      <w:tr>
        <w:trPr>
          <w:trHeight w:val="237"/>
        </w:trPr>
        <w:tc>
          <w:tcPr>
            <w:tcW w:w="56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Subscriptons and services</w:t>
            </w: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21,215</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7,928</w:t>
            </w:r>
          </w:p>
        </w:tc>
        <w:tc>
          <w:tcPr>
            <w:tcW w:w="100" w:type="dxa"/>
            <w:vAlign w:val="bottom"/>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13"/>
              <w:spacing w:after="0"/>
              <w:rPr>
                <w:sz w:val="20"/>
                <w:szCs w:val="20"/>
                <w:color w:val="auto"/>
              </w:rPr>
            </w:pPr>
            <w:r>
              <w:rPr>
                <w:rFonts w:ascii="Calibri" w:cs="Calibri" w:eastAsia="Calibri" w:hAnsi="Calibri"/>
                <w:sz w:val="18"/>
                <w:szCs w:val="18"/>
                <w:color w:val="auto"/>
              </w:rPr>
              <w:t>41</w:t>
            </w:r>
          </w:p>
        </w:tc>
        <w:tc>
          <w:tcPr>
            <w:tcW w:w="100" w:type="dxa"/>
            <w:vAlign w:val="bottom"/>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92"/>
              <w:spacing w:after="0"/>
              <w:rPr>
                <w:sz w:val="20"/>
                <w:szCs w:val="20"/>
                <w:color w:val="auto"/>
              </w:rPr>
            </w:pPr>
            <w:r>
              <w:rPr>
                <w:rFonts w:ascii="Calibri" w:cs="Calibri" w:eastAsia="Calibri" w:hAnsi="Calibri"/>
                <w:sz w:val="18"/>
                <w:szCs w:val="18"/>
                <w:color w:val="auto"/>
              </w:rPr>
              <w:t>22</w:t>
            </w:r>
          </w:p>
        </w:tc>
      </w:tr>
      <w:tr>
        <w:trPr>
          <w:trHeight w:val="217"/>
        </w:trPr>
        <w:tc>
          <w:tcPr>
            <w:tcW w:w="5680" w:type="dxa"/>
            <w:vAlign w:val="bottom"/>
            <w:tcBorders>
              <w:bottom w:val="single" w:sz="8" w:color="CCEEFF"/>
            </w:tcBorders>
          </w:tcPr>
          <w:p>
            <w:pPr>
              <w:ind w:left="220"/>
              <w:spacing w:after="0" w:line="199" w:lineRule="exact"/>
              <w:rPr>
                <w:sz w:val="20"/>
                <w:szCs w:val="20"/>
                <w:color w:val="auto"/>
              </w:rPr>
            </w:pPr>
            <w:r>
              <w:rPr>
                <w:rFonts w:ascii="Calibri" w:cs="Calibri" w:eastAsia="Calibri" w:hAnsi="Calibri"/>
                <w:sz w:val="18"/>
                <w:szCs w:val="18"/>
                <w:color w:val="auto"/>
              </w:rPr>
              <w:t>Total net revenue</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51,574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35,819</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3"/>
              <w:spacing w:after="0" w:line="215" w:lineRule="exact"/>
              <w:rPr>
                <w:sz w:val="20"/>
                <w:szCs w:val="20"/>
                <w:color w:val="auto"/>
              </w:rPr>
            </w:pPr>
            <w:r>
              <w:rPr>
                <w:rFonts w:ascii="Calibri" w:cs="Calibri" w:eastAsia="Calibri" w:hAnsi="Calibri"/>
                <w:sz w:val="18"/>
                <w:szCs w:val="18"/>
                <w:color w:val="auto"/>
              </w:rPr>
              <w:t>100</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92"/>
              <w:spacing w:after="0" w:line="215" w:lineRule="exact"/>
              <w:rPr>
                <w:sz w:val="20"/>
                <w:szCs w:val="20"/>
                <w:color w:val="auto"/>
              </w:rPr>
            </w:pPr>
            <w:r>
              <w:rPr>
                <w:rFonts w:ascii="Calibri" w:cs="Calibri" w:eastAsia="Calibri" w:hAnsi="Calibri"/>
                <w:sz w:val="18"/>
                <w:szCs w:val="18"/>
                <w:color w:val="auto"/>
              </w:rPr>
              <w:t>100</w:t>
            </w:r>
          </w:p>
        </w:tc>
      </w:tr>
      <w:tr>
        <w:trPr>
          <w:trHeight w:val="216"/>
        </w:trPr>
        <w:tc>
          <w:tcPr>
            <w:tcW w:w="568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Cost of revenue: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2"/>
        </w:trPr>
        <w:tc>
          <w:tcPr>
            <w:tcW w:w="5680" w:type="dxa"/>
            <w:vAlign w:val="bottom"/>
          </w:tcPr>
          <w:p>
            <w:pPr>
              <w:ind w:left="140"/>
              <w:spacing w:after="0" w:line="215" w:lineRule="exact"/>
              <w:rPr>
                <w:sz w:val="20"/>
                <w:szCs w:val="20"/>
                <w:color w:val="auto"/>
              </w:rPr>
            </w:pPr>
            <w:r>
              <w:rPr>
                <w:rFonts w:ascii="Calibri" w:cs="Calibri" w:eastAsia="Calibri" w:hAnsi="Calibri"/>
                <w:sz w:val="18"/>
                <w:szCs w:val="18"/>
                <w:color w:val="auto"/>
              </w:rPr>
              <w:t>Cost of products sold</w:t>
            </w:r>
          </w:p>
        </w:tc>
        <w:tc>
          <w:tcPr>
            <w:tcW w:w="16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9,797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8,636</w:t>
            </w:r>
          </w:p>
        </w:tc>
        <w:tc>
          <w:tcPr>
            <w:tcW w:w="100" w:type="dxa"/>
            <w:vAlign w:val="bottom"/>
          </w:tcPr>
          <w:p>
            <w:pPr>
              <w:spacing w:after="0"/>
              <w:rPr>
                <w:sz w:val="19"/>
                <w:szCs w:val="19"/>
                <w:color w:val="auto"/>
              </w:rPr>
            </w:pPr>
          </w:p>
        </w:tc>
        <w:tc>
          <w:tcPr>
            <w:tcW w:w="1360" w:type="dxa"/>
            <w:vAlign w:val="bottom"/>
          </w:tcPr>
          <w:p>
            <w:pPr>
              <w:jc w:val="right"/>
              <w:ind w:right="113"/>
              <w:spacing w:after="0" w:line="215" w:lineRule="exact"/>
              <w:rPr>
                <w:sz w:val="20"/>
                <w:szCs w:val="20"/>
                <w:color w:val="auto"/>
              </w:rPr>
            </w:pPr>
            <w:r>
              <w:rPr>
                <w:rFonts w:ascii="Calibri" w:cs="Calibri" w:eastAsia="Calibri" w:hAnsi="Calibri"/>
                <w:sz w:val="18"/>
                <w:szCs w:val="18"/>
                <w:color w:val="auto"/>
              </w:rPr>
              <w:t>19</w:t>
            </w:r>
          </w:p>
        </w:tc>
        <w:tc>
          <w:tcPr>
            <w:tcW w:w="100" w:type="dxa"/>
            <w:vAlign w:val="bottom"/>
          </w:tcPr>
          <w:p>
            <w:pPr>
              <w:spacing w:after="0"/>
              <w:rPr>
                <w:sz w:val="19"/>
                <w:szCs w:val="19"/>
                <w:color w:val="auto"/>
              </w:rPr>
            </w:pPr>
          </w:p>
        </w:tc>
        <w:tc>
          <w:tcPr>
            <w:tcW w:w="1360" w:type="dxa"/>
            <w:vAlign w:val="bottom"/>
          </w:tcPr>
          <w:p>
            <w:pPr>
              <w:jc w:val="right"/>
              <w:ind w:right="92"/>
              <w:spacing w:after="0" w:line="215" w:lineRule="exact"/>
              <w:rPr>
                <w:sz w:val="20"/>
                <w:szCs w:val="20"/>
                <w:color w:val="auto"/>
              </w:rPr>
            </w:pPr>
            <w:r>
              <w:rPr>
                <w:rFonts w:ascii="Calibri" w:cs="Calibri" w:eastAsia="Calibri" w:hAnsi="Calibri"/>
                <w:sz w:val="18"/>
                <w:szCs w:val="18"/>
                <w:color w:val="auto"/>
              </w:rPr>
              <w:t>24</w:t>
            </w:r>
          </w:p>
        </w:tc>
      </w:tr>
      <w:tr>
        <w:trPr>
          <w:trHeight w:val="237"/>
        </w:trPr>
        <w:tc>
          <w:tcPr>
            <w:tcW w:w="56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Cost of subscriptons and services</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2,991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636</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13"/>
              <w:spacing w:after="0"/>
              <w:rPr>
                <w:sz w:val="20"/>
                <w:szCs w:val="20"/>
                <w:color w:val="auto"/>
              </w:rPr>
            </w:pPr>
            <w:r>
              <w:rPr>
                <w:rFonts w:ascii="Calibri" w:cs="Calibri" w:eastAsia="Calibri" w:hAnsi="Calibri"/>
                <w:sz w:val="18"/>
                <w:szCs w:val="18"/>
                <w:color w:val="auto"/>
              </w:rPr>
              <w:t>6</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92"/>
              <w:spacing w:after="0"/>
              <w:rPr>
                <w:sz w:val="20"/>
                <w:szCs w:val="20"/>
                <w:color w:val="auto"/>
              </w:rPr>
            </w:pPr>
            <w:r>
              <w:rPr>
                <w:rFonts w:ascii="Calibri" w:cs="Calibri" w:eastAsia="Calibri" w:hAnsi="Calibri"/>
                <w:sz w:val="18"/>
                <w:szCs w:val="18"/>
                <w:color w:val="auto"/>
              </w:rPr>
              <w:t>2</w:t>
            </w:r>
          </w:p>
        </w:tc>
      </w:tr>
      <w:tr>
        <w:trPr>
          <w:trHeight w:val="222"/>
        </w:trPr>
        <w:tc>
          <w:tcPr>
            <w:tcW w:w="5680" w:type="dxa"/>
            <w:vAlign w:val="bottom"/>
          </w:tcPr>
          <w:p>
            <w:pPr>
              <w:ind w:left="140"/>
              <w:spacing w:after="0" w:line="215" w:lineRule="exact"/>
              <w:rPr>
                <w:sz w:val="20"/>
                <w:szCs w:val="20"/>
                <w:color w:val="auto"/>
              </w:rPr>
            </w:pPr>
            <w:r>
              <w:rPr>
                <w:rFonts w:ascii="Calibri" w:cs="Calibri" w:eastAsia="Calibri" w:hAnsi="Calibri"/>
                <w:sz w:val="18"/>
                <w:szCs w:val="18"/>
                <w:color w:val="auto"/>
              </w:rPr>
              <w:t>Amortzaton of acquisiton-related intangible assets</w:t>
            </w:r>
          </w:p>
        </w:tc>
        <w:tc>
          <w:tcPr>
            <w:tcW w:w="16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6,023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1,853</w:t>
            </w:r>
          </w:p>
        </w:tc>
        <w:tc>
          <w:tcPr>
            <w:tcW w:w="100" w:type="dxa"/>
            <w:vAlign w:val="bottom"/>
          </w:tcPr>
          <w:p>
            <w:pPr>
              <w:spacing w:after="0"/>
              <w:rPr>
                <w:sz w:val="19"/>
                <w:szCs w:val="19"/>
                <w:color w:val="auto"/>
              </w:rPr>
            </w:pPr>
          </w:p>
        </w:tc>
        <w:tc>
          <w:tcPr>
            <w:tcW w:w="1360" w:type="dxa"/>
            <w:vAlign w:val="bottom"/>
          </w:tcPr>
          <w:p>
            <w:pPr>
              <w:jc w:val="right"/>
              <w:ind w:right="113"/>
              <w:spacing w:after="0" w:line="215" w:lineRule="exact"/>
              <w:rPr>
                <w:sz w:val="20"/>
                <w:szCs w:val="20"/>
                <w:color w:val="auto"/>
              </w:rPr>
            </w:pPr>
            <w:r>
              <w:rPr>
                <w:rFonts w:ascii="Calibri" w:cs="Calibri" w:eastAsia="Calibri" w:hAnsi="Calibri"/>
                <w:sz w:val="18"/>
                <w:szCs w:val="18"/>
                <w:color w:val="auto"/>
              </w:rPr>
              <w:t>12</w:t>
            </w:r>
          </w:p>
        </w:tc>
        <w:tc>
          <w:tcPr>
            <w:tcW w:w="100" w:type="dxa"/>
            <w:vAlign w:val="bottom"/>
          </w:tcPr>
          <w:p>
            <w:pPr>
              <w:spacing w:after="0"/>
              <w:rPr>
                <w:sz w:val="19"/>
                <w:szCs w:val="19"/>
                <w:color w:val="auto"/>
              </w:rPr>
            </w:pPr>
          </w:p>
        </w:tc>
        <w:tc>
          <w:tcPr>
            <w:tcW w:w="1360" w:type="dxa"/>
            <w:vAlign w:val="bottom"/>
          </w:tcPr>
          <w:p>
            <w:pPr>
              <w:jc w:val="right"/>
              <w:ind w:right="92"/>
              <w:spacing w:after="0" w:line="215" w:lineRule="exact"/>
              <w:rPr>
                <w:sz w:val="20"/>
                <w:szCs w:val="20"/>
                <w:color w:val="auto"/>
              </w:rPr>
            </w:pPr>
            <w:r>
              <w:rPr>
                <w:rFonts w:ascii="Calibri" w:cs="Calibri" w:eastAsia="Calibri" w:hAnsi="Calibri"/>
                <w:sz w:val="18"/>
                <w:szCs w:val="18"/>
                <w:color w:val="auto"/>
              </w:rPr>
              <w:t>5</w:t>
            </w:r>
          </w:p>
        </w:tc>
      </w:tr>
      <w:tr>
        <w:trPr>
          <w:trHeight w:val="237"/>
        </w:trPr>
        <w:tc>
          <w:tcPr>
            <w:tcW w:w="56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Restructuring charges</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254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w:t>
            </w: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Calibri" w:cs="Calibri" w:eastAsia="Calibri" w:hAnsi="Calibri"/>
                <w:sz w:val="18"/>
                <w:szCs w:val="18"/>
                <w:color w:val="auto"/>
              </w:rPr>
              <w:t>—</w:t>
            </w:r>
          </w:p>
        </w:tc>
        <w:tc>
          <w:tcPr>
            <w:tcW w:w="1360" w:type="dxa"/>
            <w:vAlign w:val="bottom"/>
            <w:shd w:val="clear" w:color="auto" w:fill="CCEEFF"/>
          </w:tcPr>
          <w:p>
            <w:pPr>
              <w:jc w:val="right"/>
              <w:ind w:right="92"/>
              <w:spacing w:after="0"/>
              <w:rPr>
                <w:sz w:val="20"/>
                <w:szCs w:val="20"/>
                <w:color w:val="auto"/>
              </w:rPr>
            </w:pPr>
            <w:r>
              <w:rPr>
                <w:rFonts w:ascii="Calibri" w:cs="Calibri" w:eastAsia="Calibri" w:hAnsi="Calibri"/>
                <w:sz w:val="18"/>
                <w:szCs w:val="18"/>
                <w:color w:val="auto"/>
              </w:rPr>
              <w:t>—</w:t>
            </w:r>
          </w:p>
        </w:tc>
      </w:tr>
      <w:tr>
        <w:trPr>
          <w:trHeight w:val="216"/>
        </w:trPr>
        <w:tc>
          <w:tcPr>
            <w:tcW w:w="5680" w:type="dxa"/>
            <w:vAlign w:val="bottom"/>
            <w:tcBorders>
              <w:bottom w:val="single" w:sz="8" w:color="CCEEFF"/>
            </w:tcBorders>
          </w:tcPr>
          <w:p>
            <w:pPr>
              <w:ind w:left="220"/>
              <w:spacing w:after="0" w:line="199" w:lineRule="exact"/>
              <w:rPr>
                <w:sz w:val="20"/>
                <w:szCs w:val="20"/>
                <w:color w:val="auto"/>
              </w:rPr>
            </w:pPr>
            <w:r>
              <w:rPr>
                <w:rFonts w:ascii="Calibri" w:cs="Calibri" w:eastAsia="Calibri" w:hAnsi="Calibri"/>
                <w:sz w:val="18"/>
                <w:szCs w:val="18"/>
                <w:color w:val="auto"/>
              </w:rPr>
              <w:t>Total cost of revenue</w:t>
            </w: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19,065</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11,129</w:t>
            </w:r>
          </w:p>
        </w:tc>
        <w:tc>
          <w:tcPr>
            <w:tcW w:w="1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113"/>
              <w:spacing w:after="0" w:line="215" w:lineRule="exact"/>
              <w:rPr>
                <w:sz w:val="20"/>
                <w:szCs w:val="20"/>
                <w:color w:val="auto"/>
              </w:rPr>
            </w:pPr>
            <w:r>
              <w:rPr>
                <w:rFonts w:ascii="Calibri" w:cs="Calibri" w:eastAsia="Calibri" w:hAnsi="Calibri"/>
                <w:sz w:val="18"/>
                <w:szCs w:val="18"/>
                <w:color w:val="auto"/>
              </w:rPr>
              <w:t>37</w:t>
            </w:r>
          </w:p>
        </w:tc>
        <w:tc>
          <w:tcPr>
            <w:tcW w:w="1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92"/>
              <w:spacing w:after="0" w:line="215" w:lineRule="exact"/>
              <w:rPr>
                <w:sz w:val="20"/>
                <w:szCs w:val="20"/>
                <w:color w:val="auto"/>
              </w:rPr>
            </w:pPr>
            <w:r>
              <w:rPr>
                <w:rFonts w:ascii="Calibri" w:cs="Calibri" w:eastAsia="Calibri" w:hAnsi="Calibri"/>
                <w:sz w:val="18"/>
                <w:szCs w:val="18"/>
                <w:color w:val="auto"/>
              </w:rPr>
              <w:t>31</w:t>
            </w:r>
          </w:p>
        </w:tc>
      </w:tr>
      <w:tr>
        <w:trPr>
          <w:trHeight w:val="230"/>
        </w:trPr>
        <w:tc>
          <w:tcPr>
            <w:tcW w:w="568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Gross margin</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32,509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24,690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3"/>
              <w:spacing w:after="0" w:line="215" w:lineRule="exact"/>
              <w:rPr>
                <w:sz w:val="20"/>
                <w:szCs w:val="20"/>
                <w:color w:val="auto"/>
              </w:rPr>
            </w:pPr>
            <w:r>
              <w:rPr>
                <w:rFonts w:ascii="Calibri" w:cs="Calibri" w:eastAsia="Calibri" w:hAnsi="Calibri"/>
                <w:sz w:val="18"/>
                <w:szCs w:val="18"/>
                <w:color w:val="auto"/>
              </w:rPr>
              <w:t>63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line="215" w:lineRule="exact"/>
              <w:rPr>
                <w:sz w:val="20"/>
                <w:szCs w:val="20"/>
                <w:color w:val="auto"/>
              </w:rPr>
            </w:pPr>
            <w:r>
              <w:rPr>
                <w:rFonts w:ascii="Calibri" w:cs="Calibri" w:eastAsia="Calibri" w:hAnsi="Calibri"/>
                <w:sz w:val="18"/>
                <w:szCs w:val="18"/>
                <w:color w:val="auto"/>
              </w:rPr>
              <w:t>69</w:t>
            </w:r>
          </w:p>
        </w:tc>
      </w:tr>
      <w:tr>
        <w:trPr>
          <w:trHeight w:val="222"/>
        </w:trPr>
        <w:tc>
          <w:tcPr>
            <w:tcW w:w="5680" w:type="dxa"/>
            <w:vAlign w:val="bottom"/>
          </w:tcPr>
          <w:p>
            <w:pPr>
              <w:ind w:left="20"/>
              <w:spacing w:after="0" w:line="215" w:lineRule="exact"/>
              <w:rPr>
                <w:sz w:val="20"/>
                <w:szCs w:val="20"/>
                <w:color w:val="auto"/>
              </w:rPr>
            </w:pPr>
            <w:r>
              <w:rPr>
                <w:rFonts w:ascii="Calibri" w:cs="Calibri" w:eastAsia="Calibri" w:hAnsi="Calibri"/>
                <w:sz w:val="18"/>
                <w:szCs w:val="18"/>
                <w:color w:val="auto"/>
              </w:rPr>
              <w:t>Research and development</w:t>
            </w:r>
          </w:p>
        </w:tc>
        <w:tc>
          <w:tcPr>
            <w:tcW w:w="16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9,310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5,253</w:t>
            </w:r>
          </w:p>
        </w:tc>
        <w:tc>
          <w:tcPr>
            <w:tcW w:w="100" w:type="dxa"/>
            <w:vAlign w:val="bottom"/>
          </w:tcPr>
          <w:p>
            <w:pPr>
              <w:spacing w:after="0"/>
              <w:rPr>
                <w:sz w:val="19"/>
                <w:szCs w:val="19"/>
                <w:color w:val="auto"/>
              </w:rPr>
            </w:pPr>
          </w:p>
        </w:tc>
        <w:tc>
          <w:tcPr>
            <w:tcW w:w="1360" w:type="dxa"/>
            <w:vAlign w:val="bottom"/>
          </w:tcPr>
          <w:p>
            <w:pPr>
              <w:jc w:val="right"/>
              <w:ind w:right="113"/>
              <w:spacing w:after="0" w:line="215" w:lineRule="exact"/>
              <w:rPr>
                <w:sz w:val="20"/>
                <w:szCs w:val="20"/>
                <w:color w:val="auto"/>
              </w:rPr>
            </w:pPr>
            <w:r>
              <w:rPr>
                <w:rFonts w:ascii="Calibri" w:cs="Calibri" w:eastAsia="Calibri" w:hAnsi="Calibri"/>
                <w:sz w:val="18"/>
                <w:szCs w:val="18"/>
                <w:color w:val="auto"/>
              </w:rPr>
              <w:t>18</w:t>
            </w:r>
          </w:p>
        </w:tc>
        <w:tc>
          <w:tcPr>
            <w:tcW w:w="100" w:type="dxa"/>
            <w:vAlign w:val="bottom"/>
          </w:tcPr>
          <w:p>
            <w:pPr>
              <w:spacing w:after="0"/>
              <w:rPr>
                <w:sz w:val="19"/>
                <w:szCs w:val="19"/>
                <w:color w:val="auto"/>
              </w:rPr>
            </w:pPr>
          </w:p>
        </w:tc>
        <w:tc>
          <w:tcPr>
            <w:tcW w:w="1360" w:type="dxa"/>
            <w:vAlign w:val="bottom"/>
          </w:tcPr>
          <w:p>
            <w:pPr>
              <w:jc w:val="right"/>
              <w:ind w:right="92"/>
              <w:spacing w:after="0" w:line="215" w:lineRule="exact"/>
              <w:rPr>
                <w:sz w:val="20"/>
                <w:szCs w:val="20"/>
                <w:color w:val="auto"/>
              </w:rPr>
            </w:pPr>
            <w:r>
              <w:rPr>
                <w:rFonts w:ascii="Calibri" w:cs="Calibri" w:eastAsia="Calibri" w:hAnsi="Calibri"/>
                <w:sz w:val="18"/>
                <w:szCs w:val="18"/>
                <w:color w:val="auto"/>
              </w:rPr>
              <w:t>15</w:t>
            </w:r>
          </w:p>
        </w:tc>
      </w:tr>
      <w:tr>
        <w:trPr>
          <w:trHeight w:val="237"/>
        </w:trPr>
        <w:tc>
          <w:tcPr>
            <w:tcW w:w="56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Selling, general and administratve</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4,959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1,592</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13"/>
              <w:spacing w:after="0"/>
              <w:rPr>
                <w:sz w:val="20"/>
                <w:szCs w:val="20"/>
                <w:color w:val="auto"/>
              </w:rPr>
            </w:pPr>
            <w:r>
              <w:rPr>
                <w:rFonts w:ascii="Calibri" w:cs="Calibri" w:eastAsia="Calibri" w:hAnsi="Calibri"/>
                <w:sz w:val="18"/>
                <w:szCs w:val="18"/>
                <w:color w:val="auto"/>
              </w:rPr>
              <w:t>10</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92"/>
              <w:spacing w:after="0"/>
              <w:rPr>
                <w:sz w:val="20"/>
                <w:szCs w:val="20"/>
                <w:color w:val="auto"/>
              </w:rPr>
            </w:pPr>
            <w:r>
              <w:rPr>
                <w:rFonts w:ascii="Calibri" w:cs="Calibri" w:eastAsia="Calibri" w:hAnsi="Calibri"/>
                <w:sz w:val="18"/>
                <w:szCs w:val="18"/>
                <w:color w:val="auto"/>
              </w:rPr>
              <w:t>4</w:t>
            </w:r>
          </w:p>
        </w:tc>
      </w:tr>
      <w:tr>
        <w:trPr>
          <w:trHeight w:val="222"/>
        </w:trPr>
        <w:tc>
          <w:tcPr>
            <w:tcW w:w="5680" w:type="dxa"/>
            <w:vAlign w:val="bottom"/>
          </w:tcPr>
          <w:p>
            <w:pPr>
              <w:ind w:left="20"/>
              <w:spacing w:after="0" w:line="215" w:lineRule="exact"/>
              <w:rPr>
                <w:sz w:val="20"/>
                <w:szCs w:val="20"/>
                <w:color w:val="auto"/>
              </w:rPr>
            </w:pPr>
            <w:r>
              <w:rPr>
                <w:rFonts w:ascii="Calibri" w:cs="Calibri" w:eastAsia="Calibri" w:hAnsi="Calibri"/>
                <w:sz w:val="18"/>
                <w:szCs w:val="18"/>
                <w:color w:val="auto"/>
              </w:rPr>
              <w:t>Amortzaton of acquisiton-related intangible assets</w:t>
            </w:r>
          </w:p>
        </w:tc>
        <w:tc>
          <w:tcPr>
            <w:tcW w:w="16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3,244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1,394</w:t>
            </w:r>
          </w:p>
        </w:tc>
        <w:tc>
          <w:tcPr>
            <w:tcW w:w="100" w:type="dxa"/>
            <w:vAlign w:val="bottom"/>
          </w:tcPr>
          <w:p>
            <w:pPr>
              <w:spacing w:after="0"/>
              <w:rPr>
                <w:sz w:val="19"/>
                <w:szCs w:val="19"/>
                <w:color w:val="auto"/>
              </w:rPr>
            </w:pPr>
          </w:p>
        </w:tc>
        <w:tc>
          <w:tcPr>
            <w:tcW w:w="1360" w:type="dxa"/>
            <w:vAlign w:val="bottom"/>
          </w:tcPr>
          <w:p>
            <w:pPr>
              <w:jc w:val="right"/>
              <w:ind w:right="113"/>
              <w:spacing w:after="0" w:line="215" w:lineRule="exact"/>
              <w:rPr>
                <w:sz w:val="20"/>
                <w:szCs w:val="20"/>
                <w:color w:val="auto"/>
              </w:rPr>
            </w:pPr>
            <w:r>
              <w:rPr>
                <w:rFonts w:ascii="Calibri" w:cs="Calibri" w:eastAsia="Calibri" w:hAnsi="Calibri"/>
                <w:sz w:val="18"/>
                <w:szCs w:val="18"/>
                <w:color w:val="auto"/>
              </w:rPr>
              <w:t>6</w:t>
            </w:r>
          </w:p>
        </w:tc>
        <w:tc>
          <w:tcPr>
            <w:tcW w:w="100" w:type="dxa"/>
            <w:vAlign w:val="bottom"/>
          </w:tcPr>
          <w:p>
            <w:pPr>
              <w:spacing w:after="0"/>
              <w:rPr>
                <w:sz w:val="19"/>
                <w:szCs w:val="19"/>
                <w:color w:val="auto"/>
              </w:rPr>
            </w:pPr>
          </w:p>
        </w:tc>
        <w:tc>
          <w:tcPr>
            <w:tcW w:w="1360" w:type="dxa"/>
            <w:vAlign w:val="bottom"/>
          </w:tcPr>
          <w:p>
            <w:pPr>
              <w:jc w:val="right"/>
              <w:ind w:right="92"/>
              <w:spacing w:after="0" w:line="215" w:lineRule="exact"/>
              <w:rPr>
                <w:sz w:val="20"/>
                <w:szCs w:val="20"/>
                <w:color w:val="auto"/>
              </w:rPr>
            </w:pPr>
            <w:r>
              <w:rPr>
                <w:rFonts w:ascii="Calibri" w:cs="Calibri" w:eastAsia="Calibri" w:hAnsi="Calibri"/>
                <w:sz w:val="18"/>
                <w:szCs w:val="18"/>
                <w:color w:val="auto"/>
              </w:rPr>
              <w:t>4</w:t>
            </w:r>
          </w:p>
        </w:tc>
      </w:tr>
      <w:tr>
        <w:trPr>
          <w:trHeight w:val="237"/>
        </w:trPr>
        <w:tc>
          <w:tcPr>
            <w:tcW w:w="56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Restructuring and other charges</w:t>
            </w: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1,533</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244</w:t>
            </w:r>
          </w:p>
        </w:tc>
        <w:tc>
          <w:tcPr>
            <w:tcW w:w="100" w:type="dxa"/>
            <w:vAlign w:val="bottom"/>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13"/>
              <w:spacing w:after="0"/>
              <w:rPr>
                <w:sz w:val="20"/>
                <w:szCs w:val="20"/>
                <w:color w:val="auto"/>
              </w:rPr>
            </w:pPr>
            <w:r>
              <w:rPr>
                <w:rFonts w:ascii="Calibri" w:cs="Calibri" w:eastAsia="Calibri" w:hAnsi="Calibri"/>
                <w:sz w:val="18"/>
                <w:szCs w:val="18"/>
                <w:color w:val="auto"/>
              </w:rPr>
              <w:t>3</w:t>
            </w:r>
          </w:p>
        </w:tc>
        <w:tc>
          <w:tcPr>
            <w:tcW w:w="100" w:type="dxa"/>
            <w:vAlign w:val="bottom"/>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92"/>
              <w:spacing w:after="0"/>
              <w:rPr>
                <w:sz w:val="20"/>
                <w:szCs w:val="20"/>
                <w:color w:val="auto"/>
              </w:rPr>
            </w:pPr>
            <w:r>
              <w:rPr>
                <w:rFonts w:ascii="Calibri" w:cs="Calibri" w:eastAsia="Calibri" w:hAnsi="Calibri"/>
                <w:sz w:val="18"/>
                <w:szCs w:val="18"/>
                <w:color w:val="auto"/>
              </w:rPr>
              <w:t>1</w:t>
            </w:r>
          </w:p>
        </w:tc>
      </w:tr>
      <w:tr>
        <w:trPr>
          <w:trHeight w:val="217"/>
        </w:trPr>
        <w:tc>
          <w:tcPr>
            <w:tcW w:w="5680" w:type="dxa"/>
            <w:vAlign w:val="bottom"/>
            <w:tcBorders>
              <w:bottom w:val="single" w:sz="8" w:color="CCEEFF"/>
            </w:tcBorders>
          </w:tcPr>
          <w:p>
            <w:pPr>
              <w:ind w:left="140"/>
              <w:spacing w:after="0" w:line="199" w:lineRule="exact"/>
              <w:rPr>
                <w:sz w:val="20"/>
                <w:szCs w:val="20"/>
                <w:color w:val="auto"/>
              </w:rPr>
            </w:pPr>
            <w:r>
              <w:rPr>
                <w:rFonts w:ascii="Calibri" w:cs="Calibri" w:eastAsia="Calibri" w:hAnsi="Calibri"/>
                <w:sz w:val="18"/>
                <w:szCs w:val="18"/>
                <w:color w:val="auto"/>
              </w:rPr>
              <w:t>Total operatng expenses</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19,046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8,483</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3"/>
              <w:spacing w:after="0" w:line="215" w:lineRule="exact"/>
              <w:rPr>
                <w:sz w:val="20"/>
                <w:szCs w:val="20"/>
                <w:color w:val="auto"/>
              </w:rPr>
            </w:pPr>
            <w:r>
              <w:rPr>
                <w:rFonts w:ascii="Calibri" w:cs="Calibri" w:eastAsia="Calibri" w:hAnsi="Calibri"/>
                <w:sz w:val="18"/>
                <w:szCs w:val="18"/>
                <w:color w:val="auto"/>
              </w:rPr>
              <w:t>37</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92"/>
              <w:spacing w:after="0" w:line="215" w:lineRule="exact"/>
              <w:rPr>
                <w:sz w:val="20"/>
                <w:szCs w:val="20"/>
                <w:color w:val="auto"/>
              </w:rPr>
            </w:pPr>
            <w:r>
              <w:rPr>
                <w:rFonts w:ascii="Calibri" w:cs="Calibri" w:eastAsia="Calibri" w:hAnsi="Calibri"/>
                <w:sz w:val="18"/>
                <w:szCs w:val="18"/>
                <w:color w:val="auto"/>
              </w:rPr>
              <w:t>24</w:t>
            </w:r>
          </w:p>
        </w:tc>
      </w:tr>
      <w:tr>
        <w:trPr>
          <w:trHeight w:val="255"/>
        </w:trPr>
        <w:tc>
          <w:tcPr>
            <w:tcW w:w="56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Operatng income</w:t>
            </w:r>
          </w:p>
        </w:tc>
        <w:tc>
          <w:tcPr>
            <w:tcW w:w="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13,463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16,207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26 %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45 %</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Net Revenue</w:t>
      </w:r>
    </w:p>
    <w:p>
      <w:pPr>
        <w:spacing w:after="0" w:line="109" w:lineRule="exact"/>
        <w:rPr>
          <w:sz w:val="20"/>
          <w:szCs w:val="20"/>
          <w:color w:val="auto"/>
        </w:rPr>
      </w:pPr>
    </w:p>
    <w:p>
      <w:pPr>
        <w:ind w:right="660" w:firstLine="405"/>
        <w:spacing w:after="0" w:line="235" w:lineRule="auto"/>
        <w:rPr>
          <w:sz w:val="20"/>
          <w:szCs w:val="20"/>
          <w:color w:val="auto"/>
        </w:rPr>
      </w:pPr>
      <w:r>
        <w:rPr>
          <w:rFonts w:ascii="Calibri" w:cs="Calibri" w:eastAsia="Calibri" w:hAnsi="Calibri"/>
          <w:sz w:val="18"/>
          <w:szCs w:val="18"/>
          <w:color w:val="auto"/>
        </w:rPr>
        <w:t>A relatvely small number of customers account for a signifcant porton of our net revenue. Direct sales to one customer, which is a distributor, accounted for 28% and 21% of our net revenue for fscal years 2024 and 2023, respectvely.</w:t>
      </w:r>
    </w:p>
    <w:p>
      <w:pPr>
        <w:spacing w:after="0" w:line="110" w:lineRule="exact"/>
        <w:rPr>
          <w:sz w:val="20"/>
          <w:szCs w:val="20"/>
          <w:color w:val="auto"/>
        </w:rPr>
      </w:pPr>
    </w:p>
    <w:p>
      <w:pPr>
        <w:ind w:right="80" w:firstLine="405"/>
        <w:spacing w:after="0" w:line="235" w:lineRule="auto"/>
        <w:rPr>
          <w:sz w:val="20"/>
          <w:szCs w:val="20"/>
          <w:color w:val="auto"/>
        </w:rPr>
      </w:pPr>
      <w:r>
        <w:rPr>
          <w:rFonts w:ascii="Calibri" w:cs="Calibri" w:eastAsia="Calibri" w:hAnsi="Calibri"/>
          <w:sz w:val="18"/>
          <w:szCs w:val="18"/>
          <w:color w:val="auto"/>
        </w:rPr>
        <w:t>We believe aggregate sales to our top fve end customers, through all channels, accounted for approximately 40% and 35% of our net revenue for fscal years 2024 and 2023, respectvely. We expect to contnue to experience signifcant customer concentraton in future periods. The loss of, or signifcant decrease in demand from, any of our top fve end customers could have a material adverse efect on our business, results of operatons and fnancial conditon.</w:t>
      </w:r>
    </w:p>
    <w:p>
      <w:pPr>
        <w:spacing w:after="0" w:line="111" w:lineRule="exact"/>
        <w:rPr>
          <w:sz w:val="20"/>
          <w:szCs w:val="20"/>
          <w:color w:val="auto"/>
        </w:rPr>
      </w:pPr>
    </w:p>
    <w:p>
      <w:pPr>
        <w:ind w:right="100" w:firstLine="405"/>
        <w:spacing w:after="0" w:line="235" w:lineRule="auto"/>
        <w:rPr>
          <w:sz w:val="20"/>
          <w:szCs w:val="20"/>
          <w:color w:val="auto"/>
        </w:rPr>
      </w:pPr>
      <w:r>
        <w:rPr>
          <w:rFonts w:ascii="Calibri" w:cs="Calibri" w:eastAsia="Calibri" w:hAnsi="Calibri"/>
          <w:sz w:val="18"/>
          <w:szCs w:val="18"/>
          <w:color w:val="auto"/>
        </w:rPr>
        <w:t>From tme to tme, some of our key semiconductor customers place large orders or delay orders, causing our quarterly net revenue to fuctuate signifcantly. This is partcularly true of our products used in AI and wireless applicatons as fuctuatons may be magnifed by the tming of customer deployments and product launches, and seasonal variatons in sales. In additon, the macroeconomic environment remains uncertain and may cause our net revenue to fuctuate signifcantly and impact our results of operatons.</w:t>
      </w:r>
    </w:p>
    <w:p>
      <w:pPr>
        <w:spacing w:after="0" w:line="111" w:lineRule="exact"/>
        <w:rPr>
          <w:sz w:val="20"/>
          <w:szCs w:val="20"/>
          <w:color w:val="auto"/>
        </w:rPr>
      </w:pPr>
    </w:p>
    <w:p>
      <w:pPr>
        <w:ind w:firstLine="405"/>
        <w:spacing w:after="0" w:line="251" w:lineRule="auto"/>
        <w:rPr>
          <w:sz w:val="20"/>
          <w:szCs w:val="20"/>
          <w:color w:val="auto"/>
        </w:rPr>
      </w:pPr>
      <w:r>
        <w:rPr>
          <w:rFonts w:ascii="Calibri" w:cs="Calibri" w:eastAsia="Calibri" w:hAnsi="Calibri"/>
          <w:sz w:val="17"/>
          <w:szCs w:val="17"/>
          <w:color w:val="auto"/>
        </w:rPr>
        <w:t>Although we recognize revenue for the majority of our products when ttle and control transfer in Penang, Malaysia, we disclose net revenue by country based primarily on the geographic shipment or delivery locaton specifed by our distributors, OEMs, contract manufacturers, channel partners, or sofware customers. In fscal years 2024 and 2023, 20% and 32%, respectvely, of our net revenue came from shipments or deliveries to China (including Hong Kong). However, the end customers for either our products or for the end products into which our products are incorporated, are frequently located in countries other than China (including Hong Kong). As a result, we believe that a substantally smaller percentage of our net revenue is ultmately dependent on sales of either our product or our customers’ product incorporatng our product, to end customers located in China (including Hong Kong).</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3" w:name="page44"/>
    <w:bookmarkEnd w:id="4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The following tables set forth net revenue by segment for the periods presented: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5"/>
          </w:tcPr>
          <w:p>
            <w:pPr>
              <w:ind w:left="640"/>
              <w:spacing w:after="0"/>
              <w:rPr>
                <w:sz w:val="20"/>
                <w:szCs w:val="20"/>
                <w:color w:val="auto"/>
              </w:rPr>
            </w:pPr>
            <w:r>
              <w:rPr>
                <w:rFonts w:ascii="Calibri" w:cs="Calibri" w:eastAsia="Calibri" w:hAnsi="Calibri"/>
                <w:sz w:val="14"/>
                <w:szCs w:val="14"/>
                <w:b w:val="1"/>
                <w:bCs w:val="1"/>
                <w:color w:val="auto"/>
              </w:rPr>
              <w:t>Fiscal Year Ended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5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5780" w:type="dxa"/>
            <w:vAlign w:val="bottom"/>
            <w:gridSpan w:val="2"/>
            <w:vMerge w:val="restart"/>
          </w:tcPr>
          <w:p>
            <w:pPr>
              <w:ind w:left="20"/>
              <w:spacing w:after="0"/>
              <w:rPr>
                <w:sz w:val="20"/>
                <w:szCs w:val="20"/>
                <w:color w:val="auto"/>
              </w:rPr>
            </w:pPr>
            <w:r>
              <w:rPr>
                <w:rFonts w:ascii="Calibri" w:cs="Calibri" w:eastAsia="Calibri" w:hAnsi="Calibri"/>
                <w:sz w:val="14"/>
                <w:szCs w:val="14"/>
                <w:b w:val="1"/>
                <w:bCs w:val="1"/>
                <w:color w:val="auto"/>
              </w:rPr>
              <w:t>Net Revenue by Segment</w:t>
            </w:r>
          </w:p>
        </w:tc>
        <w:tc>
          <w:tcPr>
            <w:tcW w:w="160" w:type="dxa"/>
            <w:vAlign w:val="bottom"/>
          </w:tcPr>
          <w:p>
            <w:pPr>
              <w:spacing w:after="0"/>
              <w:rPr>
                <w:sz w:val="11"/>
                <w:szCs w:val="11"/>
                <w:color w:val="auto"/>
              </w:rPr>
            </w:pPr>
          </w:p>
        </w:tc>
        <w:tc>
          <w:tcPr>
            <w:tcW w:w="1200" w:type="dxa"/>
            <w:vAlign w:val="bottom"/>
            <w:gridSpan w:val="2"/>
          </w:tcPr>
          <w:p>
            <w:pPr>
              <w:ind w:left="80"/>
              <w:spacing w:after="0" w:line="127" w:lineRule="exact"/>
              <w:rPr>
                <w:sz w:val="20"/>
                <w:szCs w:val="20"/>
                <w:color w:val="auto"/>
              </w:rPr>
            </w:pPr>
            <w:r>
              <w:rPr>
                <w:rFonts w:ascii="Calibri" w:cs="Calibri" w:eastAsia="Calibri" w:hAnsi="Calibri"/>
                <w:sz w:val="13"/>
                <w:szCs w:val="13"/>
                <w:b w:val="1"/>
                <w:bCs w:val="1"/>
                <w:color w:val="auto"/>
              </w:rPr>
              <w:t>November 3,</w:t>
            </w:r>
          </w:p>
        </w:tc>
        <w:tc>
          <w:tcPr>
            <w:tcW w:w="180" w:type="dxa"/>
            <w:vAlign w:val="bottom"/>
          </w:tcPr>
          <w:p>
            <w:pPr>
              <w:spacing w:after="0"/>
              <w:rPr>
                <w:sz w:val="11"/>
                <w:szCs w:val="11"/>
                <w:color w:val="auto"/>
              </w:rPr>
            </w:pPr>
          </w:p>
        </w:tc>
        <w:tc>
          <w:tcPr>
            <w:tcW w:w="1080" w:type="dxa"/>
            <w:vAlign w:val="bottom"/>
          </w:tcPr>
          <w:p>
            <w:pPr>
              <w:jc w:val="right"/>
              <w:ind w:right="200"/>
              <w:spacing w:after="0" w:line="127" w:lineRule="exact"/>
              <w:rPr>
                <w:sz w:val="20"/>
                <w:szCs w:val="20"/>
                <w:color w:val="auto"/>
              </w:rPr>
            </w:pPr>
            <w:r>
              <w:rPr>
                <w:rFonts w:ascii="Calibri" w:cs="Calibri" w:eastAsia="Calibri" w:hAnsi="Calibri"/>
                <w:sz w:val="13"/>
                <w:szCs w:val="13"/>
                <w:b w:val="1"/>
                <w:bCs w:val="1"/>
                <w:color w:val="auto"/>
              </w:rPr>
              <w:t>October 29,</w:t>
            </w:r>
          </w:p>
        </w:tc>
        <w:tc>
          <w:tcPr>
            <w:tcW w:w="1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restart"/>
          </w:tcPr>
          <w:p>
            <w:pPr>
              <w:jc w:val="right"/>
              <w:ind w:right="275"/>
              <w:spacing w:after="0"/>
              <w:rPr>
                <w:sz w:val="20"/>
                <w:szCs w:val="20"/>
                <w:color w:val="auto"/>
              </w:rPr>
            </w:pPr>
            <w:r>
              <w:rPr>
                <w:rFonts w:ascii="Calibri" w:cs="Calibri" w:eastAsia="Calibri" w:hAnsi="Calibri"/>
                <w:sz w:val="14"/>
                <w:szCs w:val="14"/>
                <w:b w:val="1"/>
                <w:bCs w:val="1"/>
                <w:color w:val="auto"/>
              </w:rPr>
              <w:t>$ Change</w:t>
            </w:r>
          </w:p>
        </w:tc>
        <w:tc>
          <w:tcPr>
            <w:tcW w:w="100" w:type="dxa"/>
            <w:vAlign w:val="bottom"/>
          </w:tcPr>
          <w:p>
            <w:pPr>
              <w:spacing w:after="0"/>
              <w:rPr>
                <w:sz w:val="11"/>
                <w:szCs w:val="11"/>
                <w:color w:val="auto"/>
              </w:rPr>
            </w:pPr>
          </w:p>
        </w:tc>
        <w:tc>
          <w:tcPr>
            <w:tcW w:w="1380" w:type="dxa"/>
            <w:vAlign w:val="bottom"/>
            <w:vMerge w:val="restart"/>
          </w:tcPr>
          <w:p>
            <w:pPr>
              <w:jc w:val="right"/>
              <w:ind w:right="328"/>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5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400"/>
              <w:spacing w:after="0"/>
              <w:rPr>
                <w:sz w:val="20"/>
                <w:szCs w:val="20"/>
                <w:color w:val="auto"/>
              </w:rPr>
            </w:pPr>
            <w:r>
              <w:rPr>
                <w:rFonts w:ascii="Calibri" w:cs="Calibri" w:eastAsia="Calibri" w:hAnsi="Calibri"/>
                <w:sz w:val="14"/>
                <w:szCs w:val="14"/>
                <w:b w:val="1"/>
                <w:bCs w:val="1"/>
                <w:color w:val="auto"/>
              </w:rPr>
              <w:t>2024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20"/>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4"/>
          </w:tcPr>
          <w:p>
            <w:pPr>
              <w:jc w:val="right"/>
              <w:ind w:right="215"/>
              <w:spacing w:after="0"/>
              <w:rPr>
                <w:sz w:val="20"/>
                <w:szCs w:val="20"/>
                <w:color w:val="auto"/>
              </w:rPr>
            </w:pPr>
            <w:r>
              <w:rPr>
                <w:rFonts w:ascii="Calibri" w:cs="Calibri" w:eastAsia="Calibri" w:hAnsi="Calibri"/>
                <w:sz w:val="14"/>
                <w:szCs w:val="14"/>
                <w:b w:val="1"/>
                <w:bCs w:val="1"/>
                <w:color w:val="auto"/>
              </w:rPr>
              <w:t>(In millions, except percentages)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5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Semiconductor solutons</w:t>
            </w: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30,096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28,182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1,914</w:t>
            </w:r>
          </w:p>
        </w:tc>
        <w:tc>
          <w:tcPr>
            <w:tcW w:w="1480" w:type="dxa"/>
            <w:vAlign w:val="bottom"/>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7 %</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gridSpan w:val="2"/>
          </w:tcPr>
          <w:p>
            <w:pPr>
              <w:ind w:left="20"/>
              <w:spacing w:after="0" w:line="215" w:lineRule="exact"/>
              <w:rPr>
                <w:sz w:val="20"/>
                <w:szCs w:val="20"/>
                <w:color w:val="auto"/>
              </w:rPr>
            </w:pPr>
            <w:r>
              <w:rPr>
                <w:rFonts w:ascii="Calibri" w:cs="Calibri" w:eastAsia="Calibri" w:hAnsi="Calibri"/>
                <w:sz w:val="18"/>
                <w:szCs w:val="18"/>
                <w:color w:val="auto"/>
              </w:rPr>
              <w:t>Infrastructure sofware</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21,478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7,637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13,841</w:t>
            </w:r>
          </w:p>
        </w:tc>
        <w:tc>
          <w:tcPr>
            <w:tcW w:w="1480" w:type="dxa"/>
            <w:vAlign w:val="bottom"/>
            <w:tcBorders>
              <w:bottom w:val="single" w:sz="8" w:color="CCEEFF"/>
            </w:tcBorders>
            <w:gridSpan w:val="2"/>
          </w:tcPr>
          <w:p>
            <w:pPr>
              <w:jc w:val="right"/>
              <w:spacing w:after="0" w:line="215" w:lineRule="exact"/>
              <w:rPr>
                <w:sz w:val="20"/>
                <w:szCs w:val="20"/>
                <w:color w:val="auto"/>
              </w:rPr>
            </w:pPr>
            <w:r>
              <w:rPr>
                <w:rFonts w:ascii="Calibri" w:cs="Calibri" w:eastAsia="Calibri" w:hAnsi="Calibri"/>
                <w:sz w:val="18"/>
                <w:szCs w:val="18"/>
                <w:color w:val="auto"/>
              </w:rPr>
              <w:t>181 %</w:t>
            </w:r>
          </w:p>
        </w:tc>
        <w:tc>
          <w:tcPr>
            <w:tcW w:w="0" w:type="dxa"/>
            <w:vAlign w:val="bottom"/>
          </w:tcPr>
          <w:p>
            <w:pPr>
              <w:spacing w:after="0"/>
              <w:rPr>
                <w:sz w:val="1"/>
                <w:szCs w:val="1"/>
                <w:color w:val="auto"/>
              </w:rPr>
            </w:pPr>
          </w:p>
        </w:tc>
      </w:tr>
      <w:tr>
        <w:trPr>
          <w:trHeight w:val="254"/>
        </w:trPr>
        <w:tc>
          <w:tcPr>
            <w:tcW w:w="57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8"/>
                <w:szCs w:val="18"/>
                <w:color w:val="auto"/>
              </w:rPr>
              <w:t>Total net revenue</w:t>
            </w:r>
          </w:p>
        </w:tc>
        <w:tc>
          <w:tcPr>
            <w:tcW w:w="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51,574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35,819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15,755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8"/>
                <w:szCs w:val="18"/>
                <w:color w:val="auto"/>
              </w:rPr>
              <w:t>44 %</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gridSpan w:val="3"/>
          </w:tcPr>
          <w:p>
            <w:pPr>
              <w:ind w:left="2220"/>
              <w:spacing w:after="0"/>
              <w:rPr>
                <w:sz w:val="20"/>
                <w:szCs w:val="20"/>
                <w:color w:val="auto"/>
              </w:rPr>
            </w:pPr>
            <w:r>
              <w:rPr>
                <w:rFonts w:ascii="Calibri" w:cs="Calibri" w:eastAsia="Calibri" w:hAnsi="Calibri"/>
                <w:sz w:val="14"/>
                <w:szCs w:val="14"/>
                <w:b w:val="1"/>
                <w:bCs w:val="1"/>
                <w:color w:val="auto"/>
              </w:rPr>
              <w:t>Fiscal Year Ended</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5780" w:type="dxa"/>
            <w:vAlign w:val="bottom"/>
            <w:gridSpan w:val="2"/>
            <w:vMerge w:val="restart"/>
          </w:tcPr>
          <w:p>
            <w:pPr>
              <w:ind w:left="20"/>
              <w:spacing w:after="0"/>
              <w:rPr>
                <w:sz w:val="20"/>
                <w:szCs w:val="20"/>
                <w:color w:val="auto"/>
              </w:rPr>
            </w:pPr>
            <w:r>
              <w:rPr>
                <w:rFonts w:ascii="Calibri" w:cs="Calibri" w:eastAsia="Calibri" w:hAnsi="Calibri"/>
                <w:sz w:val="14"/>
                <w:szCs w:val="14"/>
                <w:b w:val="1"/>
                <w:bCs w:val="1"/>
                <w:color w:val="auto"/>
              </w:rPr>
              <w:t>Net Revenue by Segment</w:t>
            </w:r>
          </w:p>
        </w:tc>
        <w:tc>
          <w:tcPr>
            <w:tcW w:w="3420" w:type="dxa"/>
            <w:vAlign w:val="bottom"/>
            <w:tcBorders>
              <w:bottom w:val="single" w:sz="8" w:color="auto"/>
            </w:tcBorders>
            <w:gridSpan w:val="3"/>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5780" w:type="dxa"/>
            <w:vAlign w:val="bottom"/>
            <w:gridSpan w:val="2"/>
            <w:vMerge w:val="continue"/>
          </w:tcPr>
          <w:p>
            <w:pPr>
              <w:spacing w:after="0"/>
              <w:rPr>
                <w:sz w:val="14"/>
                <w:szCs w:val="14"/>
                <w:color w:val="auto"/>
              </w:rPr>
            </w:pPr>
          </w:p>
        </w:tc>
        <w:tc>
          <w:tcPr>
            <w:tcW w:w="3420" w:type="dxa"/>
            <w:vAlign w:val="bottom"/>
            <w:gridSpan w:val="3"/>
          </w:tcPr>
          <w:p>
            <w:pPr>
              <w:ind w:left="800"/>
              <w:spacing w:after="0" w:line="164" w:lineRule="exact"/>
              <w:rPr>
                <w:sz w:val="20"/>
                <w:szCs w:val="20"/>
                <w:color w:val="auto"/>
              </w:rPr>
            </w:pPr>
            <w:r>
              <w:rPr>
                <w:rFonts w:ascii="Calibri" w:cs="Calibri" w:eastAsia="Calibri" w:hAnsi="Calibri"/>
                <w:sz w:val="14"/>
                <w:szCs w:val="14"/>
                <w:b w:val="1"/>
                <w:bCs w:val="1"/>
                <w:color w:val="auto"/>
              </w:rPr>
              <w:t>November 3, 2024</w:t>
            </w:r>
          </w:p>
        </w:tc>
        <w:tc>
          <w:tcPr>
            <w:tcW w:w="2040" w:type="dxa"/>
            <w:vAlign w:val="bottom"/>
          </w:tcPr>
          <w:p>
            <w:pPr>
              <w:jc w:val="right"/>
              <w:ind w:right="735"/>
              <w:spacing w:after="0" w:line="164" w:lineRule="exact"/>
              <w:rPr>
                <w:sz w:val="20"/>
                <w:szCs w:val="20"/>
                <w:color w:val="auto"/>
              </w:rPr>
            </w:pPr>
            <w:r>
              <w:rPr>
                <w:rFonts w:ascii="Calibri" w:cs="Calibri" w:eastAsia="Calibri" w:hAnsi="Calibri"/>
                <w:sz w:val="14"/>
                <w:szCs w:val="14"/>
                <w:b w:val="1"/>
                <w:bCs w:val="1"/>
                <w:color w:val="auto"/>
              </w:rPr>
              <w:t>October 29, 2023</w:t>
            </w:r>
          </w:p>
        </w:tc>
        <w:tc>
          <w:tcPr>
            <w:tcW w:w="0" w:type="dxa"/>
            <w:vAlign w:val="bottom"/>
          </w:tcPr>
          <w:p>
            <w:pPr>
              <w:spacing w:after="0"/>
              <w:rPr>
                <w:sz w:val="1"/>
                <w:szCs w:val="1"/>
                <w:color w:val="auto"/>
              </w:rPr>
            </w:pPr>
          </w:p>
        </w:tc>
      </w:tr>
      <w:tr>
        <w:trPr>
          <w:trHeight w:val="33"/>
        </w:trPr>
        <w:tc>
          <w:tcPr>
            <w:tcW w:w="5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60" w:type="dxa"/>
            <w:vAlign w:val="bottom"/>
            <w:gridSpan w:val="4"/>
          </w:tcPr>
          <w:p>
            <w:pPr>
              <w:jc w:val="right"/>
              <w:ind w:right="1675"/>
              <w:spacing w:after="0"/>
              <w:rPr>
                <w:sz w:val="20"/>
                <w:szCs w:val="20"/>
                <w:color w:val="auto"/>
              </w:rPr>
            </w:pPr>
            <w:r>
              <w:rPr>
                <w:rFonts w:ascii="Calibri" w:cs="Calibri" w:eastAsia="Calibri" w:hAnsi="Calibri"/>
                <w:sz w:val="14"/>
                <w:szCs w:val="14"/>
                <w:b w:val="1"/>
                <w:bCs w:val="1"/>
                <w:color w:val="auto"/>
              </w:rPr>
              <w:t>(As a percentage of net revenue)</w:t>
            </w:r>
          </w:p>
        </w:tc>
        <w:tc>
          <w:tcPr>
            <w:tcW w:w="0" w:type="dxa"/>
            <w:vAlign w:val="bottom"/>
          </w:tcPr>
          <w:p>
            <w:pPr>
              <w:spacing w:after="0"/>
              <w:rPr>
                <w:sz w:val="1"/>
                <w:szCs w:val="1"/>
                <w:color w:val="auto"/>
              </w:rPr>
            </w:pPr>
          </w:p>
        </w:tc>
      </w:tr>
      <w:tr>
        <w:trPr>
          <w:trHeight w:val="47"/>
        </w:trPr>
        <w:tc>
          <w:tcPr>
            <w:tcW w:w="5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Semiconductor solutons</w:t>
            </w:r>
          </w:p>
        </w:tc>
        <w:tc>
          <w:tcPr>
            <w:tcW w:w="26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58 %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79 %</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gridSpan w:val="2"/>
          </w:tcPr>
          <w:p>
            <w:pPr>
              <w:ind w:left="20"/>
              <w:spacing w:after="0" w:line="215" w:lineRule="exact"/>
              <w:rPr>
                <w:sz w:val="20"/>
                <w:szCs w:val="20"/>
                <w:color w:val="auto"/>
              </w:rPr>
            </w:pPr>
            <w:r>
              <w:rPr>
                <w:rFonts w:ascii="Calibri" w:cs="Calibri" w:eastAsia="Calibri" w:hAnsi="Calibri"/>
                <w:sz w:val="18"/>
                <w:szCs w:val="18"/>
                <w:color w:val="auto"/>
              </w:rPr>
              <w:t>Infrastructure sofware</w:t>
            </w:r>
          </w:p>
        </w:tc>
        <w:tc>
          <w:tcPr>
            <w:tcW w:w="2680" w:type="dxa"/>
            <w:vAlign w:val="bottom"/>
            <w:tcBorders>
              <w:bottom w:val="single" w:sz="8" w:color="auto"/>
            </w:tcBorders>
          </w:tcPr>
          <w:p>
            <w:pPr>
              <w:jc w:val="right"/>
              <w:ind w:right="99"/>
              <w:spacing w:after="0" w:line="215" w:lineRule="exact"/>
              <w:rPr>
                <w:sz w:val="20"/>
                <w:szCs w:val="20"/>
                <w:color w:val="auto"/>
              </w:rPr>
            </w:pPr>
            <w:r>
              <w:rPr>
                <w:rFonts w:ascii="Calibri" w:cs="Calibri" w:eastAsia="Calibri" w:hAnsi="Calibri"/>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95"/>
              <w:spacing w:after="0" w:line="215" w:lineRule="exact"/>
              <w:rPr>
                <w:sz w:val="20"/>
                <w:szCs w:val="20"/>
                <w:color w:val="auto"/>
              </w:rPr>
            </w:pPr>
            <w:r>
              <w:rPr>
                <w:rFonts w:ascii="Calibri" w:cs="Calibri" w:eastAsia="Calibri" w:hAnsi="Calibri"/>
                <w:sz w:val="18"/>
                <w:szCs w:val="18"/>
                <w:color w:val="auto"/>
              </w:rPr>
              <w:t>21</w:t>
            </w:r>
          </w:p>
        </w:tc>
        <w:tc>
          <w:tcPr>
            <w:tcW w:w="0" w:type="dxa"/>
            <w:vAlign w:val="bottom"/>
          </w:tcPr>
          <w:p>
            <w:pPr>
              <w:spacing w:after="0"/>
              <w:rPr>
                <w:sz w:val="1"/>
                <w:szCs w:val="1"/>
                <w:color w:val="auto"/>
              </w:rPr>
            </w:pPr>
          </w:p>
        </w:tc>
      </w:tr>
      <w:tr>
        <w:trPr>
          <w:trHeight w:val="254"/>
        </w:trPr>
        <w:tc>
          <w:tcPr>
            <w:tcW w:w="57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8"/>
                <w:szCs w:val="18"/>
                <w:color w:val="auto"/>
              </w:rPr>
              <w:t>Total net revenue</w:t>
            </w:r>
          </w:p>
        </w:tc>
        <w:tc>
          <w:tcPr>
            <w:tcW w:w="26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100 %</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firstLine="405"/>
        <w:spacing w:after="0" w:line="235" w:lineRule="auto"/>
        <w:rPr>
          <w:sz w:val="20"/>
          <w:szCs w:val="20"/>
          <w:color w:val="auto"/>
        </w:rPr>
      </w:pPr>
      <w:r>
        <w:rPr>
          <w:rFonts w:ascii="Calibri" w:cs="Calibri" w:eastAsia="Calibri" w:hAnsi="Calibri"/>
          <w:sz w:val="18"/>
          <w:szCs w:val="18"/>
          <w:color w:val="auto"/>
        </w:rPr>
        <w:t>Net revenue from our semiconductor solutons segment increased due to strong product demand for our networking products, primarily AI networking products, partally ofset by lower demand for our broadband and server storage products. Net revenue from our infrastructure sofware segment increased primarily due to contributons from VMware.</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Gross Margin</w:t>
      </w:r>
    </w:p>
    <w:p>
      <w:pPr>
        <w:spacing w:after="0" w:line="109" w:lineRule="exact"/>
        <w:rPr>
          <w:sz w:val="20"/>
          <w:szCs w:val="20"/>
          <w:color w:val="auto"/>
        </w:rPr>
      </w:pPr>
    </w:p>
    <w:p>
      <w:pPr>
        <w:jc w:val="both"/>
        <w:ind w:right="100" w:firstLine="405"/>
        <w:spacing w:after="0" w:line="235" w:lineRule="auto"/>
        <w:rPr>
          <w:sz w:val="20"/>
          <w:szCs w:val="20"/>
          <w:color w:val="auto"/>
        </w:rPr>
      </w:pPr>
      <w:r>
        <w:rPr>
          <w:rFonts w:ascii="Calibri" w:cs="Calibri" w:eastAsia="Calibri" w:hAnsi="Calibri"/>
          <w:sz w:val="18"/>
          <w:szCs w:val="18"/>
          <w:color w:val="auto"/>
        </w:rPr>
        <w:t>Gross margin was $32,509 million for fscal year 2024 compared to $24,690 million for fscal year 2023. The increase was primarily due to contributons from VMware, partally ofset by higher amortzaton of acquisiton-related intangible assets from the VMware Merger.</w:t>
      </w:r>
    </w:p>
    <w:p>
      <w:pPr>
        <w:spacing w:after="0" w:line="110" w:lineRule="exact"/>
        <w:rPr>
          <w:sz w:val="20"/>
          <w:szCs w:val="20"/>
          <w:color w:val="auto"/>
        </w:rPr>
      </w:pPr>
    </w:p>
    <w:p>
      <w:pPr>
        <w:jc w:val="both"/>
        <w:ind w:right="520" w:firstLine="405"/>
        <w:spacing w:after="0" w:line="254" w:lineRule="auto"/>
        <w:rPr>
          <w:sz w:val="20"/>
          <w:szCs w:val="20"/>
          <w:color w:val="auto"/>
        </w:rPr>
      </w:pPr>
      <w:r>
        <w:rPr>
          <w:rFonts w:ascii="Calibri" w:cs="Calibri" w:eastAsia="Calibri" w:hAnsi="Calibri"/>
          <w:sz w:val="17"/>
          <w:szCs w:val="17"/>
          <w:color w:val="auto"/>
        </w:rPr>
        <w:t>As a percentage of net revenue, gross margin was 63% and 69% of net revenue for the fscal years 2024 and 2023, respectvely. The decrease was primarily due to higher amortzaton of acquisiton-related intangible assets from the VMware Merger. In additon, gross margin contributons from our infrastructure sofware segment were partally ofset by less favorable margin within the semiconductor solutons segment driven by product mix.</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Research and Development Expense</w:t>
      </w:r>
    </w:p>
    <w:p>
      <w:pPr>
        <w:spacing w:after="0" w:line="109" w:lineRule="exact"/>
        <w:rPr>
          <w:sz w:val="20"/>
          <w:szCs w:val="20"/>
          <w:color w:val="auto"/>
        </w:rPr>
      </w:pPr>
    </w:p>
    <w:p>
      <w:pPr>
        <w:jc w:val="both"/>
        <w:ind w:right="180" w:firstLine="405"/>
        <w:spacing w:after="0" w:line="235" w:lineRule="auto"/>
        <w:rPr>
          <w:sz w:val="20"/>
          <w:szCs w:val="20"/>
          <w:color w:val="auto"/>
        </w:rPr>
      </w:pPr>
      <w:r>
        <w:rPr>
          <w:rFonts w:ascii="Calibri" w:cs="Calibri" w:eastAsia="Calibri" w:hAnsi="Calibri"/>
          <w:sz w:val="18"/>
          <w:szCs w:val="18"/>
          <w:color w:val="auto"/>
        </w:rPr>
        <w:t>Research and development expense increased $4,057 million, or 77%, in fscal year 2024, compared to the prior fscal year. The increase was primarily due to higher compensaton, including higher stock-based compensaton, as a result of an increase in headcount from the VMware Merger. The increase in stock-based compensaton expense was also due to annual employee equity awards granted at higher grant-date fair values.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Selling, General and Administratve Expense</w:t>
      </w:r>
    </w:p>
    <w:p>
      <w:pPr>
        <w:spacing w:after="0" w:line="109" w:lineRule="exact"/>
        <w:rPr>
          <w:sz w:val="20"/>
          <w:szCs w:val="20"/>
          <w:color w:val="auto"/>
        </w:rPr>
      </w:pPr>
    </w:p>
    <w:p>
      <w:pPr>
        <w:ind w:right="260" w:firstLine="405"/>
        <w:spacing w:after="0" w:line="235" w:lineRule="auto"/>
        <w:rPr>
          <w:sz w:val="20"/>
          <w:szCs w:val="20"/>
          <w:color w:val="auto"/>
        </w:rPr>
      </w:pPr>
      <w:r>
        <w:rPr>
          <w:rFonts w:ascii="Calibri" w:cs="Calibri" w:eastAsia="Calibri" w:hAnsi="Calibri"/>
          <w:sz w:val="18"/>
          <w:szCs w:val="18"/>
          <w:color w:val="auto"/>
        </w:rPr>
        <w:t>Selling, general and administratve expense increased $3,367 million, or 211%, in fscal year 2024, compared to the prior fscal year. The increase was primarily due to higher compensaton, including higher stock-based compensaton, as a result of an increase in headcount from the VMware Merger. The increase in stock-based compensaton expense was also due to annual employee equity awards granted at higher grant-date fair values.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Amortzaton of Acquisiton-Related Intangible Assets</w:t>
      </w:r>
    </w:p>
    <w:p>
      <w:pPr>
        <w:spacing w:after="0" w:line="109" w:lineRule="exact"/>
        <w:rPr>
          <w:sz w:val="20"/>
          <w:szCs w:val="20"/>
          <w:color w:val="auto"/>
        </w:rPr>
      </w:pPr>
    </w:p>
    <w:p>
      <w:pPr>
        <w:ind w:right="100" w:firstLine="405"/>
        <w:spacing w:after="0" w:line="235" w:lineRule="auto"/>
        <w:rPr>
          <w:sz w:val="20"/>
          <w:szCs w:val="20"/>
          <w:color w:val="auto"/>
        </w:rPr>
      </w:pPr>
      <w:r>
        <w:rPr>
          <w:rFonts w:ascii="Calibri" w:cs="Calibri" w:eastAsia="Calibri" w:hAnsi="Calibri"/>
          <w:sz w:val="18"/>
          <w:szCs w:val="18"/>
          <w:color w:val="auto"/>
        </w:rPr>
        <w:t>Amortzaton of acquisiton-related intangible assets recognized in operatng expenses increased $1,850 million, or 133%, in fscal year 2024, compared to the prior fscal year primarily due to higher amortzaton of customer-related intangible assets from the VMware Merger.</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Restructuring and Other Charges</w:t>
      </w:r>
    </w:p>
    <w:p>
      <w:pPr>
        <w:spacing w:after="0" w:line="109" w:lineRule="exact"/>
        <w:rPr>
          <w:sz w:val="20"/>
          <w:szCs w:val="20"/>
          <w:color w:val="auto"/>
        </w:rPr>
      </w:pPr>
    </w:p>
    <w:p>
      <w:pPr>
        <w:ind w:right="100" w:firstLine="405"/>
        <w:spacing w:after="0" w:line="235" w:lineRule="auto"/>
        <w:rPr>
          <w:sz w:val="20"/>
          <w:szCs w:val="20"/>
          <w:color w:val="auto"/>
        </w:rPr>
      </w:pPr>
      <w:r>
        <w:rPr>
          <w:rFonts w:ascii="Calibri" w:cs="Calibri" w:eastAsia="Calibri" w:hAnsi="Calibri"/>
          <w:sz w:val="18"/>
          <w:szCs w:val="18"/>
          <w:color w:val="auto"/>
        </w:rPr>
        <w:t>Restructuring and other charges recognized in operatng expenses were $1,533 million and $244 million in fscal years 2024 and 2023, respectvely. The fscal year 2024 charges primarily included employee terminaton costs from cost reducton actvites related to the VMware Merger. The fscal year 2023 charges primarily included non-recurring charges related to IP litgaton.</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Stock-Based Compensaton Expense</w:t>
      </w:r>
    </w:p>
    <w:p>
      <w:pPr>
        <w:spacing w:after="0" w:line="109" w:lineRule="exact"/>
        <w:rPr>
          <w:sz w:val="20"/>
          <w:szCs w:val="20"/>
          <w:color w:val="auto"/>
        </w:rPr>
      </w:pPr>
    </w:p>
    <w:p>
      <w:pPr>
        <w:ind w:right="140" w:firstLine="405"/>
        <w:spacing w:after="0" w:line="235" w:lineRule="auto"/>
        <w:rPr>
          <w:sz w:val="20"/>
          <w:szCs w:val="20"/>
          <w:color w:val="auto"/>
        </w:rPr>
      </w:pPr>
      <w:r>
        <w:rPr>
          <w:rFonts w:ascii="Calibri" w:cs="Calibri" w:eastAsia="Calibri" w:hAnsi="Calibri"/>
          <w:sz w:val="18"/>
          <w:szCs w:val="18"/>
          <w:color w:val="auto"/>
        </w:rPr>
        <w:t>Total stock-based compensaton expense was $5,670 million and $2,171 million for fscal years 2024 and 2023, respectvely. The increase was primarily due to equity awards assumed and granted in connecton with the VMware Merger and annual employee equity awards granted at higher grant-date fair values.</w:t>
      </w:r>
    </w:p>
    <w:p>
      <w:pPr>
        <w:spacing w:after="0" w:line="111" w:lineRule="exact"/>
        <w:rPr>
          <w:sz w:val="20"/>
          <w:szCs w:val="20"/>
          <w:color w:val="auto"/>
        </w:rPr>
      </w:pPr>
    </w:p>
    <w:p>
      <w:pPr>
        <w:ind w:right="80" w:firstLine="405"/>
        <w:spacing w:after="0" w:line="235" w:lineRule="auto"/>
        <w:rPr>
          <w:sz w:val="20"/>
          <w:szCs w:val="20"/>
          <w:color w:val="auto"/>
        </w:rPr>
      </w:pPr>
      <w:r>
        <w:rPr>
          <w:rFonts w:ascii="Calibri" w:cs="Calibri" w:eastAsia="Calibri" w:hAnsi="Calibri"/>
          <w:sz w:val="18"/>
          <w:szCs w:val="18"/>
          <w:color w:val="auto"/>
        </w:rPr>
        <w:t>The following table sets forth the total unrecognized compensaton cost related to unvested stock-based awards outstanding and expected to vest as of November 3, 2024. The remaining weighted-average service period was 3.0 years.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8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Unrecognized Compensaton</w:t>
            </w:r>
          </w:p>
        </w:tc>
        <w:tc>
          <w:tcPr>
            <w:tcW w:w="0" w:type="dxa"/>
            <w:vAlign w:val="bottom"/>
          </w:tcPr>
          <w:p>
            <w:pPr>
              <w:spacing w:after="0"/>
              <w:rPr>
                <w:sz w:val="1"/>
                <w:szCs w:val="1"/>
                <w:color w:val="auto"/>
              </w:rPr>
            </w:pPr>
          </w:p>
        </w:tc>
      </w:tr>
      <w:tr>
        <w:trPr>
          <w:trHeight w:val="136"/>
        </w:trPr>
        <w:tc>
          <w:tcPr>
            <w:tcW w:w="948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Fiscal Year:</w:t>
            </w:r>
          </w:p>
        </w:tc>
        <w:tc>
          <w:tcPr>
            <w:tcW w:w="160" w:type="dxa"/>
            <w:vAlign w:val="bottom"/>
          </w:tcPr>
          <w:p>
            <w:pPr>
              <w:spacing w:after="0"/>
              <w:rPr>
                <w:sz w:val="11"/>
                <w:szCs w:val="11"/>
                <w:color w:val="auto"/>
              </w:rPr>
            </w:pPr>
          </w:p>
        </w:tc>
        <w:tc>
          <w:tcPr>
            <w:tcW w:w="1600" w:type="dxa"/>
            <w:vAlign w:val="bottom"/>
          </w:tcPr>
          <w:p>
            <w:pPr>
              <w:jc w:val="center"/>
              <w:ind w:right="77"/>
              <w:spacing w:after="0" w:line="136" w:lineRule="exact"/>
              <w:rPr>
                <w:sz w:val="20"/>
                <w:szCs w:val="20"/>
                <w:color w:val="auto"/>
              </w:rPr>
            </w:pPr>
            <w:r>
              <w:rPr>
                <w:rFonts w:ascii="Calibri" w:cs="Calibri" w:eastAsia="Calibri" w:hAnsi="Calibri"/>
                <w:sz w:val="14"/>
                <w:szCs w:val="14"/>
                <w:b w:val="1"/>
                <w:bCs w:val="1"/>
                <w:color w:val="auto"/>
              </w:rPr>
              <w:t>Cost, Net of Expected</w:t>
            </w:r>
          </w:p>
        </w:tc>
        <w:tc>
          <w:tcPr>
            <w:tcW w:w="0" w:type="dxa"/>
            <w:vAlign w:val="bottom"/>
          </w:tcPr>
          <w:p>
            <w:pPr>
              <w:spacing w:after="0"/>
              <w:rPr>
                <w:sz w:val="1"/>
                <w:szCs w:val="1"/>
                <w:color w:val="auto"/>
              </w:rPr>
            </w:pPr>
          </w:p>
        </w:tc>
      </w:tr>
      <w:tr>
        <w:trPr>
          <w:trHeight w:val="193"/>
        </w:trPr>
        <w:tc>
          <w:tcPr>
            <w:tcW w:w="94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center"/>
              <w:ind w:right="77"/>
              <w:spacing w:after="0"/>
              <w:rPr>
                <w:sz w:val="20"/>
                <w:szCs w:val="20"/>
                <w:color w:val="auto"/>
              </w:rPr>
            </w:pPr>
            <w:r>
              <w:rPr>
                <w:rFonts w:ascii="Calibri" w:cs="Calibri" w:eastAsia="Calibri" w:hAnsi="Calibri"/>
                <w:sz w:val="14"/>
                <w:szCs w:val="14"/>
                <w:b w:val="1"/>
                <w:bCs w:val="1"/>
                <w:color w:val="auto"/>
              </w:rPr>
              <w:t>Forfeitures</w:t>
            </w:r>
          </w:p>
        </w:tc>
        <w:tc>
          <w:tcPr>
            <w:tcW w:w="0" w:type="dxa"/>
            <w:vAlign w:val="bottom"/>
          </w:tcPr>
          <w:p>
            <w:pPr>
              <w:spacing w:after="0"/>
              <w:rPr>
                <w:sz w:val="1"/>
                <w:szCs w:val="1"/>
                <w:color w:val="auto"/>
              </w:rPr>
            </w:pPr>
          </w:p>
        </w:tc>
      </w:tr>
      <w:tr>
        <w:trPr>
          <w:trHeight w:val="23"/>
        </w:trPr>
        <w:tc>
          <w:tcPr>
            <w:tcW w:w="9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9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center"/>
              <w:ind w:right="97"/>
              <w:spacing w:after="0" w:line="164" w:lineRule="exact"/>
              <w:rPr>
                <w:sz w:val="20"/>
                <w:szCs w:val="20"/>
                <w:color w:val="auto"/>
              </w:rPr>
            </w:pPr>
            <w:r>
              <w:rPr>
                <w:rFonts w:ascii="Calibri" w:cs="Calibri" w:eastAsia="Calibri" w:hAnsi="Calibri"/>
                <w:sz w:val="14"/>
                <w:szCs w:val="14"/>
                <w:b w:val="1"/>
                <w:bCs w:val="1"/>
                <w:color w:val="auto"/>
              </w:rPr>
              <w:t>(In millions)</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4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2025</w:t>
            </w: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6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4,429</w:t>
            </w:r>
          </w:p>
        </w:tc>
        <w:tc>
          <w:tcPr>
            <w:tcW w:w="0" w:type="dxa"/>
            <w:vAlign w:val="bottom"/>
          </w:tcPr>
          <w:p>
            <w:pPr>
              <w:spacing w:after="0"/>
              <w:rPr>
                <w:sz w:val="1"/>
                <w:szCs w:val="1"/>
                <w:color w:val="auto"/>
              </w:rPr>
            </w:pPr>
          </w:p>
        </w:tc>
      </w:tr>
      <w:tr>
        <w:trPr>
          <w:trHeight w:val="222"/>
        </w:trPr>
        <w:tc>
          <w:tcPr>
            <w:tcW w:w="9480" w:type="dxa"/>
            <w:vAlign w:val="bottom"/>
          </w:tcPr>
          <w:p>
            <w:pPr>
              <w:ind w:left="20"/>
              <w:spacing w:after="0" w:line="215" w:lineRule="exact"/>
              <w:rPr>
                <w:sz w:val="20"/>
                <w:szCs w:val="20"/>
                <w:color w:val="auto"/>
              </w:rPr>
            </w:pPr>
            <w:r>
              <w:rPr>
                <w:rFonts w:ascii="Calibri" w:cs="Calibri" w:eastAsia="Calibri" w:hAnsi="Calibri"/>
                <w:sz w:val="18"/>
                <w:szCs w:val="18"/>
                <w:color w:val="auto"/>
              </w:rPr>
              <w:t>2026</w:t>
            </w:r>
          </w:p>
        </w:tc>
        <w:tc>
          <w:tcPr>
            <w:tcW w:w="160" w:type="dxa"/>
            <w:vAlign w:val="bottom"/>
          </w:tcPr>
          <w:p>
            <w:pPr>
              <w:spacing w:after="0"/>
              <w:rPr>
                <w:sz w:val="19"/>
                <w:szCs w:val="19"/>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3,607</w:t>
            </w:r>
          </w:p>
        </w:tc>
        <w:tc>
          <w:tcPr>
            <w:tcW w:w="0" w:type="dxa"/>
            <w:vAlign w:val="bottom"/>
          </w:tcPr>
          <w:p>
            <w:pPr>
              <w:spacing w:after="0"/>
              <w:rPr>
                <w:sz w:val="1"/>
                <w:szCs w:val="1"/>
                <w:color w:val="auto"/>
              </w:rPr>
            </w:pPr>
          </w:p>
        </w:tc>
      </w:tr>
      <w:tr>
        <w:trPr>
          <w:trHeight w:val="237"/>
        </w:trPr>
        <w:tc>
          <w:tcPr>
            <w:tcW w:w="94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2027</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2,643</w:t>
            </w:r>
          </w:p>
        </w:tc>
        <w:tc>
          <w:tcPr>
            <w:tcW w:w="0" w:type="dxa"/>
            <w:vAlign w:val="bottom"/>
          </w:tcPr>
          <w:p>
            <w:pPr>
              <w:spacing w:after="0"/>
              <w:rPr>
                <w:sz w:val="1"/>
                <w:szCs w:val="1"/>
                <w:color w:val="auto"/>
              </w:rPr>
            </w:pPr>
          </w:p>
        </w:tc>
      </w:tr>
      <w:tr>
        <w:trPr>
          <w:trHeight w:val="223"/>
        </w:trPr>
        <w:tc>
          <w:tcPr>
            <w:tcW w:w="94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2028</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580</w:t>
            </w:r>
          </w:p>
        </w:tc>
        <w:tc>
          <w:tcPr>
            <w:tcW w:w="0" w:type="dxa"/>
            <w:vAlign w:val="bottom"/>
          </w:tcPr>
          <w:p>
            <w:pPr>
              <w:spacing w:after="0"/>
              <w:rPr>
                <w:sz w:val="1"/>
                <w:szCs w:val="1"/>
                <w:color w:val="auto"/>
              </w:rPr>
            </w:pPr>
          </w:p>
        </w:tc>
      </w:tr>
      <w:tr>
        <w:trPr>
          <w:trHeight w:val="255"/>
        </w:trPr>
        <w:tc>
          <w:tcPr>
            <w:tcW w:w="948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Total</w:t>
            </w:r>
          </w:p>
        </w:tc>
        <w:tc>
          <w:tcPr>
            <w:tcW w:w="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6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11,259</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color w:val="auto"/>
        </w:rPr>
        <w:t>During the frst quarter of fscal year ended November 3, 2019 (“fscal year 2019”), our Compensaton Commitee approved a broad-based program of mult-year equity grants of tme- and market-based RSUs (the “Mult-Year Equity Awards”) in lieu of our annual employee equity awards historically granted on March 15 of each year. Each Mult-Year Equity Award vests on the same basis as four annual grants made on March 15 of each year, beginning in fscal year 2019, with successive four-year vestng periods. We recognize stock-based compensaton expense related to the Mult-Year Equity Awards from the grant date through their respectve vestng date, ranging from 4 years to 7 years.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Segment Operatng Results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gridSpan w:val="5"/>
          </w:tcPr>
          <w:p>
            <w:pPr>
              <w:ind w:left="460"/>
              <w:spacing w:after="0"/>
              <w:rPr>
                <w:sz w:val="20"/>
                <w:szCs w:val="20"/>
                <w:color w:val="auto"/>
              </w:rPr>
            </w:pPr>
            <w:r>
              <w:rPr>
                <w:rFonts w:ascii="Calibri" w:cs="Calibri" w:eastAsia="Calibri" w:hAnsi="Calibri"/>
                <w:sz w:val="14"/>
                <w:szCs w:val="14"/>
                <w:b w:val="1"/>
                <w:bCs w:val="1"/>
                <w:color w:val="auto"/>
              </w:rPr>
              <w:t>Fiscal Year Ended</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5520" w:type="dxa"/>
            <w:vAlign w:val="bottom"/>
            <w:gridSpan w:val="2"/>
            <w:vMerge w:val="restart"/>
          </w:tcPr>
          <w:p>
            <w:pPr>
              <w:ind w:left="20"/>
              <w:spacing w:after="0"/>
              <w:rPr>
                <w:sz w:val="20"/>
                <w:szCs w:val="20"/>
                <w:color w:val="auto"/>
              </w:rPr>
            </w:pPr>
            <w:r>
              <w:rPr>
                <w:rFonts w:ascii="Calibri" w:cs="Calibri" w:eastAsia="Calibri" w:hAnsi="Calibri"/>
                <w:sz w:val="14"/>
                <w:szCs w:val="14"/>
                <w:b w:val="1"/>
                <w:bCs w:val="1"/>
                <w:color w:val="auto"/>
              </w:rPr>
              <w:t>Operatng Income by Segment</w:t>
            </w:r>
          </w:p>
        </w:tc>
        <w:tc>
          <w:tcPr>
            <w:tcW w:w="142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vMerge w:val="restart"/>
          </w:tcPr>
          <w:p>
            <w:pPr>
              <w:jc w:val="right"/>
              <w:ind w:right="294"/>
              <w:spacing w:after="0"/>
              <w:rPr>
                <w:sz w:val="20"/>
                <w:szCs w:val="20"/>
                <w:color w:val="auto"/>
              </w:rPr>
            </w:pPr>
            <w:r>
              <w:rPr>
                <w:rFonts w:ascii="Calibri" w:cs="Calibri" w:eastAsia="Calibri" w:hAnsi="Calibri"/>
                <w:sz w:val="14"/>
                <w:szCs w:val="14"/>
                <w:b w:val="1"/>
                <w:bCs w:val="1"/>
                <w:color w:val="auto"/>
              </w:rPr>
              <w:t>$ Change</w:t>
            </w:r>
          </w:p>
        </w:tc>
        <w:tc>
          <w:tcPr>
            <w:tcW w:w="100" w:type="dxa"/>
            <w:vAlign w:val="bottom"/>
          </w:tcPr>
          <w:p>
            <w:pPr>
              <w:spacing w:after="0"/>
              <w:rPr>
                <w:sz w:val="4"/>
                <w:szCs w:val="4"/>
                <w:color w:val="auto"/>
              </w:rPr>
            </w:pPr>
          </w:p>
        </w:tc>
        <w:tc>
          <w:tcPr>
            <w:tcW w:w="1420" w:type="dxa"/>
            <w:vAlign w:val="bottom"/>
            <w:vMerge w:val="restart"/>
          </w:tcPr>
          <w:p>
            <w:pPr>
              <w:jc w:val="right"/>
              <w:ind w:right="348"/>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5520" w:type="dxa"/>
            <w:vAlign w:val="bottom"/>
            <w:gridSpan w:val="2"/>
            <w:vMerge w:val="continue"/>
          </w:tcPr>
          <w:p>
            <w:pPr>
              <w:spacing w:after="0"/>
              <w:rPr>
                <w:sz w:val="14"/>
                <w:szCs w:val="14"/>
                <w:color w:val="auto"/>
              </w:rPr>
            </w:pPr>
          </w:p>
        </w:tc>
        <w:tc>
          <w:tcPr>
            <w:tcW w:w="1420" w:type="dxa"/>
            <w:vAlign w:val="bottom"/>
            <w:gridSpan w:val="3"/>
          </w:tcPr>
          <w:p>
            <w:pPr>
              <w:ind w:left="120"/>
              <w:spacing w:after="0" w:line="164" w:lineRule="exact"/>
              <w:rPr>
                <w:sz w:val="20"/>
                <w:szCs w:val="20"/>
                <w:color w:val="auto"/>
              </w:rPr>
            </w:pPr>
            <w:r>
              <w:rPr>
                <w:rFonts w:ascii="Calibri" w:cs="Calibri" w:eastAsia="Calibri" w:hAnsi="Calibri"/>
                <w:sz w:val="14"/>
                <w:szCs w:val="14"/>
                <w:b w:val="1"/>
                <w:bCs w:val="1"/>
                <w:color w:val="auto"/>
              </w:rPr>
              <w:t>November 3, 2024</w:t>
            </w:r>
          </w:p>
        </w:tc>
        <w:tc>
          <w:tcPr>
            <w:tcW w:w="120" w:type="dxa"/>
            <w:vAlign w:val="bottom"/>
          </w:tcPr>
          <w:p>
            <w:pPr>
              <w:spacing w:after="0"/>
              <w:rPr>
                <w:sz w:val="14"/>
                <w:szCs w:val="14"/>
                <w:color w:val="auto"/>
              </w:rPr>
            </w:pPr>
          </w:p>
        </w:tc>
        <w:tc>
          <w:tcPr>
            <w:tcW w:w="1180" w:type="dxa"/>
            <w:vAlign w:val="bottom"/>
          </w:tcPr>
          <w:p>
            <w:pPr>
              <w:jc w:val="right"/>
              <w:ind w:right="56"/>
              <w:spacing w:after="0" w:line="164" w:lineRule="exact"/>
              <w:rPr>
                <w:sz w:val="20"/>
                <w:szCs w:val="20"/>
                <w:color w:val="auto"/>
              </w:rPr>
            </w:pPr>
            <w:r>
              <w:rPr>
                <w:rFonts w:ascii="Calibri" w:cs="Calibri" w:eastAsia="Calibri" w:hAnsi="Calibri"/>
                <w:sz w:val="14"/>
                <w:szCs w:val="14"/>
                <w:b w:val="1"/>
                <w:bCs w:val="1"/>
                <w:color w:val="auto"/>
              </w:rPr>
              <w:t>October 29, 2023</w:t>
            </w:r>
          </w:p>
        </w:tc>
        <w:tc>
          <w:tcPr>
            <w:tcW w:w="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Calibri" w:cs="Calibri" w:eastAsia="Calibri" w:hAnsi="Calibri"/>
                <w:sz w:val="14"/>
                <w:szCs w:val="14"/>
                <w:b w:val="1"/>
                <w:bCs w:val="1"/>
                <w:color w:val="auto"/>
              </w:rPr>
              <w:t>(In millions, except percentages)</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5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Semiconductor solutons</w:t>
            </w:r>
          </w:p>
        </w:tc>
        <w:tc>
          <w:tcPr>
            <w:tcW w:w="400" w:type="dxa"/>
            <w:vAlign w:val="bottom"/>
            <w:shd w:val="clear" w:color="auto" w:fill="CCEEFF"/>
          </w:tcPr>
          <w:p>
            <w:pPr>
              <w:jc w:val="right"/>
              <w:ind w:right="196"/>
              <w:spacing w:after="0" w:line="215"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CEEFF"/>
          </w:tcPr>
          <w:p>
            <w:pPr>
              <w:jc w:val="center"/>
              <w:ind w:left="214"/>
              <w:spacing w:after="0" w:line="215" w:lineRule="exact"/>
              <w:rPr>
                <w:sz w:val="20"/>
                <w:szCs w:val="20"/>
                <w:color w:val="auto"/>
              </w:rPr>
            </w:pPr>
            <w:r>
              <w:rPr>
                <w:rFonts w:ascii="Calibri" w:cs="Calibri" w:eastAsia="Calibri" w:hAnsi="Calibri"/>
                <w:sz w:val="18"/>
                <w:szCs w:val="18"/>
                <w:color w:val="auto"/>
                <w:w w:val="95"/>
              </w:rPr>
              <w:t>16,759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16,486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273</w:t>
            </w:r>
          </w:p>
        </w:tc>
        <w:tc>
          <w:tcPr>
            <w:tcW w:w="1520" w:type="dxa"/>
            <w:vAlign w:val="bottom"/>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2 %</w:t>
            </w:r>
          </w:p>
        </w:tc>
        <w:tc>
          <w:tcPr>
            <w:tcW w:w="0" w:type="dxa"/>
            <w:vAlign w:val="bottom"/>
          </w:tcPr>
          <w:p>
            <w:pPr>
              <w:spacing w:after="0"/>
              <w:rPr>
                <w:sz w:val="1"/>
                <w:szCs w:val="1"/>
                <w:color w:val="auto"/>
              </w:rPr>
            </w:pPr>
          </w:p>
        </w:tc>
      </w:tr>
      <w:tr>
        <w:trPr>
          <w:trHeight w:val="222"/>
        </w:trPr>
        <w:tc>
          <w:tcPr>
            <w:tcW w:w="552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Infrastructure sofware</w:t>
            </w:r>
          </w:p>
        </w:tc>
        <w:tc>
          <w:tcPr>
            <w:tcW w:w="400" w:type="dxa"/>
            <w:vAlign w:val="bottom"/>
          </w:tcPr>
          <w:p>
            <w:pPr>
              <w:spacing w:after="0"/>
              <w:rPr>
                <w:sz w:val="19"/>
                <w:szCs w:val="19"/>
                <w:color w:val="auto"/>
              </w:rPr>
            </w:pPr>
          </w:p>
        </w:tc>
        <w:tc>
          <w:tcPr>
            <w:tcW w:w="900" w:type="dxa"/>
            <w:vAlign w:val="bottom"/>
          </w:tcPr>
          <w:p>
            <w:pPr>
              <w:jc w:val="center"/>
              <w:ind w:left="214"/>
              <w:spacing w:after="0" w:line="215" w:lineRule="exact"/>
              <w:rPr>
                <w:sz w:val="20"/>
                <w:szCs w:val="20"/>
                <w:color w:val="auto"/>
              </w:rPr>
            </w:pPr>
            <w:r>
              <w:rPr>
                <w:rFonts w:ascii="Calibri" w:cs="Calibri" w:eastAsia="Calibri" w:hAnsi="Calibri"/>
                <w:sz w:val="18"/>
                <w:szCs w:val="18"/>
                <w:color w:val="auto"/>
                <w:w w:val="95"/>
              </w:rPr>
              <w:t>13,977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5,639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8,338</w:t>
            </w:r>
          </w:p>
        </w:tc>
        <w:tc>
          <w:tcPr>
            <w:tcW w:w="15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148 %</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Unallocated expenses</w:t>
            </w:r>
          </w:p>
        </w:tc>
        <w:tc>
          <w:tcPr>
            <w:tcW w:w="4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center"/>
              <w:ind w:left="174"/>
              <w:spacing w:after="0"/>
              <w:rPr>
                <w:sz w:val="20"/>
                <w:szCs w:val="20"/>
                <w:color w:val="auto"/>
              </w:rPr>
            </w:pPr>
            <w:r>
              <w:rPr>
                <w:rFonts w:ascii="Calibri" w:cs="Calibri" w:eastAsia="Calibri" w:hAnsi="Calibri"/>
                <w:sz w:val="18"/>
                <w:szCs w:val="18"/>
                <w:color w:val="auto"/>
                <w:w w:val="98"/>
              </w:rPr>
              <w:t>(17,273)</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(5,918)</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(11,355)</w:t>
            </w:r>
          </w:p>
        </w:tc>
        <w:tc>
          <w:tcPr>
            <w:tcW w:w="152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192 %</w:t>
            </w:r>
          </w:p>
        </w:tc>
        <w:tc>
          <w:tcPr>
            <w:tcW w:w="0" w:type="dxa"/>
            <w:vAlign w:val="bottom"/>
          </w:tcPr>
          <w:p>
            <w:pPr>
              <w:spacing w:after="0"/>
              <w:rPr>
                <w:sz w:val="1"/>
                <w:szCs w:val="1"/>
                <w:color w:val="auto"/>
              </w:rPr>
            </w:pPr>
          </w:p>
        </w:tc>
      </w:tr>
      <w:tr>
        <w:trPr>
          <w:trHeight w:val="230"/>
        </w:trPr>
        <w:tc>
          <w:tcPr>
            <w:tcW w:w="5520" w:type="dxa"/>
            <w:vAlign w:val="bottom"/>
            <w:gridSpan w:val="2"/>
          </w:tcPr>
          <w:p>
            <w:pPr>
              <w:ind w:left="140"/>
              <w:spacing w:after="0"/>
              <w:rPr>
                <w:sz w:val="20"/>
                <w:szCs w:val="20"/>
                <w:color w:val="auto"/>
              </w:rPr>
            </w:pPr>
            <w:r>
              <w:rPr>
                <w:rFonts w:ascii="Calibri" w:cs="Calibri" w:eastAsia="Calibri" w:hAnsi="Calibri"/>
                <w:sz w:val="18"/>
                <w:szCs w:val="18"/>
                <w:color w:val="auto"/>
              </w:rPr>
              <w:t>Total operatng income</w:t>
            </w:r>
          </w:p>
        </w:tc>
        <w:tc>
          <w:tcPr>
            <w:tcW w:w="400" w:type="dxa"/>
            <w:vAlign w:val="bottom"/>
            <w:tcBorders>
              <w:bottom w:val="single" w:sz="8" w:color="auto"/>
            </w:tcBorders>
          </w:tcPr>
          <w:p>
            <w:pPr>
              <w:jc w:val="right"/>
              <w:ind w:right="196"/>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tcPr>
          <w:p>
            <w:pPr>
              <w:jc w:val="center"/>
              <w:ind w:left="214"/>
              <w:spacing w:after="0" w:line="215" w:lineRule="exact"/>
              <w:rPr>
                <w:sz w:val="20"/>
                <w:szCs w:val="20"/>
                <w:color w:val="auto"/>
              </w:rPr>
            </w:pPr>
            <w:r>
              <w:rPr>
                <w:rFonts w:ascii="Calibri" w:cs="Calibri" w:eastAsia="Calibri" w:hAnsi="Calibri"/>
                <w:sz w:val="18"/>
                <w:szCs w:val="18"/>
                <w:color w:val="auto"/>
                <w:w w:val="95"/>
              </w:rPr>
              <w:t>13,463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16,207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(2,744)</w:t>
            </w:r>
          </w:p>
        </w:tc>
        <w:tc>
          <w:tcPr>
            <w:tcW w:w="1520" w:type="dxa"/>
            <w:vAlign w:val="bottom"/>
            <w:gridSpan w:val="2"/>
          </w:tcPr>
          <w:p>
            <w:pPr>
              <w:jc w:val="right"/>
              <w:spacing w:after="0"/>
              <w:rPr>
                <w:sz w:val="20"/>
                <w:szCs w:val="20"/>
                <w:color w:val="auto"/>
              </w:rPr>
            </w:pPr>
            <w:r>
              <w:rPr>
                <w:rFonts w:ascii="Calibri" w:cs="Calibri" w:eastAsia="Calibri" w:hAnsi="Calibri"/>
                <w:sz w:val="18"/>
                <w:szCs w:val="18"/>
                <w:color w:val="auto"/>
              </w:rPr>
              <w:t>(17)%</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right="520" w:firstLine="405"/>
        <w:spacing w:after="0" w:line="235" w:lineRule="auto"/>
        <w:rPr>
          <w:sz w:val="20"/>
          <w:szCs w:val="20"/>
          <w:color w:val="auto"/>
        </w:rPr>
      </w:pPr>
      <w:r>
        <w:rPr>
          <w:rFonts w:ascii="Calibri" w:cs="Calibri" w:eastAsia="Calibri" w:hAnsi="Calibri"/>
          <w:sz w:val="18"/>
          <w:szCs w:val="18"/>
          <w:color w:val="auto"/>
        </w:rPr>
        <w:t>Operatng income from our semiconductor solutons segment increased mainly driven by revenue growth from networking products, primarily AI networking products, partally ofset by lower net revenue from our broadband and server storage products. Operatng income from our infrastructure sofware segment increased primarily due to contributons from VMware.</w:t>
      </w:r>
    </w:p>
    <w:p>
      <w:pPr>
        <w:spacing w:after="0" w:line="111"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Unallocated expenses include amortzaton of acquisiton-related intangible assets; stock-based compensaton expense; restructuring and other charges; acquisiton-related costs; and other costs that are not used in evaluatng the results of, or in allocatng resources to, our segments. Unallocated expenses increased 192% in fscal year 2024, compared to the prior fscal year, primarily due to higher amortzaton of acquisiton-related intangible assets, stock-based compensaton expense and restructuring and other charges. These increases were primarily due to the VMware Merger. The increase in stock-based compensaton expense was also due to annual employee equity awards granted at higher grant-date fair values.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Non-Operatng Income and Expenses</w:t>
      </w:r>
    </w:p>
    <w:p>
      <w:pPr>
        <w:spacing w:after="0" w:line="109" w:lineRule="exact"/>
        <w:rPr>
          <w:sz w:val="20"/>
          <w:szCs w:val="20"/>
          <w:color w:val="auto"/>
        </w:rPr>
      </w:pPr>
    </w:p>
    <w:p>
      <w:pPr>
        <w:ind w:right="120" w:firstLine="405"/>
        <w:spacing w:after="0" w:line="235" w:lineRule="auto"/>
        <w:rPr>
          <w:sz w:val="20"/>
          <w:szCs w:val="20"/>
          <w:color w:val="auto"/>
        </w:rPr>
      </w:pPr>
      <w:r>
        <w:rPr>
          <w:rFonts w:ascii="Calibri" w:cs="Calibri" w:eastAsia="Calibri" w:hAnsi="Calibri"/>
          <w:sz w:val="18"/>
          <w:szCs w:val="18"/>
          <w:i w:val="1"/>
          <w:iCs w:val="1"/>
          <w:color w:val="auto"/>
        </w:rPr>
        <w:t xml:space="preserve">Interest expense. </w:t>
      </w:r>
      <w:r>
        <w:rPr>
          <w:rFonts w:ascii="Calibri" w:cs="Calibri" w:eastAsia="Calibri" w:hAnsi="Calibri"/>
          <w:sz w:val="18"/>
          <w:szCs w:val="18"/>
          <w:color w:val="auto"/>
        </w:rPr>
        <w:t>Interest expense was $3,953 million and $1,622 million for fscal years 2024 and 2023, respectvely. The increase was primarily due to</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interest on debt incurred for the VMware Merger.</w:t>
      </w:r>
    </w:p>
    <w:p>
      <w:pPr>
        <w:spacing w:after="0" w:line="110" w:lineRule="exact"/>
        <w:rPr>
          <w:sz w:val="20"/>
          <w:szCs w:val="20"/>
          <w:color w:val="auto"/>
        </w:rPr>
      </w:pPr>
    </w:p>
    <w:p>
      <w:pPr>
        <w:ind w:right="60" w:firstLine="405"/>
        <w:spacing w:after="0" w:line="235" w:lineRule="auto"/>
        <w:rPr>
          <w:sz w:val="20"/>
          <w:szCs w:val="20"/>
          <w:color w:val="auto"/>
        </w:rPr>
      </w:pPr>
      <w:r>
        <w:rPr>
          <w:rFonts w:ascii="Calibri" w:cs="Calibri" w:eastAsia="Calibri" w:hAnsi="Calibri"/>
          <w:sz w:val="18"/>
          <w:szCs w:val="18"/>
          <w:i w:val="1"/>
          <w:iCs w:val="1"/>
          <w:color w:val="auto"/>
        </w:rPr>
        <w:t xml:space="preserve">Other income (expense), net. </w:t>
      </w:r>
      <w:r>
        <w:rPr>
          <w:rFonts w:ascii="Calibri" w:cs="Calibri" w:eastAsia="Calibri" w:hAnsi="Calibri"/>
          <w:sz w:val="18"/>
          <w:szCs w:val="18"/>
          <w:color w:val="auto"/>
        </w:rPr>
        <w:t>Other income (expense), net includes interest income, gains and losses on investments, foreign currency remeasurement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and other miscellaneous items. Other income, net, was $406 million and $512 million for fscal years 2024 and 2023, respectvely. The decrease was primarily due to lower interest income as a result of a lower invested balance.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540" w:firstLine="405"/>
        <w:spacing w:after="0" w:line="235" w:lineRule="auto"/>
        <w:rPr>
          <w:sz w:val="20"/>
          <w:szCs w:val="20"/>
          <w:color w:val="auto"/>
        </w:rPr>
      </w:pPr>
      <w:r>
        <w:rPr>
          <w:rFonts w:ascii="Calibri" w:cs="Calibri" w:eastAsia="Calibri" w:hAnsi="Calibri"/>
          <w:sz w:val="18"/>
          <w:szCs w:val="18"/>
          <w:i w:val="1"/>
          <w:iCs w:val="1"/>
          <w:color w:val="auto"/>
        </w:rPr>
        <w:t xml:space="preserve">Provision for income taxes. </w:t>
      </w:r>
      <w:r>
        <w:rPr>
          <w:rFonts w:ascii="Calibri" w:cs="Calibri" w:eastAsia="Calibri" w:hAnsi="Calibri"/>
          <w:sz w:val="18"/>
          <w:szCs w:val="18"/>
          <w:color w:val="auto"/>
        </w:rPr>
        <w:t>The provision for income taxes was $3,748 million and $1,015 million for fscal years 2024 and 2023, respectvely.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increase was primarily due to the impact of a non-recurring intra-group transfer of certain IP rights to the United States as a result of supply chain realignment and the resultng shif in the jurisdictonal mix of income.</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109" w:lineRule="exact"/>
        <w:rPr>
          <w:sz w:val="20"/>
          <w:szCs w:val="20"/>
          <w:color w:val="auto"/>
        </w:rPr>
      </w:pPr>
    </w:p>
    <w:p>
      <w:pPr>
        <w:ind w:right="40" w:firstLine="405"/>
        <w:spacing w:after="0" w:line="235" w:lineRule="auto"/>
        <w:rPr>
          <w:sz w:val="20"/>
          <w:szCs w:val="20"/>
          <w:color w:val="auto"/>
        </w:rPr>
      </w:pPr>
      <w:r>
        <w:rPr>
          <w:rFonts w:ascii="Calibri" w:cs="Calibri" w:eastAsia="Calibri" w:hAnsi="Calibri"/>
          <w:sz w:val="18"/>
          <w:szCs w:val="18"/>
          <w:color w:val="auto"/>
        </w:rPr>
        <w:t>The following secton discusses our principal liquidity and capital resources as well as our primary liquidity requirements and uses of cash. Our cash and cash equivalents are maintained in highly liquid investments with remaining maturites of 90 days or less at the tme of purchase. We believe our cash equivalents are liquid and accessible.</w:t>
      </w:r>
    </w:p>
    <w:p>
      <w:pPr>
        <w:spacing w:after="0" w:line="111" w:lineRule="exact"/>
        <w:rPr>
          <w:sz w:val="20"/>
          <w:szCs w:val="20"/>
          <w:color w:val="auto"/>
        </w:rPr>
      </w:pPr>
    </w:p>
    <w:p>
      <w:pPr>
        <w:ind w:right="180" w:firstLine="405"/>
        <w:spacing w:after="0" w:line="235" w:lineRule="auto"/>
        <w:rPr>
          <w:sz w:val="20"/>
          <w:szCs w:val="20"/>
          <w:color w:val="auto"/>
        </w:rPr>
      </w:pPr>
      <w:r>
        <w:rPr>
          <w:rFonts w:ascii="Calibri" w:cs="Calibri" w:eastAsia="Calibri" w:hAnsi="Calibri"/>
          <w:sz w:val="18"/>
          <w:szCs w:val="18"/>
          <w:color w:val="auto"/>
        </w:rPr>
        <w:t>Our primary sources of liquidity as of November 3, 2024 consisted of: (i) $9,348 million in cash and cash equivalents, (ii) cash we expect to generate from operatons and (iii) available capacity under our $7.5 billion unsecured revolving credit facility. In additon, we may also generate cash from the sale of assets and debt or equity fnancings from tme to tme.</w:t>
      </w:r>
    </w:p>
    <w:p>
      <w:pPr>
        <w:spacing w:after="0" w:line="111" w:lineRule="exact"/>
        <w:rPr>
          <w:sz w:val="20"/>
          <w:szCs w:val="20"/>
          <w:color w:val="auto"/>
        </w:rPr>
      </w:pPr>
    </w:p>
    <w:p>
      <w:pPr>
        <w:ind w:right="40" w:firstLine="405"/>
        <w:spacing w:after="0" w:line="235" w:lineRule="auto"/>
        <w:rPr>
          <w:sz w:val="20"/>
          <w:szCs w:val="20"/>
          <w:color w:val="auto"/>
        </w:rPr>
      </w:pPr>
      <w:r>
        <w:rPr>
          <w:rFonts w:ascii="Calibri" w:cs="Calibri" w:eastAsia="Calibri" w:hAnsi="Calibri"/>
          <w:sz w:val="18"/>
          <w:szCs w:val="18"/>
          <w:color w:val="auto"/>
        </w:rPr>
        <w:t>Our short-term and long-term liquidity requirements primarily arise from: (i) business acquisitons and investments we may make from tme to tme, (ii) working capital requirements, (iii) research and development and capital expenditure needs, (iv) cash dividend payments (if and when declared by our Board of Directors), (v) interest and principal payments related to our $69,847 million of outstanding indebtedness, and (vi) payment of income taxes. Our ability to fund these requirements will depend, in part, on our future cash fows, which are determined by our future operatng performance and, therefore, subject to prevailing global macroeconomic conditons and fnancial, business and other factors, some of which are beyond our control. We expect capital expenditures to be higher in the fscal year ending November 2, 2025 as compared to fscal year 2024. Our debt and liquidity needs increased in fscal year 2024 as a result of completng the VMware Merger. We funded the cash porton of the consideraton with net proceeds from the issuance of $30,390 million in term loans (the “2023 Term Loans”), as well as cash on hand. We also assumed $8,250 million of VMware’s outstanding senior unsecured notes. During fscal year 2024, we made repayments of $16,795 million on our 2023 Term Loans.</w:t>
      </w:r>
    </w:p>
    <w:p>
      <w:pPr>
        <w:spacing w:after="0" w:line="116" w:lineRule="exact"/>
        <w:rPr>
          <w:sz w:val="20"/>
          <w:szCs w:val="20"/>
          <w:color w:val="auto"/>
        </w:rPr>
      </w:pPr>
    </w:p>
    <w:p>
      <w:pPr>
        <w:ind w:right="200" w:firstLine="405"/>
        <w:spacing w:after="0" w:line="235" w:lineRule="auto"/>
        <w:rPr>
          <w:sz w:val="20"/>
          <w:szCs w:val="20"/>
          <w:color w:val="auto"/>
        </w:rPr>
      </w:pPr>
      <w:r>
        <w:rPr>
          <w:rFonts w:ascii="Calibri" w:cs="Calibri" w:eastAsia="Calibri" w:hAnsi="Calibri"/>
          <w:sz w:val="18"/>
          <w:szCs w:val="18"/>
          <w:color w:val="auto"/>
        </w:rPr>
        <w:t>We believe that our cash and cash equivalents on hand, cash fows from operatons and our revolving credit facility will provide sufcient liquidity to operate our business and fund our current and assumed obligatons for at least the next 12 months. For additonal informaton regarding our cash requirement from contractual obligatons, indebtedness and lease obligatons, see Note 14. “Commitments and Contngencies”, Note 10. “Borrowings” and Note 6. “Leases” in Part II, Item 8 of this Annual Report on Form 10-K.</w:t>
      </w:r>
    </w:p>
    <w:p>
      <w:pPr>
        <w:spacing w:after="0" w:line="111"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From tme to tme, we engage in discussions with third partes regarding potental acquisitons of, or investments in, businesses, technologies and product lines. Any such transacton, or evaluaton of potental transactons, could require signifcant use of our cash and cash equivalents, or require us to increase our borrowings to fund such transactons. If we do not have sufcient cash to fund our operatons or fnance growth opportunites, including acquisitons, or unantcipated capital expenditures, our business and fnancial conditon could sufer. In such circumstances, we may seek to obtain new debt or equity fnancing. However, we cannot assure you that such additonal fnancing will be available on terms acceptable to us or at all. Our ability to service our senior unsecured notes, the 2023 Term Loans and any other indebtedness we may incur will depend on our ability to generate cash in the future. We may also elect to sell additonal debt or equity securites for reasons other than those specifed above.</w:t>
      </w:r>
    </w:p>
    <w:p>
      <w:pPr>
        <w:spacing w:after="0" w:line="114"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In additon, we may, at any tme and from tme to tme, seek to retre or purchase our outstanding debt through cash tenders and/or exchanges for equity or debt, in open-market purchases, privately negotated transactons or otherwise. Such tenders, exchanges or purchases, if any, will be upon such terms and at such prices as we may determine, and will depend on prevailing market conditons, our liquidity requirements, contractual restrictons and other factors. We may also make additonal prepayments of the 2023 Term Loans. The amounts involved may be material.</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6" w:name="page47"/>
    <w:bookmarkEnd w:id="4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Working Capital</w:t>
      </w:r>
    </w:p>
    <w:p>
      <w:pPr>
        <w:spacing w:after="0" w:line="109" w:lineRule="exact"/>
        <w:rPr>
          <w:sz w:val="20"/>
          <w:szCs w:val="20"/>
          <w:color w:val="auto"/>
        </w:rPr>
      </w:pPr>
    </w:p>
    <w:p>
      <w:pPr>
        <w:ind w:right="340" w:firstLine="405"/>
        <w:spacing w:after="0" w:line="235" w:lineRule="auto"/>
        <w:rPr>
          <w:sz w:val="20"/>
          <w:szCs w:val="20"/>
          <w:color w:val="auto"/>
        </w:rPr>
      </w:pPr>
      <w:r>
        <w:rPr>
          <w:rFonts w:ascii="Calibri" w:cs="Calibri" w:eastAsia="Calibri" w:hAnsi="Calibri"/>
          <w:sz w:val="18"/>
          <w:szCs w:val="18"/>
          <w:color w:val="auto"/>
        </w:rPr>
        <w:t>On November 22, 2023, we completed the VMware Merger. The following table presents the changes in selected balance sheet captons other than assets acquired and liabilites assumed from the VMware Merger during fscal year 2024.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Balances at</w:t>
            </w:r>
          </w:p>
        </w:tc>
        <w:tc>
          <w:tcPr>
            <w:tcW w:w="1620" w:type="dxa"/>
            <w:vAlign w:val="bottom"/>
            <w:gridSpan w:val="3"/>
          </w:tcPr>
          <w:p>
            <w:pPr>
              <w:jc w:val="center"/>
              <w:ind w:right="100"/>
              <w:spacing w:after="0"/>
              <w:rPr>
                <w:sz w:val="20"/>
                <w:szCs w:val="20"/>
                <w:color w:val="auto"/>
              </w:rPr>
            </w:pPr>
            <w:r>
              <w:rPr>
                <w:rFonts w:ascii="Calibri" w:cs="Calibri" w:eastAsia="Calibri" w:hAnsi="Calibri"/>
                <w:sz w:val="14"/>
                <w:szCs w:val="14"/>
                <w:b w:val="1"/>
                <w:bCs w:val="1"/>
                <w:color w:val="auto"/>
              </w:rPr>
              <w:t>Balances Acquired and</w:t>
            </w:r>
          </w:p>
        </w:tc>
        <w:tc>
          <w:tcPr>
            <w:tcW w:w="34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Calibri" w:cs="Calibri" w:eastAsia="Calibri" w:hAnsi="Calibri"/>
                <w:sz w:val="14"/>
                <w:szCs w:val="14"/>
                <w:b w:val="1"/>
                <w:bCs w:val="1"/>
                <w:color w:val="auto"/>
              </w:rPr>
              <w:t>Balances at</w:t>
            </w:r>
          </w:p>
        </w:tc>
        <w:tc>
          <w:tcPr>
            <w:tcW w:w="240" w:type="dxa"/>
            <w:vAlign w:val="bottom"/>
          </w:tcPr>
          <w:p>
            <w:pPr>
              <w:spacing w:after="0"/>
              <w:rPr>
                <w:sz w:val="14"/>
                <w:szCs w:val="14"/>
                <w:color w:val="auto"/>
              </w:rPr>
            </w:pPr>
          </w:p>
        </w:tc>
        <w:tc>
          <w:tcPr>
            <w:tcW w:w="1300" w:type="dxa"/>
            <w:vAlign w:val="bottom"/>
          </w:tcPr>
          <w:p>
            <w:pPr>
              <w:jc w:val="center"/>
              <w:ind w:right="156"/>
              <w:spacing w:after="0"/>
              <w:rPr>
                <w:sz w:val="20"/>
                <w:szCs w:val="20"/>
                <w:color w:val="auto"/>
              </w:rPr>
            </w:pPr>
            <w:r>
              <w:rPr>
                <w:rFonts w:ascii="Calibri" w:cs="Calibri" w:eastAsia="Calibri" w:hAnsi="Calibri"/>
                <w:sz w:val="14"/>
                <w:szCs w:val="14"/>
                <w:b w:val="1"/>
                <w:bCs w:val="1"/>
                <w:color w:val="auto"/>
              </w:rPr>
              <w:t>Non-VMware</w:t>
            </w:r>
          </w:p>
        </w:tc>
      </w:tr>
      <w:tr>
        <w:trPr>
          <w:trHeight w:val="136"/>
        </w:trPr>
        <w:tc>
          <w:tcPr>
            <w:tcW w:w="4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380"/>
              <w:spacing w:after="0" w:line="136" w:lineRule="exact"/>
              <w:rPr>
                <w:sz w:val="20"/>
                <w:szCs w:val="20"/>
                <w:color w:val="auto"/>
              </w:rPr>
            </w:pPr>
            <w:r>
              <w:rPr>
                <w:rFonts w:ascii="Calibri" w:cs="Calibri" w:eastAsia="Calibri" w:hAnsi="Calibri"/>
                <w:sz w:val="14"/>
                <w:szCs w:val="14"/>
                <w:b w:val="1"/>
                <w:bCs w:val="1"/>
                <w:color w:val="auto"/>
              </w:rPr>
              <w:t>October 29,</w:t>
            </w:r>
          </w:p>
        </w:tc>
        <w:tc>
          <w:tcPr>
            <w:tcW w:w="1620" w:type="dxa"/>
            <w:vAlign w:val="bottom"/>
            <w:gridSpan w:val="3"/>
          </w:tcPr>
          <w:p>
            <w:pPr>
              <w:jc w:val="center"/>
              <w:ind w:right="100"/>
              <w:spacing w:after="0" w:line="136" w:lineRule="exact"/>
              <w:rPr>
                <w:sz w:val="20"/>
                <w:szCs w:val="20"/>
                <w:color w:val="auto"/>
              </w:rPr>
            </w:pPr>
            <w:r>
              <w:rPr>
                <w:rFonts w:ascii="Calibri" w:cs="Calibri" w:eastAsia="Calibri" w:hAnsi="Calibri"/>
                <w:sz w:val="14"/>
                <w:szCs w:val="14"/>
                <w:b w:val="1"/>
                <w:bCs w:val="1"/>
                <w:color w:val="auto"/>
              </w:rPr>
              <w:t>Assumed from VMware</w:t>
            </w:r>
          </w:p>
        </w:tc>
        <w:tc>
          <w:tcPr>
            <w:tcW w:w="340" w:type="dxa"/>
            <w:vAlign w:val="bottom"/>
          </w:tcPr>
          <w:p>
            <w:pPr>
              <w:spacing w:after="0"/>
              <w:rPr>
                <w:sz w:val="11"/>
                <w:szCs w:val="11"/>
                <w:color w:val="auto"/>
              </w:rPr>
            </w:pPr>
          </w:p>
        </w:tc>
        <w:tc>
          <w:tcPr>
            <w:tcW w:w="1280" w:type="dxa"/>
            <w:vAlign w:val="bottom"/>
            <w:gridSpan w:val="2"/>
          </w:tcPr>
          <w:p>
            <w:pPr>
              <w:jc w:val="center"/>
              <w:ind w:right="440"/>
              <w:spacing w:after="0" w:line="136" w:lineRule="exact"/>
              <w:rPr>
                <w:sz w:val="20"/>
                <w:szCs w:val="20"/>
                <w:color w:val="auto"/>
              </w:rPr>
            </w:pPr>
            <w:r>
              <w:rPr>
                <w:rFonts w:ascii="Calibri" w:cs="Calibri" w:eastAsia="Calibri" w:hAnsi="Calibri"/>
                <w:sz w:val="14"/>
                <w:szCs w:val="14"/>
                <w:b w:val="1"/>
                <w:bCs w:val="1"/>
                <w:color w:val="auto"/>
              </w:rPr>
              <w:t>November 3,</w:t>
            </w:r>
          </w:p>
        </w:tc>
        <w:tc>
          <w:tcPr>
            <w:tcW w:w="240" w:type="dxa"/>
            <w:vAlign w:val="bottom"/>
          </w:tcPr>
          <w:p>
            <w:pPr>
              <w:spacing w:after="0"/>
              <w:rPr>
                <w:sz w:val="11"/>
                <w:szCs w:val="11"/>
                <w:color w:val="auto"/>
              </w:rPr>
            </w:pPr>
          </w:p>
        </w:tc>
        <w:tc>
          <w:tcPr>
            <w:tcW w:w="1300" w:type="dxa"/>
            <w:vAlign w:val="bottom"/>
          </w:tcPr>
          <w:p>
            <w:pPr>
              <w:jc w:val="center"/>
              <w:ind w:right="156"/>
              <w:spacing w:after="0" w:line="136" w:lineRule="exact"/>
              <w:rPr>
                <w:sz w:val="20"/>
                <w:szCs w:val="20"/>
                <w:color w:val="auto"/>
              </w:rPr>
            </w:pPr>
            <w:r>
              <w:rPr>
                <w:rFonts w:ascii="Calibri" w:cs="Calibri" w:eastAsia="Calibri" w:hAnsi="Calibri"/>
                <w:sz w:val="14"/>
                <w:szCs w:val="14"/>
                <w:b w:val="1"/>
                <w:bCs w:val="1"/>
                <w:color w:val="auto"/>
              </w:rPr>
              <w:t>Acquisiton</w:t>
            </w:r>
          </w:p>
        </w:tc>
      </w:tr>
      <w:tr>
        <w:trPr>
          <w:trHeight w:val="170"/>
        </w:trPr>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176"/>
              <w:spacing w:after="0"/>
              <w:rPr>
                <w:sz w:val="20"/>
                <w:szCs w:val="20"/>
                <w:color w:val="auto"/>
              </w:rPr>
            </w:pPr>
            <w:r>
              <w:rPr>
                <w:rFonts w:ascii="Calibri" w:cs="Calibri" w:eastAsia="Calibri" w:hAnsi="Calibri"/>
                <w:sz w:val="14"/>
                <w:szCs w:val="14"/>
                <w:b w:val="1"/>
                <w:bCs w:val="1"/>
                <w:color w:val="auto"/>
                <w:w w:val="98"/>
              </w:rPr>
              <w:t>2023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Calibri" w:cs="Calibri" w:eastAsia="Calibri" w:hAnsi="Calibri"/>
                <w:sz w:val="14"/>
                <w:szCs w:val="14"/>
                <w:b w:val="1"/>
                <w:bCs w:val="1"/>
                <w:color w:val="auto"/>
              </w:rPr>
              <w:t>(a)</w:t>
            </w:r>
          </w:p>
        </w:tc>
        <w:tc>
          <w:tcPr>
            <w:tcW w:w="340" w:type="dxa"/>
            <w:vAlign w:val="bottom"/>
          </w:tcPr>
          <w:p>
            <w:pPr>
              <w:spacing w:after="0"/>
              <w:rPr>
                <w:sz w:val="14"/>
                <w:szCs w:val="14"/>
                <w:color w:val="auto"/>
              </w:rPr>
            </w:pPr>
          </w:p>
        </w:tc>
        <w:tc>
          <w:tcPr>
            <w:tcW w:w="1180" w:type="dxa"/>
            <w:vAlign w:val="bottom"/>
          </w:tcPr>
          <w:p>
            <w:pPr>
              <w:jc w:val="center"/>
              <w:ind w:right="256"/>
              <w:spacing w:after="0"/>
              <w:rPr>
                <w:sz w:val="20"/>
                <w:szCs w:val="20"/>
                <w:color w:val="auto"/>
              </w:rPr>
            </w:pPr>
            <w:r>
              <w:rPr>
                <w:rFonts w:ascii="Calibri" w:cs="Calibri" w:eastAsia="Calibri" w:hAnsi="Calibri"/>
                <w:sz w:val="14"/>
                <w:szCs w:val="14"/>
                <w:b w:val="1"/>
                <w:bCs w:val="1"/>
                <w:color w:val="auto"/>
                <w:w w:val="98"/>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36"/>
              <w:spacing w:after="0"/>
              <w:rPr>
                <w:sz w:val="20"/>
                <w:szCs w:val="20"/>
                <w:color w:val="auto"/>
              </w:rPr>
            </w:pPr>
            <w:r>
              <w:rPr>
                <w:rFonts w:ascii="Calibri" w:cs="Calibri" w:eastAsia="Calibri" w:hAnsi="Calibri"/>
                <w:sz w:val="14"/>
                <w:szCs w:val="14"/>
                <w:b w:val="1"/>
                <w:bCs w:val="1"/>
                <w:color w:val="auto"/>
              </w:rPr>
              <w:t>Change</w:t>
            </w:r>
          </w:p>
        </w:tc>
      </w:tr>
      <w:tr>
        <w:trPr>
          <w:trHeight w:val="46"/>
        </w:trPr>
        <w:tc>
          <w:tcPr>
            <w:tcW w:w="48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190"/>
        </w:trPr>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47"/>
        </w:trPr>
        <w:tc>
          <w:tcPr>
            <w:tcW w:w="4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30"/>
        </w:trPr>
        <w:tc>
          <w:tcPr>
            <w:tcW w:w="48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Trade accounts receivable, net</w:t>
            </w:r>
          </w:p>
        </w:tc>
        <w:tc>
          <w:tcPr>
            <w:tcW w:w="26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3,154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5"/>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3,571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4,416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(2,309)</w:t>
            </w:r>
          </w:p>
        </w:tc>
      </w:tr>
      <w:tr>
        <w:trPr>
          <w:trHeight w:val="222"/>
        </w:trPr>
        <w:tc>
          <w:tcPr>
            <w:tcW w:w="4840" w:type="dxa"/>
            <w:vAlign w:val="bottom"/>
          </w:tcPr>
          <w:p>
            <w:pPr>
              <w:ind w:left="20"/>
              <w:spacing w:after="0" w:line="215" w:lineRule="exact"/>
              <w:rPr>
                <w:sz w:val="20"/>
                <w:szCs w:val="20"/>
                <w:color w:val="auto"/>
              </w:rPr>
            </w:pPr>
            <w:r>
              <w:rPr>
                <w:rFonts w:ascii="Calibri" w:cs="Calibri" w:eastAsia="Calibri" w:hAnsi="Calibri"/>
                <w:sz w:val="18"/>
                <w:szCs w:val="18"/>
                <w:color w:val="auto"/>
              </w:rPr>
              <w:t>Other current assets</w:t>
            </w: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1,606</w:t>
            </w:r>
          </w:p>
        </w:tc>
        <w:tc>
          <w:tcPr>
            <w:tcW w:w="100" w:type="dxa"/>
            <w:vAlign w:val="bottom"/>
          </w:tcPr>
          <w:p>
            <w:pPr>
              <w:spacing w:after="0"/>
              <w:rPr>
                <w:sz w:val="19"/>
                <w:szCs w:val="19"/>
                <w:color w:val="auto"/>
              </w:rPr>
            </w:pPr>
          </w:p>
        </w:tc>
        <w:tc>
          <w:tcPr>
            <w:tcW w:w="400" w:type="dxa"/>
            <w:vAlign w:val="bottom"/>
          </w:tcPr>
          <w:p>
            <w:pPr>
              <w:jc w:val="right"/>
              <w:ind w:right="195"/>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1,108</w:t>
            </w:r>
          </w:p>
        </w:tc>
        <w:tc>
          <w:tcPr>
            <w:tcW w:w="100" w:type="dxa"/>
            <w:vAlign w:val="bottom"/>
          </w:tcPr>
          <w:p>
            <w:pPr>
              <w:spacing w:after="0"/>
              <w:rPr>
                <w:sz w:val="19"/>
                <w:szCs w:val="19"/>
                <w:color w:val="auto"/>
              </w:rPr>
            </w:pP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4,071</w:t>
            </w:r>
          </w:p>
        </w:tc>
        <w:tc>
          <w:tcPr>
            <w:tcW w:w="100" w:type="dxa"/>
            <w:vAlign w:val="bottom"/>
          </w:tcPr>
          <w:p>
            <w:pPr>
              <w:spacing w:after="0"/>
              <w:rPr>
                <w:sz w:val="19"/>
                <w:szCs w:val="19"/>
                <w:color w:val="auto"/>
              </w:rPr>
            </w:pPr>
          </w:p>
        </w:tc>
        <w:tc>
          <w:tcPr>
            <w:tcW w:w="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1,357</w:t>
            </w:r>
          </w:p>
        </w:tc>
      </w:tr>
      <w:tr>
        <w:trPr>
          <w:trHeight w:val="237"/>
        </w:trPr>
        <w:tc>
          <w:tcPr>
            <w:tcW w:w="48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auto"/>
              </w:rPr>
              <w:t>$</w:t>
            </w:r>
          </w:p>
        </w:tc>
        <w:tc>
          <w:tcPr>
            <w:tcW w:w="12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1,210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5"/>
              <w:spacing w:after="0"/>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359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auto"/>
              </w:rPr>
              <w:t>$</w:t>
            </w:r>
          </w:p>
        </w:tc>
        <w:tc>
          <w:tcPr>
            <w:tcW w:w="13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93</w:t>
            </w:r>
          </w:p>
        </w:tc>
      </w:tr>
      <w:tr>
        <w:trPr>
          <w:trHeight w:val="222"/>
        </w:trPr>
        <w:tc>
          <w:tcPr>
            <w:tcW w:w="4840" w:type="dxa"/>
            <w:vAlign w:val="bottom"/>
          </w:tcPr>
          <w:p>
            <w:pPr>
              <w:ind w:left="20"/>
              <w:spacing w:after="0" w:line="215" w:lineRule="exact"/>
              <w:rPr>
                <w:sz w:val="20"/>
                <w:szCs w:val="20"/>
                <w:color w:val="auto"/>
              </w:rPr>
            </w:pPr>
            <w:r>
              <w:rPr>
                <w:rFonts w:ascii="Calibri" w:cs="Calibri" w:eastAsia="Calibri" w:hAnsi="Calibri"/>
                <w:sz w:val="18"/>
                <w:szCs w:val="18"/>
                <w:color w:val="auto"/>
              </w:rPr>
              <w:t>Employee compensaton and benefts</w:t>
            </w: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935</w:t>
            </w:r>
          </w:p>
        </w:tc>
        <w:tc>
          <w:tcPr>
            <w:tcW w:w="100" w:type="dxa"/>
            <w:vAlign w:val="bottom"/>
          </w:tcPr>
          <w:p>
            <w:pPr>
              <w:spacing w:after="0"/>
              <w:rPr>
                <w:sz w:val="19"/>
                <w:szCs w:val="19"/>
                <w:color w:val="auto"/>
              </w:rPr>
            </w:pPr>
          </w:p>
        </w:tc>
        <w:tc>
          <w:tcPr>
            <w:tcW w:w="400" w:type="dxa"/>
            <w:vAlign w:val="bottom"/>
          </w:tcPr>
          <w:p>
            <w:pPr>
              <w:jc w:val="right"/>
              <w:ind w:right="195"/>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848</w:t>
            </w:r>
          </w:p>
        </w:tc>
        <w:tc>
          <w:tcPr>
            <w:tcW w:w="100" w:type="dxa"/>
            <w:vAlign w:val="bottom"/>
          </w:tcPr>
          <w:p>
            <w:pPr>
              <w:spacing w:after="0"/>
              <w:rPr>
                <w:sz w:val="19"/>
                <w:szCs w:val="19"/>
                <w:color w:val="auto"/>
              </w:rPr>
            </w:pP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1,971</w:t>
            </w:r>
          </w:p>
        </w:tc>
        <w:tc>
          <w:tcPr>
            <w:tcW w:w="100" w:type="dxa"/>
            <w:vAlign w:val="bottom"/>
          </w:tcPr>
          <w:p>
            <w:pPr>
              <w:spacing w:after="0"/>
              <w:rPr>
                <w:sz w:val="19"/>
                <w:szCs w:val="19"/>
                <w:color w:val="auto"/>
              </w:rPr>
            </w:pPr>
          </w:p>
        </w:tc>
        <w:tc>
          <w:tcPr>
            <w:tcW w:w="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188</w:t>
            </w:r>
          </w:p>
        </w:tc>
      </w:tr>
      <w:tr>
        <w:trPr>
          <w:trHeight w:val="237"/>
        </w:trPr>
        <w:tc>
          <w:tcPr>
            <w:tcW w:w="48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Current porton of long-term debt</w:t>
            </w:r>
          </w:p>
        </w:tc>
        <w:tc>
          <w:tcPr>
            <w:tcW w:w="26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auto"/>
              </w:rPr>
              <w:t>$</w:t>
            </w:r>
          </w:p>
        </w:tc>
        <w:tc>
          <w:tcPr>
            <w:tcW w:w="12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1,608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5"/>
              <w:spacing w:after="0"/>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1,264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1,271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auto"/>
              </w:rPr>
              <w:t>$</w:t>
            </w:r>
          </w:p>
        </w:tc>
        <w:tc>
          <w:tcPr>
            <w:tcW w:w="13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(1,601)</w:t>
            </w:r>
          </w:p>
        </w:tc>
      </w:tr>
      <w:tr>
        <w:trPr>
          <w:trHeight w:val="215"/>
        </w:trPr>
        <w:tc>
          <w:tcPr>
            <w:tcW w:w="4840" w:type="dxa"/>
            <w:vAlign w:val="bottom"/>
          </w:tcPr>
          <w:p>
            <w:pPr>
              <w:ind w:left="20"/>
              <w:spacing w:after="0" w:line="215" w:lineRule="exact"/>
              <w:rPr>
                <w:sz w:val="20"/>
                <w:szCs w:val="20"/>
                <w:color w:val="auto"/>
              </w:rPr>
            </w:pPr>
            <w:r>
              <w:rPr>
                <w:rFonts w:ascii="Calibri" w:cs="Calibri" w:eastAsia="Calibri" w:hAnsi="Calibri"/>
                <w:sz w:val="18"/>
                <w:szCs w:val="18"/>
                <w:color w:val="auto"/>
              </w:rPr>
              <w:t>Other current liabilites</w:t>
            </w: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3,652</w:t>
            </w:r>
          </w:p>
        </w:tc>
        <w:tc>
          <w:tcPr>
            <w:tcW w:w="100" w:type="dxa"/>
            <w:vAlign w:val="bottom"/>
          </w:tcPr>
          <w:p>
            <w:pPr>
              <w:spacing w:after="0"/>
              <w:rPr>
                <w:sz w:val="18"/>
                <w:szCs w:val="18"/>
                <w:color w:val="auto"/>
              </w:rPr>
            </w:pPr>
          </w:p>
        </w:tc>
        <w:tc>
          <w:tcPr>
            <w:tcW w:w="400" w:type="dxa"/>
            <w:vAlign w:val="bottom"/>
          </w:tcPr>
          <w:p>
            <w:pPr>
              <w:jc w:val="right"/>
              <w:ind w:right="195"/>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11,217</w:t>
            </w:r>
          </w:p>
        </w:tc>
        <w:tc>
          <w:tcPr>
            <w:tcW w:w="100" w:type="dxa"/>
            <w:vAlign w:val="bottom"/>
          </w:tcPr>
          <w:p>
            <w:pPr>
              <w:spacing w:after="0"/>
              <w:rPr>
                <w:sz w:val="18"/>
                <w:szCs w:val="18"/>
                <w:color w:val="auto"/>
              </w:rPr>
            </w:pP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11,793</w:t>
            </w:r>
          </w:p>
        </w:tc>
        <w:tc>
          <w:tcPr>
            <w:tcW w:w="100" w:type="dxa"/>
            <w:vAlign w:val="bottom"/>
          </w:tcPr>
          <w:p>
            <w:pPr>
              <w:spacing w:after="0"/>
              <w:rPr>
                <w:sz w:val="18"/>
                <w:szCs w:val="18"/>
                <w:color w:val="auto"/>
              </w:rPr>
            </w:pPr>
          </w:p>
        </w:tc>
        <w:tc>
          <w:tcPr>
            <w:tcW w:w="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(3,076)</w:t>
            </w:r>
          </w:p>
        </w:tc>
      </w:tr>
    </w:tbl>
    <w:p>
      <w:pPr>
        <w:spacing w:after="0" w:line="82" w:lineRule="exact"/>
        <w:rPr>
          <w:sz w:val="20"/>
          <w:szCs w:val="20"/>
          <w:color w:val="auto"/>
        </w:rPr>
      </w:pPr>
    </w:p>
    <w:p>
      <w:pPr>
        <w:spacing w:after="0"/>
        <w:rPr>
          <w:sz w:val="20"/>
          <w:szCs w:val="20"/>
          <w:color w:val="auto"/>
        </w:rPr>
      </w:pPr>
      <w:r>
        <w:rPr>
          <w:rFonts w:ascii="Calibri" w:cs="Calibri" w:eastAsia="Calibri" w:hAnsi="Calibri"/>
          <w:sz w:val="18"/>
          <w:szCs w:val="18"/>
          <w:color w:val="auto"/>
        </w:rPr>
        <w:t>_____________________________</w:t>
      </w:r>
    </w:p>
    <w:p>
      <w:pPr>
        <w:spacing w:after="0" w:line="104" w:lineRule="exact"/>
        <w:rPr>
          <w:sz w:val="20"/>
          <w:szCs w:val="20"/>
          <w:color w:val="auto"/>
        </w:rPr>
      </w:pPr>
    </w:p>
    <w:p>
      <w:pPr>
        <w:ind w:left="320" w:hanging="312"/>
        <w:spacing w:after="0"/>
        <w:tabs>
          <w:tab w:leader="none" w:pos="32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Excludes VMware’s EUC assets and liabilites held for sale.</w:t>
      </w:r>
    </w:p>
    <w:p>
      <w:pPr>
        <w:spacing w:after="0" w:line="93" w:lineRule="exact"/>
        <w:rPr>
          <w:rFonts w:ascii="Calibri" w:cs="Calibri" w:eastAsia="Calibri" w:hAnsi="Calibri"/>
          <w:sz w:val="18"/>
          <w:szCs w:val="18"/>
          <w:color w:val="auto"/>
        </w:rPr>
      </w:pPr>
    </w:p>
    <w:p>
      <w:pPr>
        <w:ind w:left="640" w:hanging="227"/>
        <w:spacing w:after="0"/>
        <w:tabs>
          <w:tab w:leader="none" w:pos="640" w:val="left"/>
        </w:tabs>
        <w:numPr>
          <w:ilvl w:val="1"/>
          <w:numId w:val="43"/>
        </w:numPr>
        <w:rPr>
          <w:rFonts w:ascii="Calibri" w:cs="Calibri" w:eastAsia="Calibri" w:hAnsi="Calibri"/>
          <w:sz w:val="20"/>
          <w:szCs w:val="20"/>
          <w:color w:val="auto"/>
        </w:rPr>
      </w:pPr>
      <w:r>
        <w:rPr>
          <w:rFonts w:ascii="Calibri" w:cs="Calibri" w:eastAsia="Calibri" w:hAnsi="Calibri"/>
          <w:sz w:val="18"/>
          <w:szCs w:val="18"/>
          <w:color w:val="auto"/>
        </w:rPr>
        <w:t>Trade accounts receivable, net decreased primarily due to strong collectons and additonal receivables sold through factoring arrangements.</w:t>
      </w:r>
    </w:p>
    <w:p>
      <w:pPr>
        <w:spacing w:after="0" w:line="104" w:lineRule="exact"/>
        <w:rPr>
          <w:rFonts w:ascii="Calibri" w:cs="Calibri" w:eastAsia="Calibri" w:hAnsi="Calibri"/>
          <w:sz w:val="20"/>
          <w:szCs w:val="20"/>
          <w:color w:val="auto"/>
        </w:rPr>
      </w:pPr>
    </w:p>
    <w:p>
      <w:pPr>
        <w:ind w:left="640" w:hanging="227"/>
        <w:spacing w:after="0"/>
        <w:tabs>
          <w:tab w:leader="none" w:pos="640" w:val="left"/>
        </w:tabs>
        <w:numPr>
          <w:ilvl w:val="1"/>
          <w:numId w:val="43"/>
        </w:numPr>
        <w:rPr>
          <w:rFonts w:ascii="Calibri" w:cs="Calibri" w:eastAsia="Calibri" w:hAnsi="Calibri"/>
          <w:sz w:val="18"/>
          <w:szCs w:val="18"/>
          <w:color w:val="auto"/>
        </w:rPr>
      </w:pPr>
      <w:r>
        <w:rPr>
          <w:rFonts w:ascii="Calibri" w:cs="Calibri" w:eastAsia="Calibri" w:hAnsi="Calibri"/>
          <w:sz w:val="18"/>
          <w:szCs w:val="18"/>
          <w:color w:val="auto"/>
        </w:rPr>
        <w:t>Other current assets increased from higher contract assets due to the tming of sofware revenue recogniton.</w:t>
      </w:r>
    </w:p>
    <w:p>
      <w:pPr>
        <w:spacing w:after="0" w:line="109" w:lineRule="exact"/>
        <w:rPr>
          <w:rFonts w:ascii="Calibri" w:cs="Calibri" w:eastAsia="Calibri" w:hAnsi="Calibri"/>
          <w:sz w:val="18"/>
          <w:szCs w:val="18"/>
          <w:color w:val="auto"/>
        </w:rPr>
      </w:pPr>
    </w:p>
    <w:p>
      <w:pPr>
        <w:ind w:left="660" w:right="20" w:hanging="247"/>
        <w:spacing w:after="0" w:line="235" w:lineRule="auto"/>
        <w:tabs>
          <w:tab w:leader="none" w:pos="653" w:val="left"/>
        </w:tabs>
        <w:numPr>
          <w:ilvl w:val="1"/>
          <w:numId w:val="43"/>
        </w:numPr>
        <w:rPr>
          <w:rFonts w:ascii="Calibri" w:cs="Calibri" w:eastAsia="Calibri" w:hAnsi="Calibri"/>
          <w:sz w:val="18"/>
          <w:szCs w:val="18"/>
          <w:color w:val="auto"/>
        </w:rPr>
      </w:pPr>
      <w:r>
        <w:rPr>
          <w:rFonts w:ascii="Calibri" w:cs="Calibri" w:eastAsia="Calibri" w:hAnsi="Calibri"/>
          <w:sz w:val="18"/>
          <w:szCs w:val="18"/>
          <w:color w:val="auto"/>
        </w:rPr>
        <w:t>Current porton of long-term debt decreased primarily due to $2,813 million of repayments, ofset in part by $1,245 million becoming due within the next twelve months.</w:t>
      </w:r>
    </w:p>
    <w:p>
      <w:pPr>
        <w:spacing w:after="0" w:line="104" w:lineRule="exact"/>
        <w:rPr>
          <w:rFonts w:ascii="Calibri" w:cs="Calibri" w:eastAsia="Calibri" w:hAnsi="Calibri"/>
          <w:sz w:val="18"/>
          <w:szCs w:val="18"/>
          <w:color w:val="auto"/>
        </w:rPr>
      </w:pPr>
    </w:p>
    <w:p>
      <w:pPr>
        <w:ind w:left="640" w:hanging="227"/>
        <w:spacing w:after="0"/>
        <w:tabs>
          <w:tab w:leader="none" w:pos="640" w:val="left"/>
        </w:tabs>
        <w:numPr>
          <w:ilvl w:val="1"/>
          <w:numId w:val="43"/>
        </w:numPr>
        <w:rPr>
          <w:rFonts w:ascii="Calibri" w:cs="Calibri" w:eastAsia="Calibri" w:hAnsi="Calibri"/>
          <w:sz w:val="18"/>
          <w:szCs w:val="18"/>
          <w:color w:val="auto"/>
        </w:rPr>
      </w:pPr>
      <w:r>
        <w:rPr>
          <w:rFonts w:ascii="Calibri" w:cs="Calibri" w:eastAsia="Calibri" w:hAnsi="Calibri"/>
          <w:sz w:val="18"/>
          <w:szCs w:val="18"/>
          <w:color w:val="auto"/>
        </w:rPr>
        <w:t>Other current liabilites decreased primarily from lower contract liabilites as sofware revenue was recognized from previous sofware contracts.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Capital Returns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4"/>
          </w:tcPr>
          <w:p>
            <w:pPr>
              <w:jc w:val="right"/>
              <w:ind w:right="776"/>
              <w:spacing w:after="0"/>
              <w:rPr>
                <w:sz w:val="20"/>
                <w:szCs w:val="20"/>
                <w:color w:val="auto"/>
              </w:rPr>
            </w:pPr>
            <w:r>
              <w:rPr>
                <w:rFonts w:ascii="Calibri" w:cs="Calibri" w:eastAsia="Calibri" w:hAnsi="Calibri"/>
                <w:sz w:val="14"/>
                <w:szCs w:val="14"/>
                <w:b w:val="1"/>
                <w:bCs w:val="1"/>
                <w:color w:val="auto"/>
              </w:rPr>
              <w:t>Fiscal Year Ended</w:t>
            </w:r>
          </w:p>
        </w:tc>
        <w:tc>
          <w:tcPr>
            <w:tcW w:w="0" w:type="dxa"/>
            <w:vAlign w:val="bottom"/>
          </w:tcPr>
          <w:p>
            <w:pPr>
              <w:spacing w:after="0"/>
              <w:rPr>
                <w:sz w:val="1"/>
                <w:szCs w:val="1"/>
                <w:color w:val="auto"/>
              </w:rPr>
            </w:pPr>
          </w:p>
        </w:tc>
      </w:tr>
      <w:tr>
        <w:trPr>
          <w:trHeight w:val="47"/>
        </w:trPr>
        <w:tc>
          <w:tcPr>
            <w:tcW w:w="8520" w:type="dxa"/>
            <w:vAlign w:val="bottom"/>
            <w:gridSpan w:val="2"/>
            <w:vMerge w:val="restart"/>
          </w:tcPr>
          <w:p>
            <w:pPr>
              <w:ind w:left="20"/>
              <w:spacing w:after="0"/>
              <w:rPr>
                <w:sz w:val="20"/>
                <w:szCs w:val="20"/>
                <w:color w:val="auto"/>
              </w:rPr>
            </w:pPr>
            <w:r>
              <w:rPr>
                <w:rFonts w:ascii="Calibri" w:cs="Calibri" w:eastAsia="Calibri" w:hAnsi="Calibri"/>
                <w:sz w:val="14"/>
                <w:szCs w:val="14"/>
                <w:b w:val="1"/>
                <w:bCs w:val="1"/>
                <w:color w:val="auto"/>
              </w:rPr>
              <w:t>Cash Dividends Declared and Paid</w:t>
            </w:r>
          </w:p>
        </w:tc>
        <w:tc>
          <w:tcPr>
            <w:tcW w:w="140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8520" w:type="dxa"/>
            <w:vAlign w:val="bottom"/>
            <w:gridSpan w:val="2"/>
            <w:vMerge w:val="continue"/>
          </w:tcPr>
          <w:p>
            <w:pPr>
              <w:spacing w:after="0"/>
              <w:rPr>
                <w:sz w:val="14"/>
                <w:szCs w:val="14"/>
                <w:color w:val="auto"/>
              </w:rPr>
            </w:pPr>
          </w:p>
        </w:tc>
        <w:tc>
          <w:tcPr>
            <w:tcW w:w="1400" w:type="dxa"/>
            <w:vAlign w:val="bottom"/>
            <w:gridSpan w:val="3"/>
          </w:tcPr>
          <w:p>
            <w:pPr>
              <w:ind w:left="100"/>
              <w:spacing w:after="0" w:line="164" w:lineRule="exact"/>
              <w:rPr>
                <w:sz w:val="20"/>
                <w:szCs w:val="20"/>
                <w:color w:val="auto"/>
              </w:rPr>
            </w:pPr>
            <w:r>
              <w:rPr>
                <w:rFonts w:ascii="Calibri" w:cs="Calibri" w:eastAsia="Calibri" w:hAnsi="Calibri"/>
                <w:sz w:val="14"/>
                <w:szCs w:val="14"/>
                <w:b w:val="1"/>
                <w:bCs w:val="1"/>
                <w:color w:val="auto"/>
              </w:rPr>
              <w:t>November 3, 2024</w:t>
            </w:r>
          </w:p>
        </w:tc>
        <w:tc>
          <w:tcPr>
            <w:tcW w:w="120" w:type="dxa"/>
            <w:vAlign w:val="bottom"/>
          </w:tcPr>
          <w:p>
            <w:pPr>
              <w:spacing w:after="0"/>
              <w:rPr>
                <w:sz w:val="14"/>
                <w:szCs w:val="14"/>
                <w:color w:val="auto"/>
              </w:rPr>
            </w:pPr>
          </w:p>
        </w:tc>
        <w:tc>
          <w:tcPr>
            <w:tcW w:w="1200" w:type="dxa"/>
            <w:vAlign w:val="bottom"/>
          </w:tcPr>
          <w:p>
            <w:pPr>
              <w:jc w:val="right"/>
              <w:ind w:right="56"/>
              <w:spacing w:after="0" w:line="164" w:lineRule="exact"/>
              <w:rPr>
                <w:sz w:val="20"/>
                <w:szCs w:val="20"/>
                <w:color w:val="auto"/>
              </w:rPr>
            </w:pPr>
            <w:r>
              <w:rPr>
                <w:rFonts w:ascii="Calibri" w:cs="Calibri" w:eastAsia="Calibri" w:hAnsi="Calibri"/>
                <w:sz w:val="14"/>
                <w:szCs w:val="14"/>
                <w:b w:val="1"/>
                <w:bCs w:val="1"/>
                <w:color w:val="auto"/>
              </w:rPr>
              <w:t>October 29, 2023</w:t>
            </w:r>
          </w:p>
        </w:tc>
        <w:tc>
          <w:tcPr>
            <w:tcW w:w="0" w:type="dxa"/>
            <w:vAlign w:val="bottom"/>
          </w:tcPr>
          <w:p>
            <w:pPr>
              <w:spacing w:after="0"/>
              <w:rPr>
                <w:sz w:val="1"/>
                <w:szCs w:val="1"/>
                <w:color w:val="auto"/>
              </w:rPr>
            </w:pPr>
          </w:p>
        </w:tc>
      </w:tr>
      <w:tr>
        <w:trPr>
          <w:trHeight w:val="33"/>
        </w:trPr>
        <w:tc>
          <w:tcPr>
            <w:tcW w:w="8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4"/>
          </w:tcPr>
          <w:p>
            <w:pPr>
              <w:jc w:val="right"/>
              <w:ind w:right="256"/>
              <w:spacing w:after="0"/>
              <w:rPr>
                <w:sz w:val="20"/>
                <w:szCs w:val="20"/>
                <w:color w:val="auto"/>
              </w:rPr>
            </w:pPr>
            <w:r>
              <w:rPr>
                <w:rFonts w:ascii="Calibri" w:cs="Calibri" w:eastAsia="Calibri" w:hAnsi="Calibri"/>
                <w:sz w:val="14"/>
                <w:szCs w:val="14"/>
                <w:b w:val="1"/>
                <w:bCs w:val="1"/>
                <w:color w:val="auto"/>
              </w:rPr>
              <w:t>(In millions, except per share data)</w:t>
            </w:r>
          </w:p>
        </w:tc>
        <w:tc>
          <w:tcPr>
            <w:tcW w:w="0" w:type="dxa"/>
            <w:vAlign w:val="bottom"/>
          </w:tcPr>
          <w:p>
            <w:pPr>
              <w:spacing w:after="0"/>
              <w:rPr>
                <w:sz w:val="1"/>
                <w:szCs w:val="1"/>
                <w:color w:val="auto"/>
              </w:rPr>
            </w:pPr>
          </w:p>
        </w:tc>
      </w:tr>
      <w:tr>
        <w:trPr>
          <w:trHeight w:val="47"/>
        </w:trPr>
        <w:tc>
          <w:tcPr>
            <w:tcW w:w="8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Dividends per share to common stockholders</w:t>
            </w:r>
          </w:p>
        </w:tc>
        <w:tc>
          <w:tcPr>
            <w:tcW w:w="220" w:type="dxa"/>
            <w:vAlign w:val="bottom"/>
            <w:shd w:val="clear" w:color="auto" w:fill="CCEEFF"/>
          </w:tcPr>
          <w:p>
            <w:pPr>
              <w:jc w:val="right"/>
              <w:ind w:right="36"/>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1.840</w:t>
            </w:r>
          </w:p>
        </w:tc>
        <w:tc>
          <w:tcPr>
            <w:tcW w:w="0" w:type="dxa"/>
            <w:vAlign w:val="bottom"/>
          </w:tcPr>
          <w:p>
            <w:pPr>
              <w:spacing w:after="0"/>
              <w:rPr>
                <w:sz w:val="1"/>
                <w:szCs w:val="1"/>
                <w:color w:val="auto"/>
              </w:rPr>
            </w:pPr>
          </w:p>
        </w:tc>
      </w:tr>
      <w:tr>
        <w:trPr>
          <w:trHeight w:val="215"/>
        </w:trPr>
        <w:tc>
          <w:tcPr>
            <w:tcW w:w="852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Dividends to common stockholders</w:t>
            </w:r>
          </w:p>
        </w:tc>
        <w:tc>
          <w:tcPr>
            <w:tcW w:w="220" w:type="dxa"/>
            <w:vAlign w:val="bottom"/>
          </w:tcPr>
          <w:p>
            <w:pPr>
              <w:jc w:val="right"/>
              <w:ind w:right="36"/>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9,814</w:t>
            </w:r>
          </w:p>
        </w:tc>
        <w:tc>
          <w:tcPr>
            <w:tcW w:w="12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7,645</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260" w:firstLine="405"/>
        <w:spacing w:after="0" w:line="251" w:lineRule="auto"/>
        <w:rPr>
          <w:sz w:val="20"/>
          <w:szCs w:val="20"/>
          <w:color w:val="auto"/>
        </w:rPr>
      </w:pPr>
      <w:r>
        <w:rPr>
          <w:rFonts w:ascii="Calibri" w:cs="Calibri" w:eastAsia="Calibri" w:hAnsi="Calibri"/>
          <w:sz w:val="17"/>
          <w:szCs w:val="17"/>
          <w:color w:val="auto"/>
        </w:rPr>
        <w:t>In December 2021, our Board of Directors authorized a stock repurchase program to repurchase up to $10 billion of our common stock from tme to tme through December 31, 2022, which was subsequently extended to December 31, 2023. In May 2022, our Board of Directors authorized another stock repurchase program to repurchase up to an additonal $10 billion of our common stock from tme to tme through December 31, 2023. During fscal years 2024 and 2023, we repurchased and retred approximately 67 million and 91 million shares of our common stock for $7,176 million and $5,824 million, respectvely. All $20 billion of the authorized amount under these stock repurchase programs was utlized prior to expiraton on December 31, 2023.</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140" w:firstLine="405"/>
        <w:spacing w:after="0" w:line="235" w:lineRule="auto"/>
        <w:rPr>
          <w:sz w:val="20"/>
          <w:szCs w:val="20"/>
          <w:color w:val="auto"/>
        </w:rPr>
      </w:pPr>
      <w:r>
        <w:rPr>
          <w:rFonts w:ascii="Calibri" w:cs="Calibri" w:eastAsia="Calibri" w:hAnsi="Calibri"/>
          <w:sz w:val="18"/>
          <w:szCs w:val="18"/>
          <w:color w:val="auto"/>
        </w:rPr>
        <w:t>During fscal years 2024 and 2023, we paid approximately $5,216 million and $1,861 million, respectvely, in employee withholding taxes due upon the vestng of net setled equity awards. We withheld approximately 38 million and 26 million shares of common stock from employees in connecton with such net share setlements during fscal years 2024 and 2023, respectvely.</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Flows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4"/>
          </w:tcPr>
          <w:p>
            <w:pPr>
              <w:jc w:val="right"/>
              <w:ind w:right="774"/>
              <w:spacing w:after="0"/>
              <w:rPr>
                <w:sz w:val="20"/>
                <w:szCs w:val="20"/>
                <w:color w:val="auto"/>
              </w:rPr>
            </w:pPr>
            <w:r>
              <w:rPr>
                <w:rFonts w:ascii="Calibri" w:cs="Calibri" w:eastAsia="Calibri" w:hAnsi="Calibri"/>
                <w:sz w:val="14"/>
                <w:szCs w:val="14"/>
                <w:b w:val="1"/>
                <w:bCs w:val="1"/>
                <w:color w:val="auto"/>
              </w:rPr>
              <w:t>Fiscal Year Ended</w:t>
            </w:r>
          </w:p>
        </w:tc>
      </w:tr>
      <w:tr>
        <w:trPr>
          <w:trHeight w:val="47"/>
        </w:trPr>
        <w:tc>
          <w:tcPr>
            <w:tcW w:w="84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163"/>
        </w:trPr>
        <w:tc>
          <w:tcPr>
            <w:tcW w:w="8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spacing w:after="0" w:line="164" w:lineRule="exact"/>
              <w:rPr>
                <w:sz w:val="20"/>
                <w:szCs w:val="20"/>
                <w:color w:val="auto"/>
              </w:rPr>
            </w:pPr>
            <w:r>
              <w:rPr>
                <w:rFonts w:ascii="Calibri" w:cs="Calibri" w:eastAsia="Calibri" w:hAnsi="Calibri"/>
                <w:sz w:val="14"/>
                <w:szCs w:val="14"/>
                <w:b w:val="1"/>
                <w:bCs w:val="1"/>
                <w:color w:val="auto"/>
              </w:rPr>
              <w:t>November 3, 2024</w:t>
            </w:r>
          </w:p>
        </w:tc>
        <w:tc>
          <w:tcPr>
            <w:tcW w:w="120" w:type="dxa"/>
            <w:vAlign w:val="bottom"/>
          </w:tcPr>
          <w:p>
            <w:pPr>
              <w:spacing w:after="0"/>
              <w:rPr>
                <w:sz w:val="14"/>
                <w:szCs w:val="14"/>
                <w:color w:val="auto"/>
              </w:rPr>
            </w:pPr>
          </w:p>
        </w:tc>
        <w:tc>
          <w:tcPr>
            <w:tcW w:w="1200" w:type="dxa"/>
            <w:vAlign w:val="bottom"/>
          </w:tcPr>
          <w:p>
            <w:pPr>
              <w:jc w:val="right"/>
              <w:ind w:right="54"/>
              <w:spacing w:after="0" w:line="164" w:lineRule="exact"/>
              <w:rPr>
                <w:sz w:val="20"/>
                <w:szCs w:val="20"/>
                <w:color w:val="auto"/>
              </w:rPr>
            </w:pPr>
            <w:r>
              <w:rPr>
                <w:rFonts w:ascii="Calibri" w:cs="Calibri" w:eastAsia="Calibri" w:hAnsi="Calibri"/>
                <w:sz w:val="14"/>
                <w:szCs w:val="14"/>
                <w:b w:val="1"/>
                <w:bCs w:val="1"/>
                <w:color w:val="auto"/>
              </w:rPr>
              <w:t>October 29, 2023</w:t>
            </w:r>
          </w:p>
        </w:tc>
      </w:tr>
      <w:tr>
        <w:trPr>
          <w:trHeight w:val="33"/>
        </w:trPr>
        <w:tc>
          <w:tcPr>
            <w:tcW w:w="8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r>
      <w:tr>
        <w:trPr>
          <w:trHeight w:val="189"/>
        </w:trPr>
        <w:tc>
          <w:tcPr>
            <w:tcW w:w="8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4"/>
          </w:tcPr>
          <w:p>
            <w:pPr>
              <w:jc w:val="right"/>
              <w:ind w:right="934"/>
              <w:spacing w:after="0"/>
              <w:rPr>
                <w:sz w:val="20"/>
                <w:szCs w:val="20"/>
                <w:color w:val="auto"/>
              </w:rPr>
            </w:pPr>
            <w:r>
              <w:rPr>
                <w:rFonts w:ascii="Calibri" w:cs="Calibri" w:eastAsia="Calibri" w:hAnsi="Calibri"/>
                <w:sz w:val="14"/>
                <w:szCs w:val="14"/>
                <w:b w:val="1"/>
                <w:bCs w:val="1"/>
                <w:color w:val="auto"/>
              </w:rPr>
              <w:t>(In millions)</w:t>
            </w:r>
          </w:p>
        </w:tc>
      </w:tr>
      <w:tr>
        <w:trPr>
          <w:trHeight w:val="47"/>
        </w:trPr>
        <w:tc>
          <w:tcPr>
            <w:tcW w:w="8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30"/>
        </w:trPr>
        <w:tc>
          <w:tcPr>
            <w:tcW w:w="84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Net cash provided by operatng actvites</w:t>
            </w: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19,962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18,085</w:t>
            </w:r>
          </w:p>
        </w:tc>
      </w:tr>
      <w:tr>
        <w:trPr>
          <w:trHeight w:val="222"/>
        </w:trPr>
        <w:tc>
          <w:tcPr>
            <w:tcW w:w="8480" w:type="dxa"/>
            <w:vAlign w:val="bottom"/>
          </w:tcPr>
          <w:p>
            <w:pPr>
              <w:ind w:left="20"/>
              <w:spacing w:after="0" w:line="215" w:lineRule="exact"/>
              <w:rPr>
                <w:sz w:val="20"/>
                <w:szCs w:val="20"/>
                <w:color w:val="auto"/>
              </w:rPr>
            </w:pPr>
            <w:r>
              <w:rPr>
                <w:rFonts w:ascii="Calibri" w:cs="Calibri" w:eastAsia="Calibri" w:hAnsi="Calibri"/>
                <w:sz w:val="18"/>
                <w:szCs w:val="18"/>
                <w:color w:val="auto"/>
              </w:rPr>
              <w:t>Net cash used in investng actvites</w:t>
            </w:r>
          </w:p>
        </w:tc>
        <w:tc>
          <w:tcPr>
            <w:tcW w:w="120" w:type="dxa"/>
            <w:vAlign w:val="bottom"/>
          </w:tcPr>
          <w:p>
            <w:pPr>
              <w:spacing w:after="0"/>
              <w:rPr>
                <w:sz w:val="19"/>
                <w:szCs w:val="19"/>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(23,070)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(689)</w:t>
            </w:r>
          </w:p>
        </w:tc>
      </w:tr>
      <w:tr>
        <w:trPr>
          <w:trHeight w:val="230"/>
        </w:trPr>
        <w:tc>
          <w:tcPr>
            <w:tcW w:w="84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Net cash used in fnancing actvites</w:t>
            </w: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(1,733)</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(15,623)</w:t>
            </w:r>
          </w:p>
        </w:tc>
      </w:tr>
      <w:tr>
        <w:trPr>
          <w:trHeight w:val="229"/>
        </w:trPr>
        <w:tc>
          <w:tcPr>
            <w:tcW w:w="8480" w:type="dxa"/>
            <w:vAlign w:val="bottom"/>
          </w:tcPr>
          <w:p>
            <w:pPr>
              <w:ind w:left="140"/>
              <w:spacing w:after="0"/>
              <w:rPr>
                <w:sz w:val="20"/>
                <w:szCs w:val="20"/>
                <w:color w:val="auto"/>
              </w:rPr>
            </w:pPr>
            <w:r>
              <w:rPr>
                <w:rFonts w:ascii="Calibri" w:cs="Calibri" w:eastAsia="Calibri" w:hAnsi="Calibri"/>
                <w:sz w:val="18"/>
                <w:szCs w:val="18"/>
                <w:color w:val="auto"/>
              </w:rPr>
              <w:t>Net change in cash and cash equivalents</w:t>
            </w:r>
          </w:p>
        </w:tc>
        <w:tc>
          <w:tcPr>
            <w:tcW w:w="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(4,841)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1,773</w:t>
            </w:r>
          </w:p>
        </w:tc>
      </w:tr>
      <w:tr>
        <w:trPr>
          <w:trHeight w:val="21"/>
        </w:trPr>
        <w:tc>
          <w:tcPr>
            <w:tcW w:w="8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20"/>
        <w:spacing w:after="0"/>
        <w:rPr>
          <w:sz w:val="20"/>
          <w:szCs w:val="20"/>
          <w:color w:val="auto"/>
        </w:rPr>
      </w:pPr>
      <w:r>
        <w:rPr>
          <w:rFonts w:ascii="Calibri" w:cs="Calibri" w:eastAsia="Calibri" w:hAnsi="Calibri"/>
          <w:sz w:val="18"/>
          <w:szCs w:val="18"/>
          <w:b w:val="1"/>
          <w:bCs w:val="1"/>
          <w:i w:val="1"/>
          <w:iCs w:val="1"/>
          <w:color w:val="auto"/>
        </w:rPr>
        <w:t>Operatng Actvites</w:t>
      </w:r>
    </w:p>
    <w:p>
      <w:pPr>
        <w:spacing w:after="0" w:line="104"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Cash fows from operatng actvites consisted of net income adjusted for certain non-cash and other items and changes in assets and liabilites. The</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$1,877 million increase in cash provided by operatons during fscal year 2024 compared to fscal year 2023 was primarily due to contributons from VMware.</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The $8,187 million decrease in net income was largely driven by $13,058 million higher non-cash adjustments including amortzaton of intangible assets,</w:t>
      </w:r>
    </w:p>
    <w:p>
      <w:pPr>
        <w:spacing w:after="0" w:line="235" w:lineRule="auto"/>
        <w:rPr>
          <w:sz w:val="20"/>
          <w:szCs w:val="20"/>
          <w:color w:val="auto"/>
        </w:rPr>
      </w:pPr>
      <w:r>
        <w:rPr>
          <w:rFonts w:ascii="Calibri" w:cs="Calibri" w:eastAsia="Calibri" w:hAnsi="Calibri"/>
          <w:sz w:val="18"/>
          <w:szCs w:val="18"/>
          <w:color w:val="auto"/>
        </w:rPr>
        <w:t>stock-based compensaton, and deferred taxes and other non-cash taxes related to the VMware Merger.</w:t>
      </w:r>
    </w:p>
    <w:p>
      <w:pPr>
        <w:spacing w:after="0" w:line="105" w:lineRule="exact"/>
        <w:rPr>
          <w:sz w:val="20"/>
          <w:szCs w:val="20"/>
          <w:color w:val="auto"/>
        </w:rPr>
      </w:pPr>
    </w:p>
    <w:p>
      <w:pPr>
        <w:ind w:left="420"/>
        <w:spacing w:after="0"/>
        <w:rPr>
          <w:sz w:val="20"/>
          <w:szCs w:val="20"/>
          <w:color w:val="auto"/>
        </w:rPr>
      </w:pPr>
      <w:r>
        <w:rPr>
          <w:rFonts w:ascii="Calibri" w:cs="Calibri" w:eastAsia="Calibri" w:hAnsi="Calibri"/>
          <w:sz w:val="18"/>
          <w:szCs w:val="18"/>
          <w:b w:val="1"/>
          <w:bCs w:val="1"/>
          <w:i w:val="1"/>
          <w:iCs w:val="1"/>
          <w:color w:val="auto"/>
        </w:rPr>
        <w:t>Investng Actvites</w:t>
      </w:r>
    </w:p>
    <w:p>
      <w:pPr>
        <w:spacing w:after="0" w:line="109"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color w:val="auto"/>
        </w:rPr>
        <w:t>Cash fows from investng actvites primarily consisted of cash used for acquisitons, proceeds from the sale of a business, capital expenditures, and proceeds and payments related to investments. The $22,381 million increase in cash used in investng actvites for fscal year 2024 compared to fscal year 2023 was primarily due to a $25,925 million increase in cash used for acquisitons due to the VMware Merger and the acquisiton of Seagate’s SoC operatons, net of cash acquired, ofset in part by $3,485 million proceeds from the sale of the EUC business.</w:t>
      </w:r>
    </w:p>
    <w:p>
      <w:pPr>
        <w:spacing w:after="0" w:line="107" w:lineRule="exact"/>
        <w:rPr>
          <w:sz w:val="20"/>
          <w:szCs w:val="20"/>
          <w:color w:val="auto"/>
        </w:rPr>
      </w:pPr>
    </w:p>
    <w:p>
      <w:pPr>
        <w:ind w:left="420"/>
        <w:spacing w:after="0"/>
        <w:rPr>
          <w:sz w:val="20"/>
          <w:szCs w:val="20"/>
          <w:color w:val="auto"/>
        </w:rPr>
      </w:pPr>
      <w:r>
        <w:rPr>
          <w:rFonts w:ascii="Calibri" w:cs="Calibri" w:eastAsia="Calibri" w:hAnsi="Calibri"/>
          <w:sz w:val="18"/>
          <w:szCs w:val="18"/>
          <w:b w:val="1"/>
          <w:bCs w:val="1"/>
          <w:i w:val="1"/>
          <w:iCs w:val="1"/>
          <w:color w:val="auto"/>
        </w:rPr>
        <w:t>Financing Actvites</w:t>
      </w:r>
    </w:p>
    <w:p>
      <w:pPr>
        <w:spacing w:after="0" w:line="109"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Cash fows from fnancing actvites primarily consisted of proceeds and payments related to our long-term borrowings, dividend payments, stock repurchases, and employee withholding tax payments related to net setled equity awards. The $13,890 million increase in cash fows from fnancing actvites for fscal year 2024 compared to fscal year 2023 was primarily due to $39,954 million of net proceeds from the 2023 Term Loans and the issuance of senior notes, ofset in part by a $19,205 million increase in payments on debt obligatons, a $3,355 million increase in employee withholding tax payments related to net setled equity awards, a $2,169 million increase in dividend payments, and a $1,352 million increase in stock repurchases.</w:t>
      </w:r>
    </w:p>
    <w:p>
      <w:pPr>
        <w:spacing w:after="0" w:line="112" w:lineRule="exact"/>
        <w:rPr>
          <w:sz w:val="20"/>
          <w:szCs w:val="20"/>
          <w:color w:val="auto"/>
        </w:rPr>
      </w:pPr>
    </w:p>
    <w:p>
      <w:pPr>
        <w:ind w:right="5320"/>
        <w:spacing w:after="0" w:line="348" w:lineRule="auto"/>
        <w:rPr>
          <w:sz w:val="20"/>
          <w:szCs w:val="20"/>
          <w:color w:val="auto"/>
        </w:rPr>
      </w:pPr>
      <w:r>
        <w:rPr>
          <w:rFonts w:ascii="Calibri" w:cs="Calibri" w:eastAsia="Calibri" w:hAnsi="Calibri"/>
          <w:sz w:val="18"/>
          <w:szCs w:val="18"/>
          <w:b w:val="1"/>
          <w:bCs w:val="1"/>
          <w:color w:val="auto"/>
        </w:rPr>
        <w:t xml:space="preserve">ITEM 7A. QUANTITATIVE AND QUALITATIVE DISCLOSURES ABOUT MARKET RISK </w:t>
      </w:r>
      <w:r>
        <w:rPr>
          <w:rFonts w:ascii="Calibri" w:cs="Calibri" w:eastAsia="Calibri" w:hAnsi="Calibri"/>
          <w:sz w:val="18"/>
          <w:szCs w:val="18"/>
          <w:b w:val="1"/>
          <w:bCs w:val="1"/>
          <w:i w:val="1"/>
          <w:iCs w:val="1"/>
          <w:color w:val="auto"/>
        </w:rPr>
        <w:t>Foreign Currency Exchange Risk</w:t>
      </w:r>
    </w:p>
    <w:p>
      <w:pPr>
        <w:spacing w:after="0" w:line="11" w:lineRule="exact"/>
        <w:rPr>
          <w:sz w:val="20"/>
          <w:szCs w:val="20"/>
          <w:color w:val="auto"/>
        </w:rPr>
      </w:pPr>
    </w:p>
    <w:p>
      <w:pPr>
        <w:ind w:right="120" w:firstLine="405"/>
        <w:spacing w:after="0" w:line="235" w:lineRule="auto"/>
        <w:rPr>
          <w:sz w:val="20"/>
          <w:szCs w:val="20"/>
          <w:color w:val="auto"/>
        </w:rPr>
      </w:pPr>
      <w:r>
        <w:rPr>
          <w:rFonts w:ascii="Calibri" w:cs="Calibri" w:eastAsia="Calibri" w:hAnsi="Calibri"/>
          <w:sz w:val="18"/>
          <w:szCs w:val="18"/>
          <w:color w:val="auto"/>
        </w:rPr>
        <w:t>From tme to tme, we use foreign exchange forward contracts to hedge a porton of our exposures to changes in currency exchange rates, which result from our global operatng and fnancing actvites. We do not use derivatve fnancial instruments for trading or speculatve purposes. A hypothetcal 10% change in currency exchange rates would not have a material impact on our consolidated fnancial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Interest Rate Risk</w:t>
      </w:r>
    </w:p>
    <w:p>
      <w:pPr>
        <w:spacing w:after="0" w:line="109" w:lineRule="exact"/>
        <w:rPr>
          <w:sz w:val="20"/>
          <w:szCs w:val="20"/>
          <w:color w:val="auto"/>
        </w:rPr>
      </w:pPr>
    </w:p>
    <w:p>
      <w:pPr>
        <w:ind w:firstLine="405"/>
        <w:spacing w:after="0" w:line="251" w:lineRule="auto"/>
        <w:rPr>
          <w:sz w:val="20"/>
          <w:szCs w:val="20"/>
          <w:color w:val="auto"/>
        </w:rPr>
      </w:pPr>
      <w:r>
        <w:rPr>
          <w:rFonts w:ascii="Calibri" w:cs="Calibri" w:eastAsia="Calibri" w:hAnsi="Calibri"/>
          <w:sz w:val="17"/>
          <w:szCs w:val="17"/>
          <w:color w:val="auto"/>
        </w:rPr>
        <w:t>Changes in interest rates afect the fair value of our outstanding fxed rate senior notes. As of November 3, 2024 and October 29, 2023, we had $56.3 billion and $40.8 billion in principal amount of fxed rate senior notes outstanding, and the estmated aggregate fair value of these senior notes was $51.4 billion and $33.2 billion, respectvely. As of November 3, 2024 and October 29, 2023, a hypothetcal 50 basis point increase or decrease in market interest rates would change the fair value of our fxed rate senior notes by approximately $1.7 billion and $1.4 billion, respectvely. However, this hypothetcal change in interest rates would not impact the interest expense on our fxed rate senior notes outstanding. To hedge variability of cash fows due to changes in the benchmark interest rate of antcipated future debt issuances, we have entered, and in the future may enter, into treasury rate lock contracts.</w:t>
      </w:r>
    </w:p>
    <w:p>
      <w:pPr>
        <w:spacing w:after="0" w:line="102" w:lineRule="exact"/>
        <w:rPr>
          <w:sz w:val="20"/>
          <w:szCs w:val="20"/>
          <w:color w:val="auto"/>
        </w:rPr>
      </w:pPr>
    </w:p>
    <w:p>
      <w:pPr>
        <w:ind w:right="100" w:firstLine="405"/>
        <w:spacing w:after="0" w:line="235" w:lineRule="auto"/>
        <w:rPr>
          <w:sz w:val="20"/>
          <w:szCs w:val="20"/>
          <w:color w:val="auto"/>
        </w:rPr>
      </w:pPr>
      <w:r>
        <w:rPr>
          <w:rFonts w:ascii="Calibri" w:cs="Calibri" w:eastAsia="Calibri" w:hAnsi="Calibri"/>
          <w:sz w:val="18"/>
          <w:szCs w:val="18"/>
          <w:color w:val="auto"/>
        </w:rPr>
        <w:t>As of November 3, 2024, we had $13.6 billion of outstanding 2023 Term Loans, which are subject to foatng interest rates. A hypothetcal 100 basis point change in the interest rate would increase or decrease the interest expense on the 2023 Term Loans for the next 12 months by approximately $137 million. The carrying value of the 2023 Term Loans approximates their fair value as the underlying interest rates are ted to the Secured Overnight Financing Rate. We had no foatng rate debt outstanding as of October 29, 2023.</w:t>
      </w: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Calibri" w:cs="Calibri" w:eastAsia="Calibri" w:hAnsi="Calibri"/>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 w:right="439" w:bottom="1440" w:gutter="0" w:footer="0" w:header="0"/>
        </w:sectPr>
      </w:pPr>
    </w:p>
    <w:bookmarkStart w:id="49" w:name="page50"/>
    <w:bookmarkEnd w:id="4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18"/>
          <w:szCs w:val="18"/>
          <w:b w:val="1"/>
          <w:bCs w:val="1"/>
          <w:color w:val="auto"/>
        </w:rPr>
        <w:t>ITEM 8.</w:t>
      </w:r>
      <w:r>
        <w:rPr>
          <w:sz w:val="20"/>
          <w:szCs w:val="20"/>
          <w:color w:val="auto"/>
        </w:rPr>
        <w:tab/>
      </w:r>
      <w:r>
        <w:rPr>
          <w:rFonts w:ascii="Calibri" w:cs="Calibri" w:eastAsia="Calibri" w:hAnsi="Calibri"/>
          <w:sz w:val="17"/>
          <w:szCs w:val="17"/>
          <w:b w:val="1"/>
          <w:bCs w:val="1"/>
          <w:color w:val="auto"/>
        </w:rPr>
        <w:t>FINANCIAL STATEMENTS AND SUPPLEMENTARY DATA</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BROADCOM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INDEX TO CONSOLIDATED FINANCIAL STATEMENTS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40" w:type="dxa"/>
            <w:vAlign w:val="bottom"/>
            <w:gridSpan w:val="4"/>
          </w:tcPr>
          <w:p>
            <w:pPr>
              <w:jc w:val="center"/>
              <w:ind w:right="20"/>
              <w:spacing w:after="0"/>
              <w:rPr>
                <w:sz w:val="20"/>
                <w:szCs w:val="20"/>
                <w:color w:val="auto"/>
              </w:rPr>
            </w:pPr>
            <w:r>
              <w:rPr>
                <w:rFonts w:ascii="Calibri" w:cs="Calibri" w:eastAsia="Calibri" w:hAnsi="Calibri"/>
                <w:sz w:val="14"/>
                <w:szCs w:val="14"/>
                <w:b w:val="1"/>
                <w:bCs w:val="1"/>
                <w:color w:val="auto"/>
                <w:w w:val="99"/>
              </w:rPr>
              <w:t>Page</w:t>
            </w:r>
          </w:p>
        </w:tc>
      </w:tr>
      <w:tr>
        <w:trPr>
          <w:trHeight w:val="47"/>
        </w:trPr>
        <w:tc>
          <w:tcPr>
            <w:tcW w:w="40" w:type="dxa"/>
            <w:vAlign w:val="bottom"/>
          </w:tcPr>
          <w:p>
            <w:pPr>
              <w:spacing w:after="0"/>
              <w:rPr>
                <w:sz w:val="4"/>
                <w:szCs w:val="4"/>
                <w:color w:val="auto"/>
              </w:rPr>
            </w:pPr>
          </w:p>
        </w:tc>
        <w:tc>
          <w:tcPr>
            <w:tcW w:w="204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c>
          <w:tcPr>
            <w:tcW w:w="45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169"/>
        </w:trPr>
        <w:tc>
          <w:tcPr>
            <w:tcW w:w="40" w:type="dxa"/>
            <w:vAlign w:val="bottom"/>
            <w:tcBorders>
              <w:right w:val="single" w:sz="8" w:color="CCEEFF"/>
            </w:tcBorders>
          </w:tcPr>
          <w:p>
            <w:pPr>
              <w:spacing w:after="0"/>
              <w:rPr>
                <w:sz w:val="14"/>
                <w:szCs w:val="14"/>
                <w:color w:val="auto"/>
              </w:rPr>
            </w:pPr>
          </w:p>
        </w:tc>
        <w:tc>
          <w:tcPr>
            <w:tcW w:w="5360" w:type="dxa"/>
            <w:vAlign w:val="bottom"/>
            <w:gridSpan w:val="8"/>
            <w:shd w:val="clear" w:color="auto" w:fill="CCEEFF"/>
          </w:tcPr>
          <w:p>
            <w:pPr>
              <w:spacing w:after="0" w:line="169" w:lineRule="exact"/>
              <w:rPr>
                <w:sz w:val="20"/>
                <w:szCs w:val="20"/>
                <w:color w:val="auto"/>
              </w:rPr>
            </w:pPr>
            <w:r>
              <w:rPr>
                <w:rFonts w:ascii="Calibri" w:cs="Calibri" w:eastAsia="Calibri" w:hAnsi="Calibri"/>
                <w:sz w:val="18"/>
                <w:szCs w:val="18"/>
                <w:color w:val="0000FF"/>
              </w:rPr>
              <w:t xml:space="preserve">Report of Independent Registered Public Accountng Firm </w:t>
            </w:r>
            <w:r>
              <w:rPr>
                <w:rFonts w:ascii="Calibri" w:cs="Calibri" w:eastAsia="Calibri" w:hAnsi="Calibri"/>
                <w:sz w:val="18"/>
                <w:szCs w:val="18"/>
                <w:color w:val="000000"/>
              </w:rPr>
              <w:t>(PCAOB ID 238)</w:t>
            </w:r>
          </w:p>
        </w:tc>
        <w:tc>
          <w:tcPr>
            <w:tcW w:w="450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center"/>
              <w:spacing w:after="0" w:line="169" w:lineRule="exact"/>
              <w:rPr>
                <w:sz w:val="20"/>
                <w:szCs w:val="20"/>
                <w:color w:val="auto"/>
              </w:rPr>
            </w:pPr>
            <w:r>
              <w:rPr>
                <w:rFonts w:ascii="Calibri" w:cs="Calibri" w:eastAsia="Calibri" w:hAnsi="Calibri"/>
                <w:sz w:val="18"/>
                <w:szCs w:val="18"/>
                <w:color w:val="0000FF"/>
                <w:w w:val="98"/>
              </w:rPr>
              <w:t>50</w:t>
            </w:r>
          </w:p>
        </w:tc>
        <w:tc>
          <w:tcPr>
            <w:tcW w:w="20" w:type="dxa"/>
            <w:vAlign w:val="bottom"/>
          </w:tcPr>
          <w:p>
            <w:pPr>
              <w:spacing w:after="0"/>
              <w:rPr>
                <w:sz w:val="14"/>
                <w:szCs w:val="14"/>
                <w:color w:val="auto"/>
              </w:rPr>
            </w:pPr>
          </w:p>
        </w:tc>
      </w:tr>
      <w:tr>
        <w:trPr>
          <w:trHeight w:val="34"/>
        </w:trPr>
        <w:tc>
          <w:tcPr>
            <w:tcW w:w="40" w:type="dxa"/>
            <w:vAlign w:val="bottom"/>
            <w:tcBorders>
              <w:right w:val="single" w:sz="8" w:color="CCEEFF"/>
            </w:tcBorders>
          </w:tcPr>
          <w:p>
            <w:pPr>
              <w:spacing w:after="0"/>
              <w:rPr>
                <w:sz w:val="2"/>
                <w:szCs w:val="2"/>
                <w:color w:val="auto"/>
              </w:rPr>
            </w:pPr>
          </w:p>
        </w:tc>
        <w:tc>
          <w:tcPr>
            <w:tcW w:w="204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45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40" w:type="dxa"/>
            <w:vAlign w:val="bottom"/>
          </w:tcPr>
          <w:p>
            <w:pPr>
              <w:spacing w:after="0"/>
              <w:rPr>
                <w:sz w:val="15"/>
                <w:szCs w:val="15"/>
                <w:color w:val="auto"/>
              </w:rPr>
            </w:pPr>
          </w:p>
        </w:tc>
        <w:tc>
          <w:tcPr>
            <w:tcW w:w="5360" w:type="dxa"/>
            <w:vAlign w:val="bottom"/>
            <w:gridSpan w:val="8"/>
          </w:tcPr>
          <w:p>
            <w:pPr>
              <w:spacing w:after="0" w:line="175" w:lineRule="exact"/>
              <w:rPr>
                <w:sz w:val="20"/>
                <w:szCs w:val="20"/>
                <w:color w:val="auto"/>
              </w:rPr>
            </w:pPr>
            <w:r>
              <w:rPr>
                <w:rFonts w:ascii="Calibri" w:cs="Calibri" w:eastAsia="Calibri" w:hAnsi="Calibri"/>
                <w:sz w:val="18"/>
                <w:szCs w:val="18"/>
                <w:color w:val="0000FF"/>
              </w:rPr>
              <w:t>Consolidated Balance Sheets</w:t>
            </w:r>
          </w:p>
        </w:tc>
        <w:tc>
          <w:tcPr>
            <w:tcW w:w="5820" w:type="dxa"/>
            <w:vAlign w:val="bottom"/>
            <w:gridSpan w:val="4"/>
          </w:tcPr>
          <w:p>
            <w:pPr>
              <w:jc w:val="center"/>
              <w:ind w:left="4430"/>
              <w:spacing w:after="0" w:line="175" w:lineRule="exact"/>
              <w:rPr>
                <w:sz w:val="20"/>
                <w:szCs w:val="20"/>
                <w:color w:val="auto"/>
              </w:rPr>
            </w:pPr>
            <w:r>
              <w:rPr>
                <w:rFonts w:ascii="Calibri" w:cs="Calibri" w:eastAsia="Calibri" w:hAnsi="Calibri"/>
                <w:sz w:val="18"/>
                <w:szCs w:val="18"/>
                <w:color w:val="0000FF"/>
                <w:w w:val="98"/>
              </w:rPr>
              <w:t>51</w:t>
            </w:r>
          </w:p>
        </w:tc>
        <w:tc>
          <w:tcPr>
            <w:tcW w:w="20" w:type="dxa"/>
            <w:vAlign w:val="bottom"/>
          </w:tcPr>
          <w:p>
            <w:pPr>
              <w:spacing w:after="0"/>
              <w:rPr>
                <w:sz w:val="15"/>
                <w:szCs w:val="15"/>
                <w:color w:val="auto"/>
              </w:rPr>
            </w:pPr>
          </w:p>
        </w:tc>
      </w:tr>
      <w:tr>
        <w:trPr>
          <w:trHeight w:val="34"/>
        </w:trPr>
        <w:tc>
          <w:tcPr>
            <w:tcW w:w="40" w:type="dxa"/>
            <w:vAlign w:val="bottom"/>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40" w:type="dxa"/>
            <w:vAlign w:val="bottom"/>
            <w:tcBorders>
              <w:right w:val="single" w:sz="8" w:color="CCEEFF"/>
            </w:tcBorders>
          </w:tcPr>
          <w:p>
            <w:pPr>
              <w:spacing w:after="0"/>
              <w:rPr>
                <w:sz w:val="15"/>
                <w:szCs w:val="15"/>
                <w:color w:val="auto"/>
              </w:rPr>
            </w:pPr>
          </w:p>
        </w:tc>
        <w:tc>
          <w:tcPr>
            <w:tcW w:w="5360" w:type="dxa"/>
            <w:vAlign w:val="bottom"/>
            <w:gridSpan w:val="8"/>
            <w:shd w:val="clear" w:color="auto" w:fill="CCEEFF"/>
          </w:tcPr>
          <w:p>
            <w:pPr>
              <w:spacing w:after="0" w:line="175" w:lineRule="exact"/>
              <w:rPr>
                <w:sz w:val="20"/>
                <w:szCs w:val="20"/>
                <w:color w:val="auto"/>
              </w:rPr>
            </w:pPr>
            <w:r>
              <w:rPr>
                <w:rFonts w:ascii="Calibri" w:cs="Calibri" w:eastAsia="Calibri" w:hAnsi="Calibri"/>
                <w:sz w:val="18"/>
                <w:szCs w:val="18"/>
                <w:color w:val="0000FF"/>
              </w:rPr>
              <w:t>Consolidated Statements of Operatons</w:t>
            </w:r>
          </w:p>
        </w:tc>
        <w:tc>
          <w:tcPr>
            <w:tcW w:w="5820" w:type="dxa"/>
            <w:vAlign w:val="bottom"/>
            <w:gridSpan w:val="4"/>
            <w:shd w:val="clear" w:color="auto" w:fill="CCEEFF"/>
          </w:tcPr>
          <w:p>
            <w:pPr>
              <w:jc w:val="center"/>
              <w:ind w:left="4430"/>
              <w:spacing w:after="0" w:line="175" w:lineRule="exact"/>
              <w:rPr>
                <w:sz w:val="20"/>
                <w:szCs w:val="20"/>
                <w:color w:val="auto"/>
              </w:rPr>
            </w:pPr>
            <w:r>
              <w:rPr>
                <w:rFonts w:ascii="Calibri" w:cs="Calibri" w:eastAsia="Calibri" w:hAnsi="Calibri"/>
                <w:sz w:val="18"/>
                <w:szCs w:val="18"/>
                <w:color w:val="0000FF"/>
                <w:w w:val="98"/>
              </w:rPr>
              <w:t>52</w:t>
            </w:r>
          </w:p>
        </w:tc>
        <w:tc>
          <w:tcPr>
            <w:tcW w:w="20" w:type="dxa"/>
            <w:vAlign w:val="bottom"/>
          </w:tcPr>
          <w:p>
            <w:pPr>
              <w:spacing w:after="0"/>
              <w:rPr>
                <w:sz w:val="15"/>
                <w:szCs w:val="15"/>
                <w:color w:val="auto"/>
              </w:rPr>
            </w:pPr>
          </w:p>
        </w:tc>
      </w:tr>
      <w:tr>
        <w:trPr>
          <w:trHeight w:val="34"/>
        </w:trPr>
        <w:tc>
          <w:tcPr>
            <w:tcW w:w="40" w:type="dxa"/>
            <w:vAlign w:val="bottom"/>
            <w:tcBorders>
              <w:right w:val="single" w:sz="8" w:color="CCEEFF"/>
            </w:tcBorders>
          </w:tcPr>
          <w:p>
            <w:pPr>
              <w:spacing w:after="0"/>
              <w:rPr>
                <w:sz w:val="2"/>
                <w:szCs w:val="2"/>
                <w:color w:val="auto"/>
              </w:rPr>
            </w:pPr>
          </w:p>
        </w:tc>
        <w:tc>
          <w:tcPr>
            <w:tcW w:w="204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45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40" w:type="dxa"/>
            <w:vAlign w:val="bottom"/>
          </w:tcPr>
          <w:p>
            <w:pPr>
              <w:spacing w:after="0"/>
              <w:rPr>
                <w:sz w:val="15"/>
                <w:szCs w:val="15"/>
                <w:color w:val="auto"/>
              </w:rPr>
            </w:pPr>
          </w:p>
        </w:tc>
        <w:tc>
          <w:tcPr>
            <w:tcW w:w="5360" w:type="dxa"/>
            <w:vAlign w:val="bottom"/>
            <w:gridSpan w:val="8"/>
          </w:tcPr>
          <w:p>
            <w:pPr>
              <w:spacing w:after="0" w:line="175" w:lineRule="exact"/>
              <w:rPr>
                <w:sz w:val="20"/>
                <w:szCs w:val="20"/>
                <w:color w:val="auto"/>
              </w:rPr>
            </w:pPr>
            <w:r>
              <w:rPr>
                <w:rFonts w:ascii="Calibri" w:cs="Calibri" w:eastAsia="Calibri" w:hAnsi="Calibri"/>
                <w:sz w:val="18"/>
                <w:szCs w:val="18"/>
                <w:color w:val="0000FF"/>
              </w:rPr>
              <w:t>Consolidated Statements of Comprehensive Income</w:t>
            </w:r>
          </w:p>
        </w:tc>
        <w:tc>
          <w:tcPr>
            <w:tcW w:w="5820" w:type="dxa"/>
            <w:vAlign w:val="bottom"/>
            <w:gridSpan w:val="4"/>
          </w:tcPr>
          <w:p>
            <w:pPr>
              <w:jc w:val="center"/>
              <w:ind w:left="4430"/>
              <w:spacing w:after="0" w:line="175" w:lineRule="exact"/>
              <w:rPr>
                <w:sz w:val="20"/>
                <w:szCs w:val="20"/>
                <w:color w:val="auto"/>
              </w:rPr>
            </w:pPr>
            <w:r>
              <w:rPr>
                <w:rFonts w:ascii="Calibri" w:cs="Calibri" w:eastAsia="Calibri" w:hAnsi="Calibri"/>
                <w:sz w:val="18"/>
                <w:szCs w:val="18"/>
                <w:color w:val="0000FF"/>
                <w:w w:val="98"/>
              </w:rPr>
              <w:t>53</w:t>
            </w:r>
          </w:p>
        </w:tc>
        <w:tc>
          <w:tcPr>
            <w:tcW w:w="20" w:type="dxa"/>
            <w:vAlign w:val="bottom"/>
          </w:tcPr>
          <w:p>
            <w:pPr>
              <w:spacing w:after="0"/>
              <w:rPr>
                <w:sz w:val="15"/>
                <w:szCs w:val="15"/>
                <w:color w:val="auto"/>
              </w:rPr>
            </w:pPr>
          </w:p>
        </w:tc>
      </w:tr>
      <w:tr>
        <w:trPr>
          <w:trHeight w:val="34"/>
        </w:trPr>
        <w:tc>
          <w:tcPr>
            <w:tcW w:w="40" w:type="dxa"/>
            <w:vAlign w:val="bottom"/>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40" w:type="dxa"/>
            <w:vAlign w:val="bottom"/>
            <w:tcBorders>
              <w:right w:val="single" w:sz="8" w:color="CCEEFF"/>
            </w:tcBorders>
          </w:tcPr>
          <w:p>
            <w:pPr>
              <w:spacing w:after="0"/>
              <w:rPr>
                <w:sz w:val="15"/>
                <w:szCs w:val="15"/>
                <w:color w:val="auto"/>
              </w:rPr>
            </w:pPr>
          </w:p>
        </w:tc>
        <w:tc>
          <w:tcPr>
            <w:tcW w:w="5360" w:type="dxa"/>
            <w:vAlign w:val="bottom"/>
            <w:gridSpan w:val="8"/>
            <w:shd w:val="clear" w:color="auto" w:fill="CCEEFF"/>
          </w:tcPr>
          <w:p>
            <w:pPr>
              <w:spacing w:after="0" w:line="175" w:lineRule="exact"/>
              <w:rPr>
                <w:sz w:val="20"/>
                <w:szCs w:val="20"/>
                <w:color w:val="auto"/>
              </w:rPr>
            </w:pPr>
            <w:r>
              <w:rPr>
                <w:rFonts w:ascii="Calibri" w:cs="Calibri" w:eastAsia="Calibri" w:hAnsi="Calibri"/>
                <w:sz w:val="18"/>
                <w:szCs w:val="18"/>
                <w:color w:val="0000FF"/>
              </w:rPr>
              <w:t>Consolidated Statements of Cash Flows</w:t>
            </w:r>
          </w:p>
        </w:tc>
        <w:tc>
          <w:tcPr>
            <w:tcW w:w="5820" w:type="dxa"/>
            <w:vAlign w:val="bottom"/>
            <w:gridSpan w:val="4"/>
            <w:shd w:val="clear" w:color="auto" w:fill="CCEEFF"/>
          </w:tcPr>
          <w:p>
            <w:pPr>
              <w:jc w:val="center"/>
              <w:ind w:left="4430"/>
              <w:spacing w:after="0" w:line="175" w:lineRule="exact"/>
              <w:rPr>
                <w:sz w:val="20"/>
                <w:szCs w:val="20"/>
                <w:color w:val="auto"/>
              </w:rPr>
            </w:pPr>
            <w:r>
              <w:rPr>
                <w:rFonts w:ascii="Calibri" w:cs="Calibri" w:eastAsia="Calibri" w:hAnsi="Calibri"/>
                <w:sz w:val="18"/>
                <w:szCs w:val="18"/>
                <w:color w:val="0000FF"/>
                <w:w w:val="98"/>
              </w:rPr>
              <w:t>54</w:t>
            </w:r>
          </w:p>
        </w:tc>
        <w:tc>
          <w:tcPr>
            <w:tcW w:w="20" w:type="dxa"/>
            <w:vAlign w:val="bottom"/>
          </w:tcPr>
          <w:p>
            <w:pPr>
              <w:spacing w:after="0"/>
              <w:rPr>
                <w:sz w:val="15"/>
                <w:szCs w:val="15"/>
                <w:color w:val="auto"/>
              </w:rPr>
            </w:pPr>
          </w:p>
        </w:tc>
      </w:tr>
      <w:tr>
        <w:trPr>
          <w:trHeight w:val="34"/>
        </w:trPr>
        <w:tc>
          <w:tcPr>
            <w:tcW w:w="40" w:type="dxa"/>
            <w:vAlign w:val="bottom"/>
            <w:tcBorders>
              <w:right w:val="single" w:sz="8" w:color="CCEEFF"/>
            </w:tcBorders>
          </w:tcPr>
          <w:p>
            <w:pPr>
              <w:spacing w:after="0"/>
              <w:rPr>
                <w:sz w:val="2"/>
                <w:szCs w:val="2"/>
                <w:color w:val="auto"/>
              </w:rPr>
            </w:pPr>
          </w:p>
        </w:tc>
        <w:tc>
          <w:tcPr>
            <w:tcW w:w="204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45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40" w:type="dxa"/>
            <w:vAlign w:val="bottom"/>
          </w:tcPr>
          <w:p>
            <w:pPr>
              <w:spacing w:after="0"/>
              <w:rPr>
                <w:sz w:val="15"/>
                <w:szCs w:val="15"/>
                <w:color w:val="auto"/>
              </w:rPr>
            </w:pPr>
          </w:p>
        </w:tc>
        <w:tc>
          <w:tcPr>
            <w:tcW w:w="5360" w:type="dxa"/>
            <w:vAlign w:val="bottom"/>
            <w:gridSpan w:val="8"/>
          </w:tcPr>
          <w:p>
            <w:pPr>
              <w:spacing w:after="0" w:line="175" w:lineRule="exact"/>
              <w:rPr>
                <w:sz w:val="20"/>
                <w:szCs w:val="20"/>
                <w:color w:val="auto"/>
              </w:rPr>
            </w:pPr>
            <w:r>
              <w:rPr>
                <w:rFonts w:ascii="Calibri" w:cs="Calibri" w:eastAsia="Calibri" w:hAnsi="Calibri"/>
                <w:sz w:val="18"/>
                <w:szCs w:val="18"/>
                <w:color w:val="0000FF"/>
              </w:rPr>
              <w:t>Consolidated Statements of Stockholders' Equity</w:t>
            </w:r>
          </w:p>
        </w:tc>
        <w:tc>
          <w:tcPr>
            <w:tcW w:w="5820" w:type="dxa"/>
            <w:vAlign w:val="bottom"/>
            <w:gridSpan w:val="4"/>
          </w:tcPr>
          <w:p>
            <w:pPr>
              <w:jc w:val="center"/>
              <w:ind w:left="4430"/>
              <w:spacing w:after="0" w:line="175" w:lineRule="exact"/>
              <w:rPr>
                <w:sz w:val="20"/>
                <w:szCs w:val="20"/>
                <w:color w:val="auto"/>
              </w:rPr>
            </w:pPr>
            <w:r>
              <w:rPr>
                <w:rFonts w:ascii="Calibri" w:cs="Calibri" w:eastAsia="Calibri" w:hAnsi="Calibri"/>
                <w:sz w:val="18"/>
                <w:szCs w:val="18"/>
                <w:color w:val="0000FF"/>
                <w:w w:val="98"/>
              </w:rPr>
              <w:t>55</w:t>
            </w:r>
          </w:p>
        </w:tc>
        <w:tc>
          <w:tcPr>
            <w:tcW w:w="20" w:type="dxa"/>
            <w:vAlign w:val="bottom"/>
          </w:tcPr>
          <w:p>
            <w:pPr>
              <w:spacing w:after="0"/>
              <w:rPr>
                <w:sz w:val="15"/>
                <w:szCs w:val="15"/>
                <w:color w:val="auto"/>
              </w:rPr>
            </w:pPr>
          </w:p>
        </w:tc>
      </w:tr>
      <w:tr>
        <w:trPr>
          <w:trHeight w:val="34"/>
        </w:trPr>
        <w:tc>
          <w:tcPr>
            <w:tcW w:w="40" w:type="dxa"/>
            <w:vAlign w:val="bottom"/>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40" w:type="dxa"/>
            <w:vAlign w:val="bottom"/>
            <w:tcBorders>
              <w:right w:val="single" w:sz="8" w:color="CCEEFF"/>
            </w:tcBorders>
          </w:tcPr>
          <w:p>
            <w:pPr>
              <w:spacing w:after="0"/>
              <w:rPr>
                <w:sz w:val="15"/>
                <w:szCs w:val="15"/>
                <w:color w:val="auto"/>
              </w:rPr>
            </w:pPr>
          </w:p>
        </w:tc>
        <w:tc>
          <w:tcPr>
            <w:tcW w:w="5360" w:type="dxa"/>
            <w:vAlign w:val="bottom"/>
            <w:gridSpan w:val="8"/>
            <w:shd w:val="clear" w:color="auto" w:fill="CCEEFF"/>
          </w:tcPr>
          <w:p>
            <w:pPr>
              <w:spacing w:after="0" w:line="175" w:lineRule="exact"/>
              <w:rPr>
                <w:sz w:val="20"/>
                <w:szCs w:val="20"/>
                <w:color w:val="auto"/>
              </w:rPr>
            </w:pPr>
            <w:r>
              <w:rPr>
                <w:rFonts w:ascii="Calibri" w:cs="Calibri" w:eastAsia="Calibri" w:hAnsi="Calibri"/>
                <w:sz w:val="18"/>
                <w:szCs w:val="18"/>
                <w:color w:val="0000FF"/>
              </w:rPr>
              <w:t>Notes to Consolidated Financial Statements</w:t>
            </w:r>
          </w:p>
        </w:tc>
        <w:tc>
          <w:tcPr>
            <w:tcW w:w="5820" w:type="dxa"/>
            <w:vAlign w:val="bottom"/>
            <w:gridSpan w:val="4"/>
            <w:shd w:val="clear" w:color="auto" w:fill="CCEEFF"/>
          </w:tcPr>
          <w:p>
            <w:pPr>
              <w:jc w:val="center"/>
              <w:ind w:left="4430"/>
              <w:spacing w:after="0" w:line="175" w:lineRule="exact"/>
              <w:rPr>
                <w:sz w:val="20"/>
                <w:szCs w:val="20"/>
                <w:color w:val="auto"/>
              </w:rPr>
            </w:pPr>
            <w:r>
              <w:rPr>
                <w:rFonts w:ascii="Calibri" w:cs="Calibri" w:eastAsia="Calibri" w:hAnsi="Calibri"/>
                <w:sz w:val="18"/>
                <w:szCs w:val="18"/>
                <w:color w:val="0000FF"/>
                <w:w w:val="98"/>
              </w:rPr>
              <w:t>56</w:t>
            </w:r>
          </w:p>
        </w:tc>
        <w:tc>
          <w:tcPr>
            <w:tcW w:w="20" w:type="dxa"/>
            <w:vAlign w:val="bottom"/>
          </w:tcPr>
          <w:p>
            <w:pPr>
              <w:spacing w:after="0"/>
              <w:rPr>
                <w:sz w:val="15"/>
                <w:szCs w:val="15"/>
                <w:color w:val="auto"/>
              </w:rPr>
            </w:pPr>
          </w:p>
        </w:tc>
      </w:tr>
      <w:tr>
        <w:trPr>
          <w:trHeight w:val="34"/>
        </w:trPr>
        <w:tc>
          <w:tcPr>
            <w:tcW w:w="40" w:type="dxa"/>
            <w:vAlign w:val="bottom"/>
            <w:tcBorders>
              <w:right w:val="single" w:sz="8" w:color="CCEEFF"/>
            </w:tcBorders>
          </w:tcPr>
          <w:p>
            <w:pPr>
              <w:spacing w:after="0"/>
              <w:rPr>
                <w:sz w:val="2"/>
                <w:szCs w:val="2"/>
                <w:color w:val="auto"/>
              </w:rPr>
            </w:pPr>
          </w:p>
        </w:tc>
        <w:tc>
          <w:tcPr>
            <w:tcW w:w="204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45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3440" w:type="dxa"/>
            <w:vAlign w:val="bottom"/>
            <w:gridSpan w:val="5"/>
          </w:tcPr>
          <w:p>
            <w:pPr>
              <w:spacing w:after="0" w:line="169" w:lineRule="exact"/>
              <w:rPr>
                <w:sz w:val="20"/>
                <w:szCs w:val="20"/>
                <w:color w:val="auto"/>
              </w:rPr>
            </w:pPr>
            <w:r>
              <w:rPr>
                <w:rFonts w:ascii="Calibri" w:cs="Calibri" w:eastAsia="Calibri" w:hAnsi="Calibri"/>
                <w:sz w:val="18"/>
                <w:szCs w:val="18"/>
                <w:color w:val="0000FF"/>
                <w:w w:val="97"/>
              </w:rPr>
              <w:t>Schedule II — Valuaton and Qualifying Accounts</w:t>
            </w:r>
          </w:p>
        </w:tc>
        <w:tc>
          <w:tcPr>
            <w:tcW w:w="1920" w:type="dxa"/>
            <w:vAlign w:val="bottom"/>
            <w:gridSpan w:val="3"/>
          </w:tcPr>
          <w:p>
            <w:pPr>
              <w:spacing w:after="0"/>
              <w:rPr>
                <w:sz w:val="17"/>
                <w:szCs w:val="17"/>
                <w:color w:val="auto"/>
              </w:rPr>
            </w:pPr>
          </w:p>
        </w:tc>
        <w:tc>
          <w:tcPr>
            <w:tcW w:w="5820" w:type="dxa"/>
            <w:vAlign w:val="bottom"/>
            <w:gridSpan w:val="4"/>
          </w:tcPr>
          <w:p>
            <w:pPr>
              <w:jc w:val="center"/>
              <w:ind w:left="4430"/>
              <w:spacing w:after="0" w:line="189" w:lineRule="exact"/>
              <w:rPr>
                <w:sz w:val="20"/>
                <w:szCs w:val="20"/>
                <w:color w:val="auto"/>
              </w:rPr>
            </w:pPr>
            <w:r>
              <w:rPr>
                <w:rFonts w:ascii="Calibri" w:cs="Calibri" w:eastAsia="Calibri" w:hAnsi="Calibri"/>
                <w:sz w:val="18"/>
                <w:szCs w:val="18"/>
                <w:color w:val="0000FF"/>
                <w:w w:val="98"/>
              </w:rPr>
              <w:t>92</w:t>
            </w:r>
          </w:p>
        </w:tc>
        <w:tc>
          <w:tcPr>
            <w:tcW w:w="20" w:type="dxa"/>
            <w:vAlign w:val="bottom"/>
          </w:tcPr>
          <w:p>
            <w:pPr>
              <w:spacing w:after="0"/>
              <w:rPr>
                <w:sz w:val="17"/>
                <w:szCs w:val="17"/>
                <w:color w:val="auto"/>
              </w:rPr>
            </w:pPr>
          </w:p>
        </w:tc>
      </w:tr>
      <w:tr>
        <w:trPr>
          <w:trHeight w:val="1164"/>
        </w:trPr>
        <w:tc>
          <w:tcPr>
            <w:tcW w:w="40" w:type="dxa"/>
            <w:vAlign w:val="bottom"/>
          </w:tcPr>
          <w:p>
            <w:pPr>
              <w:spacing w:after="0"/>
              <w:rPr>
                <w:sz w:val="24"/>
                <w:szCs w:val="24"/>
                <w:color w:val="auto"/>
              </w:rPr>
            </w:pPr>
          </w:p>
        </w:tc>
        <w:tc>
          <w:tcPr>
            <w:tcW w:w="20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500" w:type="dxa"/>
            <w:vAlign w:val="bottom"/>
          </w:tcPr>
          <w:p>
            <w:pPr>
              <w:jc w:val="right"/>
              <w:ind w:right="4090"/>
              <w:spacing w:after="0"/>
              <w:rPr>
                <w:sz w:val="20"/>
                <w:szCs w:val="20"/>
                <w:color w:val="auto"/>
              </w:rPr>
            </w:pPr>
            <w:r>
              <w:rPr>
                <w:rFonts w:ascii="Calibri" w:cs="Calibri" w:eastAsia="Calibri" w:hAnsi="Calibri"/>
                <w:sz w:val="18"/>
                <w:szCs w:val="18"/>
                <w:color w:val="auto"/>
              </w:rPr>
              <w:t>49</w:t>
            </w:r>
          </w:p>
        </w:tc>
        <w:tc>
          <w:tcPr>
            <w:tcW w:w="5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8"/>
        </w:trPr>
        <w:tc>
          <w:tcPr>
            <w:tcW w:w="40" w:type="dxa"/>
            <w:vAlign w:val="bottom"/>
            <w:tcBorders>
              <w:bottom w:val="single" w:sz="8" w:color="9A9A9A"/>
            </w:tcBorders>
          </w:tcPr>
          <w:p>
            <w:pPr>
              <w:spacing w:after="0"/>
              <w:rPr>
                <w:sz w:val="12"/>
                <w:szCs w:val="12"/>
                <w:color w:val="auto"/>
              </w:rPr>
            </w:pPr>
          </w:p>
        </w:tc>
        <w:tc>
          <w:tcPr>
            <w:tcW w:w="20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45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Board of Directors and Stockholders of Broadcom Inc.</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Opinions on the Financial Statements and Internal Control over Financial Reportng</w:t>
      </w:r>
    </w:p>
    <w:p>
      <w:pPr>
        <w:spacing w:after="0" w:line="24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 xml:space="preserve">We have audited the accompanying consolidated balance sheets of Broadcom Inc. and its subsidiaries (the “Company”) as of November 3, 2024 and October 29, 2023, and the related consolidated statements of operatons, of comprehensive income, of stockholders’ equity and of cash fows for each of the three years in the period ended November 3, 2024, including the related notes and fnancial statement schedule listed in the index appearing under Item 15(a)(2) (collectvely referred to as the “consolidated fnancial statements”). We also have audited the Company's internal control over fnancial reportng as of November 3, 2024, based on criteria established in </w:t>
      </w:r>
      <w:r>
        <w:rPr>
          <w:rFonts w:ascii="Calibri" w:cs="Calibri" w:eastAsia="Calibri" w:hAnsi="Calibri"/>
          <w:sz w:val="18"/>
          <w:szCs w:val="18"/>
          <w:i w:val="1"/>
          <w:iCs w:val="1"/>
          <w:color w:val="auto"/>
        </w:rPr>
        <w:t>Internal Control - Integrated Framework</w:t>
      </w:r>
      <w:r>
        <w:rPr>
          <w:rFonts w:ascii="Calibri" w:cs="Calibri" w:eastAsia="Calibri" w:hAnsi="Calibri"/>
          <w:sz w:val="18"/>
          <w:szCs w:val="18"/>
          <w:color w:val="auto"/>
        </w:rPr>
        <w:t xml:space="preserve"> (2013) issued by the Commitee of Sponsoring Organizatons of the Treadway Commission (COSO).</w:t>
      </w:r>
    </w:p>
    <w:p>
      <w:pPr>
        <w:spacing w:after="0" w:line="248"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color w:val="auto"/>
        </w:rPr>
        <w:t xml:space="preserve">In our opinion, the consolidated fnancial statements referred to above present fairly, in all material respects, the fnancial positon of the Company as of November 3, 2024 and October 29, 2023, and the results of its operatons and its cash fows for each of the three years in the period ended November 3, 2024 in conformity with accountng principles generally accepted in the United States of America. Also in our opinion, the Company maintained, in all material respects, efectve internal control over fnancial reportng as of November 3, 2024, based on criteria established in </w:t>
      </w:r>
      <w:r>
        <w:rPr>
          <w:rFonts w:ascii="Calibri" w:cs="Calibri" w:eastAsia="Calibri" w:hAnsi="Calibri"/>
          <w:sz w:val="18"/>
          <w:szCs w:val="18"/>
          <w:i w:val="1"/>
          <w:iCs w:val="1"/>
          <w:color w:val="auto"/>
        </w:rPr>
        <w:t>Internal Control - Integrated</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Framework </w:t>
      </w:r>
      <w:r>
        <w:rPr>
          <w:rFonts w:ascii="Calibri" w:cs="Calibri" w:eastAsia="Calibri" w:hAnsi="Calibri"/>
          <w:sz w:val="18"/>
          <w:szCs w:val="18"/>
          <w:color w:val="auto"/>
        </w:rPr>
        <w:t>(2013) issued by the COSO.</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Basis for Opinions</w:t>
      </w:r>
    </w:p>
    <w:p>
      <w:pPr>
        <w:spacing w:after="0" w:line="231"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Company's management is responsible for these consolidated fnancial statements, for maintaining efectve internal control over fnancial reportng, and for its assessment of the efectveness of internal control over fnancial reportng, included in Management’s Report on Internal Control over Financial Reportng appearing under Item 9A. Our responsibility is to express opinions on the Company’s consolidated fnancial statements and on the Company's internal control over fnancial reportng based on our audits. We are a public accountng frm registered with the Public Company Accountng Oversight Board (United States) (PCAOB) and are required to be independent with respect to the Company in accordance with the U.S. federal securites laws and the applicable rules and regulatons of the Securites and Exchange Commission and the PCAOB.</w:t>
      </w:r>
    </w:p>
    <w:p>
      <w:pPr>
        <w:spacing w:after="0" w:line="248"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We conducted our audits in accordance with the standards of the PCAOB. Those standards require that we plan and perform the audits to obtain reasonable assurance about whether the consolidated fnancial statements are free of material misstatement, whether due to error or fraud, and whether efectve internal control over fnancial reportng was maintained in all material respects.</w:t>
      </w:r>
    </w:p>
    <w:p>
      <w:pPr>
        <w:spacing w:after="0" w:line="246" w:lineRule="exact"/>
        <w:rPr>
          <w:sz w:val="20"/>
          <w:szCs w:val="20"/>
          <w:color w:val="auto"/>
        </w:rPr>
      </w:pPr>
    </w:p>
    <w:p>
      <w:pPr>
        <w:ind w:right="60"/>
        <w:spacing w:after="0" w:line="251" w:lineRule="auto"/>
        <w:rPr>
          <w:sz w:val="20"/>
          <w:szCs w:val="20"/>
          <w:color w:val="auto"/>
        </w:rPr>
      </w:pPr>
      <w:r>
        <w:rPr>
          <w:rFonts w:ascii="Calibri" w:cs="Calibri" w:eastAsia="Calibri" w:hAnsi="Calibri"/>
          <w:sz w:val="17"/>
          <w:szCs w:val="17"/>
          <w:color w:val="auto"/>
        </w:rPr>
        <w:t>Our audits of the consolidated fnancial statements included performing procedures to assess the risks of material misstatement of the consolidated fnancial statements, whether due to error or fraud, and performing procedures that respond to those risks. Such procedures included examining, on a test basis, evidence regarding the amounts and disclosures in the consolidated fnancial statements. Our audits also included evaluatng the accountng principles used and signifcant estmates made by management, as well as evaluatng the overall presentaton of the consolidated fnancial statements. Our audit of internal control over fnancial reportng included obtaining an understanding of internal control over fnancial reportng, assessing the risk that a material weakness exists, and testng and evaluatng the design and operatng efectveness of internal control based on the assessed risk. Our audits also included performing such other procedures as we considered necessary in the circumstances. We believe that our audits provide a reasonable basis for our opinions.</w:t>
      </w:r>
    </w:p>
    <w:p>
      <w:pPr>
        <w:spacing w:after="0" w:line="23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Defniton and Limitatons of Internal Control over Financial Reportng</w:t>
      </w:r>
    </w:p>
    <w:p>
      <w:pPr>
        <w:spacing w:after="0" w:line="244" w:lineRule="exact"/>
        <w:rPr>
          <w:sz w:val="20"/>
          <w:szCs w:val="20"/>
          <w:color w:val="auto"/>
        </w:rPr>
      </w:pPr>
    </w:p>
    <w:p>
      <w:pPr>
        <w:spacing w:after="0" w:line="251" w:lineRule="auto"/>
        <w:rPr>
          <w:sz w:val="20"/>
          <w:szCs w:val="20"/>
          <w:color w:val="auto"/>
        </w:rPr>
      </w:pPr>
      <w:r>
        <w:rPr>
          <w:rFonts w:ascii="Calibri" w:cs="Calibri" w:eastAsia="Calibri" w:hAnsi="Calibri"/>
          <w:sz w:val="17"/>
          <w:szCs w:val="17"/>
          <w:color w:val="auto"/>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(i) pertain to the maintenance of records that, in reasonable detail, accurately and fairly refect the transactons and dispositons of the assets of the company; (ii)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 (iii) provide reasonable assurance regarding preventon or tmely detecton of unauthorized acquisiton, use, or dispositon of the company’s assets that could have a material efect on the fnancial statements.</w:t>
      </w:r>
    </w:p>
    <w:p>
      <w:pPr>
        <w:spacing w:after="0" w:line="236"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Critcal Audit Maters</w:t>
      </w:r>
    </w:p>
    <w:p>
      <w:pPr>
        <w:spacing w:after="0" w:line="244"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critcal audit mater communicated below is a mater arising from the current period audit of the consolidated fnancial statements that was communicated or required to be communicated to the audit commitee and that (i) relates to accounts or disclosures that are material to the consolidated fnancial statements and (ii) involved our especially challenging, subjectve, or complex judgments. The communicaton of critcal audit maters does not alter in any way our opinion on the consolidated fnancial statements, taken as a whole, and we are not, by communicatng the critcal audit mater below, providing a separate opinion on the critcal audit mater or on the accounts or disclosures to which it relates.</w:t>
      </w:r>
    </w:p>
    <w:p>
      <w:pPr>
        <w:spacing w:after="0" w:line="247"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b w:val="1"/>
          <w:bCs w:val="1"/>
          <w:i w:val="1"/>
          <w:iCs w:val="1"/>
          <w:color w:val="auto"/>
        </w:rPr>
        <w:t>Acquisiton of VMware — Valuaton of VMware Cloud Foundaton (“VCF”) Developed Technology, Certain Customer Contracts and Related Relatonships, VCF In-process Research and Development, and VMware Trade Name Intangible Assets</w:t>
      </w:r>
    </w:p>
    <w:p>
      <w:pPr>
        <w:spacing w:after="0" w:line="245" w:lineRule="exact"/>
        <w:rPr>
          <w:sz w:val="20"/>
          <w:szCs w:val="20"/>
          <w:color w:val="auto"/>
        </w:rPr>
      </w:pPr>
    </w:p>
    <w:p>
      <w:pPr>
        <w:ind w:right="60"/>
        <w:spacing w:after="0" w:line="251" w:lineRule="auto"/>
        <w:rPr>
          <w:sz w:val="20"/>
          <w:szCs w:val="20"/>
          <w:color w:val="auto"/>
        </w:rPr>
      </w:pPr>
      <w:r>
        <w:rPr>
          <w:rFonts w:ascii="Calibri" w:cs="Calibri" w:eastAsia="Calibri" w:hAnsi="Calibri"/>
          <w:sz w:val="17"/>
          <w:szCs w:val="17"/>
          <w:color w:val="auto"/>
        </w:rPr>
        <w:t>As described in Notes 2 and 4 of the consolidated fnancial statements, on November 22, 2023, the Company completed the acquisiton of VMware LLC for total consideraton of $86,290 million. The Company acquired $45,572 million of intangible assets in connecton with the acquisiton. Of these acquired intangible assets, $24,156 million related to developed technology valued using the mult-period excess earnings method under the income approach, of which a signifcant porton related to VCF; $15,239 million related to customer contracts and related relatonships valued using the with-and-without method under the income approach, of which a signifcant porton related to certain customer contracts and relatonships; $4,730 million related to in-process research and development valued using the mult-period excess earnings method under the income approach, of which $4,705 million related to VCF; and</w:t>
      </w:r>
    </w:p>
    <w:p>
      <w:pPr>
        <w:sectPr>
          <w:pgSz w:w="11900" w:h="16838" w:orient="portrait"/>
          <w:cols w:equalWidth="0" w:num="1">
            <w:col w:w="11240"/>
          </w:cols>
          <w:pgMar w:left="320" w:top="112" w:right="339" w:bottom="0" w:gutter="0" w:footer="0" w:header="0"/>
        </w:sectPr>
      </w:pPr>
    </w:p>
    <w:bookmarkStart w:id="51" w:name="page52"/>
    <w:bookmarkEnd w:id="51"/>
    <w:p>
      <w:pPr>
        <w:ind w:right="140"/>
        <w:spacing w:after="0" w:line="235" w:lineRule="auto"/>
        <w:rPr>
          <w:sz w:val="20"/>
          <w:szCs w:val="20"/>
          <w:color w:val="auto"/>
        </w:rPr>
      </w:pPr>
      <w:r>
        <w:rPr>
          <w:rFonts w:ascii="Calibri" w:cs="Calibri" w:eastAsia="Calibri" w:hAnsi="Calibri"/>
          <w:sz w:val="18"/>
          <w:szCs w:val="18"/>
          <w:color w:val="auto"/>
        </w:rPr>
        <w:t>$1,205 million related to trade names valued using the relief-from-royalty method, of which a signifcant porton related to the VMware trade name. The present value of projected cash fows included signifcant judgment and assumptons regarding (a) the projected revenues, projected expenses, technology obsolescence rate, contributory asset charges, and the discount rate for the VCF developed technology, (b) the projected revenues, customer retenton rate, customer ramp up period, and the discount rate for the certain customer contracts and related relatonships, (c) the projected revenues, technology obsolescence rate and the discount rate for the VCF in-process research and development, and (d) the projected revenues, brand asset phase-out patern, brand asset royalty rate, and the discount rate for the VMware trade name.</w:t>
      </w:r>
    </w:p>
    <w:p>
      <w:pPr>
        <w:spacing w:after="0" w:line="248"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principal consideratons for our determinaton that performing procedures relatng to the valuaton of the VCF developed technology, certain customer contracts and related relatonships, VCF in-process research and development, and the VMware trade name intangible assets acquired in the VMware acquisiton is a critcal audit mater are (i) the signifcant judgment by management when developing the fair value estmates; (ii) a high degree of auditor judgment, subjectvity, and efort in performing procedures and evaluatng management’s signifcant assumptons related to (a) the projected revenues, projected expenses, technology obsolescence rate, contributory asset charges, and discount rate for the VCF developed technology, (b) certain projected revenues, customer retenton rate, customer ramp up period, and discount rate for the certain customer contracts and related relatonships, (c) the projected revenues, technology obsolescence rate and discount rate for the VCF in-process research and development, and (d) certain projected revenues, brand asset phase-out patern, brand asset royalty rate, and discount rate for the VMware trade name (collectvely referred to as “the aforementoned signifcant assumptons”); and (iii) the audit efort involved the use of professionals with specialized skill and knowledge.</w:t>
      </w:r>
    </w:p>
    <w:p>
      <w:pPr>
        <w:spacing w:after="0" w:line="25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Addressing the mater involved performing procedures and evaluatng audit evidence in connecton with forming our overall opinion on the consolidated fnancial statements. These procedures included testng the efectveness of controls relatng to the acquisiton accountng, including controls over management’s valuaton of the acquired developed technology, customer contracts and related relatonships, in-process research and development, and the trade names. These procedures also included, among others, (i) reading the purchase agreement; (ii) testng management’s process for developing the fair value estmate of the acquired VCF developed technology, certain customer contracts and related relatonships, VCF in-process research and development, and the VMware trade name; (iii) evaluatng the appropriateness of the mult-period excess earnings, with-and-without, and relief-from-royalty methods used by management; (iv) testng the completeness and accuracy of underlying data used in the mult-period excess earnings, with-and-without, and relief-from-royalty methods; and (v) evaluatng the reasonableness of the aforementoned signifcant assumptons used by management. Evaluatng management’s assumptons related to (a) the projected revenues and projected expenses for the VCF developed technology, (b) certain projected revenues, customer retenton rate, and customer ramp up period for the certain customer contracts and related relatonships, (c) projected revenues for the VCF in-process research and development, and (d) certain projected revenues for the VMware trade name involved considering (i) the current and past performance of VMware; (ii) the consistency with external market and industry data; and (iii) whether the assumptons were consistent with evidence obtained in other areas of the audit. Professionals with specialized skill and knowledge were used to assist in (i) evaluatng the appropriateness of mult-period excess earnings, with-and-without, and relief-from-royalty methods and (ii) the reasonableness of (a) the technology obsolescence rate, contributory asset charge, and discount rate for the VCF developed technology, (b) the discount rate for the certain customer contracts and related relatonships, (c) the technology obsolescence rate and discount rate for the VCF in-process research and development, and (d) brand asset phase-out patern, brand asset royalty rate, and discount rate for the VMware trade name.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alibri" w:cs="Calibri" w:eastAsia="Calibri" w:hAnsi="Calibri"/>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San Jose, California</w:t>
      </w:r>
    </w:p>
    <w:p>
      <w:pPr>
        <w:spacing w:after="0" w:line="235" w:lineRule="auto"/>
        <w:rPr>
          <w:sz w:val="20"/>
          <w:szCs w:val="20"/>
          <w:color w:val="auto"/>
        </w:rPr>
      </w:pPr>
      <w:r>
        <w:rPr>
          <w:rFonts w:ascii="Calibri" w:cs="Calibri" w:eastAsia="Calibri" w:hAnsi="Calibri"/>
          <w:sz w:val="18"/>
          <w:szCs w:val="18"/>
          <w:color w:val="auto"/>
        </w:rPr>
        <w:t>December 20, 2024</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served as the Company’s auditor since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BROADCOM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BALANCE SHEETS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Calibri" w:cs="Calibri" w:eastAsia="Calibri" w:hAnsi="Calibri"/>
                <w:sz w:val="14"/>
                <w:szCs w:val="14"/>
                <w:b w:val="1"/>
                <w:bCs w:val="1"/>
                <w:color w:val="auto"/>
              </w:rPr>
              <w:t>November 3,</w:t>
            </w:r>
          </w:p>
        </w:tc>
        <w:tc>
          <w:tcPr>
            <w:tcW w:w="220" w:type="dxa"/>
            <w:vAlign w:val="bottom"/>
          </w:tcPr>
          <w:p>
            <w:pPr>
              <w:spacing w:after="0"/>
              <w:rPr>
                <w:sz w:val="14"/>
                <w:szCs w:val="14"/>
                <w:color w:val="auto"/>
              </w:rPr>
            </w:pPr>
          </w:p>
        </w:tc>
        <w:tc>
          <w:tcPr>
            <w:tcW w:w="1180" w:type="dxa"/>
            <w:vAlign w:val="bottom"/>
          </w:tcPr>
          <w:p>
            <w:pPr>
              <w:jc w:val="right"/>
              <w:ind w:right="271"/>
              <w:spacing w:after="0"/>
              <w:rPr>
                <w:sz w:val="20"/>
                <w:szCs w:val="20"/>
                <w:color w:val="auto"/>
              </w:rPr>
            </w:pPr>
            <w:r>
              <w:rPr>
                <w:rFonts w:ascii="Calibri" w:cs="Calibri" w:eastAsia="Calibri" w:hAnsi="Calibri"/>
                <w:sz w:val="14"/>
                <w:szCs w:val="14"/>
                <w:b w:val="1"/>
                <w:bCs w:val="1"/>
                <w:color w:val="auto"/>
              </w:rPr>
              <w:t>October 29,</w:t>
            </w:r>
          </w:p>
        </w:tc>
        <w:tc>
          <w:tcPr>
            <w:tcW w:w="0" w:type="dxa"/>
            <w:vAlign w:val="bottom"/>
          </w:tcPr>
          <w:p>
            <w:pPr>
              <w:spacing w:after="0"/>
              <w:rPr>
                <w:sz w:val="1"/>
                <w:szCs w:val="1"/>
                <w:color w:val="auto"/>
              </w:rPr>
            </w:pPr>
          </w:p>
        </w:tc>
      </w:tr>
      <w:tr>
        <w:trPr>
          <w:trHeight w:val="170"/>
        </w:trPr>
        <w:tc>
          <w:tcPr>
            <w:tcW w:w="8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452"/>
              <w:spacing w:after="0"/>
              <w:rPr>
                <w:sz w:val="20"/>
                <w:szCs w:val="20"/>
                <w:color w:val="auto"/>
              </w:rPr>
            </w:pPr>
            <w:r>
              <w:rPr>
                <w:rFonts w:ascii="Calibri" w:cs="Calibri" w:eastAsia="Calibri" w:hAnsi="Calibri"/>
                <w:sz w:val="14"/>
                <w:szCs w:val="14"/>
                <w:b w:val="1"/>
                <w:bCs w:val="1"/>
                <w:color w:val="auto"/>
              </w:rPr>
              <w:t>2024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471"/>
              <w:spacing w:after="0"/>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4"/>
          </w:tcPr>
          <w:p>
            <w:pPr>
              <w:jc w:val="right"/>
              <w:ind w:right="491"/>
              <w:spacing w:after="0"/>
              <w:rPr>
                <w:sz w:val="20"/>
                <w:szCs w:val="20"/>
                <w:color w:val="auto"/>
              </w:rPr>
            </w:pPr>
            <w:r>
              <w:rPr>
                <w:rFonts w:ascii="Calibri" w:cs="Calibri" w:eastAsia="Calibri" w:hAnsi="Calibri"/>
                <w:sz w:val="14"/>
                <w:szCs w:val="14"/>
                <w:b w:val="1"/>
                <w:bCs w:val="1"/>
                <w:color w:val="auto"/>
              </w:rPr>
              <w:t>(In millions, except par value)</w:t>
            </w:r>
          </w:p>
        </w:tc>
        <w:tc>
          <w:tcPr>
            <w:tcW w:w="0" w:type="dxa"/>
            <w:vAlign w:val="bottom"/>
          </w:tcPr>
          <w:p>
            <w:pPr>
              <w:spacing w:after="0"/>
              <w:rPr>
                <w:sz w:val="1"/>
                <w:szCs w:val="1"/>
                <w:color w:val="auto"/>
              </w:rPr>
            </w:pPr>
          </w:p>
        </w:tc>
      </w:tr>
      <w:tr>
        <w:trPr>
          <w:trHeight w:val="47"/>
        </w:trPr>
        <w:tc>
          <w:tcPr>
            <w:tcW w:w="8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32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9,348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14,189</w:t>
            </w:r>
          </w:p>
        </w:tc>
        <w:tc>
          <w:tcPr>
            <w:tcW w:w="0" w:type="dxa"/>
            <w:vAlign w:val="bottom"/>
          </w:tcPr>
          <w:p>
            <w:pPr>
              <w:spacing w:after="0"/>
              <w:rPr>
                <w:sz w:val="1"/>
                <w:szCs w:val="1"/>
                <w:color w:val="auto"/>
              </w:rPr>
            </w:pPr>
          </w:p>
        </w:tc>
      </w:tr>
      <w:tr>
        <w:trPr>
          <w:trHeight w:val="222"/>
        </w:trPr>
        <w:tc>
          <w:tcPr>
            <w:tcW w:w="8320" w:type="dxa"/>
            <w:vAlign w:val="bottom"/>
          </w:tcPr>
          <w:p>
            <w:pPr>
              <w:ind w:left="140"/>
              <w:spacing w:after="0" w:line="215" w:lineRule="exact"/>
              <w:rPr>
                <w:sz w:val="20"/>
                <w:szCs w:val="20"/>
                <w:color w:val="auto"/>
              </w:rPr>
            </w:pPr>
            <w:r>
              <w:rPr>
                <w:rFonts w:ascii="Calibri" w:cs="Calibri" w:eastAsia="Calibri" w:hAnsi="Calibri"/>
                <w:sz w:val="18"/>
                <w:szCs w:val="18"/>
                <w:color w:val="auto"/>
              </w:rPr>
              <w:t>Trade accounts receivable, net</w:t>
            </w:r>
          </w:p>
        </w:tc>
        <w:tc>
          <w:tcPr>
            <w:tcW w:w="22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4,416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3,154</w:t>
            </w:r>
          </w:p>
        </w:tc>
        <w:tc>
          <w:tcPr>
            <w:tcW w:w="0" w:type="dxa"/>
            <w:vAlign w:val="bottom"/>
          </w:tcPr>
          <w:p>
            <w:pPr>
              <w:spacing w:after="0"/>
              <w:rPr>
                <w:sz w:val="1"/>
                <w:szCs w:val="1"/>
                <w:color w:val="auto"/>
              </w:rPr>
            </w:pPr>
          </w:p>
        </w:tc>
      </w:tr>
      <w:tr>
        <w:trPr>
          <w:trHeight w:val="237"/>
        </w:trPr>
        <w:tc>
          <w:tcPr>
            <w:tcW w:w="83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Inventory</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1,760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1,898</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140"/>
              <w:spacing w:after="0" w:line="215" w:lineRule="exact"/>
              <w:rPr>
                <w:sz w:val="20"/>
                <w:szCs w:val="20"/>
                <w:color w:val="auto"/>
              </w:rPr>
            </w:pPr>
            <w:r>
              <w:rPr>
                <w:rFonts w:ascii="Calibri" w:cs="Calibri" w:eastAsia="Calibri" w:hAnsi="Calibri"/>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4,071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1,606</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line="206" w:lineRule="exact"/>
              <w:rPr>
                <w:sz w:val="20"/>
                <w:szCs w:val="20"/>
                <w:color w:val="auto"/>
              </w:rPr>
            </w:pPr>
            <w:r>
              <w:rPr>
                <w:rFonts w:ascii="Calibri" w:cs="Calibri" w:eastAsia="Calibri" w:hAnsi="Calibri"/>
                <w:sz w:val="18"/>
                <w:szCs w:val="18"/>
                <w:color w:val="auto"/>
              </w:rPr>
              <w:t>Total current 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19,595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20,847</w:t>
            </w:r>
          </w:p>
        </w:tc>
        <w:tc>
          <w:tcPr>
            <w:tcW w:w="0" w:type="dxa"/>
            <w:vAlign w:val="bottom"/>
          </w:tcPr>
          <w:p>
            <w:pPr>
              <w:spacing w:after="0"/>
              <w:rPr>
                <w:sz w:val="1"/>
                <w:szCs w:val="1"/>
                <w:color w:val="auto"/>
              </w:rPr>
            </w:pPr>
          </w:p>
        </w:tc>
      </w:tr>
      <w:tr>
        <w:trPr>
          <w:trHeight w:val="222"/>
        </w:trPr>
        <w:tc>
          <w:tcPr>
            <w:tcW w:w="8320" w:type="dxa"/>
            <w:vAlign w:val="bottom"/>
          </w:tcPr>
          <w:p>
            <w:pPr>
              <w:ind w:left="20"/>
              <w:spacing w:after="0" w:line="215" w:lineRule="exact"/>
              <w:rPr>
                <w:sz w:val="20"/>
                <w:szCs w:val="20"/>
                <w:color w:val="auto"/>
              </w:rPr>
            </w:pPr>
            <w:r>
              <w:rPr>
                <w:rFonts w:ascii="Calibri" w:cs="Calibri" w:eastAsia="Calibri" w:hAnsi="Calibri"/>
                <w:sz w:val="18"/>
                <w:szCs w:val="18"/>
                <w:color w:val="auto"/>
              </w:rPr>
              <w:t>Long-term assets: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Property, plant and equipment, net</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2,521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2,154</w:t>
            </w:r>
          </w:p>
        </w:tc>
        <w:tc>
          <w:tcPr>
            <w:tcW w:w="0" w:type="dxa"/>
            <w:vAlign w:val="bottom"/>
          </w:tcPr>
          <w:p>
            <w:pPr>
              <w:spacing w:after="0"/>
              <w:rPr>
                <w:sz w:val="1"/>
                <w:szCs w:val="1"/>
                <w:color w:val="auto"/>
              </w:rPr>
            </w:pPr>
          </w:p>
        </w:tc>
      </w:tr>
      <w:tr>
        <w:trPr>
          <w:trHeight w:val="222"/>
        </w:trPr>
        <w:tc>
          <w:tcPr>
            <w:tcW w:w="8320" w:type="dxa"/>
            <w:vAlign w:val="bottom"/>
          </w:tcPr>
          <w:p>
            <w:pPr>
              <w:ind w:left="140"/>
              <w:spacing w:after="0" w:line="215" w:lineRule="exact"/>
              <w:rPr>
                <w:sz w:val="20"/>
                <w:szCs w:val="20"/>
                <w:color w:val="auto"/>
              </w:rPr>
            </w:pPr>
            <w:r>
              <w:rPr>
                <w:rFonts w:ascii="Calibri" w:cs="Calibri" w:eastAsia="Calibri" w:hAnsi="Calibri"/>
                <w:sz w:val="18"/>
                <w:szCs w:val="18"/>
                <w:color w:val="auto"/>
              </w:rPr>
              <w:t>Goodwill</w:t>
            </w:r>
          </w:p>
        </w:tc>
        <w:tc>
          <w:tcPr>
            <w:tcW w:w="22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97,873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43,653</w:t>
            </w:r>
          </w:p>
        </w:tc>
        <w:tc>
          <w:tcPr>
            <w:tcW w:w="0" w:type="dxa"/>
            <w:vAlign w:val="bottom"/>
          </w:tcPr>
          <w:p>
            <w:pPr>
              <w:spacing w:after="0"/>
              <w:rPr>
                <w:sz w:val="1"/>
                <w:szCs w:val="1"/>
                <w:color w:val="auto"/>
              </w:rPr>
            </w:pPr>
          </w:p>
        </w:tc>
      </w:tr>
      <w:tr>
        <w:trPr>
          <w:trHeight w:val="237"/>
        </w:trPr>
        <w:tc>
          <w:tcPr>
            <w:tcW w:w="83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Intangible assets, net</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40,583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3,867</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140"/>
              <w:spacing w:after="0" w:line="215" w:lineRule="exact"/>
              <w:rPr>
                <w:sz w:val="20"/>
                <w:szCs w:val="20"/>
                <w:color w:val="auto"/>
              </w:rPr>
            </w:pPr>
            <w:r>
              <w:rPr>
                <w:rFonts w:ascii="Calibri" w:cs="Calibri" w:eastAsia="Calibri" w:hAnsi="Calibri"/>
                <w:sz w:val="18"/>
                <w:szCs w:val="18"/>
                <w:color w:val="auto"/>
              </w:rPr>
              <w:t>Other long-term assets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5,073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2,340</w:t>
            </w:r>
          </w:p>
        </w:tc>
        <w:tc>
          <w:tcPr>
            <w:tcW w:w="0" w:type="dxa"/>
            <w:vAlign w:val="bottom"/>
          </w:tcPr>
          <w:p>
            <w:pPr>
              <w:spacing w:after="0"/>
              <w:rPr>
                <w:sz w:val="1"/>
                <w:szCs w:val="1"/>
                <w:color w:val="auto"/>
              </w:rPr>
            </w:pPr>
          </w:p>
        </w:tc>
      </w:tr>
      <w:tr>
        <w:trPr>
          <w:trHeight w:val="254"/>
        </w:trPr>
        <w:tc>
          <w:tcPr>
            <w:tcW w:w="8320" w:type="dxa"/>
            <w:vAlign w:val="bottom"/>
            <w:tcBorders>
              <w:bottom w:val="single" w:sz="8" w:color="CCEEFF"/>
            </w:tcBorders>
            <w:shd w:val="clear" w:color="auto" w:fill="CCEEFF"/>
          </w:tcPr>
          <w:p>
            <w:pPr>
              <w:ind w:left="360"/>
              <w:spacing w:after="0"/>
              <w:rPr>
                <w:sz w:val="20"/>
                <w:szCs w:val="20"/>
                <w:color w:val="auto"/>
              </w:rPr>
            </w:pPr>
            <w:r>
              <w:rPr>
                <w:rFonts w:ascii="Calibri" w:cs="Calibri" w:eastAsia="Calibri" w:hAnsi="Calibri"/>
                <w:sz w:val="18"/>
                <w:szCs w:val="18"/>
                <w:color w:val="auto"/>
              </w:rPr>
              <w:t>Total assets</w:t>
            </w:r>
          </w:p>
        </w:tc>
        <w:tc>
          <w:tcPr>
            <w:tcW w:w="220" w:type="dxa"/>
            <w:vAlign w:val="bottom"/>
            <w:tcBorders>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165,645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72,861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Calibri" w:cs="Calibri" w:eastAsia="Calibri" w:hAnsi="Calibri"/>
                <w:sz w:val="18"/>
                <w:szCs w:val="18"/>
                <w:b w:val="1"/>
                <w:bCs w:val="1"/>
                <w:color w:val="auto"/>
              </w:rPr>
              <w:t>LIABILITIES AND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320" w:type="dxa"/>
            <w:vAlign w:val="bottom"/>
          </w:tcPr>
          <w:p>
            <w:pPr>
              <w:ind w:left="140"/>
              <w:spacing w:after="0" w:line="215" w:lineRule="exact"/>
              <w:rPr>
                <w:sz w:val="20"/>
                <w:szCs w:val="20"/>
                <w:color w:val="auto"/>
              </w:rPr>
            </w:pPr>
            <w:r>
              <w:rPr>
                <w:rFonts w:ascii="Calibri" w:cs="Calibri" w:eastAsia="Calibri" w:hAnsi="Calibri"/>
                <w:sz w:val="18"/>
                <w:szCs w:val="18"/>
                <w:color w:val="auto"/>
              </w:rPr>
              <w:t>Accounts payable</w:t>
            </w:r>
          </w:p>
        </w:tc>
        <w:tc>
          <w:tcPr>
            <w:tcW w:w="2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1,662</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1,210</w:t>
            </w:r>
          </w:p>
        </w:tc>
        <w:tc>
          <w:tcPr>
            <w:tcW w:w="0" w:type="dxa"/>
            <w:vAlign w:val="bottom"/>
          </w:tcPr>
          <w:p>
            <w:pPr>
              <w:spacing w:after="0"/>
              <w:rPr>
                <w:sz w:val="1"/>
                <w:szCs w:val="1"/>
                <w:color w:val="auto"/>
              </w:rPr>
            </w:pPr>
          </w:p>
        </w:tc>
      </w:tr>
      <w:tr>
        <w:trPr>
          <w:trHeight w:val="237"/>
        </w:trPr>
        <w:tc>
          <w:tcPr>
            <w:tcW w:w="83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Employee compensaton and benefts</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1,971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935</w:t>
            </w:r>
          </w:p>
        </w:tc>
        <w:tc>
          <w:tcPr>
            <w:tcW w:w="0" w:type="dxa"/>
            <w:vAlign w:val="bottom"/>
          </w:tcPr>
          <w:p>
            <w:pPr>
              <w:spacing w:after="0"/>
              <w:rPr>
                <w:sz w:val="1"/>
                <w:szCs w:val="1"/>
                <w:color w:val="auto"/>
              </w:rPr>
            </w:pPr>
          </w:p>
        </w:tc>
      </w:tr>
      <w:tr>
        <w:trPr>
          <w:trHeight w:val="222"/>
        </w:trPr>
        <w:tc>
          <w:tcPr>
            <w:tcW w:w="8320" w:type="dxa"/>
            <w:vAlign w:val="bottom"/>
          </w:tcPr>
          <w:p>
            <w:pPr>
              <w:ind w:left="140"/>
              <w:spacing w:after="0" w:line="215" w:lineRule="exact"/>
              <w:rPr>
                <w:sz w:val="20"/>
                <w:szCs w:val="20"/>
                <w:color w:val="auto"/>
              </w:rPr>
            </w:pPr>
            <w:r>
              <w:rPr>
                <w:rFonts w:ascii="Calibri" w:cs="Calibri" w:eastAsia="Calibri" w:hAnsi="Calibri"/>
                <w:sz w:val="18"/>
                <w:szCs w:val="18"/>
                <w:color w:val="auto"/>
              </w:rPr>
              <w:t>Current porton of long-term debt</w:t>
            </w:r>
          </w:p>
        </w:tc>
        <w:tc>
          <w:tcPr>
            <w:tcW w:w="22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1,271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1,608</w:t>
            </w:r>
          </w:p>
        </w:tc>
        <w:tc>
          <w:tcPr>
            <w:tcW w:w="0" w:type="dxa"/>
            <w:vAlign w:val="bottom"/>
          </w:tcPr>
          <w:p>
            <w:pPr>
              <w:spacing w:after="0"/>
              <w:rPr>
                <w:sz w:val="1"/>
                <w:szCs w:val="1"/>
                <w:color w:val="auto"/>
              </w:rPr>
            </w:pPr>
          </w:p>
        </w:tc>
      </w:tr>
      <w:tr>
        <w:trPr>
          <w:trHeight w:val="237"/>
        </w:trPr>
        <w:tc>
          <w:tcPr>
            <w:tcW w:w="83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Other current liabilites</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11,793</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3,652</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line="199" w:lineRule="exact"/>
              <w:rPr>
                <w:sz w:val="20"/>
                <w:szCs w:val="20"/>
                <w:color w:val="auto"/>
              </w:rPr>
            </w:pPr>
            <w:r>
              <w:rPr>
                <w:rFonts w:ascii="Calibri" w:cs="Calibri" w:eastAsia="Calibri" w:hAnsi="Calibri"/>
                <w:sz w:val="18"/>
                <w:szCs w:val="18"/>
                <w:color w:val="auto"/>
              </w:rPr>
              <w:t>Total current liabilites</w:t>
            </w:r>
          </w:p>
        </w:tc>
        <w:tc>
          <w:tcPr>
            <w:tcW w:w="22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16,697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7,405</w:t>
            </w:r>
          </w:p>
        </w:tc>
        <w:tc>
          <w:tcPr>
            <w:tcW w:w="0" w:type="dxa"/>
            <w:vAlign w:val="bottom"/>
          </w:tcPr>
          <w:p>
            <w:pPr>
              <w:spacing w:after="0"/>
              <w:rPr>
                <w:sz w:val="1"/>
                <w:szCs w:val="1"/>
                <w:color w:val="auto"/>
              </w:rPr>
            </w:pPr>
          </w:p>
        </w:tc>
      </w:tr>
      <w:tr>
        <w:trPr>
          <w:trHeight w:val="237"/>
        </w:trPr>
        <w:tc>
          <w:tcPr>
            <w:tcW w:w="83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Long-term liabilites:</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8320" w:type="dxa"/>
            <w:vAlign w:val="bottom"/>
          </w:tcPr>
          <w:p>
            <w:pPr>
              <w:ind w:left="140"/>
              <w:spacing w:after="0" w:line="215" w:lineRule="exact"/>
              <w:rPr>
                <w:sz w:val="20"/>
                <w:szCs w:val="20"/>
                <w:color w:val="auto"/>
              </w:rPr>
            </w:pPr>
            <w:r>
              <w:rPr>
                <w:rFonts w:ascii="Calibri" w:cs="Calibri" w:eastAsia="Calibri" w:hAnsi="Calibri"/>
                <w:sz w:val="18"/>
                <w:szCs w:val="18"/>
                <w:color w:val="auto"/>
              </w:rPr>
              <w:t>Long-term debt</w:t>
            </w:r>
          </w:p>
        </w:tc>
        <w:tc>
          <w:tcPr>
            <w:tcW w:w="22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66,295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37,621</w:t>
            </w:r>
          </w:p>
        </w:tc>
        <w:tc>
          <w:tcPr>
            <w:tcW w:w="0" w:type="dxa"/>
            <w:vAlign w:val="bottom"/>
          </w:tcPr>
          <w:p>
            <w:pPr>
              <w:spacing w:after="0"/>
              <w:rPr>
                <w:sz w:val="1"/>
                <w:szCs w:val="1"/>
                <w:color w:val="auto"/>
              </w:rPr>
            </w:pPr>
          </w:p>
        </w:tc>
      </w:tr>
      <w:tr>
        <w:trPr>
          <w:trHeight w:val="237"/>
        </w:trPr>
        <w:tc>
          <w:tcPr>
            <w:tcW w:w="83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Other long-term liabilites</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14,975</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3,847</w:t>
            </w:r>
          </w:p>
        </w:tc>
        <w:tc>
          <w:tcPr>
            <w:tcW w:w="0" w:type="dxa"/>
            <w:vAlign w:val="bottom"/>
          </w:tcPr>
          <w:p>
            <w:pPr>
              <w:spacing w:after="0"/>
              <w:rPr>
                <w:sz w:val="1"/>
                <w:szCs w:val="1"/>
                <w:color w:val="auto"/>
              </w:rPr>
            </w:pPr>
          </w:p>
        </w:tc>
      </w:tr>
      <w:tr>
        <w:trPr>
          <w:trHeight w:val="217"/>
        </w:trPr>
        <w:tc>
          <w:tcPr>
            <w:tcW w:w="8320" w:type="dxa"/>
            <w:vAlign w:val="bottom"/>
            <w:tcBorders>
              <w:bottom w:val="single" w:sz="8" w:color="CCEEFF"/>
            </w:tcBorders>
          </w:tcPr>
          <w:p>
            <w:pPr>
              <w:ind w:left="360"/>
              <w:spacing w:after="0" w:line="199" w:lineRule="exact"/>
              <w:rPr>
                <w:sz w:val="20"/>
                <w:szCs w:val="20"/>
                <w:color w:val="auto"/>
              </w:rPr>
            </w:pPr>
            <w:r>
              <w:rPr>
                <w:rFonts w:ascii="Calibri" w:cs="Calibri" w:eastAsia="Calibri" w:hAnsi="Calibri"/>
                <w:sz w:val="18"/>
                <w:szCs w:val="18"/>
                <w:color w:val="auto"/>
              </w:rPr>
              <w:t>Total liabilites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97,967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48,873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Commitments and contngencies (Note 14)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tcPr>
          <w:p>
            <w:pPr>
              <w:ind w:left="20"/>
              <w:spacing w:after="0" w:line="215" w:lineRule="exact"/>
              <w:rPr>
                <w:sz w:val="20"/>
                <w:szCs w:val="20"/>
                <w:color w:val="auto"/>
              </w:rPr>
            </w:pPr>
            <w:r>
              <w:rPr>
                <w:rFonts w:ascii="Calibri" w:cs="Calibri" w:eastAsia="Calibri" w:hAnsi="Calibri"/>
                <w:sz w:val="18"/>
                <w:szCs w:val="18"/>
                <w:color w:val="auto"/>
              </w:rPr>
              <w:t>Stockholders’ equity:</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Preferred stock, $0.001 par value; 100 shares authorized; none issued and outstanding</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67"/>
        </w:trPr>
        <w:tc>
          <w:tcPr>
            <w:tcW w:w="8320" w:type="dxa"/>
            <w:vAlign w:val="bottom"/>
          </w:tcPr>
          <w:p>
            <w:pPr>
              <w:ind w:left="140"/>
              <w:spacing w:after="0" w:line="166" w:lineRule="exact"/>
              <w:rPr>
                <w:sz w:val="20"/>
                <w:szCs w:val="20"/>
                <w:color w:val="auto"/>
              </w:rPr>
            </w:pPr>
            <w:r>
              <w:rPr>
                <w:rFonts w:ascii="Calibri" w:cs="Calibri" w:eastAsia="Calibri" w:hAnsi="Calibri"/>
                <w:sz w:val="18"/>
                <w:szCs w:val="18"/>
                <w:color w:val="auto"/>
                <w:w w:val="99"/>
              </w:rPr>
              <w:t>Common stock, $0.001 par value; 29,000 shares authorized; 4,686 and 4,139 shares issued and outstanding as of</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8320" w:type="dxa"/>
            <w:vAlign w:val="bottom"/>
          </w:tcPr>
          <w:p>
            <w:pPr>
              <w:ind w:left="300"/>
              <w:spacing w:after="0" w:line="215" w:lineRule="exact"/>
              <w:rPr>
                <w:sz w:val="20"/>
                <w:szCs w:val="20"/>
                <w:color w:val="auto"/>
              </w:rPr>
            </w:pPr>
            <w:r>
              <w:rPr>
                <w:rFonts w:ascii="Calibri" w:cs="Calibri" w:eastAsia="Calibri" w:hAnsi="Calibri"/>
                <w:sz w:val="18"/>
                <w:szCs w:val="18"/>
                <w:color w:val="auto"/>
              </w:rPr>
              <w:t>November 3, 2024 and October 29, 2023, respectvely</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shd w:val="clear" w:color="auto" w:fill="CCEEFF"/>
          </w:tcPr>
          <w:p>
            <w:pPr>
              <w:ind w:left="140"/>
              <w:spacing w:after="0" w:line="215" w:lineRule="exact"/>
              <w:rPr>
                <w:sz w:val="20"/>
                <w:szCs w:val="20"/>
                <w:color w:val="auto"/>
              </w:rPr>
            </w:pPr>
            <w:r>
              <w:rPr>
                <w:rFonts w:ascii="Calibri" w:cs="Calibri" w:eastAsia="Calibri" w:hAnsi="Calibri"/>
                <w:sz w:val="18"/>
                <w:szCs w:val="18"/>
                <w:color w:val="auto"/>
              </w:rPr>
              <w:t>Additonal paid-in capital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67,466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21,095</w:t>
            </w:r>
          </w:p>
        </w:tc>
        <w:tc>
          <w:tcPr>
            <w:tcW w:w="0" w:type="dxa"/>
            <w:vAlign w:val="bottom"/>
          </w:tcPr>
          <w:p>
            <w:pPr>
              <w:spacing w:after="0"/>
              <w:rPr>
                <w:sz w:val="1"/>
                <w:szCs w:val="1"/>
                <w:color w:val="auto"/>
              </w:rPr>
            </w:pPr>
          </w:p>
        </w:tc>
      </w:tr>
      <w:tr>
        <w:trPr>
          <w:trHeight w:val="222"/>
        </w:trPr>
        <w:tc>
          <w:tcPr>
            <w:tcW w:w="8320" w:type="dxa"/>
            <w:vAlign w:val="bottom"/>
          </w:tcPr>
          <w:p>
            <w:pPr>
              <w:ind w:left="140"/>
              <w:spacing w:after="0" w:line="215" w:lineRule="exact"/>
              <w:rPr>
                <w:sz w:val="20"/>
                <w:szCs w:val="20"/>
                <w:color w:val="auto"/>
              </w:rPr>
            </w:pPr>
            <w:r>
              <w:rPr>
                <w:rFonts w:ascii="Calibri" w:cs="Calibri" w:eastAsia="Calibri" w:hAnsi="Calibri"/>
                <w:sz w:val="18"/>
                <w:szCs w:val="18"/>
                <w:color w:val="auto"/>
              </w:rPr>
              <w:t>Retained earnings</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2,682</w:t>
            </w:r>
          </w:p>
        </w:tc>
        <w:tc>
          <w:tcPr>
            <w:tcW w:w="0" w:type="dxa"/>
            <w:vAlign w:val="bottom"/>
          </w:tcPr>
          <w:p>
            <w:pPr>
              <w:spacing w:after="0"/>
              <w:rPr>
                <w:sz w:val="1"/>
                <w:szCs w:val="1"/>
                <w:color w:val="auto"/>
              </w:rPr>
            </w:pPr>
          </w:p>
        </w:tc>
      </w:tr>
      <w:tr>
        <w:trPr>
          <w:trHeight w:val="237"/>
        </w:trPr>
        <w:tc>
          <w:tcPr>
            <w:tcW w:w="83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Accumulated other comprehensive income</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207</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207</w:t>
            </w:r>
          </w:p>
        </w:tc>
        <w:tc>
          <w:tcPr>
            <w:tcW w:w="0" w:type="dxa"/>
            <w:vAlign w:val="bottom"/>
          </w:tcPr>
          <w:p>
            <w:pPr>
              <w:spacing w:after="0"/>
              <w:rPr>
                <w:sz w:val="1"/>
                <w:szCs w:val="1"/>
                <w:color w:val="auto"/>
              </w:rPr>
            </w:pPr>
          </w:p>
        </w:tc>
      </w:tr>
      <w:tr>
        <w:trPr>
          <w:trHeight w:val="217"/>
        </w:trPr>
        <w:tc>
          <w:tcPr>
            <w:tcW w:w="8320" w:type="dxa"/>
            <w:vAlign w:val="bottom"/>
            <w:tcBorders>
              <w:bottom w:val="single" w:sz="8" w:color="CCEEFF"/>
            </w:tcBorders>
          </w:tcPr>
          <w:p>
            <w:pPr>
              <w:ind w:left="360"/>
              <w:spacing w:after="0" w:line="199" w:lineRule="exact"/>
              <w:rPr>
                <w:sz w:val="20"/>
                <w:szCs w:val="20"/>
                <w:color w:val="auto"/>
              </w:rPr>
            </w:pPr>
            <w:r>
              <w:rPr>
                <w:rFonts w:ascii="Calibri" w:cs="Calibri" w:eastAsia="Calibri" w:hAnsi="Calibri"/>
                <w:sz w:val="18"/>
                <w:szCs w:val="18"/>
                <w:color w:val="auto"/>
              </w:rPr>
              <w:t>Total stockholders’ equity</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67,678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23,988</w:t>
            </w:r>
          </w:p>
        </w:tc>
        <w:tc>
          <w:tcPr>
            <w:tcW w:w="0" w:type="dxa"/>
            <w:vAlign w:val="bottom"/>
          </w:tcPr>
          <w:p>
            <w:pPr>
              <w:spacing w:after="0"/>
              <w:rPr>
                <w:sz w:val="1"/>
                <w:szCs w:val="1"/>
                <w:color w:val="auto"/>
              </w:rPr>
            </w:pPr>
          </w:p>
        </w:tc>
      </w:tr>
      <w:tr>
        <w:trPr>
          <w:trHeight w:val="255"/>
        </w:trPr>
        <w:tc>
          <w:tcPr>
            <w:tcW w:w="8320" w:type="dxa"/>
            <w:vAlign w:val="bottom"/>
            <w:tcBorders>
              <w:bottom w:val="single" w:sz="8" w:color="CCEEFF"/>
            </w:tcBorders>
            <w:shd w:val="clear" w:color="auto" w:fill="CCEEFF"/>
          </w:tcPr>
          <w:p>
            <w:pPr>
              <w:ind w:left="480"/>
              <w:spacing w:after="0"/>
              <w:rPr>
                <w:sz w:val="20"/>
                <w:szCs w:val="20"/>
                <w:color w:val="auto"/>
              </w:rPr>
            </w:pPr>
            <w:r>
              <w:rPr>
                <w:rFonts w:ascii="Calibri" w:cs="Calibri" w:eastAsia="Calibri" w:hAnsi="Calibri"/>
                <w:sz w:val="18"/>
                <w:szCs w:val="18"/>
                <w:color w:val="auto"/>
              </w:rPr>
              <w:t>Total liabilites and equity</w:t>
            </w:r>
          </w:p>
        </w:tc>
        <w:tc>
          <w:tcPr>
            <w:tcW w:w="220" w:type="dxa"/>
            <w:vAlign w:val="bottom"/>
            <w:tcBorders>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165,645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72,861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BROADCOM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OPERATIONS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Fiscal Year Ended</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7"/>
        </w:trPr>
        <w:tc>
          <w:tcPr>
            <w:tcW w:w="69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128"/>
        </w:trPr>
        <w:tc>
          <w:tcPr>
            <w:tcW w:w="6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27" w:lineRule="exact"/>
              <w:rPr>
                <w:sz w:val="20"/>
                <w:szCs w:val="20"/>
                <w:color w:val="auto"/>
              </w:rPr>
            </w:pPr>
            <w:r>
              <w:rPr>
                <w:rFonts w:ascii="Calibri" w:cs="Calibri" w:eastAsia="Calibri" w:hAnsi="Calibri"/>
                <w:sz w:val="13"/>
                <w:szCs w:val="13"/>
                <w:b w:val="1"/>
                <w:bCs w:val="1"/>
                <w:color w:val="auto"/>
              </w:rPr>
              <w:t>November 3,</w:t>
            </w:r>
          </w:p>
        </w:tc>
        <w:tc>
          <w:tcPr>
            <w:tcW w:w="140" w:type="dxa"/>
            <w:vAlign w:val="bottom"/>
          </w:tcPr>
          <w:p>
            <w:pPr>
              <w:spacing w:after="0"/>
              <w:rPr>
                <w:sz w:val="11"/>
                <w:szCs w:val="11"/>
                <w:color w:val="auto"/>
              </w:rPr>
            </w:pPr>
          </w:p>
        </w:tc>
        <w:tc>
          <w:tcPr>
            <w:tcW w:w="1340" w:type="dxa"/>
            <w:vAlign w:val="bottom"/>
            <w:gridSpan w:val="2"/>
          </w:tcPr>
          <w:p>
            <w:pPr>
              <w:jc w:val="center"/>
              <w:ind w:right="240"/>
              <w:spacing w:after="0" w:line="127" w:lineRule="exact"/>
              <w:rPr>
                <w:sz w:val="20"/>
                <w:szCs w:val="20"/>
                <w:color w:val="auto"/>
              </w:rPr>
            </w:pPr>
            <w:r>
              <w:rPr>
                <w:rFonts w:ascii="Calibri" w:cs="Calibri" w:eastAsia="Calibri" w:hAnsi="Calibri"/>
                <w:sz w:val="13"/>
                <w:szCs w:val="13"/>
                <w:b w:val="1"/>
                <w:bCs w:val="1"/>
                <w:color w:val="auto"/>
              </w:rPr>
              <w:t>October 29,</w:t>
            </w:r>
          </w:p>
        </w:tc>
        <w:tc>
          <w:tcPr>
            <w:tcW w:w="280" w:type="dxa"/>
            <w:vAlign w:val="bottom"/>
          </w:tcPr>
          <w:p>
            <w:pPr>
              <w:spacing w:after="0"/>
              <w:rPr>
                <w:sz w:val="11"/>
                <w:szCs w:val="11"/>
                <w:color w:val="auto"/>
              </w:rPr>
            </w:pPr>
          </w:p>
        </w:tc>
        <w:tc>
          <w:tcPr>
            <w:tcW w:w="1080" w:type="dxa"/>
            <w:vAlign w:val="bottom"/>
          </w:tcPr>
          <w:p>
            <w:pPr>
              <w:jc w:val="right"/>
              <w:ind w:right="251"/>
              <w:spacing w:after="0" w:line="127" w:lineRule="exact"/>
              <w:rPr>
                <w:sz w:val="20"/>
                <w:szCs w:val="20"/>
                <w:color w:val="auto"/>
              </w:rPr>
            </w:pPr>
            <w:r>
              <w:rPr>
                <w:rFonts w:ascii="Calibri" w:cs="Calibri" w:eastAsia="Calibri" w:hAnsi="Calibri"/>
                <w:sz w:val="13"/>
                <w:szCs w:val="13"/>
                <w:b w:val="1"/>
                <w:bCs w:val="1"/>
                <w:color w:val="auto"/>
              </w:rPr>
              <w:t>October 30,</w:t>
            </w:r>
          </w:p>
        </w:tc>
      </w:tr>
      <w:tr>
        <w:trPr>
          <w:trHeight w:val="170"/>
        </w:trPr>
        <w:tc>
          <w:tcPr>
            <w:tcW w:w="6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52"/>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32"/>
              <w:spacing w:after="0"/>
              <w:rPr>
                <w:sz w:val="20"/>
                <w:szCs w:val="20"/>
                <w:color w:val="auto"/>
              </w:rPr>
            </w:pPr>
            <w:r>
              <w:rPr>
                <w:rFonts w:ascii="Calibri" w:cs="Calibri" w:eastAsia="Calibri" w:hAnsi="Calibri"/>
                <w:sz w:val="14"/>
                <w:szCs w:val="14"/>
                <w:b w:val="1"/>
                <w:bCs w:val="1"/>
                <w:color w:val="auto"/>
              </w:rPr>
              <w:t>2023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51"/>
              <w:spacing w:after="0"/>
              <w:rPr>
                <w:sz w:val="20"/>
                <w:szCs w:val="20"/>
                <w:color w:val="auto"/>
              </w:rPr>
            </w:pPr>
            <w:r>
              <w:rPr>
                <w:rFonts w:ascii="Calibri" w:cs="Calibri" w:eastAsia="Calibri" w:hAnsi="Calibri"/>
                <w:sz w:val="14"/>
                <w:szCs w:val="14"/>
                <w:b w:val="1"/>
                <w:bCs w:val="1"/>
                <w:color w:val="auto"/>
              </w:rPr>
              <w:t>2022</w:t>
            </w:r>
          </w:p>
        </w:tc>
      </w:tr>
      <w:tr>
        <w:trPr>
          <w:trHeight w:val="33"/>
        </w:trPr>
        <w:tc>
          <w:tcPr>
            <w:tcW w:w="6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6"/>
          </w:tcPr>
          <w:p>
            <w:pPr>
              <w:jc w:val="center"/>
              <w:ind w:left="792"/>
              <w:spacing w:after="0"/>
              <w:rPr>
                <w:sz w:val="20"/>
                <w:szCs w:val="20"/>
                <w:color w:val="auto"/>
              </w:rPr>
            </w:pPr>
            <w:r>
              <w:rPr>
                <w:rFonts w:ascii="Calibri" w:cs="Calibri" w:eastAsia="Calibri" w:hAnsi="Calibri"/>
                <w:sz w:val="14"/>
                <w:szCs w:val="14"/>
                <w:b w:val="1"/>
                <w:bCs w:val="1"/>
                <w:color w:val="auto"/>
              </w:rPr>
              <w:t>(In millions, except per share data)</w:t>
            </w:r>
          </w:p>
        </w:tc>
        <w:tc>
          <w:tcPr>
            <w:tcW w:w="1080" w:type="dxa"/>
            <w:vAlign w:val="bottom"/>
          </w:tcPr>
          <w:p>
            <w:pPr>
              <w:spacing w:after="0"/>
              <w:rPr>
                <w:sz w:val="16"/>
                <w:szCs w:val="16"/>
                <w:color w:val="auto"/>
              </w:rPr>
            </w:pPr>
          </w:p>
        </w:tc>
      </w:tr>
      <w:tr>
        <w:trPr>
          <w:trHeight w:val="47"/>
        </w:trPr>
        <w:tc>
          <w:tcPr>
            <w:tcW w:w="6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29"/>
        </w:trPr>
        <w:tc>
          <w:tcPr>
            <w:tcW w:w="69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Net revenue: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2"/>
        </w:trPr>
        <w:tc>
          <w:tcPr>
            <w:tcW w:w="6940" w:type="dxa"/>
            <w:vAlign w:val="bottom"/>
          </w:tcPr>
          <w:p>
            <w:pPr>
              <w:ind w:left="140"/>
              <w:spacing w:after="0" w:line="215" w:lineRule="exact"/>
              <w:rPr>
                <w:sz w:val="20"/>
                <w:szCs w:val="20"/>
                <w:color w:val="auto"/>
              </w:rPr>
            </w:pPr>
            <w:r>
              <w:rPr>
                <w:rFonts w:ascii="Calibri" w:cs="Calibri" w:eastAsia="Calibri" w:hAnsi="Calibri"/>
                <w:sz w:val="18"/>
                <w:szCs w:val="18"/>
                <w:color w:val="auto"/>
              </w:rPr>
              <w:t>Products</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30,359</w:t>
            </w:r>
          </w:p>
        </w:tc>
        <w:tc>
          <w:tcPr>
            <w:tcW w:w="10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27,891</w:t>
            </w:r>
          </w:p>
        </w:tc>
        <w:tc>
          <w:tcPr>
            <w:tcW w:w="120" w:type="dxa"/>
            <w:vAlign w:val="bottom"/>
          </w:tcPr>
          <w:p>
            <w:pPr>
              <w:spacing w:after="0"/>
              <w:rPr>
                <w:sz w:val="19"/>
                <w:szCs w:val="19"/>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26,277</w:t>
            </w:r>
          </w:p>
        </w:tc>
      </w:tr>
      <w:tr>
        <w:trPr>
          <w:trHeight w:val="237"/>
        </w:trPr>
        <w:tc>
          <w:tcPr>
            <w:tcW w:w="694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Subscriptons and services</w:t>
            </w: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21,215</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7,928</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6,926</w:t>
            </w:r>
          </w:p>
        </w:tc>
      </w:tr>
      <w:tr>
        <w:trPr>
          <w:trHeight w:val="217"/>
        </w:trPr>
        <w:tc>
          <w:tcPr>
            <w:tcW w:w="6940" w:type="dxa"/>
            <w:vAlign w:val="bottom"/>
            <w:tcBorders>
              <w:bottom w:val="single" w:sz="8" w:color="CCEEFF"/>
            </w:tcBorders>
          </w:tcPr>
          <w:p>
            <w:pPr>
              <w:ind w:left="360"/>
              <w:spacing w:after="0" w:line="199" w:lineRule="exact"/>
              <w:rPr>
                <w:sz w:val="20"/>
                <w:szCs w:val="20"/>
                <w:color w:val="auto"/>
              </w:rPr>
            </w:pPr>
            <w:r>
              <w:rPr>
                <w:rFonts w:ascii="Calibri" w:cs="Calibri" w:eastAsia="Calibri" w:hAnsi="Calibri"/>
                <w:sz w:val="18"/>
                <w:szCs w:val="18"/>
                <w:color w:val="auto"/>
              </w:rPr>
              <w:t>Total net revenue</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51,574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35,819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33,203</w:t>
            </w:r>
          </w:p>
        </w:tc>
      </w:tr>
      <w:tr>
        <w:trPr>
          <w:trHeight w:val="209"/>
        </w:trPr>
        <w:tc>
          <w:tcPr>
            <w:tcW w:w="6940" w:type="dxa"/>
            <w:vAlign w:val="bottom"/>
            <w:tcBorders>
              <w:bottom w:val="single" w:sz="8" w:color="CCEEFF"/>
            </w:tcBorders>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Cost of revenue:</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22"/>
        </w:trPr>
        <w:tc>
          <w:tcPr>
            <w:tcW w:w="6940" w:type="dxa"/>
            <w:vAlign w:val="bottom"/>
          </w:tcPr>
          <w:p>
            <w:pPr>
              <w:ind w:left="140"/>
              <w:spacing w:after="0" w:line="215" w:lineRule="exact"/>
              <w:rPr>
                <w:sz w:val="20"/>
                <w:szCs w:val="20"/>
                <w:color w:val="auto"/>
              </w:rPr>
            </w:pPr>
            <w:r>
              <w:rPr>
                <w:rFonts w:ascii="Calibri" w:cs="Calibri" w:eastAsia="Calibri" w:hAnsi="Calibri"/>
                <w:sz w:val="18"/>
                <w:szCs w:val="18"/>
                <w:color w:val="auto"/>
              </w:rPr>
              <w:t>Cost of products sold</w:t>
            </w: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9,797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8,636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7,629</w:t>
            </w:r>
          </w:p>
        </w:tc>
      </w:tr>
      <w:tr>
        <w:trPr>
          <w:trHeight w:val="237"/>
        </w:trPr>
        <w:tc>
          <w:tcPr>
            <w:tcW w:w="694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Cost of subscriptons and services</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2,991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636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627</w:t>
            </w:r>
          </w:p>
        </w:tc>
      </w:tr>
      <w:tr>
        <w:trPr>
          <w:trHeight w:val="222"/>
        </w:trPr>
        <w:tc>
          <w:tcPr>
            <w:tcW w:w="6940" w:type="dxa"/>
            <w:vAlign w:val="bottom"/>
          </w:tcPr>
          <w:p>
            <w:pPr>
              <w:ind w:left="140"/>
              <w:spacing w:after="0" w:line="215" w:lineRule="exact"/>
              <w:rPr>
                <w:sz w:val="20"/>
                <w:szCs w:val="20"/>
                <w:color w:val="auto"/>
              </w:rPr>
            </w:pPr>
            <w:r>
              <w:rPr>
                <w:rFonts w:ascii="Calibri" w:cs="Calibri" w:eastAsia="Calibri" w:hAnsi="Calibri"/>
                <w:sz w:val="18"/>
                <w:szCs w:val="18"/>
                <w:color w:val="auto"/>
              </w:rPr>
              <w:t>Amortzaton of acquisiton-related intangible assets</w:t>
            </w: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6,023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1,853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2,847</w:t>
            </w:r>
          </w:p>
        </w:tc>
      </w:tr>
      <w:tr>
        <w:trPr>
          <w:trHeight w:val="237"/>
        </w:trPr>
        <w:tc>
          <w:tcPr>
            <w:tcW w:w="694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Restructuring charges</w:t>
            </w: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254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w:t>
            </w:r>
          </w:p>
        </w:tc>
      </w:tr>
      <w:tr>
        <w:trPr>
          <w:trHeight w:val="216"/>
        </w:trPr>
        <w:tc>
          <w:tcPr>
            <w:tcW w:w="6940" w:type="dxa"/>
            <w:vAlign w:val="bottom"/>
            <w:tcBorders>
              <w:bottom w:val="single" w:sz="8" w:color="CCEEFF"/>
            </w:tcBorders>
          </w:tcPr>
          <w:p>
            <w:pPr>
              <w:ind w:left="360"/>
              <w:spacing w:after="0" w:line="199" w:lineRule="exact"/>
              <w:rPr>
                <w:sz w:val="20"/>
                <w:szCs w:val="20"/>
                <w:color w:val="auto"/>
              </w:rPr>
            </w:pPr>
            <w:r>
              <w:rPr>
                <w:rFonts w:ascii="Calibri" w:cs="Calibri" w:eastAsia="Calibri" w:hAnsi="Calibri"/>
                <w:sz w:val="18"/>
                <w:szCs w:val="18"/>
                <w:color w:val="auto"/>
              </w:rPr>
              <w:t>Total cost of revenue</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19,065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11,129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11,108</w:t>
            </w:r>
          </w:p>
        </w:tc>
      </w:tr>
      <w:tr>
        <w:trPr>
          <w:trHeight w:val="230"/>
        </w:trPr>
        <w:tc>
          <w:tcPr>
            <w:tcW w:w="694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Gross margin</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32,509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24,690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22,095</w:t>
            </w:r>
          </w:p>
        </w:tc>
      </w:tr>
      <w:tr>
        <w:trPr>
          <w:trHeight w:val="222"/>
        </w:trPr>
        <w:tc>
          <w:tcPr>
            <w:tcW w:w="6940" w:type="dxa"/>
            <w:vAlign w:val="bottom"/>
          </w:tcPr>
          <w:p>
            <w:pPr>
              <w:ind w:left="20"/>
              <w:spacing w:after="0" w:line="215" w:lineRule="exact"/>
              <w:rPr>
                <w:sz w:val="20"/>
                <w:szCs w:val="20"/>
                <w:color w:val="auto"/>
              </w:rPr>
            </w:pPr>
            <w:r>
              <w:rPr>
                <w:rFonts w:ascii="Calibri" w:cs="Calibri" w:eastAsia="Calibri" w:hAnsi="Calibri"/>
                <w:sz w:val="18"/>
                <w:szCs w:val="18"/>
                <w:color w:val="auto"/>
              </w:rPr>
              <w:t>Research and development</w:t>
            </w: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9,310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5,253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4,919</w:t>
            </w:r>
          </w:p>
        </w:tc>
      </w:tr>
      <w:tr>
        <w:trPr>
          <w:trHeight w:val="237"/>
        </w:trPr>
        <w:tc>
          <w:tcPr>
            <w:tcW w:w="69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Selling, general and administratve</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4,959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1,592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1,382</w:t>
            </w:r>
          </w:p>
        </w:tc>
      </w:tr>
      <w:tr>
        <w:trPr>
          <w:trHeight w:val="222"/>
        </w:trPr>
        <w:tc>
          <w:tcPr>
            <w:tcW w:w="6940" w:type="dxa"/>
            <w:vAlign w:val="bottom"/>
          </w:tcPr>
          <w:p>
            <w:pPr>
              <w:ind w:left="20"/>
              <w:spacing w:after="0" w:line="215" w:lineRule="exact"/>
              <w:rPr>
                <w:sz w:val="20"/>
                <w:szCs w:val="20"/>
                <w:color w:val="auto"/>
              </w:rPr>
            </w:pPr>
            <w:r>
              <w:rPr>
                <w:rFonts w:ascii="Calibri" w:cs="Calibri" w:eastAsia="Calibri" w:hAnsi="Calibri"/>
                <w:sz w:val="18"/>
                <w:szCs w:val="18"/>
                <w:color w:val="auto"/>
              </w:rPr>
              <w:t>Amortzaton of acquisiton-related intangible assets</w:t>
            </w: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3,244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1,394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1,512</w:t>
            </w:r>
          </w:p>
        </w:tc>
      </w:tr>
      <w:tr>
        <w:trPr>
          <w:trHeight w:val="237"/>
        </w:trPr>
        <w:tc>
          <w:tcPr>
            <w:tcW w:w="69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Restructuring and other charges</w:t>
            </w: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1,533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244</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57</w:t>
            </w:r>
          </w:p>
        </w:tc>
      </w:tr>
      <w:tr>
        <w:trPr>
          <w:trHeight w:val="217"/>
        </w:trPr>
        <w:tc>
          <w:tcPr>
            <w:tcW w:w="6940" w:type="dxa"/>
            <w:vAlign w:val="bottom"/>
            <w:tcBorders>
              <w:bottom w:val="single" w:sz="8" w:color="CCEEFF"/>
            </w:tcBorders>
          </w:tcPr>
          <w:p>
            <w:pPr>
              <w:ind w:left="360"/>
              <w:spacing w:after="0" w:line="199" w:lineRule="exact"/>
              <w:rPr>
                <w:sz w:val="20"/>
                <w:szCs w:val="20"/>
                <w:color w:val="auto"/>
              </w:rPr>
            </w:pPr>
            <w:r>
              <w:rPr>
                <w:rFonts w:ascii="Calibri" w:cs="Calibri" w:eastAsia="Calibri" w:hAnsi="Calibri"/>
                <w:sz w:val="18"/>
                <w:szCs w:val="18"/>
                <w:color w:val="auto"/>
              </w:rPr>
              <w:t>Total operatng expenses</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19,046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8,483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7,870</w:t>
            </w:r>
          </w:p>
        </w:tc>
      </w:tr>
      <w:tr>
        <w:trPr>
          <w:trHeight w:val="229"/>
        </w:trPr>
        <w:tc>
          <w:tcPr>
            <w:tcW w:w="694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Operatng income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13,463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16,207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14,225</w:t>
            </w:r>
          </w:p>
        </w:tc>
      </w:tr>
      <w:tr>
        <w:trPr>
          <w:trHeight w:val="222"/>
        </w:trPr>
        <w:tc>
          <w:tcPr>
            <w:tcW w:w="694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w:t>
            </w: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(3,953)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(1,622)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(1,737)</w:t>
            </w:r>
          </w:p>
        </w:tc>
      </w:tr>
      <w:tr>
        <w:trPr>
          <w:trHeight w:val="237"/>
        </w:trPr>
        <w:tc>
          <w:tcPr>
            <w:tcW w:w="69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income (expense), net</w:t>
            </w: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406</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512</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(54)</w:t>
            </w:r>
          </w:p>
        </w:tc>
      </w:tr>
      <w:tr>
        <w:trPr>
          <w:trHeight w:val="216"/>
        </w:trPr>
        <w:tc>
          <w:tcPr>
            <w:tcW w:w="6940" w:type="dxa"/>
            <w:vAlign w:val="bottom"/>
          </w:tcPr>
          <w:p>
            <w:pPr>
              <w:ind w:left="20"/>
              <w:spacing w:after="0" w:line="199" w:lineRule="exact"/>
              <w:rPr>
                <w:sz w:val="20"/>
                <w:szCs w:val="20"/>
                <w:color w:val="auto"/>
              </w:rPr>
            </w:pPr>
            <w:r>
              <w:rPr>
                <w:rFonts w:ascii="Calibri" w:cs="Calibri" w:eastAsia="Calibri" w:hAnsi="Calibri"/>
                <w:sz w:val="18"/>
                <w:szCs w:val="18"/>
                <w:color w:val="auto"/>
              </w:rPr>
              <w:t>Income from contnuing operatons before income taxes</w:t>
            </w:r>
          </w:p>
        </w:tc>
        <w:tc>
          <w:tcPr>
            <w:tcW w:w="20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9,916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15,097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12,434</w:t>
            </w:r>
          </w:p>
        </w:tc>
      </w:tr>
      <w:tr>
        <w:trPr>
          <w:trHeight w:val="237"/>
        </w:trPr>
        <w:tc>
          <w:tcPr>
            <w:tcW w:w="69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Provision for income taxes</w:t>
            </w: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3,748</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1,015</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939</w:t>
            </w:r>
          </w:p>
        </w:tc>
      </w:tr>
      <w:tr>
        <w:trPr>
          <w:trHeight w:val="216"/>
        </w:trPr>
        <w:tc>
          <w:tcPr>
            <w:tcW w:w="6940" w:type="dxa"/>
            <w:vAlign w:val="bottom"/>
          </w:tcPr>
          <w:p>
            <w:pPr>
              <w:ind w:left="20"/>
              <w:spacing w:after="0" w:line="199" w:lineRule="exact"/>
              <w:rPr>
                <w:sz w:val="20"/>
                <w:szCs w:val="20"/>
                <w:color w:val="auto"/>
              </w:rPr>
            </w:pPr>
            <w:r>
              <w:rPr>
                <w:rFonts w:ascii="Calibri" w:cs="Calibri" w:eastAsia="Calibri" w:hAnsi="Calibri"/>
                <w:sz w:val="18"/>
                <w:szCs w:val="18"/>
                <w:color w:val="auto"/>
              </w:rPr>
              <w:t>Income from contnuing operatons</w:t>
            </w:r>
          </w:p>
        </w:tc>
        <w:tc>
          <w:tcPr>
            <w:tcW w:w="20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6,168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14,082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11,495</w:t>
            </w:r>
          </w:p>
        </w:tc>
      </w:tr>
      <w:tr>
        <w:trPr>
          <w:trHeight w:val="237"/>
        </w:trPr>
        <w:tc>
          <w:tcPr>
            <w:tcW w:w="694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Loss from discontnued operatons, net of income taxes</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16"/>
        </w:trPr>
        <w:tc>
          <w:tcPr>
            <w:tcW w:w="6940" w:type="dxa"/>
            <w:vAlign w:val="bottom"/>
          </w:tcPr>
          <w:p>
            <w:pPr>
              <w:ind w:left="20"/>
              <w:spacing w:after="0" w:line="199" w:lineRule="exact"/>
              <w:rPr>
                <w:sz w:val="20"/>
                <w:szCs w:val="20"/>
                <w:color w:val="auto"/>
              </w:rPr>
            </w:pPr>
            <w:r>
              <w:rPr>
                <w:rFonts w:ascii="Calibri" w:cs="Calibri" w:eastAsia="Calibri" w:hAnsi="Calibri"/>
                <w:sz w:val="18"/>
                <w:szCs w:val="18"/>
                <w:color w:val="auto"/>
              </w:rPr>
              <w:t>Net income</w:t>
            </w: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5,895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14,082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11,495</w:t>
            </w:r>
          </w:p>
        </w:tc>
      </w:tr>
      <w:tr>
        <w:trPr>
          <w:trHeight w:val="230"/>
        </w:trPr>
        <w:tc>
          <w:tcPr>
            <w:tcW w:w="69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Dividends on preferred stock</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(272)</w:t>
            </w:r>
          </w:p>
        </w:tc>
      </w:tr>
      <w:tr>
        <w:trPr>
          <w:trHeight w:val="229"/>
        </w:trPr>
        <w:tc>
          <w:tcPr>
            <w:tcW w:w="6940" w:type="dxa"/>
            <w:vAlign w:val="bottom"/>
          </w:tcPr>
          <w:p>
            <w:pPr>
              <w:ind w:left="20"/>
              <w:spacing w:after="0"/>
              <w:rPr>
                <w:sz w:val="20"/>
                <w:szCs w:val="20"/>
                <w:color w:val="auto"/>
              </w:rPr>
            </w:pPr>
            <w:r>
              <w:rPr>
                <w:rFonts w:ascii="Calibri" w:cs="Calibri" w:eastAsia="Calibri" w:hAnsi="Calibri"/>
                <w:sz w:val="18"/>
                <w:szCs w:val="18"/>
                <w:color w:val="auto"/>
              </w:rPr>
              <w:t>Net income atributable to common stock</w:t>
            </w:r>
          </w:p>
        </w:tc>
        <w:tc>
          <w:tcPr>
            <w:tcW w:w="200" w:type="dxa"/>
            <w:vAlign w:val="bottom"/>
            <w:tcBorders>
              <w:top w:val="single" w:sz="8" w:color="auto"/>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5,895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14,082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11,223</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9"/>
        </w:trPr>
        <w:tc>
          <w:tcPr>
            <w:tcW w:w="6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222"/>
        </w:trPr>
        <w:tc>
          <w:tcPr>
            <w:tcW w:w="6940" w:type="dxa"/>
            <w:vAlign w:val="bottom"/>
          </w:tcPr>
          <w:p>
            <w:pPr>
              <w:ind w:left="20"/>
              <w:spacing w:after="0" w:line="215" w:lineRule="exact"/>
              <w:rPr>
                <w:sz w:val="20"/>
                <w:szCs w:val="20"/>
                <w:color w:val="auto"/>
              </w:rPr>
            </w:pPr>
            <w:r>
              <w:rPr>
                <w:rFonts w:ascii="Calibri" w:cs="Calibri" w:eastAsia="Calibri" w:hAnsi="Calibri"/>
                <w:sz w:val="18"/>
                <w:szCs w:val="18"/>
                <w:color w:val="auto"/>
              </w:rPr>
              <w:t>Basic income per share atributable to common stock:</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7"/>
        </w:trPr>
        <w:tc>
          <w:tcPr>
            <w:tcW w:w="694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Income per share from contnuing operatons</w:t>
            </w: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2.74</w:t>
            </w:r>
          </w:p>
        </w:tc>
      </w:tr>
      <w:tr>
        <w:trPr>
          <w:trHeight w:val="223"/>
        </w:trPr>
        <w:tc>
          <w:tcPr>
            <w:tcW w:w="6940" w:type="dxa"/>
            <w:vAlign w:val="bottom"/>
          </w:tcPr>
          <w:p>
            <w:pPr>
              <w:ind w:left="140"/>
              <w:spacing w:after="0" w:line="215" w:lineRule="exact"/>
              <w:rPr>
                <w:sz w:val="20"/>
                <w:szCs w:val="20"/>
                <w:color w:val="auto"/>
              </w:rPr>
            </w:pPr>
            <w:r>
              <w:rPr>
                <w:rFonts w:ascii="Calibri" w:cs="Calibri" w:eastAsia="Calibri" w:hAnsi="Calibri"/>
                <w:sz w:val="18"/>
                <w:szCs w:val="18"/>
                <w:color w:val="auto"/>
              </w:rPr>
              <w:t>Loss per share from discontnued operatons</w:t>
            </w: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(0.06)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54"/>
        </w:trPr>
        <w:tc>
          <w:tcPr>
            <w:tcW w:w="6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Net income per share</w:t>
            </w:r>
          </w:p>
        </w:tc>
        <w:tc>
          <w:tcPr>
            <w:tcW w:w="200" w:type="dxa"/>
            <w:vAlign w:val="bottom"/>
            <w:tcBorders>
              <w:top w:val="single" w:sz="8" w:color="auto"/>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2.74</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6940" w:type="dxa"/>
            <w:vAlign w:val="bottom"/>
            <w:shd w:val="clear" w:color="auto" w:fill="CCEEFF"/>
          </w:tcPr>
          <w:p>
            <w:pPr>
              <w:ind w:left="40"/>
              <w:spacing w:after="0" w:line="215" w:lineRule="exact"/>
              <w:rPr>
                <w:sz w:val="20"/>
                <w:szCs w:val="20"/>
                <w:color w:val="auto"/>
              </w:rPr>
            </w:pPr>
            <w:r>
              <w:rPr>
                <w:rFonts w:ascii="Calibri" w:cs="Calibri" w:eastAsia="Calibri" w:hAnsi="Calibri"/>
                <w:sz w:val="18"/>
                <w:szCs w:val="18"/>
                <w:color w:val="auto"/>
              </w:rPr>
              <w:t>Diluted income per share atributable to common stock:</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2"/>
        </w:trPr>
        <w:tc>
          <w:tcPr>
            <w:tcW w:w="6940" w:type="dxa"/>
            <w:vAlign w:val="bottom"/>
          </w:tcPr>
          <w:p>
            <w:pPr>
              <w:ind w:left="140"/>
              <w:spacing w:after="0" w:line="215" w:lineRule="exact"/>
              <w:rPr>
                <w:sz w:val="20"/>
                <w:szCs w:val="20"/>
                <w:color w:val="auto"/>
              </w:rPr>
            </w:pPr>
            <w:r>
              <w:rPr>
                <w:rFonts w:ascii="Calibri" w:cs="Calibri" w:eastAsia="Calibri" w:hAnsi="Calibri"/>
                <w:sz w:val="18"/>
                <w:szCs w:val="18"/>
                <w:color w:val="auto"/>
              </w:rPr>
              <w:t>Income per share from contnuing operatons</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1.29</w:t>
            </w:r>
          </w:p>
        </w:tc>
        <w:tc>
          <w:tcPr>
            <w:tcW w:w="10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3.30</w:t>
            </w:r>
          </w:p>
        </w:tc>
        <w:tc>
          <w:tcPr>
            <w:tcW w:w="120" w:type="dxa"/>
            <w:vAlign w:val="bottom"/>
          </w:tcPr>
          <w:p>
            <w:pPr>
              <w:spacing w:after="0"/>
              <w:rPr>
                <w:sz w:val="19"/>
                <w:szCs w:val="19"/>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2.65</w:t>
            </w:r>
          </w:p>
        </w:tc>
      </w:tr>
      <w:tr>
        <w:trPr>
          <w:trHeight w:val="230"/>
        </w:trPr>
        <w:tc>
          <w:tcPr>
            <w:tcW w:w="694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Loss per share from discontnued operatons</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(0.06)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30"/>
        </w:trPr>
        <w:tc>
          <w:tcPr>
            <w:tcW w:w="6940" w:type="dxa"/>
            <w:vAlign w:val="bottom"/>
          </w:tcPr>
          <w:p>
            <w:pPr>
              <w:ind w:left="140"/>
              <w:spacing w:after="0"/>
              <w:rPr>
                <w:sz w:val="20"/>
                <w:szCs w:val="20"/>
                <w:color w:val="auto"/>
              </w:rPr>
            </w:pPr>
            <w:r>
              <w:rPr>
                <w:rFonts w:ascii="Calibri" w:cs="Calibri" w:eastAsia="Calibri" w:hAnsi="Calibri"/>
                <w:sz w:val="18"/>
                <w:szCs w:val="18"/>
                <w:color w:val="auto"/>
              </w:rPr>
              <w:t>Net income per share</w:t>
            </w:r>
          </w:p>
        </w:tc>
        <w:tc>
          <w:tcPr>
            <w:tcW w:w="200" w:type="dxa"/>
            <w:vAlign w:val="bottom"/>
            <w:tcBorders>
              <w:top w:val="single" w:sz="8" w:color="auto"/>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2.65</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2"/>
        </w:trPr>
        <w:tc>
          <w:tcPr>
            <w:tcW w:w="694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Weighted-average shares used in per share calculatons: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7"/>
        </w:trPr>
        <w:tc>
          <w:tcPr>
            <w:tcW w:w="694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Basic</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4,624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4,149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4,089</w:t>
            </w:r>
          </w:p>
        </w:tc>
      </w:tr>
      <w:tr>
        <w:trPr>
          <w:trHeight w:val="215"/>
        </w:trPr>
        <w:tc>
          <w:tcPr>
            <w:tcW w:w="6940" w:type="dxa"/>
            <w:vAlign w:val="bottom"/>
          </w:tcPr>
          <w:p>
            <w:pPr>
              <w:ind w:left="140"/>
              <w:spacing w:after="0" w:line="215" w:lineRule="exact"/>
              <w:rPr>
                <w:sz w:val="20"/>
                <w:szCs w:val="20"/>
                <w:color w:val="auto"/>
              </w:rPr>
            </w:pPr>
            <w:r>
              <w:rPr>
                <w:rFonts w:ascii="Calibri" w:cs="Calibri" w:eastAsia="Calibri" w:hAnsi="Calibri"/>
                <w:sz w:val="18"/>
                <w:szCs w:val="18"/>
                <w:color w:val="auto"/>
              </w:rPr>
              <w:t>Diluted</w:t>
            </w:r>
          </w:p>
        </w:tc>
        <w:tc>
          <w:tcPr>
            <w:tcW w:w="20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4,778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4,272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4,232</w:t>
            </w:r>
          </w:p>
        </w:tc>
      </w:tr>
    </w:tbl>
    <w:p>
      <w:pPr>
        <w:spacing w:after="0" w:line="19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BROADCOM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COMPREHENSIVE INCOME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Fiscal Year Ended</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47"/>
        </w:trPr>
        <w:tc>
          <w:tcPr>
            <w:tcW w:w="67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128"/>
        </w:trPr>
        <w:tc>
          <w:tcPr>
            <w:tcW w:w="6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ind w:left="100"/>
              <w:spacing w:after="0" w:line="127" w:lineRule="exact"/>
              <w:rPr>
                <w:sz w:val="20"/>
                <w:szCs w:val="20"/>
                <w:color w:val="auto"/>
              </w:rPr>
            </w:pPr>
            <w:r>
              <w:rPr>
                <w:rFonts w:ascii="Calibri" w:cs="Calibri" w:eastAsia="Calibri" w:hAnsi="Calibri"/>
                <w:sz w:val="13"/>
                <w:szCs w:val="13"/>
                <w:b w:val="1"/>
                <w:bCs w:val="1"/>
                <w:color w:val="auto"/>
              </w:rPr>
              <w:t>November 3,</w:t>
            </w:r>
          </w:p>
        </w:tc>
        <w:tc>
          <w:tcPr>
            <w:tcW w:w="160" w:type="dxa"/>
            <w:vAlign w:val="bottom"/>
          </w:tcPr>
          <w:p>
            <w:pPr>
              <w:spacing w:after="0"/>
              <w:rPr>
                <w:sz w:val="11"/>
                <w:szCs w:val="11"/>
                <w:color w:val="auto"/>
              </w:rPr>
            </w:pPr>
          </w:p>
        </w:tc>
        <w:tc>
          <w:tcPr>
            <w:tcW w:w="1380" w:type="dxa"/>
            <w:vAlign w:val="bottom"/>
            <w:gridSpan w:val="2"/>
          </w:tcPr>
          <w:p>
            <w:pPr>
              <w:jc w:val="center"/>
              <w:ind w:right="240"/>
              <w:spacing w:after="0" w:line="127" w:lineRule="exact"/>
              <w:rPr>
                <w:sz w:val="20"/>
                <w:szCs w:val="20"/>
                <w:color w:val="auto"/>
              </w:rPr>
            </w:pPr>
            <w:r>
              <w:rPr>
                <w:rFonts w:ascii="Calibri" w:cs="Calibri" w:eastAsia="Calibri" w:hAnsi="Calibri"/>
                <w:sz w:val="13"/>
                <w:szCs w:val="13"/>
                <w:b w:val="1"/>
                <w:bCs w:val="1"/>
                <w:color w:val="auto"/>
              </w:rPr>
              <w:t>October 29,</w:t>
            </w:r>
          </w:p>
        </w:tc>
        <w:tc>
          <w:tcPr>
            <w:tcW w:w="240" w:type="dxa"/>
            <w:vAlign w:val="bottom"/>
          </w:tcPr>
          <w:p>
            <w:pPr>
              <w:spacing w:after="0"/>
              <w:rPr>
                <w:sz w:val="11"/>
                <w:szCs w:val="11"/>
                <w:color w:val="auto"/>
              </w:rPr>
            </w:pPr>
          </w:p>
        </w:tc>
        <w:tc>
          <w:tcPr>
            <w:tcW w:w="1200" w:type="dxa"/>
            <w:vAlign w:val="bottom"/>
          </w:tcPr>
          <w:p>
            <w:pPr>
              <w:jc w:val="right"/>
              <w:ind w:right="276"/>
              <w:spacing w:after="0" w:line="127" w:lineRule="exact"/>
              <w:rPr>
                <w:sz w:val="20"/>
                <w:szCs w:val="20"/>
                <w:color w:val="auto"/>
              </w:rPr>
            </w:pPr>
            <w:r>
              <w:rPr>
                <w:rFonts w:ascii="Calibri" w:cs="Calibri" w:eastAsia="Calibri" w:hAnsi="Calibri"/>
                <w:sz w:val="13"/>
                <w:szCs w:val="13"/>
                <w:b w:val="1"/>
                <w:bCs w:val="1"/>
                <w:color w:val="auto"/>
              </w:rPr>
              <w:t>October 30,</w:t>
            </w:r>
          </w:p>
        </w:tc>
      </w:tr>
      <w:tr>
        <w:trPr>
          <w:trHeight w:val="170"/>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476"/>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59"/>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476"/>
              <w:spacing w:after="0"/>
              <w:rPr>
                <w:sz w:val="20"/>
                <w:szCs w:val="20"/>
                <w:color w:val="auto"/>
              </w:rPr>
            </w:pPr>
            <w:r>
              <w:rPr>
                <w:rFonts w:ascii="Calibri" w:cs="Calibri" w:eastAsia="Calibri" w:hAnsi="Calibri"/>
                <w:sz w:val="14"/>
                <w:szCs w:val="14"/>
                <w:b w:val="1"/>
                <w:bCs w:val="1"/>
                <w:color w:val="auto"/>
              </w:rPr>
              <w:t>2022</w:t>
            </w:r>
          </w:p>
        </w:tc>
      </w:tr>
      <w:tr>
        <w:trPr>
          <w:trHeight w:val="33"/>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9"/>
        </w:trPr>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(In millions)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47"/>
        </w:trPr>
        <w:tc>
          <w:tcPr>
            <w:tcW w:w="6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30"/>
        </w:trPr>
        <w:tc>
          <w:tcPr>
            <w:tcW w:w="67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Net income</w:t>
            </w:r>
          </w:p>
        </w:tc>
        <w:tc>
          <w:tcPr>
            <w:tcW w:w="22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5,895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14,082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11,495</w:t>
            </w:r>
          </w:p>
        </w:tc>
      </w:tr>
      <w:tr>
        <w:trPr>
          <w:trHeight w:val="222"/>
        </w:trPr>
        <w:tc>
          <w:tcPr>
            <w:tcW w:w="674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net of tax:</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7"/>
        </w:trPr>
        <w:tc>
          <w:tcPr>
            <w:tcW w:w="674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Change in unrealized gain on derivatve instruments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290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37</w:t>
            </w:r>
          </w:p>
        </w:tc>
      </w:tr>
      <w:tr>
        <w:trPr>
          <w:trHeight w:val="223"/>
        </w:trPr>
        <w:tc>
          <w:tcPr>
            <w:tcW w:w="6740" w:type="dxa"/>
            <w:vAlign w:val="bottom"/>
            <w:tcBorders>
              <w:bottom w:val="single" w:sz="8" w:color="CCEEFF"/>
            </w:tcBorders>
          </w:tcPr>
          <w:p>
            <w:pPr>
              <w:ind w:left="140"/>
              <w:spacing w:after="0" w:line="215" w:lineRule="exact"/>
              <w:rPr>
                <w:sz w:val="20"/>
                <w:szCs w:val="20"/>
                <w:color w:val="auto"/>
              </w:rPr>
            </w:pPr>
            <w:r>
              <w:rPr>
                <w:rFonts w:ascii="Calibri" w:cs="Calibri" w:eastAsia="Calibri" w:hAnsi="Calibri"/>
                <w:sz w:val="18"/>
                <w:szCs w:val="18"/>
                <w:color w:val="auto"/>
              </w:rPr>
              <w:t>Change in actuarial loss and prior service costs associated with defned beneft plans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w:t>
            </w:r>
          </w:p>
        </w:tc>
      </w:tr>
      <w:tr>
        <w:trPr>
          <w:trHeight w:val="223"/>
        </w:trPr>
        <w:tc>
          <w:tcPr>
            <w:tcW w:w="6740" w:type="dxa"/>
            <w:vAlign w:val="bottom"/>
            <w:shd w:val="clear" w:color="auto" w:fill="CCEEFF"/>
          </w:tcPr>
          <w:p>
            <w:pPr>
              <w:ind w:left="220"/>
              <w:spacing w:after="0" w:line="206" w:lineRule="exact"/>
              <w:rPr>
                <w:sz w:val="20"/>
                <w:szCs w:val="20"/>
                <w:color w:val="auto"/>
              </w:rPr>
            </w:pPr>
            <w:r>
              <w:rPr>
                <w:rFonts w:ascii="Calibri" w:cs="Calibri" w:eastAsia="Calibri" w:hAnsi="Calibri"/>
                <w:sz w:val="18"/>
                <w:szCs w:val="18"/>
                <w:color w:val="auto"/>
              </w:rPr>
              <w:t>Other comprehensive income, net of tax</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62</w:t>
            </w:r>
          </w:p>
        </w:tc>
      </w:tr>
      <w:tr>
        <w:trPr>
          <w:trHeight w:val="229"/>
        </w:trPr>
        <w:tc>
          <w:tcPr>
            <w:tcW w:w="6740" w:type="dxa"/>
            <w:vAlign w:val="bottom"/>
          </w:tcPr>
          <w:p>
            <w:pPr>
              <w:ind w:left="20"/>
              <w:spacing w:after="0"/>
              <w:rPr>
                <w:sz w:val="20"/>
                <w:szCs w:val="20"/>
                <w:color w:val="auto"/>
              </w:rPr>
            </w:pPr>
            <w:r>
              <w:rPr>
                <w:rFonts w:ascii="Calibri" w:cs="Calibri" w:eastAsia="Calibri" w:hAnsi="Calibri"/>
                <w:sz w:val="18"/>
                <w:szCs w:val="18"/>
                <w:color w:val="auto"/>
              </w:rPr>
              <w:t>Comprehensive income</w:t>
            </w:r>
          </w:p>
        </w:tc>
        <w:tc>
          <w:tcPr>
            <w:tcW w:w="22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5,895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14,343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11,557</w:t>
            </w:r>
          </w:p>
        </w:tc>
      </w:tr>
      <w:tr>
        <w:trPr>
          <w:trHeight w:val="21"/>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BROADCOM INC.</w:t>
      </w:r>
    </w:p>
    <w:p>
      <w:pPr>
        <w:jc w:val="center"/>
        <w:ind w:right="-39"/>
        <w:spacing w:after="0" w:line="235" w:lineRule="auto"/>
        <w:rPr>
          <w:sz w:val="20"/>
          <w:szCs w:val="20"/>
          <w:color w:val="auto"/>
        </w:rPr>
      </w:pPr>
      <w:r>
        <w:rPr>
          <w:rFonts w:ascii="Calibri" w:cs="Calibri" w:eastAsia="Calibri" w:hAnsi="Calibri"/>
          <w:sz w:val="18"/>
          <w:szCs w:val="18"/>
          <w:b w:val="1"/>
          <w:bCs w:val="1"/>
          <w:color w:val="auto"/>
        </w:rPr>
        <w:t>CONSOLIDATED STATEMENTS OF CASH FLOWS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Fiscal Year Ended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47"/>
        </w:trPr>
        <w:tc>
          <w:tcPr>
            <w:tcW w:w="68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28"/>
        </w:trPr>
        <w:tc>
          <w:tcPr>
            <w:tcW w:w="6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ind w:left="100"/>
              <w:spacing w:after="0" w:line="127" w:lineRule="exact"/>
              <w:rPr>
                <w:sz w:val="20"/>
                <w:szCs w:val="20"/>
                <w:color w:val="auto"/>
              </w:rPr>
            </w:pPr>
            <w:r>
              <w:rPr>
                <w:rFonts w:ascii="Calibri" w:cs="Calibri" w:eastAsia="Calibri" w:hAnsi="Calibri"/>
                <w:sz w:val="13"/>
                <w:szCs w:val="13"/>
                <w:b w:val="1"/>
                <w:bCs w:val="1"/>
                <w:color w:val="auto"/>
              </w:rPr>
              <w:t>November 3,</w:t>
            </w:r>
          </w:p>
        </w:tc>
        <w:tc>
          <w:tcPr>
            <w:tcW w:w="140" w:type="dxa"/>
            <w:vAlign w:val="bottom"/>
          </w:tcPr>
          <w:p>
            <w:pPr>
              <w:spacing w:after="0"/>
              <w:rPr>
                <w:sz w:val="11"/>
                <w:szCs w:val="11"/>
                <w:color w:val="auto"/>
              </w:rPr>
            </w:pPr>
          </w:p>
        </w:tc>
        <w:tc>
          <w:tcPr>
            <w:tcW w:w="1360" w:type="dxa"/>
            <w:vAlign w:val="bottom"/>
            <w:gridSpan w:val="2"/>
          </w:tcPr>
          <w:p>
            <w:pPr>
              <w:jc w:val="center"/>
              <w:ind w:right="260"/>
              <w:spacing w:after="0" w:line="127" w:lineRule="exact"/>
              <w:rPr>
                <w:sz w:val="20"/>
                <w:szCs w:val="20"/>
                <w:color w:val="auto"/>
              </w:rPr>
            </w:pPr>
            <w:r>
              <w:rPr>
                <w:rFonts w:ascii="Calibri" w:cs="Calibri" w:eastAsia="Calibri" w:hAnsi="Calibri"/>
                <w:sz w:val="13"/>
                <w:szCs w:val="13"/>
                <w:b w:val="1"/>
                <w:bCs w:val="1"/>
                <w:color w:val="auto"/>
              </w:rPr>
              <w:t>October 29,</w:t>
            </w:r>
          </w:p>
        </w:tc>
        <w:tc>
          <w:tcPr>
            <w:tcW w:w="220" w:type="dxa"/>
            <w:vAlign w:val="bottom"/>
          </w:tcPr>
          <w:p>
            <w:pPr>
              <w:spacing w:after="0"/>
              <w:rPr>
                <w:sz w:val="11"/>
                <w:szCs w:val="11"/>
                <w:color w:val="auto"/>
              </w:rPr>
            </w:pPr>
          </w:p>
        </w:tc>
        <w:tc>
          <w:tcPr>
            <w:tcW w:w="1160" w:type="dxa"/>
            <w:vAlign w:val="bottom"/>
          </w:tcPr>
          <w:p>
            <w:pPr>
              <w:jc w:val="right"/>
              <w:ind w:right="251"/>
              <w:spacing w:after="0" w:line="127" w:lineRule="exact"/>
              <w:rPr>
                <w:sz w:val="20"/>
                <w:szCs w:val="20"/>
                <w:color w:val="auto"/>
              </w:rPr>
            </w:pPr>
            <w:r>
              <w:rPr>
                <w:rFonts w:ascii="Calibri" w:cs="Calibri" w:eastAsia="Calibri" w:hAnsi="Calibri"/>
                <w:sz w:val="13"/>
                <w:szCs w:val="13"/>
                <w:b w:val="1"/>
                <w:bCs w:val="1"/>
                <w:color w:val="auto"/>
              </w:rPr>
              <w:t>October 30,</w:t>
            </w:r>
          </w:p>
        </w:tc>
      </w:tr>
      <w:tr>
        <w:trPr>
          <w:trHeight w:val="170"/>
        </w:trPr>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451"/>
              <w:spacing w:after="0"/>
              <w:rPr>
                <w:sz w:val="20"/>
                <w:szCs w:val="20"/>
                <w:color w:val="auto"/>
              </w:rPr>
            </w:pPr>
            <w:r>
              <w:rPr>
                <w:rFonts w:ascii="Calibri" w:cs="Calibri" w:eastAsia="Calibri" w:hAnsi="Calibri"/>
                <w:sz w:val="14"/>
                <w:szCs w:val="14"/>
                <w:b w:val="1"/>
                <w:bCs w:val="1"/>
                <w:color w:val="auto"/>
              </w:rPr>
              <w:t>2024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52"/>
              <w:spacing w:after="0"/>
              <w:rPr>
                <w:sz w:val="20"/>
                <w:szCs w:val="20"/>
                <w:color w:val="auto"/>
              </w:rPr>
            </w:pPr>
            <w:r>
              <w:rPr>
                <w:rFonts w:ascii="Calibri" w:cs="Calibri" w:eastAsia="Calibri" w:hAnsi="Calibri"/>
                <w:sz w:val="14"/>
                <w:szCs w:val="14"/>
                <w:b w:val="1"/>
                <w:bCs w:val="1"/>
                <w:color w:val="auto"/>
              </w:rPr>
              <w:t>2023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451"/>
              <w:spacing w:after="0"/>
              <w:rPr>
                <w:sz w:val="20"/>
                <w:szCs w:val="20"/>
                <w:color w:val="auto"/>
              </w:rPr>
            </w:pPr>
            <w:r>
              <w:rPr>
                <w:rFonts w:ascii="Calibri" w:cs="Calibri" w:eastAsia="Calibri" w:hAnsi="Calibri"/>
                <w:sz w:val="14"/>
                <w:szCs w:val="14"/>
                <w:b w:val="1"/>
                <w:bCs w:val="1"/>
                <w:color w:val="auto"/>
              </w:rPr>
              <w:t>2022</w:t>
            </w:r>
          </w:p>
        </w:tc>
      </w:tr>
      <w:tr>
        <w:trPr>
          <w:trHeight w:val="33"/>
        </w:trPr>
        <w:tc>
          <w:tcPr>
            <w:tcW w:w="6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6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(In millions)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47"/>
        </w:trPr>
        <w:tc>
          <w:tcPr>
            <w:tcW w:w="6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30"/>
        </w:trPr>
        <w:tc>
          <w:tcPr>
            <w:tcW w:w="68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Cash fows from operatng actvites: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2"/>
        </w:trPr>
        <w:tc>
          <w:tcPr>
            <w:tcW w:w="682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5,895</w:t>
            </w:r>
          </w:p>
        </w:tc>
        <w:tc>
          <w:tcPr>
            <w:tcW w:w="12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14,082</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11,495</w:t>
            </w:r>
          </w:p>
        </w:tc>
      </w:tr>
      <w:tr>
        <w:trPr>
          <w:trHeight w:val="237"/>
        </w:trPr>
        <w:tc>
          <w:tcPr>
            <w:tcW w:w="68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Adjustments to reconcile net income to net cash provided by operatng actvites:</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2"/>
        </w:trPr>
        <w:tc>
          <w:tcPr>
            <w:tcW w:w="6820" w:type="dxa"/>
            <w:vAlign w:val="bottom"/>
          </w:tcPr>
          <w:p>
            <w:pPr>
              <w:ind w:left="140"/>
              <w:spacing w:after="0" w:line="215" w:lineRule="exact"/>
              <w:rPr>
                <w:sz w:val="20"/>
                <w:szCs w:val="20"/>
                <w:color w:val="auto"/>
              </w:rPr>
            </w:pPr>
            <w:r>
              <w:rPr>
                <w:rFonts w:ascii="Calibri" w:cs="Calibri" w:eastAsia="Calibri" w:hAnsi="Calibri"/>
                <w:sz w:val="18"/>
                <w:szCs w:val="18"/>
                <w:color w:val="auto"/>
              </w:rPr>
              <w:t>Amortzaton of intangible and right-of-use assets</w:t>
            </w:r>
          </w:p>
        </w:tc>
        <w:tc>
          <w:tcPr>
            <w:tcW w:w="2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9,417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3,333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4,455</w:t>
            </w:r>
          </w:p>
        </w:tc>
      </w:tr>
      <w:tr>
        <w:trPr>
          <w:trHeight w:val="237"/>
        </w:trPr>
        <w:tc>
          <w:tcPr>
            <w:tcW w:w="68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Depreciaton</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593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502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529</w:t>
            </w:r>
          </w:p>
        </w:tc>
      </w:tr>
      <w:tr>
        <w:trPr>
          <w:trHeight w:val="222"/>
        </w:trPr>
        <w:tc>
          <w:tcPr>
            <w:tcW w:w="6820" w:type="dxa"/>
            <w:vAlign w:val="bottom"/>
          </w:tcPr>
          <w:p>
            <w:pPr>
              <w:ind w:left="140"/>
              <w:spacing w:after="0" w:line="215" w:lineRule="exact"/>
              <w:rPr>
                <w:sz w:val="20"/>
                <w:szCs w:val="20"/>
                <w:color w:val="auto"/>
              </w:rPr>
            </w:pPr>
            <w:r>
              <w:rPr>
                <w:rFonts w:ascii="Calibri" w:cs="Calibri" w:eastAsia="Calibri" w:hAnsi="Calibri"/>
                <w:sz w:val="18"/>
                <w:szCs w:val="18"/>
                <w:color w:val="auto"/>
              </w:rPr>
              <w:t>Stock-based compensaton</w:t>
            </w:r>
          </w:p>
        </w:tc>
        <w:tc>
          <w:tcPr>
            <w:tcW w:w="2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5,741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2,171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1,533</w:t>
            </w:r>
          </w:p>
        </w:tc>
      </w:tr>
      <w:tr>
        <w:trPr>
          <w:trHeight w:val="237"/>
        </w:trPr>
        <w:tc>
          <w:tcPr>
            <w:tcW w:w="68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Deferred taxes and other non-cash taxes</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1,965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(501)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w:t>
            </w:r>
          </w:p>
        </w:tc>
      </w:tr>
      <w:tr>
        <w:trPr>
          <w:trHeight w:val="222"/>
        </w:trPr>
        <w:tc>
          <w:tcPr>
            <w:tcW w:w="6820" w:type="dxa"/>
            <w:vAlign w:val="bottom"/>
          </w:tcPr>
          <w:p>
            <w:pPr>
              <w:ind w:left="140"/>
              <w:spacing w:after="0" w:line="215" w:lineRule="exact"/>
              <w:rPr>
                <w:sz w:val="20"/>
                <w:szCs w:val="20"/>
                <w:color w:val="auto"/>
              </w:rPr>
            </w:pPr>
            <w:r>
              <w:rPr>
                <w:rFonts w:ascii="Calibri" w:cs="Calibri" w:eastAsia="Calibri" w:hAnsi="Calibri"/>
                <w:sz w:val="18"/>
                <w:szCs w:val="18"/>
                <w:color w:val="auto"/>
              </w:rPr>
              <w:t>Loss on debt extnguishment</w:t>
            </w:r>
          </w:p>
        </w:tc>
        <w:tc>
          <w:tcPr>
            <w:tcW w:w="2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100</w:t>
            </w:r>
          </w:p>
        </w:tc>
      </w:tr>
      <w:tr>
        <w:trPr>
          <w:trHeight w:val="237"/>
        </w:trPr>
        <w:tc>
          <w:tcPr>
            <w:tcW w:w="68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Non-cash interest expense</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427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129</w:t>
            </w:r>
          </w:p>
        </w:tc>
      </w:tr>
      <w:tr>
        <w:trPr>
          <w:trHeight w:val="222"/>
        </w:trPr>
        <w:tc>
          <w:tcPr>
            <w:tcW w:w="6820" w:type="dxa"/>
            <w:vAlign w:val="bottom"/>
          </w:tcPr>
          <w:p>
            <w:pPr>
              <w:ind w:left="140"/>
              <w:spacing w:after="0" w:line="215" w:lineRule="exact"/>
              <w:rPr>
                <w:sz w:val="20"/>
                <w:szCs w:val="20"/>
                <w:color w:val="auto"/>
              </w:rPr>
            </w:pPr>
            <w:r>
              <w:rPr>
                <w:rFonts w:ascii="Calibri" w:cs="Calibri" w:eastAsia="Calibri" w:hAnsi="Calibri"/>
                <w:sz w:val="18"/>
                <w:szCs w:val="18"/>
                <w:color w:val="auto"/>
              </w:rPr>
              <w:t>Other</w:t>
            </w:r>
          </w:p>
        </w:tc>
        <w:tc>
          <w:tcPr>
            <w:tcW w:w="2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404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183</w:t>
            </w:r>
          </w:p>
        </w:tc>
      </w:tr>
      <w:tr>
        <w:trPr>
          <w:trHeight w:val="237"/>
        </w:trPr>
        <w:tc>
          <w:tcPr>
            <w:tcW w:w="68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Changes in assets and liabilites, net of acquisitons and disposals:</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2"/>
        </w:trPr>
        <w:tc>
          <w:tcPr>
            <w:tcW w:w="6820" w:type="dxa"/>
            <w:vAlign w:val="bottom"/>
          </w:tcPr>
          <w:p>
            <w:pPr>
              <w:ind w:left="140"/>
              <w:spacing w:after="0" w:line="215" w:lineRule="exact"/>
              <w:rPr>
                <w:sz w:val="20"/>
                <w:szCs w:val="20"/>
                <w:color w:val="auto"/>
              </w:rPr>
            </w:pPr>
            <w:r>
              <w:rPr>
                <w:rFonts w:ascii="Calibri" w:cs="Calibri" w:eastAsia="Calibri" w:hAnsi="Calibri"/>
                <w:sz w:val="18"/>
                <w:szCs w:val="18"/>
                <w:color w:val="auto"/>
              </w:rPr>
              <w:t>Trade accounts receivable, net</w:t>
            </w:r>
          </w:p>
        </w:tc>
        <w:tc>
          <w:tcPr>
            <w:tcW w:w="2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2,327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(870)</w:t>
            </w:r>
          </w:p>
        </w:tc>
      </w:tr>
      <w:tr>
        <w:trPr>
          <w:trHeight w:val="237"/>
        </w:trPr>
        <w:tc>
          <w:tcPr>
            <w:tcW w:w="68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Inventory</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(627)</w:t>
            </w:r>
          </w:p>
        </w:tc>
      </w:tr>
      <w:tr>
        <w:trPr>
          <w:trHeight w:val="222"/>
        </w:trPr>
        <w:tc>
          <w:tcPr>
            <w:tcW w:w="6820" w:type="dxa"/>
            <w:vAlign w:val="bottom"/>
          </w:tcPr>
          <w:p>
            <w:pPr>
              <w:ind w:left="140"/>
              <w:spacing w:after="0" w:line="215" w:lineRule="exact"/>
              <w:rPr>
                <w:sz w:val="20"/>
                <w:szCs w:val="20"/>
                <w:color w:val="auto"/>
              </w:rPr>
            </w:pPr>
            <w:r>
              <w:rPr>
                <w:rFonts w:ascii="Calibri" w:cs="Calibri" w:eastAsia="Calibri" w:hAnsi="Calibri"/>
                <w:sz w:val="18"/>
                <w:szCs w:val="18"/>
                <w:color w:val="auto"/>
              </w:rPr>
              <w:t>Accounts payable</w:t>
            </w:r>
          </w:p>
        </w:tc>
        <w:tc>
          <w:tcPr>
            <w:tcW w:w="2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209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(79)</w:t>
            </w:r>
          </w:p>
        </w:tc>
      </w:tr>
      <w:tr>
        <w:trPr>
          <w:trHeight w:val="237"/>
        </w:trPr>
        <w:tc>
          <w:tcPr>
            <w:tcW w:w="68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Employee compensaton and benefts</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136</w:t>
            </w:r>
          </w:p>
        </w:tc>
      </w:tr>
      <w:tr>
        <w:trPr>
          <w:trHeight w:val="222"/>
        </w:trPr>
        <w:tc>
          <w:tcPr>
            <w:tcW w:w="6820" w:type="dxa"/>
            <w:vAlign w:val="bottom"/>
          </w:tcPr>
          <w:p>
            <w:pPr>
              <w:ind w:left="140"/>
              <w:spacing w:after="0" w:line="215" w:lineRule="exact"/>
              <w:rPr>
                <w:sz w:val="20"/>
                <w:szCs w:val="20"/>
                <w:color w:val="auto"/>
              </w:rPr>
            </w:pPr>
            <w:r>
              <w:rPr>
                <w:rFonts w:ascii="Calibri" w:cs="Calibri" w:eastAsia="Calibri" w:hAnsi="Calibri"/>
                <w:sz w:val="18"/>
                <w:szCs w:val="18"/>
                <w:color w:val="auto"/>
              </w:rPr>
              <w:t>Other current assets and current liabilites</w:t>
            </w:r>
          </w:p>
        </w:tc>
        <w:tc>
          <w:tcPr>
            <w:tcW w:w="2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(5,323)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(628)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222</w:t>
            </w:r>
          </w:p>
        </w:tc>
      </w:tr>
      <w:tr>
        <w:trPr>
          <w:trHeight w:val="237"/>
        </w:trPr>
        <w:tc>
          <w:tcPr>
            <w:tcW w:w="68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Other long-term assets and long-term liabilites</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(1,990)</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(785)</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(436)</w:t>
            </w:r>
          </w:p>
        </w:tc>
      </w:tr>
      <w:tr>
        <w:trPr>
          <w:trHeight w:val="217"/>
        </w:trPr>
        <w:tc>
          <w:tcPr>
            <w:tcW w:w="6820" w:type="dxa"/>
            <w:vAlign w:val="bottom"/>
            <w:tcBorders>
              <w:bottom w:val="single" w:sz="8" w:color="CCEEFF"/>
            </w:tcBorders>
          </w:tcPr>
          <w:p>
            <w:pPr>
              <w:ind w:left="340"/>
              <w:spacing w:after="0" w:line="199" w:lineRule="exact"/>
              <w:rPr>
                <w:sz w:val="20"/>
                <w:szCs w:val="20"/>
                <w:color w:val="auto"/>
              </w:rPr>
            </w:pPr>
            <w:r>
              <w:rPr>
                <w:rFonts w:ascii="Calibri" w:cs="Calibri" w:eastAsia="Calibri" w:hAnsi="Calibri"/>
                <w:sz w:val="18"/>
                <w:szCs w:val="18"/>
                <w:color w:val="auto"/>
              </w:rPr>
              <w:t>Net cash provided by operatng actvites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19,962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18,085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16,736</w:t>
            </w:r>
          </w:p>
        </w:tc>
      </w:tr>
      <w:tr>
        <w:trPr>
          <w:trHeight w:val="216"/>
        </w:trPr>
        <w:tc>
          <w:tcPr>
            <w:tcW w:w="682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b w:val="1"/>
                <w:bCs w:val="1"/>
                <w:color w:val="auto"/>
              </w:rPr>
              <w:t>Cash fows from investng actvites: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2"/>
        </w:trPr>
        <w:tc>
          <w:tcPr>
            <w:tcW w:w="6820" w:type="dxa"/>
            <w:vAlign w:val="bottom"/>
          </w:tcPr>
          <w:p>
            <w:pPr>
              <w:ind w:left="140"/>
              <w:spacing w:after="0" w:line="215" w:lineRule="exact"/>
              <w:rPr>
                <w:sz w:val="20"/>
                <w:szCs w:val="20"/>
                <w:color w:val="auto"/>
              </w:rPr>
            </w:pPr>
            <w:r>
              <w:rPr>
                <w:rFonts w:ascii="Calibri" w:cs="Calibri" w:eastAsia="Calibri" w:hAnsi="Calibri"/>
                <w:sz w:val="18"/>
                <w:szCs w:val="18"/>
                <w:color w:val="auto"/>
              </w:rPr>
              <w:t>Acquisitons of businesses, net of cash acquired</w:t>
            </w:r>
          </w:p>
        </w:tc>
        <w:tc>
          <w:tcPr>
            <w:tcW w:w="2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(25,978)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(246)</w:t>
            </w:r>
          </w:p>
        </w:tc>
      </w:tr>
      <w:tr>
        <w:trPr>
          <w:trHeight w:val="237"/>
        </w:trPr>
        <w:tc>
          <w:tcPr>
            <w:tcW w:w="68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Proceeds from sale of business</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3,485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2"/>
        </w:trPr>
        <w:tc>
          <w:tcPr>
            <w:tcW w:w="6820" w:type="dxa"/>
            <w:vAlign w:val="bottom"/>
          </w:tcPr>
          <w:p>
            <w:pPr>
              <w:ind w:left="140"/>
              <w:spacing w:after="0" w:line="215" w:lineRule="exact"/>
              <w:rPr>
                <w:sz w:val="20"/>
                <w:szCs w:val="20"/>
                <w:color w:val="auto"/>
              </w:rPr>
            </w:pPr>
            <w:r>
              <w:rPr>
                <w:rFonts w:ascii="Calibri" w:cs="Calibri" w:eastAsia="Calibri" w:hAnsi="Calibri"/>
                <w:sz w:val="18"/>
                <w:szCs w:val="18"/>
                <w:color w:val="auto"/>
              </w:rPr>
              <w:t>Purchases of property, plant and equipment</w:t>
            </w:r>
          </w:p>
        </w:tc>
        <w:tc>
          <w:tcPr>
            <w:tcW w:w="2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(548)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(452)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(424)</w:t>
            </w:r>
          </w:p>
        </w:tc>
      </w:tr>
      <w:tr>
        <w:trPr>
          <w:trHeight w:val="237"/>
        </w:trPr>
        <w:tc>
          <w:tcPr>
            <w:tcW w:w="68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Purchases of investments</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(200)</w:t>
            </w:r>
          </w:p>
        </w:tc>
      </w:tr>
      <w:tr>
        <w:trPr>
          <w:trHeight w:val="222"/>
        </w:trPr>
        <w:tc>
          <w:tcPr>
            <w:tcW w:w="6820" w:type="dxa"/>
            <w:vAlign w:val="bottom"/>
          </w:tcPr>
          <w:p>
            <w:pPr>
              <w:ind w:left="140"/>
              <w:spacing w:after="0" w:line="215" w:lineRule="exact"/>
              <w:rPr>
                <w:sz w:val="20"/>
                <w:szCs w:val="20"/>
                <w:color w:val="auto"/>
              </w:rPr>
            </w:pPr>
            <w:r>
              <w:rPr>
                <w:rFonts w:ascii="Calibri" w:cs="Calibri" w:eastAsia="Calibri" w:hAnsi="Calibri"/>
                <w:sz w:val="18"/>
                <w:szCs w:val="18"/>
                <w:color w:val="auto"/>
              </w:rPr>
              <w:t>Sales of investments</w:t>
            </w:r>
          </w:p>
        </w:tc>
        <w:tc>
          <w:tcPr>
            <w:tcW w:w="2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228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200</w:t>
            </w:r>
          </w:p>
        </w:tc>
      </w:tr>
      <w:tr>
        <w:trPr>
          <w:trHeight w:val="237"/>
        </w:trPr>
        <w:tc>
          <w:tcPr>
            <w:tcW w:w="68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Other</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(66)</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w:t>
            </w:r>
          </w:p>
        </w:tc>
      </w:tr>
      <w:tr>
        <w:trPr>
          <w:trHeight w:val="216"/>
        </w:trPr>
        <w:tc>
          <w:tcPr>
            <w:tcW w:w="6820" w:type="dxa"/>
            <w:vAlign w:val="bottom"/>
            <w:tcBorders>
              <w:bottom w:val="single" w:sz="8" w:color="CCEEFF"/>
            </w:tcBorders>
          </w:tcPr>
          <w:p>
            <w:pPr>
              <w:ind w:left="340"/>
              <w:spacing w:after="0" w:line="199" w:lineRule="exact"/>
              <w:rPr>
                <w:sz w:val="20"/>
                <w:szCs w:val="20"/>
                <w:color w:val="auto"/>
              </w:rPr>
            </w:pPr>
            <w:r>
              <w:rPr>
                <w:rFonts w:ascii="Calibri" w:cs="Calibri" w:eastAsia="Calibri" w:hAnsi="Calibri"/>
                <w:sz w:val="18"/>
                <w:szCs w:val="18"/>
                <w:color w:val="auto"/>
              </w:rPr>
              <w:t>Net cash used in investng actvites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(23,070)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(689)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(667)</w:t>
            </w:r>
          </w:p>
        </w:tc>
      </w:tr>
      <w:tr>
        <w:trPr>
          <w:trHeight w:val="216"/>
        </w:trPr>
        <w:tc>
          <w:tcPr>
            <w:tcW w:w="682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b w:val="1"/>
                <w:bCs w:val="1"/>
                <w:color w:val="auto"/>
              </w:rPr>
              <w:t>Cash fows from fnancing actvites: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2"/>
        </w:trPr>
        <w:tc>
          <w:tcPr>
            <w:tcW w:w="6820" w:type="dxa"/>
            <w:vAlign w:val="bottom"/>
          </w:tcPr>
          <w:p>
            <w:pPr>
              <w:ind w:left="140"/>
              <w:spacing w:after="0" w:line="215" w:lineRule="exact"/>
              <w:rPr>
                <w:sz w:val="20"/>
                <w:szCs w:val="20"/>
                <w:color w:val="auto"/>
              </w:rPr>
            </w:pPr>
            <w:r>
              <w:rPr>
                <w:rFonts w:ascii="Calibri" w:cs="Calibri" w:eastAsia="Calibri" w:hAnsi="Calibri"/>
                <w:sz w:val="18"/>
                <w:szCs w:val="18"/>
                <w:color w:val="auto"/>
              </w:rPr>
              <w:t>Proceeds from long-term borrowings</w:t>
            </w:r>
          </w:p>
        </w:tc>
        <w:tc>
          <w:tcPr>
            <w:tcW w:w="2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39,954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1,935</w:t>
            </w:r>
          </w:p>
        </w:tc>
      </w:tr>
      <w:tr>
        <w:trPr>
          <w:trHeight w:val="237"/>
        </w:trPr>
        <w:tc>
          <w:tcPr>
            <w:tcW w:w="68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Payments on debt obligatons</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(19,608)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(2,361)</w:t>
            </w:r>
          </w:p>
        </w:tc>
      </w:tr>
      <w:tr>
        <w:trPr>
          <w:trHeight w:val="222"/>
        </w:trPr>
        <w:tc>
          <w:tcPr>
            <w:tcW w:w="6820" w:type="dxa"/>
            <w:vAlign w:val="bottom"/>
          </w:tcPr>
          <w:p>
            <w:pPr>
              <w:ind w:left="140"/>
              <w:spacing w:after="0" w:line="215" w:lineRule="exact"/>
              <w:rPr>
                <w:sz w:val="20"/>
                <w:szCs w:val="20"/>
                <w:color w:val="auto"/>
              </w:rPr>
            </w:pPr>
            <w:r>
              <w:rPr>
                <w:rFonts w:ascii="Calibri" w:cs="Calibri" w:eastAsia="Calibri" w:hAnsi="Calibri"/>
                <w:sz w:val="18"/>
                <w:szCs w:val="18"/>
                <w:color w:val="auto"/>
              </w:rPr>
              <w:t>Payments of dividends</w:t>
            </w:r>
          </w:p>
        </w:tc>
        <w:tc>
          <w:tcPr>
            <w:tcW w:w="2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(9,814)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(7,645)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(7,032)</w:t>
            </w:r>
          </w:p>
        </w:tc>
      </w:tr>
      <w:tr>
        <w:trPr>
          <w:trHeight w:val="237"/>
        </w:trPr>
        <w:tc>
          <w:tcPr>
            <w:tcW w:w="68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Repurchases of common stock - repurchase program</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(7,176)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(5,824)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(7,000)</w:t>
            </w:r>
          </w:p>
        </w:tc>
      </w:tr>
      <w:tr>
        <w:trPr>
          <w:trHeight w:val="222"/>
        </w:trPr>
        <w:tc>
          <w:tcPr>
            <w:tcW w:w="6820" w:type="dxa"/>
            <w:vAlign w:val="bottom"/>
          </w:tcPr>
          <w:p>
            <w:pPr>
              <w:ind w:left="140"/>
              <w:spacing w:after="0" w:line="215" w:lineRule="exact"/>
              <w:rPr>
                <w:sz w:val="20"/>
                <w:szCs w:val="20"/>
                <w:color w:val="auto"/>
              </w:rPr>
            </w:pPr>
            <w:r>
              <w:rPr>
                <w:rFonts w:ascii="Calibri" w:cs="Calibri" w:eastAsia="Calibri" w:hAnsi="Calibri"/>
                <w:sz w:val="18"/>
                <w:szCs w:val="18"/>
                <w:color w:val="auto"/>
              </w:rPr>
              <w:t>Shares repurchased for tax withholdings on vestng of equity awards</w:t>
            </w:r>
          </w:p>
        </w:tc>
        <w:tc>
          <w:tcPr>
            <w:tcW w:w="2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(5,216)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(1,861)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(1,455)</w:t>
            </w:r>
          </w:p>
        </w:tc>
      </w:tr>
      <w:tr>
        <w:trPr>
          <w:trHeight w:val="237"/>
        </w:trPr>
        <w:tc>
          <w:tcPr>
            <w:tcW w:w="68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Issuance of common stock</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114</w:t>
            </w:r>
          </w:p>
        </w:tc>
      </w:tr>
      <w:tr>
        <w:trPr>
          <w:trHeight w:val="223"/>
        </w:trPr>
        <w:tc>
          <w:tcPr>
            <w:tcW w:w="6820" w:type="dxa"/>
            <w:vAlign w:val="bottom"/>
            <w:tcBorders>
              <w:bottom w:val="single" w:sz="8" w:color="CCEEFF"/>
            </w:tcBorders>
          </w:tcPr>
          <w:p>
            <w:pPr>
              <w:ind w:left="140"/>
              <w:spacing w:after="0" w:line="215" w:lineRule="exact"/>
              <w:rPr>
                <w:sz w:val="20"/>
                <w:szCs w:val="20"/>
                <w:color w:val="auto"/>
              </w:rPr>
            </w:pPr>
            <w:r>
              <w:rPr>
                <w:rFonts w:ascii="Calibri" w:cs="Calibri" w:eastAsia="Calibri" w:hAnsi="Calibri"/>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w:t>
            </w:r>
          </w:p>
        </w:tc>
      </w:tr>
      <w:tr>
        <w:trPr>
          <w:trHeight w:val="229"/>
        </w:trPr>
        <w:tc>
          <w:tcPr>
            <w:tcW w:w="6820" w:type="dxa"/>
            <w:vAlign w:val="bottom"/>
            <w:shd w:val="clear" w:color="auto" w:fill="CCEEFF"/>
          </w:tcPr>
          <w:p>
            <w:pPr>
              <w:ind w:left="340"/>
              <w:spacing w:after="0" w:line="206" w:lineRule="exact"/>
              <w:rPr>
                <w:sz w:val="20"/>
                <w:szCs w:val="20"/>
                <w:color w:val="auto"/>
              </w:rPr>
            </w:pPr>
            <w:r>
              <w:rPr>
                <w:rFonts w:ascii="Calibri" w:cs="Calibri" w:eastAsia="Calibri" w:hAnsi="Calibri"/>
                <w:sz w:val="18"/>
                <w:szCs w:val="18"/>
                <w:color w:val="auto"/>
              </w:rPr>
              <w:t>Net cash used in fnancing actvites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(15,623)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(15,816)</w:t>
            </w:r>
          </w:p>
        </w:tc>
      </w:tr>
      <w:tr>
        <w:trPr>
          <w:trHeight w:val="216"/>
        </w:trPr>
        <w:tc>
          <w:tcPr>
            <w:tcW w:w="6820" w:type="dxa"/>
            <w:vAlign w:val="bottom"/>
          </w:tcPr>
          <w:p>
            <w:pPr>
              <w:ind w:left="20"/>
              <w:spacing w:after="0" w:line="199" w:lineRule="exact"/>
              <w:rPr>
                <w:sz w:val="20"/>
                <w:szCs w:val="20"/>
                <w:color w:val="auto"/>
              </w:rPr>
            </w:pPr>
            <w:r>
              <w:rPr>
                <w:rFonts w:ascii="Calibri" w:cs="Calibri" w:eastAsia="Calibri" w:hAnsi="Calibri"/>
                <w:sz w:val="18"/>
                <w:szCs w:val="18"/>
                <w:color w:val="auto"/>
              </w:rPr>
              <w:t>Net change in cash and cash equivalents</w:t>
            </w:r>
          </w:p>
        </w:tc>
        <w:tc>
          <w:tcPr>
            <w:tcW w:w="20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(4,841)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1,773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253</w:t>
            </w:r>
          </w:p>
        </w:tc>
      </w:tr>
      <w:tr>
        <w:trPr>
          <w:trHeight w:val="230"/>
        </w:trPr>
        <w:tc>
          <w:tcPr>
            <w:tcW w:w="68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Cash and cash equivalents at beginning of period</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14,189</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12,416</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12,163</w:t>
            </w:r>
          </w:p>
        </w:tc>
      </w:tr>
      <w:tr>
        <w:trPr>
          <w:trHeight w:val="229"/>
        </w:trPr>
        <w:tc>
          <w:tcPr>
            <w:tcW w:w="6820" w:type="dxa"/>
            <w:vAlign w:val="bottom"/>
          </w:tcPr>
          <w:p>
            <w:pPr>
              <w:ind w:left="20"/>
              <w:spacing w:after="0"/>
              <w:rPr>
                <w:sz w:val="20"/>
                <w:szCs w:val="20"/>
                <w:color w:val="auto"/>
              </w:rPr>
            </w:pPr>
            <w:r>
              <w:rPr>
                <w:rFonts w:ascii="Calibri" w:cs="Calibri" w:eastAsia="Calibri" w:hAnsi="Calibri"/>
                <w:sz w:val="18"/>
                <w:szCs w:val="18"/>
                <w:color w:val="auto"/>
              </w:rPr>
              <w:t>Cash and cash equivalents at end of period</w:t>
            </w:r>
          </w:p>
        </w:tc>
        <w:tc>
          <w:tcPr>
            <w:tcW w:w="20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9,348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14,189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12,416</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682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b w:val="1"/>
                <w:bCs w:val="1"/>
                <w:color w:val="auto"/>
              </w:rPr>
              <w:t>Supplemental disclosure of cash fow informaton:</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2"/>
        </w:trPr>
        <w:tc>
          <w:tcPr>
            <w:tcW w:w="6820" w:type="dxa"/>
            <w:vAlign w:val="bottom"/>
          </w:tcPr>
          <w:p>
            <w:pPr>
              <w:ind w:left="20"/>
              <w:spacing w:after="0" w:line="215" w:lineRule="exact"/>
              <w:rPr>
                <w:sz w:val="20"/>
                <w:szCs w:val="20"/>
                <w:color w:val="auto"/>
              </w:rPr>
            </w:pPr>
            <w:r>
              <w:rPr>
                <w:rFonts w:ascii="Calibri" w:cs="Calibri" w:eastAsia="Calibri" w:hAnsi="Calibri"/>
                <w:sz w:val="18"/>
                <w:szCs w:val="18"/>
                <w:color w:val="auto"/>
              </w:rPr>
              <w:t>Cash paid for interest</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3,250</w:t>
            </w:r>
          </w:p>
        </w:tc>
        <w:tc>
          <w:tcPr>
            <w:tcW w:w="12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1,503</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1,386</w:t>
            </w:r>
          </w:p>
        </w:tc>
      </w:tr>
      <w:tr>
        <w:trPr>
          <w:trHeight w:val="237"/>
        </w:trPr>
        <w:tc>
          <w:tcPr>
            <w:tcW w:w="68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Cash paid for income taxes</w:t>
            </w: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3,155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1,782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908</w:t>
            </w:r>
          </w:p>
        </w:tc>
      </w:tr>
    </w:tbl>
    <w:p>
      <w:pPr>
        <w:spacing w:after="0" w:line="1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34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6" w:name="page57"/>
    <w:bookmarkEnd w:id="5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BROADCOM INC.</w:t>
      </w:r>
    </w:p>
    <w:p>
      <w:pPr>
        <w:jc w:val="center"/>
        <w:ind w:right="-39"/>
        <w:spacing w:after="0" w:line="235" w:lineRule="auto"/>
        <w:rPr>
          <w:sz w:val="20"/>
          <w:szCs w:val="20"/>
          <w:color w:val="auto"/>
        </w:rPr>
      </w:pPr>
      <w:r>
        <w:rPr>
          <w:rFonts w:ascii="Calibri" w:cs="Calibri" w:eastAsia="Calibri" w:hAnsi="Calibri"/>
          <w:sz w:val="18"/>
          <w:szCs w:val="18"/>
          <w:b w:val="1"/>
          <w:bCs w:val="1"/>
          <w:color w:val="auto"/>
        </w:rPr>
        <w:t>CONSOLIDATED STATEMENTS OF STOCKHOLDERS’ EQUITY</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300" w:type="dxa"/>
            <w:vAlign w:val="bottom"/>
            <w:gridSpan w:val="3"/>
          </w:tcPr>
          <w:p>
            <w:pPr>
              <w:jc w:val="center"/>
              <w:ind w:left="152"/>
              <w:spacing w:after="0"/>
              <w:rPr>
                <w:sz w:val="20"/>
                <w:szCs w:val="20"/>
                <w:color w:val="auto"/>
              </w:rPr>
            </w:pPr>
            <w:r>
              <w:rPr>
                <w:rFonts w:ascii="Calibri" w:cs="Calibri" w:eastAsia="Calibri" w:hAnsi="Calibri"/>
                <w:sz w:val="14"/>
                <w:szCs w:val="14"/>
                <w:b w:val="1"/>
                <w:bCs w:val="1"/>
                <w:color w:val="auto"/>
              </w:rPr>
              <w:t>8.00% Mandatory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Calibri" w:cs="Calibri" w:eastAsia="Calibri" w:hAnsi="Calibri"/>
                <w:sz w:val="14"/>
                <w:szCs w:val="14"/>
                <w:b w:val="1"/>
                <w:bCs w:val="1"/>
                <w:color w:val="auto"/>
              </w:rPr>
              <w:t>Accumulated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80" w:type="dxa"/>
            <w:vAlign w:val="bottom"/>
          </w:tcPr>
          <w:p>
            <w:pPr>
              <w:spacing w:after="0"/>
              <w:rPr>
                <w:sz w:val="11"/>
                <w:szCs w:val="11"/>
                <w:color w:val="auto"/>
              </w:rPr>
            </w:pPr>
          </w:p>
        </w:tc>
        <w:tc>
          <w:tcPr>
            <w:tcW w:w="1640" w:type="dxa"/>
            <w:vAlign w:val="bottom"/>
            <w:gridSpan w:val="5"/>
          </w:tcPr>
          <w:p>
            <w:pPr>
              <w:jc w:val="center"/>
              <w:ind w:right="120"/>
              <w:spacing w:after="0" w:line="136" w:lineRule="exact"/>
              <w:rPr>
                <w:sz w:val="20"/>
                <w:szCs w:val="20"/>
                <w:color w:val="auto"/>
              </w:rPr>
            </w:pPr>
            <w:r>
              <w:rPr>
                <w:rFonts w:ascii="Calibri" w:cs="Calibri" w:eastAsia="Calibri" w:hAnsi="Calibri"/>
                <w:sz w:val="14"/>
                <w:szCs w:val="14"/>
                <w:b w:val="1"/>
                <w:bCs w:val="1"/>
                <w:color w:val="auto"/>
              </w:rPr>
              <w:t>Convertble Preferred</w:t>
            </w:r>
          </w:p>
        </w:tc>
        <w:tc>
          <w:tcPr>
            <w:tcW w:w="1640" w:type="dxa"/>
            <w:vAlign w:val="bottom"/>
            <w:gridSpan w:val="5"/>
            <w:vMerge w:val="restart"/>
          </w:tcPr>
          <w:p>
            <w:pPr>
              <w:jc w:val="center"/>
              <w:ind w:right="120"/>
              <w:spacing w:after="0"/>
              <w:rPr>
                <w:sz w:val="20"/>
                <w:szCs w:val="20"/>
                <w:color w:val="auto"/>
              </w:rPr>
            </w:pPr>
            <w:r>
              <w:rPr>
                <w:rFonts w:ascii="Calibri" w:cs="Calibri" w:eastAsia="Calibri" w:hAnsi="Calibri"/>
                <w:sz w:val="14"/>
                <w:szCs w:val="14"/>
                <w:b w:val="1"/>
                <w:bCs w:val="1"/>
                <w:color w:val="auto"/>
              </w:rPr>
              <w:t>Common Stock</w:t>
            </w:r>
          </w:p>
        </w:tc>
        <w:tc>
          <w:tcPr>
            <w:tcW w:w="10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Calibri" w:cs="Calibri" w:eastAsia="Calibri" w:hAnsi="Calibri"/>
                <w:sz w:val="14"/>
                <w:szCs w:val="14"/>
                <w:b w:val="1"/>
                <w:bCs w:val="1"/>
                <w:color w:val="auto"/>
              </w:rPr>
              <w:t>Additonal</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center"/>
              <w:ind w:right="52"/>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jc w:val="center"/>
              <w:ind w:right="279"/>
              <w:spacing w:after="0" w:line="135" w:lineRule="exact"/>
              <w:rPr>
                <w:sz w:val="20"/>
                <w:szCs w:val="20"/>
                <w:color w:val="auto"/>
              </w:rPr>
            </w:pPr>
            <w:r>
              <w:rPr>
                <w:rFonts w:ascii="Calibri" w:cs="Calibri" w:eastAsia="Calibri" w:hAnsi="Calibri"/>
                <w:sz w:val="14"/>
                <w:szCs w:val="14"/>
                <w:b w:val="1"/>
                <w:bCs w:val="1"/>
                <w:color w:val="auto"/>
              </w:rPr>
              <w:t>Stock</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Calibri" w:cs="Calibri" w:eastAsia="Calibri" w:hAnsi="Calibri"/>
                <w:sz w:val="14"/>
                <w:szCs w:val="14"/>
                <w:b w:val="1"/>
                <w:bCs w:val="1"/>
                <w:color w:val="auto"/>
              </w:rPr>
              <w:t>Other</w:t>
            </w: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48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restart"/>
          </w:tcPr>
          <w:p>
            <w:pPr>
              <w:ind w:left="120"/>
              <w:spacing w:after="0" w:line="122" w:lineRule="exact"/>
              <w:rPr>
                <w:sz w:val="20"/>
                <w:szCs w:val="20"/>
                <w:color w:val="auto"/>
              </w:rPr>
            </w:pPr>
            <w:r>
              <w:rPr>
                <w:rFonts w:ascii="Calibri" w:cs="Calibri" w:eastAsia="Calibri" w:hAnsi="Calibri"/>
                <w:sz w:val="13"/>
                <w:szCs w:val="13"/>
                <w:b w:val="1"/>
                <w:bCs w:val="1"/>
                <w:color w:val="auto"/>
              </w:rPr>
              <w:t>Paid-in</w:t>
            </w:r>
          </w:p>
        </w:tc>
        <w:tc>
          <w:tcPr>
            <w:tcW w:w="160" w:type="dxa"/>
            <w:vAlign w:val="bottom"/>
          </w:tcPr>
          <w:p>
            <w:pPr>
              <w:spacing w:after="0"/>
              <w:rPr>
                <w:sz w:val="7"/>
                <w:szCs w:val="7"/>
                <w:color w:val="auto"/>
              </w:rPr>
            </w:pPr>
          </w:p>
        </w:tc>
        <w:tc>
          <w:tcPr>
            <w:tcW w:w="940" w:type="dxa"/>
            <w:vAlign w:val="bottom"/>
            <w:gridSpan w:val="2"/>
            <w:vMerge w:val="restart"/>
          </w:tcPr>
          <w:p>
            <w:pPr>
              <w:jc w:val="right"/>
              <w:ind w:right="360"/>
              <w:spacing w:after="0" w:line="122" w:lineRule="exact"/>
              <w:rPr>
                <w:sz w:val="20"/>
                <w:szCs w:val="20"/>
                <w:color w:val="auto"/>
              </w:rPr>
            </w:pPr>
            <w:r>
              <w:rPr>
                <w:rFonts w:ascii="Calibri" w:cs="Calibri" w:eastAsia="Calibri" w:hAnsi="Calibri"/>
                <w:sz w:val="13"/>
                <w:szCs w:val="13"/>
                <w:b w:val="1"/>
                <w:bCs w:val="1"/>
                <w:color w:val="auto"/>
              </w:rPr>
              <w:t>Retained</w:t>
            </w:r>
          </w:p>
        </w:tc>
        <w:tc>
          <w:tcPr>
            <w:tcW w:w="120" w:type="dxa"/>
            <w:vAlign w:val="bottom"/>
          </w:tcPr>
          <w:p>
            <w:pPr>
              <w:spacing w:after="0"/>
              <w:rPr>
                <w:sz w:val="7"/>
                <w:szCs w:val="7"/>
                <w:color w:val="auto"/>
              </w:rPr>
            </w:pPr>
          </w:p>
        </w:tc>
        <w:tc>
          <w:tcPr>
            <w:tcW w:w="1180" w:type="dxa"/>
            <w:vAlign w:val="bottom"/>
            <w:gridSpan w:val="2"/>
            <w:vMerge w:val="restart"/>
          </w:tcPr>
          <w:p>
            <w:pPr>
              <w:jc w:val="center"/>
              <w:ind w:right="220"/>
              <w:spacing w:after="0" w:line="122" w:lineRule="exact"/>
              <w:rPr>
                <w:sz w:val="20"/>
                <w:szCs w:val="20"/>
                <w:color w:val="auto"/>
              </w:rPr>
            </w:pPr>
            <w:r>
              <w:rPr>
                <w:rFonts w:ascii="Calibri" w:cs="Calibri" w:eastAsia="Calibri" w:hAnsi="Calibri"/>
                <w:sz w:val="13"/>
                <w:szCs w:val="13"/>
                <w:b w:val="1"/>
                <w:bCs w:val="1"/>
                <w:color w:val="auto"/>
              </w:rPr>
              <w:t>Comprehensive</w:t>
            </w:r>
          </w:p>
        </w:tc>
        <w:tc>
          <w:tcPr>
            <w:tcW w:w="120" w:type="dxa"/>
            <w:vAlign w:val="bottom"/>
          </w:tcPr>
          <w:p>
            <w:pPr>
              <w:spacing w:after="0"/>
              <w:rPr>
                <w:sz w:val="7"/>
                <w:szCs w:val="7"/>
                <w:color w:val="auto"/>
              </w:rPr>
            </w:pPr>
          </w:p>
        </w:tc>
        <w:tc>
          <w:tcPr>
            <w:tcW w:w="960" w:type="dxa"/>
            <w:vAlign w:val="bottom"/>
            <w:vMerge w:val="restart"/>
          </w:tcPr>
          <w:p>
            <w:pPr>
              <w:jc w:val="center"/>
              <w:ind w:right="52"/>
              <w:spacing w:after="0" w:line="122" w:lineRule="exact"/>
              <w:rPr>
                <w:sz w:val="20"/>
                <w:szCs w:val="20"/>
                <w:color w:val="auto"/>
              </w:rPr>
            </w:pPr>
            <w:r>
              <w:rPr>
                <w:rFonts w:ascii="Calibri" w:cs="Calibri" w:eastAsia="Calibri" w:hAnsi="Calibri"/>
                <w:sz w:val="13"/>
                <w:szCs w:val="13"/>
                <w:b w:val="1"/>
                <w:bCs w:val="1"/>
                <w:color w:val="auto"/>
              </w:rPr>
              <w:t>Stockholders’</w:t>
            </w: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b w:val="1"/>
                <w:bCs w:val="1"/>
                <w:color w:val="auto"/>
              </w:rPr>
              <w:t>Shares</w:t>
            </w:r>
          </w:p>
        </w:tc>
        <w:tc>
          <w:tcPr>
            <w:tcW w:w="120" w:type="dxa"/>
            <w:vAlign w:val="bottom"/>
          </w:tcPr>
          <w:p>
            <w:pPr>
              <w:spacing w:after="0"/>
              <w:rPr>
                <w:sz w:val="15"/>
                <w:szCs w:val="15"/>
                <w:color w:val="auto"/>
              </w:rPr>
            </w:pPr>
          </w:p>
        </w:tc>
        <w:tc>
          <w:tcPr>
            <w:tcW w:w="940" w:type="dxa"/>
            <w:vAlign w:val="bottom"/>
            <w:gridSpan w:val="3"/>
          </w:tcPr>
          <w:p>
            <w:pPr>
              <w:ind w:left="140"/>
              <w:spacing w:after="0"/>
              <w:rPr>
                <w:sz w:val="20"/>
                <w:szCs w:val="20"/>
                <w:color w:val="auto"/>
              </w:rPr>
            </w:pPr>
            <w:r>
              <w:rPr>
                <w:rFonts w:ascii="Calibri" w:cs="Calibri" w:eastAsia="Calibri" w:hAnsi="Calibri"/>
                <w:sz w:val="14"/>
                <w:szCs w:val="14"/>
                <w:b w:val="1"/>
                <w:bCs w:val="1"/>
                <w:color w:val="auto"/>
              </w:rPr>
              <w:t>Par Value</w:t>
            </w:r>
          </w:p>
        </w:tc>
        <w:tc>
          <w:tcPr>
            <w:tcW w:w="680" w:type="dxa"/>
            <w:vAlign w:val="bottom"/>
            <w:gridSpan w:val="2"/>
          </w:tcPr>
          <w:p>
            <w:pPr>
              <w:ind w:left="100"/>
              <w:spacing w:after="0"/>
              <w:rPr>
                <w:sz w:val="20"/>
                <w:szCs w:val="20"/>
                <w:color w:val="auto"/>
              </w:rPr>
            </w:pPr>
            <w:r>
              <w:rPr>
                <w:rFonts w:ascii="Calibri" w:cs="Calibri" w:eastAsia="Calibri" w:hAnsi="Calibri"/>
                <w:sz w:val="14"/>
                <w:szCs w:val="14"/>
                <w:b w:val="1"/>
                <w:bCs w:val="1"/>
                <w:color w:val="auto"/>
              </w:rPr>
              <w:t>Shares</w:t>
            </w:r>
          </w:p>
        </w:tc>
        <w:tc>
          <w:tcPr>
            <w:tcW w:w="12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Par Value</w:t>
            </w:r>
          </w:p>
        </w:tc>
        <w:tc>
          <w:tcPr>
            <w:tcW w:w="100" w:type="dxa"/>
            <w:vAlign w:val="bottom"/>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Calibri" w:cs="Calibri" w:eastAsia="Calibri" w:hAnsi="Calibri"/>
                <w:sz w:val="14"/>
                <w:szCs w:val="14"/>
                <w:b w:val="1"/>
                <w:bCs w:val="1"/>
                <w:color w:val="auto"/>
              </w:rPr>
              <w:t>Capital</w:t>
            </w:r>
          </w:p>
        </w:tc>
        <w:tc>
          <w:tcPr>
            <w:tcW w:w="16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Calibri" w:cs="Calibri" w:eastAsia="Calibri" w:hAnsi="Calibri"/>
                <w:sz w:val="14"/>
                <w:szCs w:val="14"/>
                <w:b w:val="1"/>
                <w:bCs w:val="1"/>
                <w:color w:val="auto"/>
              </w:rPr>
              <w:t>Earnings</w:t>
            </w: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Income (Loss)</w:t>
            </w:r>
          </w:p>
        </w:tc>
        <w:tc>
          <w:tcPr>
            <w:tcW w:w="120" w:type="dxa"/>
            <w:vAlign w:val="bottom"/>
          </w:tcPr>
          <w:p>
            <w:pPr>
              <w:spacing w:after="0"/>
              <w:rPr>
                <w:sz w:val="15"/>
                <w:szCs w:val="15"/>
                <w:color w:val="auto"/>
              </w:rPr>
            </w:pPr>
          </w:p>
        </w:tc>
        <w:tc>
          <w:tcPr>
            <w:tcW w:w="960" w:type="dxa"/>
            <w:vAlign w:val="bottom"/>
          </w:tcPr>
          <w:p>
            <w:pPr>
              <w:jc w:val="center"/>
              <w:ind w:right="12"/>
              <w:spacing w:after="0"/>
              <w:rPr>
                <w:sz w:val="20"/>
                <w:szCs w:val="20"/>
                <w:color w:val="auto"/>
              </w:rPr>
            </w:pPr>
            <w:r>
              <w:rPr>
                <w:rFonts w:ascii="Calibri" w:cs="Calibri" w:eastAsia="Calibri" w:hAnsi="Calibri"/>
                <w:sz w:val="14"/>
                <w:szCs w:val="14"/>
                <w:b w:val="1"/>
                <w:bCs w:val="1"/>
                <w:color w:val="auto"/>
              </w:rPr>
              <w:t>Equity</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Calibri" w:cs="Calibri" w:eastAsia="Calibri" w:hAnsi="Calibri"/>
                <w:sz w:val="14"/>
                <w:szCs w:val="14"/>
                <w:b w:val="1"/>
                <w:bCs w:val="1"/>
                <w:color w:val="auto"/>
              </w:rPr>
              <w:t>(In millions)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3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Balance as of October 31, 2021</w:t>
            </w:r>
          </w:p>
        </w:tc>
        <w:tc>
          <w:tcPr>
            <w:tcW w:w="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w:t>
            </w:r>
          </w:p>
        </w:tc>
        <w:tc>
          <w:tcPr>
            <w:tcW w:w="720" w:type="dxa"/>
            <w:vAlign w:val="bottom"/>
            <w:gridSpan w:val="2"/>
            <w:shd w:val="clear" w:color="auto" w:fill="CCEEFF"/>
          </w:tcPr>
          <w:p>
            <w:pPr>
              <w:jc w:val="center"/>
              <w:ind w:right="279"/>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gridSpan w:val="2"/>
            <w:shd w:val="clear" w:color="auto" w:fill="CCEEFF"/>
          </w:tcPr>
          <w:p>
            <w:pPr>
              <w:spacing w:after="0" w:line="215" w:lineRule="exact"/>
              <w:rPr>
                <w:sz w:val="20"/>
                <w:szCs w:val="20"/>
                <w:color w:val="auto"/>
              </w:rPr>
            </w:pPr>
            <w:r>
              <w:rPr>
                <w:rFonts w:ascii="Calibri" w:cs="Calibri" w:eastAsia="Calibri" w:hAnsi="Calibri"/>
                <w:sz w:val="18"/>
                <w:szCs w:val="18"/>
                <w:color w:val="auto"/>
              </w:rPr>
              <w:t>—</w:t>
            </w:r>
          </w:p>
        </w:tc>
        <w:tc>
          <w:tcPr>
            <w:tcW w:w="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4,129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center"/>
              <w:spacing w:after="0" w:line="215" w:lineRule="exact"/>
              <w:rPr>
                <w:sz w:val="20"/>
                <w:szCs w:val="20"/>
                <w:color w:val="auto"/>
              </w:rPr>
            </w:pPr>
            <w:r>
              <w:rPr>
                <w:rFonts w:ascii="Calibri" w:cs="Calibri" w:eastAsia="Calibri" w:hAnsi="Calibri"/>
                <w:sz w:val="18"/>
                <w:szCs w:val="18"/>
                <w:color w:val="auto"/>
              </w:rPr>
              <w:t>$</w:t>
            </w:r>
          </w:p>
        </w:tc>
        <w:tc>
          <w:tcPr>
            <w:tcW w:w="7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24,326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24,962</w:t>
            </w:r>
          </w:p>
        </w:tc>
        <w:tc>
          <w:tcPr>
            <w:tcW w:w="0" w:type="dxa"/>
            <w:vAlign w:val="bottom"/>
          </w:tcPr>
          <w:p>
            <w:pPr>
              <w:spacing w:after="0"/>
              <w:rPr>
                <w:sz w:val="1"/>
                <w:szCs w:val="1"/>
                <w:color w:val="auto"/>
              </w:rPr>
            </w:pPr>
          </w:p>
        </w:tc>
      </w:tr>
      <w:tr>
        <w:trPr>
          <w:trHeight w:val="222"/>
        </w:trPr>
        <w:tc>
          <w:tcPr>
            <w:tcW w:w="348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w:t>
            </w: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2"/>
          </w:tcPr>
          <w:p>
            <w:pPr>
              <w:spacing w:after="0" w:line="215" w:lineRule="exact"/>
              <w:rPr>
                <w:sz w:val="20"/>
                <w:szCs w:val="20"/>
                <w:color w:val="auto"/>
              </w:rPr>
            </w:pPr>
            <w:r>
              <w:rPr>
                <w:rFonts w:ascii="Calibri" w:cs="Calibri" w:eastAsia="Calibri" w:hAnsi="Calibri"/>
                <w:sz w:val="18"/>
                <w:szCs w:val="18"/>
                <w:color w:val="auto"/>
              </w:rPr>
              <w:t>—</w:t>
            </w:r>
          </w:p>
        </w:tc>
        <w:tc>
          <w:tcPr>
            <w:tcW w:w="6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11,495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11,495</w:t>
            </w:r>
          </w:p>
        </w:tc>
        <w:tc>
          <w:tcPr>
            <w:tcW w:w="0" w:type="dxa"/>
            <w:vAlign w:val="bottom"/>
          </w:tcPr>
          <w:p>
            <w:pPr>
              <w:spacing w:after="0"/>
              <w:rPr>
                <w:sz w:val="1"/>
                <w:szCs w:val="1"/>
                <w:color w:val="auto"/>
              </w:rPr>
            </w:pPr>
          </w:p>
        </w:tc>
      </w:tr>
      <w:tr>
        <w:trPr>
          <w:trHeight w:val="237"/>
        </w:trPr>
        <w:tc>
          <w:tcPr>
            <w:tcW w:w="34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comprehensive income</w:t>
            </w:r>
          </w:p>
        </w:tc>
        <w:tc>
          <w:tcPr>
            <w:tcW w:w="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spacing w:after="0"/>
              <w:rPr>
                <w:sz w:val="20"/>
                <w:szCs w:val="20"/>
                <w:color w:val="auto"/>
              </w:rPr>
            </w:pPr>
            <w:r>
              <w:rPr>
                <w:rFonts w:ascii="Calibri" w:cs="Calibri" w:eastAsia="Calibri" w:hAnsi="Calibri"/>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62</w:t>
            </w:r>
          </w:p>
        </w:tc>
        <w:tc>
          <w:tcPr>
            <w:tcW w:w="0" w:type="dxa"/>
            <w:vAlign w:val="bottom"/>
          </w:tcPr>
          <w:p>
            <w:pPr>
              <w:spacing w:after="0"/>
              <w:rPr>
                <w:sz w:val="1"/>
                <w:szCs w:val="1"/>
                <w:color w:val="auto"/>
              </w:rPr>
            </w:pPr>
          </w:p>
        </w:tc>
      </w:tr>
      <w:tr>
        <w:trPr>
          <w:trHeight w:val="167"/>
        </w:trPr>
        <w:tc>
          <w:tcPr>
            <w:tcW w:w="3480" w:type="dxa"/>
            <w:vAlign w:val="bottom"/>
          </w:tcPr>
          <w:p>
            <w:pPr>
              <w:ind w:left="20"/>
              <w:spacing w:after="0" w:line="166" w:lineRule="exact"/>
              <w:rPr>
                <w:sz w:val="20"/>
                <w:szCs w:val="20"/>
                <w:color w:val="auto"/>
              </w:rPr>
            </w:pPr>
            <w:r>
              <w:rPr>
                <w:rFonts w:ascii="Calibri" w:cs="Calibri" w:eastAsia="Calibri" w:hAnsi="Calibri"/>
                <w:sz w:val="18"/>
                <w:szCs w:val="18"/>
                <w:color w:val="auto"/>
              </w:rPr>
              <w:t>Fair value of partally vested equity awards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480" w:type="dxa"/>
            <w:vAlign w:val="bottom"/>
          </w:tcPr>
          <w:p>
            <w:pPr>
              <w:ind w:left="180"/>
              <w:spacing w:after="0" w:line="215" w:lineRule="exact"/>
              <w:rPr>
                <w:sz w:val="20"/>
                <w:szCs w:val="20"/>
                <w:color w:val="auto"/>
              </w:rPr>
            </w:pPr>
            <w:r>
              <w:rPr>
                <w:rFonts w:ascii="Calibri" w:cs="Calibri" w:eastAsia="Calibri" w:hAnsi="Calibri"/>
                <w:sz w:val="18"/>
                <w:szCs w:val="18"/>
                <w:color w:val="auto"/>
              </w:rPr>
              <w:t>assumed in connecton with an acquisiton</w:t>
            </w:r>
          </w:p>
        </w:tc>
        <w:tc>
          <w:tcPr>
            <w:tcW w:w="5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Calibri" w:cs="Calibri" w:eastAsia="Calibri" w:hAnsi="Calibri"/>
                <w:sz w:val="18"/>
                <w:szCs w:val="18"/>
                <w:color w:val="auto"/>
              </w:rPr>
              <w:t>—</w:t>
            </w:r>
          </w:p>
        </w:tc>
        <w:tc>
          <w:tcPr>
            <w:tcW w:w="68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Dividends to common stockholders</w:t>
            </w:r>
          </w:p>
        </w:tc>
        <w:tc>
          <w:tcPr>
            <w:tcW w:w="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line="215" w:lineRule="exact"/>
              <w:rPr>
                <w:sz w:val="20"/>
                <w:szCs w:val="20"/>
                <w:color w:val="auto"/>
              </w:rPr>
            </w:pPr>
            <w:r>
              <w:rPr>
                <w:rFonts w:ascii="Calibri" w:cs="Calibri" w:eastAsia="Calibri" w:hAnsi="Calibri"/>
                <w:sz w:val="18"/>
                <w:szCs w:val="18"/>
                <w:color w:val="auto"/>
              </w:rPr>
              <w:t>—</w:t>
            </w:r>
          </w:p>
        </w:tc>
        <w:tc>
          <w:tcPr>
            <w:tcW w:w="680" w:type="dxa"/>
            <w:vAlign w:val="bottom"/>
            <w:gridSpan w:val="2"/>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(6,683)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(6,733)</w:t>
            </w:r>
          </w:p>
        </w:tc>
        <w:tc>
          <w:tcPr>
            <w:tcW w:w="0" w:type="dxa"/>
            <w:vAlign w:val="bottom"/>
          </w:tcPr>
          <w:p>
            <w:pPr>
              <w:spacing w:after="0"/>
              <w:rPr>
                <w:sz w:val="1"/>
                <w:szCs w:val="1"/>
                <w:color w:val="auto"/>
              </w:rPr>
            </w:pPr>
          </w:p>
        </w:tc>
      </w:tr>
      <w:tr>
        <w:trPr>
          <w:trHeight w:val="222"/>
        </w:trPr>
        <w:tc>
          <w:tcPr>
            <w:tcW w:w="3480" w:type="dxa"/>
            <w:vAlign w:val="bottom"/>
          </w:tcPr>
          <w:p>
            <w:pPr>
              <w:ind w:left="20"/>
              <w:spacing w:after="0" w:line="215" w:lineRule="exact"/>
              <w:rPr>
                <w:sz w:val="20"/>
                <w:szCs w:val="20"/>
                <w:color w:val="auto"/>
              </w:rPr>
            </w:pPr>
            <w:r>
              <w:rPr>
                <w:rFonts w:ascii="Calibri" w:cs="Calibri" w:eastAsia="Calibri" w:hAnsi="Calibri"/>
                <w:sz w:val="18"/>
                <w:szCs w:val="18"/>
                <w:color w:val="auto"/>
              </w:rPr>
              <w:t>Dividends to preferred stockholders</w:t>
            </w: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2"/>
          </w:tcPr>
          <w:p>
            <w:pPr>
              <w:spacing w:after="0" w:line="215" w:lineRule="exact"/>
              <w:rPr>
                <w:sz w:val="20"/>
                <w:szCs w:val="20"/>
                <w:color w:val="auto"/>
              </w:rPr>
            </w:pPr>
            <w:r>
              <w:rPr>
                <w:rFonts w:ascii="Calibri" w:cs="Calibri" w:eastAsia="Calibri" w:hAnsi="Calibri"/>
                <w:sz w:val="18"/>
                <w:szCs w:val="18"/>
                <w:color w:val="auto"/>
              </w:rPr>
              <w:t>—</w:t>
            </w:r>
          </w:p>
        </w:tc>
        <w:tc>
          <w:tcPr>
            <w:tcW w:w="6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(272)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(272)</w:t>
            </w:r>
          </w:p>
        </w:tc>
        <w:tc>
          <w:tcPr>
            <w:tcW w:w="0" w:type="dxa"/>
            <w:vAlign w:val="bottom"/>
          </w:tcPr>
          <w:p>
            <w:pPr>
              <w:spacing w:after="0"/>
              <w:rPr>
                <w:sz w:val="1"/>
                <w:szCs w:val="1"/>
                <w:color w:val="auto"/>
              </w:rPr>
            </w:pPr>
          </w:p>
        </w:tc>
      </w:tr>
      <w:tr>
        <w:trPr>
          <w:trHeight w:val="237"/>
        </w:trPr>
        <w:tc>
          <w:tcPr>
            <w:tcW w:w="34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Common stock issued</w:t>
            </w:r>
          </w:p>
        </w:tc>
        <w:tc>
          <w:tcPr>
            <w:tcW w:w="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spacing w:after="0"/>
              <w:rPr>
                <w:sz w:val="20"/>
                <w:szCs w:val="20"/>
                <w:color w:val="auto"/>
              </w:rPr>
            </w:pPr>
            <w:r>
              <w:rPr>
                <w:rFonts w:ascii="Calibri" w:cs="Calibri" w:eastAsia="Calibri" w:hAnsi="Calibri"/>
                <w:sz w:val="18"/>
                <w:szCs w:val="18"/>
                <w:color w:val="auto"/>
              </w:rPr>
              <w:t>—</w:t>
            </w:r>
          </w:p>
        </w:tc>
        <w:tc>
          <w:tcPr>
            <w:tcW w:w="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114</w:t>
            </w:r>
          </w:p>
        </w:tc>
        <w:tc>
          <w:tcPr>
            <w:tcW w:w="0" w:type="dxa"/>
            <w:vAlign w:val="bottom"/>
          </w:tcPr>
          <w:p>
            <w:pPr>
              <w:spacing w:after="0"/>
              <w:rPr>
                <w:sz w:val="1"/>
                <w:szCs w:val="1"/>
                <w:color w:val="auto"/>
              </w:rPr>
            </w:pPr>
          </w:p>
        </w:tc>
      </w:tr>
      <w:tr>
        <w:trPr>
          <w:trHeight w:val="222"/>
        </w:trPr>
        <w:tc>
          <w:tcPr>
            <w:tcW w:w="3480" w:type="dxa"/>
            <w:vAlign w:val="bottom"/>
          </w:tcPr>
          <w:p>
            <w:pPr>
              <w:ind w:left="20"/>
              <w:spacing w:after="0" w:line="215" w:lineRule="exact"/>
              <w:rPr>
                <w:sz w:val="20"/>
                <w:szCs w:val="20"/>
                <w:color w:val="auto"/>
              </w:rPr>
            </w:pPr>
            <w:r>
              <w:rPr>
                <w:rFonts w:ascii="Calibri" w:cs="Calibri" w:eastAsia="Calibri" w:hAnsi="Calibri"/>
                <w:sz w:val="18"/>
                <w:szCs w:val="18"/>
                <w:color w:val="auto"/>
              </w:rPr>
              <w:t>Stock-based compensaton</w:t>
            </w: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2"/>
          </w:tcPr>
          <w:p>
            <w:pPr>
              <w:spacing w:after="0" w:line="215" w:lineRule="exact"/>
              <w:rPr>
                <w:sz w:val="20"/>
                <w:szCs w:val="20"/>
                <w:color w:val="auto"/>
              </w:rPr>
            </w:pPr>
            <w:r>
              <w:rPr>
                <w:rFonts w:ascii="Calibri" w:cs="Calibri" w:eastAsia="Calibri" w:hAnsi="Calibri"/>
                <w:sz w:val="18"/>
                <w:szCs w:val="18"/>
                <w:color w:val="auto"/>
              </w:rPr>
              <w:t>—</w:t>
            </w:r>
          </w:p>
        </w:tc>
        <w:tc>
          <w:tcPr>
            <w:tcW w:w="6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1,533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1,533</w:t>
            </w:r>
          </w:p>
        </w:tc>
        <w:tc>
          <w:tcPr>
            <w:tcW w:w="0" w:type="dxa"/>
            <w:vAlign w:val="bottom"/>
          </w:tcPr>
          <w:p>
            <w:pPr>
              <w:spacing w:after="0"/>
              <w:rPr>
                <w:sz w:val="1"/>
                <w:szCs w:val="1"/>
                <w:color w:val="auto"/>
              </w:rPr>
            </w:pPr>
          </w:p>
        </w:tc>
      </w:tr>
      <w:tr>
        <w:trPr>
          <w:trHeight w:val="237"/>
        </w:trPr>
        <w:tc>
          <w:tcPr>
            <w:tcW w:w="34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Repurchases of common stock</w:t>
            </w:r>
          </w:p>
        </w:tc>
        <w:tc>
          <w:tcPr>
            <w:tcW w:w="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spacing w:after="0"/>
              <w:rPr>
                <w:sz w:val="20"/>
                <w:szCs w:val="20"/>
                <w:color w:val="auto"/>
              </w:rPr>
            </w:pPr>
            <w:r>
              <w:rPr>
                <w:rFonts w:ascii="Calibri" w:cs="Calibri" w:eastAsia="Calibri" w:hAnsi="Calibri"/>
                <w:sz w:val="18"/>
                <w:szCs w:val="18"/>
                <w:color w:val="auto"/>
              </w:rPr>
              <w:t>—</w:t>
            </w:r>
          </w:p>
        </w:tc>
        <w:tc>
          <w:tcPr>
            <w:tcW w:w="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(3,316)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(3,684)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(7,000)</w:t>
            </w:r>
          </w:p>
        </w:tc>
        <w:tc>
          <w:tcPr>
            <w:tcW w:w="0" w:type="dxa"/>
            <w:vAlign w:val="bottom"/>
          </w:tcPr>
          <w:p>
            <w:pPr>
              <w:spacing w:after="0"/>
              <w:rPr>
                <w:sz w:val="1"/>
                <w:szCs w:val="1"/>
                <w:color w:val="auto"/>
              </w:rPr>
            </w:pPr>
          </w:p>
        </w:tc>
      </w:tr>
      <w:tr>
        <w:trPr>
          <w:trHeight w:val="167"/>
        </w:trPr>
        <w:tc>
          <w:tcPr>
            <w:tcW w:w="3480" w:type="dxa"/>
            <w:vAlign w:val="bottom"/>
          </w:tcPr>
          <w:p>
            <w:pPr>
              <w:ind w:left="20"/>
              <w:spacing w:after="0" w:line="166" w:lineRule="exact"/>
              <w:rPr>
                <w:sz w:val="20"/>
                <w:szCs w:val="20"/>
                <w:color w:val="auto"/>
              </w:rPr>
            </w:pPr>
            <w:r>
              <w:rPr>
                <w:rFonts w:ascii="Calibri" w:cs="Calibri" w:eastAsia="Calibri" w:hAnsi="Calibri"/>
                <w:sz w:val="18"/>
                <w:szCs w:val="18"/>
                <w:color w:val="auto"/>
              </w:rPr>
              <w:t>Common stock issued in connecton with</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80" w:type="dxa"/>
            <w:vAlign w:val="bottom"/>
          </w:tcPr>
          <w:p>
            <w:pPr>
              <w:ind w:left="180"/>
              <w:spacing w:after="0" w:line="189" w:lineRule="exact"/>
              <w:rPr>
                <w:sz w:val="20"/>
                <w:szCs w:val="20"/>
                <w:color w:val="auto"/>
              </w:rPr>
            </w:pPr>
            <w:r>
              <w:rPr>
                <w:rFonts w:ascii="Calibri" w:cs="Calibri" w:eastAsia="Calibri" w:hAnsi="Calibri"/>
                <w:sz w:val="18"/>
                <w:szCs w:val="18"/>
                <w:color w:val="auto"/>
              </w:rPr>
              <w:t>Mandatory Convertble Preferred Stock</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480" w:type="dxa"/>
            <w:vAlign w:val="bottom"/>
          </w:tcPr>
          <w:p>
            <w:pPr>
              <w:ind w:left="180"/>
              <w:spacing w:after="0" w:line="215" w:lineRule="exact"/>
              <w:rPr>
                <w:sz w:val="20"/>
                <w:szCs w:val="20"/>
                <w:color w:val="auto"/>
              </w:rPr>
            </w:pPr>
            <w:r>
              <w:rPr>
                <w:rFonts w:ascii="Calibri" w:cs="Calibri" w:eastAsia="Calibri" w:hAnsi="Calibri"/>
                <w:sz w:val="18"/>
                <w:szCs w:val="18"/>
                <w:color w:val="auto"/>
              </w:rPr>
              <w:t>conversion</w:t>
            </w: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gridSpan w:val="2"/>
          </w:tcPr>
          <w:p>
            <w:pPr>
              <w:spacing w:after="0" w:line="215" w:lineRule="exact"/>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116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480" w:type="dxa"/>
            <w:vAlign w:val="bottom"/>
            <w:shd w:val="clear" w:color="auto" w:fill="CCEEFF"/>
          </w:tcPr>
          <w:p>
            <w:pPr>
              <w:ind w:left="20"/>
              <w:spacing w:after="0" w:line="166" w:lineRule="exact"/>
              <w:rPr>
                <w:sz w:val="20"/>
                <w:szCs w:val="20"/>
                <w:color w:val="auto"/>
              </w:rPr>
            </w:pPr>
            <w:r>
              <w:rPr>
                <w:rFonts w:ascii="Calibri" w:cs="Calibri" w:eastAsia="Calibri" w:hAnsi="Calibri"/>
                <w:sz w:val="18"/>
                <w:szCs w:val="18"/>
                <w:color w:val="auto"/>
              </w:rPr>
              <w:t>Shares repurchased for tax withholdings on</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480" w:type="dxa"/>
            <w:vAlign w:val="bottom"/>
            <w:tcBorders>
              <w:bottom w:val="single" w:sz="8" w:color="CCEEFF"/>
            </w:tcBorders>
            <w:shd w:val="clear" w:color="auto" w:fill="CCEEFF"/>
          </w:tcPr>
          <w:p>
            <w:pPr>
              <w:ind w:left="180"/>
              <w:spacing w:after="0" w:line="215" w:lineRule="exact"/>
              <w:rPr>
                <w:sz w:val="20"/>
                <w:szCs w:val="20"/>
                <w:color w:val="auto"/>
              </w:rPr>
            </w:pPr>
            <w:r>
              <w:rPr>
                <w:rFonts w:ascii="Calibri" w:cs="Calibri" w:eastAsia="Calibri" w:hAnsi="Calibri"/>
                <w:sz w:val="18"/>
                <w:szCs w:val="18"/>
                <w:color w:val="auto"/>
              </w:rPr>
              <w:t>vestng of equity awards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r>
              <w:rPr>
                <w:rFonts w:ascii="Calibri" w:cs="Calibri" w:eastAsia="Calibri" w:hAnsi="Calibri"/>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(1,456)</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line="199" w:lineRule="exact"/>
              <w:rPr>
                <w:sz w:val="20"/>
                <w:szCs w:val="20"/>
                <w:color w:val="auto"/>
              </w:rPr>
            </w:pPr>
            <w:r>
              <w:rPr>
                <w:rFonts w:ascii="Calibri" w:cs="Calibri" w:eastAsia="Calibri" w:hAnsi="Calibri"/>
                <w:sz w:val="18"/>
                <w:szCs w:val="18"/>
                <w:b w:val="1"/>
                <w:bCs w:val="1"/>
                <w:color w:val="auto"/>
              </w:rPr>
              <w:t>Balance as of October 30, 2022</w:t>
            </w:r>
          </w:p>
        </w:tc>
        <w:tc>
          <w:tcPr>
            <w:tcW w:w="5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5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4,179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21,155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1,604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22,709</w:t>
            </w:r>
          </w:p>
        </w:tc>
        <w:tc>
          <w:tcPr>
            <w:tcW w:w="0" w:type="dxa"/>
            <w:vAlign w:val="bottom"/>
          </w:tcPr>
          <w:p>
            <w:pPr>
              <w:spacing w:after="0"/>
              <w:rPr>
                <w:sz w:val="1"/>
                <w:szCs w:val="1"/>
                <w:color w:val="auto"/>
              </w:rPr>
            </w:pPr>
          </w:p>
        </w:tc>
      </w:tr>
      <w:tr>
        <w:trPr>
          <w:trHeight w:val="237"/>
        </w:trPr>
        <w:tc>
          <w:tcPr>
            <w:tcW w:w="34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spacing w:after="0"/>
              <w:rPr>
                <w:sz w:val="20"/>
                <w:szCs w:val="20"/>
                <w:color w:val="auto"/>
              </w:rPr>
            </w:pPr>
            <w:r>
              <w:rPr>
                <w:rFonts w:ascii="Calibri" w:cs="Calibri" w:eastAsia="Calibri" w:hAnsi="Calibri"/>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14,082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14,082</w:t>
            </w:r>
          </w:p>
        </w:tc>
        <w:tc>
          <w:tcPr>
            <w:tcW w:w="0" w:type="dxa"/>
            <w:vAlign w:val="bottom"/>
          </w:tcPr>
          <w:p>
            <w:pPr>
              <w:spacing w:after="0"/>
              <w:rPr>
                <w:sz w:val="1"/>
                <w:szCs w:val="1"/>
                <w:color w:val="auto"/>
              </w:rPr>
            </w:pPr>
          </w:p>
        </w:tc>
      </w:tr>
      <w:tr>
        <w:trPr>
          <w:trHeight w:val="222"/>
        </w:trPr>
        <w:tc>
          <w:tcPr>
            <w:tcW w:w="348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w:t>
            </w: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2"/>
          </w:tcPr>
          <w:p>
            <w:pPr>
              <w:spacing w:after="0" w:line="215" w:lineRule="exact"/>
              <w:rPr>
                <w:sz w:val="20"/>
                <w:szCs w:val="20"/>
                <w:color w:val="auto"/>
              </w:rPr>
            </w:pPr>
            <w:r>
              <w:rPr>
                <w:rFonts w:ascii="Calibri" w:cs="Calibri" w:eastAsia="Calibri" w:hAnsi="Calibri"/>
                <w:sz w:val="18"/>
                <w:szCs w:val="18"/>
                <w:color w:val="auto"/>
              </w:rPr>
              <w:t>—</w:t>
            </w:r>
          </w:p>
        </w:tc>
        <w:tc>
          <w:tcPr>
            <w:tcW w:w="6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261</w:t>
            </w:r>
          </w:p>
        </w:tc>
        <w:tc>
          <w:tcPr>
            <w:tcW w:w="0" w:type="dxa"/>
            <w:vAlign w:val="bottom"/>
          </w:tcPr>
          <w:p>
            <w:pPr>
              <w:spacing w:after="0"/>
              <w:rPr>
                <w:sz w:val="1"/>
                <w:szCs w:val="1"/>
                <w:color w:val="auto"/>
              </w:rPr>
            </w:pPr>
          </w:p>
        </w:tc>
      </w:tr>
      <w:tr>
        <w:trPr>
          <w:trHeight w:val="237"/>
        </w:trPr>
        <w:tc>
          <w:tcPr>
            <w:tcW w:w="34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Dividends to common stockholders</w:t>
            </w:r>
          </w:p>
        </w:tc>
        <w:tc>
          <w:tcPr>
            <w:tcW w:w="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spacing w:after="0"/>
              <w:rPr>
                <w:sz w:val="20"/>
                <w:szCs w:val="20"/>
                <w:color w:val="auto"/>
              </w:rPr>
            </w:pPr>
            <w:r>
              <w:rPr>
                <w:rFonts w:ascii="Calibri" w:cs="Calibri" w:eastAsia="Calibri" w:hAnsi="Calibri"/>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(7,645)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(7,645)</w:t>
            </w:r>
          </w:p>
        </w:tc>
        <w:tc>
          <w:tcPr>
            <w:tcW w:w="0" w:type="dxa"/>
            <w:vAlign w:val="bottom"/>
          </w:tcPr>
          <w:p>
            <w:pPr>
              <w:spacing w:after="0"/>
              <w:rPr>
                <w:sz w:val="1"/>
                <w:szCs w:val="1"/>
                <w:color w:val="auto"/>
              </w:rPr>
            </w:pPr>
          </w:p>
        </w:tc>
      </w:tr>
      <w:tr>
        <w:trPr>
          <w:trHeight w:val="222"/>
        </w:trPr>
        <w:tc>
          <w:tcPr>
            <w:tcW w:w="3480" w:type="dxa"/>
            <w:vAlign w:val="bottom"/>
          </w:tcPr>
          <w:p>
            <w:pPr>
              <w:ind w:left="20"/>
              <w:spacing w:after="0" w:line="215" w:lineRule="exact"/>
              <w:rPr>
                <w:sz w:val="20"/>
                <w:szCs w:val="20"/>
                <w:color w:val="auto"/>
              </w:rPr>
            </w:pPr>
            <w:r>
              <w:rPr>
                <w:rFonts w:ascii="Calibri" w:cs="Calibri" w:eastAsia="Calibri" w:hAnsi="Calibri"/>
                <w:sz w:val="18"/>
                <w:szCs w:val="18"/>
                <w:color w:val="auto"/>
              </w:rPr>
              <w:t>Common stock issued</w:t>
            </w: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2"/>
          </w:tcPr>
          <w:p>
            <w:pPr>
              <w:spacing w:after="0" w:line="215" w:lineRule="exact"/>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122</w:t>
            </w:r>
          </w:p>
        </w:tc>
        <w:tc>
          <w:tcPr>
            <w:tcW w:w="0" w:type="dxa"/>
            <w:vAlign w:val="bottom"/>
          </w:tcPr>
          <w:p>
            <w:pPr>
              <w:spacing w:after="0"/>
              <w:rPr>
                <w:sz w:val="1"/>
                <w:szCs w:val="1"/>
                <w:color w:val="auto"/>
              </w:rPr>
            </w:pPr>
          </w:p>
        </w:tc>
      </w:tr>
      <w:tr>
        <w:trPr>
          <w:trHeight w:val="237"/>
        </w:trPr>
        <w:tc>
          <w:tcPr>
            <w:tcW w:w="34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Stock-based compensaton</w:t>
            </w:r>
          </w:p>
        </w:tc>
        <w:tc>
          <w:tcPr>
            <w:tcW w:w="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spacing w:after="0"/>
              <w:rPr>
                <w:sz w:val="20"/>
                <w:szCs w:val="20"/>
                <w:color w:val="auto"/>
              </w:rPr>
            </w:pPr>
            <w:r>
              <w:rPr>
                <w:rFonts w:ascii="Calibri" w:cs="Calibri" w:eastAsia="Calibri" w:hAnsi="Calibri"/>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2,171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2,171</w:t>
            </w:r>
          </w:p>
        </w:tc>
        <w:tc>
          <w:tcPr>
            <w:tcW w:w="0" w:type="dxa"/>
            <w:vAlign w:val="bottom"/>
          </w:tcPr>
          <w:p>
            <w:pPr>
              <w:spacing w:after="0"/>
              <w:rPr>
                <w:sz w:val="1"/>
                <w:szCs w:val="1"/>
                <w:color w:val="auto"/>
              </w:rPr>
            </w:pPr>
          </w:p>
        </w:tc>
      </w:tr>
      <w:tr>
        <w:trPr>
          <w:trHeight w:val="222"/>
        </w:trPr>
        <w:tc>
          <w:tcPr>
            <w:tcW w:w="3480" w:type="dxa"/>
            <w:vAlign w:val="bottom"/>
          </w:tcPr>
          <w:p>
            <w:pPr>
              <w:ind w:left="20"/>
              <w:spacing w:after="0" w:line="215" w:lineRule="exact"/>
              <w:rPr>
                <w:sz w:val="20"/>
                <w:szCs w:val="20"/>
                <w:color w:val="auto"/>
              </w:rPr>
            </w:pPr>
            <w:r>
              <w:rPr>
                <w:rFonts w:ascii="Calibri" w:cs="Calibri" w:eastAsia="Calibri" w:hAnsi="Calibri"/>
                <w:sz w:val="18"/>
                <w:szCs w:val="18"/>
                <w:color w:val="auto"/>
              </w:rPr>
              <w:t>Repurchases of common stock</w:t>
            </w: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2"/>
          </w:tcPr>
          <w:p>
            <w:pPr>
              <w:spacing w:after="0" w:line="215" w:lineRule="exact"/>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(481)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(5,359)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(5,840)</w:t>
            </w:r>
          </w:p>
        </w:tc>
        <w:tc>
          <w:tcPr>
            <w:tcW w:w="0" w:type="dxa"/>
            <w:vAlign w:val="bottom"/>
          </w:tcPr>
          <w:p>
            <w:pPr>
              <w:spacing w:after="0"/>
              <w:rPr>
                <w:sz w:val="1"/>
                <w:szCs w:val="1"/>
                <w:color w:val="auto"/>
              </w:rPr>
            </w:pPr>
          </w:p>
        </w:tc>
      </w:tr>
      <w:tr>
        <w:trPr>
          <w:trHeight w:val="174"/>
        </w:trPr>
        <w:tc>
          <w:tcPr>
            <w:tcW w:w="3480" w:type="dxa"/>
            <w:vAlign w:val="bottom"/>
            <w:shd w:val="clear" w:color="auto" w:fill="CCEEFF"/>
          </w:tcPr>
          <w:p>
            <w:pPr>
              <w:ind w:left="20"/>
              <w:spacing w:after="0" w:line="174" w:lineRule="exact"/>
              <w:rPr>
                <w:sz w:val="20"/>
                <w:szCs w:val="20"/>
                <w:color w:val="auto"/>
              </w:rPr>
            </w:pPr>
            <w:r>
              <w:rPr>
                <w:rFonts w:ascii="Calibri" w:cs="Calibri" w:eastAsia="Calibri" w:hAnsi="Calibri"/>
                <w:sz w:val="18"/>
                <w:szCs w:val="18"/>
                <w:color w:val="auto"/>
              </w:rPr>
              <w:t>Shares repurchased for tax withholdings on</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480" w:type="dxa"/>
            <w:vAlign w:val="bottom"/>
            <w:tcBorders>
              <w:bottom w:val="single" w:sz="8" w:color="CCEEFF"/>
            </w:tcBorders>
            <w:shd w:val="clear" w:color="auto" w:fill="CCEEFF"/>
          </w:tcPr>
          <w:p>
            <w:pPr>
              <w:ind w:left="180"/>
              <w:spacing w:after="0" w:line="215" w:lineRule="exact"/>
              <w:rPr>
                <w:sz w:val="20"/>
                <w:szCs w:val="20"/>
                <w:color w:val="auto"/>
              </w:rPr>
            </w:pPr>
            <w:r>
              <w:rPr>
                <w:rFonts w:ascii="Calibri" w:cs="Calibri" w:eastAsia="Calibri" w:hAnsi="Calibri"/>
                <w:sz w:val="18"/>
                <w:szCs w:val="18"/>
                <w:color w:val="auto"/>
              </w:rPr>
              <w:t>vestng of equity awards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r>
              <w:rPr>
                <w:rFonts w:ascii="Calibri" w:cs="Calibri" w:eastAsia="Calibri" w:hAnsi="Calibri"/>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(1,872)</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line="199" w:lineRule="exact"/>
              <w:rPr>
                <w:sz w:val="20"/>
                <w:szCs w:val="20"/>
                <w:color w:val="auto"/>
              </w:rPr>
            </w:pPr>
            <w:r>
              <w:rPr>
                <w:rFonts w:ascii="Calibri" w:cs="Calibri" w:eastAsia="Calibri" w:hAnsi="Calibri"/>
                <w:sz w:val="18"/>
                <w:szCs w:val="18"/>
                <w:b w:val="1"/>
                <w:bCs w:val="1"/>
                <w:color w:val="auto"/>
              </w:rPr>
              <w:t>Balance as of October 29, 2023</w:t>
            </w:r>
          </w:p>
        </w:tc>
        <w:tc>
          <w:tcPr>
            <w:tcW w:w="5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5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4,139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21,095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2,682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23,988</w:t>
            </w:r>
          </w:p>
        </w:tc>
        <w:tc>
          <w:tcPr>
            <w:tcW w:w="0" w:type="dxa"/>
            <w:vAlign w:val="bottom"/>
          </w:tcPr>
          <w:p>
            <w:pPr>
              <w:spacing w:after="0"/>
              <w:rPr>
                <w:sz w:val="1"/>
                <w:szCs w:val="1"/>
                <w:color w:val="auto"/>
              </w:rPr>
            </w:pPr>
          </w:p>
        </w:tc>
      </w:tr>
      <w:tr>
        <w:trPr>
          <w:trHeight w:val="237"/>
        </w:trPr>
        <w:tc>
          <w:tcPr>
            <w:tcW w:w="34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spacing w:after="0"/>
              <w:rPr>
                <w:sz w:val="20"/>
                <w:szCs w:val="20"/>
                <w:color w:val="auto"/>
              </w:rPr>
            </w:pPr>
            <w:r>
              <w:rPr>
                <w:rFonts w:ascii="Calibri" w:cs="Calibri" w:eastAsia="Calibri" w:hAnsi="Calibri"/>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5,895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5,895</w:t>
            </w:r>
          </w:p>
        </w:tc>
        <w:tc>
          <w:tcPr>
            <w:tcW w:w="0" w:type="dxa"/>
            <w:vAlign w:val="bottom"/>
          </w:tcPr>
          <w:p>
            <w:pPr>
              <w:spacing w:after="0"/>
              <w:rPr>
                <w:sz w:val="1"/>
                <w:szCs w:val="1"/>
                <w:color w:val="auto"/>
              </w:rPr>
            </w:pPr>
          </w:p>
        </w:tc>
      </w:tr>
      <w:tr>
        <w:trPr>
          <w:trHeight w:val="167"/>
        </w:trPr>
        <w:tc>
          <w:tcPr>
            <w:tcW w:w="3480" w:type="dxa"/>
            <w:vAlign w:val="bottom"/>
          </w:tcPr>
          <w:p>
            <w:pPr>
              <w:ind w:left="20"/>
              <w:spacing w:after="0" w:line="166" w:lineRule="exact"/>
              <w:rPr>
                <w:sz w:val="20"/>
                <w:szCs w:val="20"/>
                <w:color w:val="auto"/>
              </w:rPr>
            </w:pPr>
            <w:r>
              <w:rPr>
                <w:rFonts w:ascii="Calibri" w:cs="Calibri" w:eastAsia="Calibri" w:hAnsi="Calibri"/>
                <w:sz w:val="18"/>
                <w:szCs w:val="18"/>
                <w:color w:val="auto"/>
              </w:rPr>
              <w:t>Issuance of common stock upon the</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480" w:type="dxa"/>
            <w:vAlign w:val="bottom"/>
          </w:tcPr>
          <w:p>
            <w:pPr>
              <w:ind w:left="20"/>
              <w:spacing w:after="0" w:line="215" w:lineRule="exact"/>
              <w:rPr>
                <w:sz w:val="20"/>
                <w:szCs w:val="20"/>
                <w:color w:val="auto"/>
              </w:rPr>
            </w:pPr>
            <w:r>
              <w:rPr>
                <w:rFonts w:ascii="Calibri" w:cs="Calibri" w:eastAsia="Calibri" w:hAnsi="Calibri"/>
                <w:sz w:val="18"/>
                <w:szCs w:val="18"/>
                <w:color w:val="auto"/>
              </w:rPr>
              <w:t>acquisiton of VMware, Inc.</w:t>
            </w:r>
          </w:p>
        </w:tc>
        <w:tc>
          <w:tcPr>
            <w:tcW w:w="5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rPr>
                <w:sz w:val="20"/>
                <w:szCs w:val="20"/>
                <w:color w:val="auto"/>
              </w:rPr>
            </w:pPr>
            <w:r>
              <w:rPr>
                <w:rFonts w:ascii="Calibri" w:cs="Calibri" w:eastAsia="Calibri" w:hAnsi="Calibri"/>
                <w:sz w:val="18"/>
                <w:szCs w:val="18"/>
                <w:color w:val="auto"/>
              </w:rPr>
              <w:t>544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53,420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53,421</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480" w:type="dxa"/>
            <w:vAlign w:val="bottom"/>
            <w:shd w:val="clear" w:color="auto" w:fill="CCEEFF"/>
          </w:tcPr>
          <w:p>
            <w:pPr>
              <w:ind w:left="20"/>
              <w:spacing w:after="0" w:line="166" w:lineRule="exact"/>
              <w:rPr>
                <w:sz w:val="20"/>
                <w:szCs w:val="20"/>
                <w:color w:val="auto"/>
              </w:rPr>
            </w:pPr>
            <w:r>
              <w:rPr>
                <w:rFonts w:ascii="Calibri" w:cs="Calibri" w:eastAsia="Calibri" w:hAnsi="Calibri"/>
                <w:sz w:val="18"/>
                <w:szCs w:val="18"/>
                <w:color w:val="auto"/>
              </w:rPr>
              <w:t>Fair value of partally vested equity awards</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ind w:left="180"/>
              <w:spacing w:after="0" w:line="189" w:lineRule="exact"/>
              <w:rPr>
                <w:sz w:val="20"/>
                <w:szCs w:val="20"/>
                <w:color w:val="auto"/>
              </w:rPr>
            </w:pPr>
            <w:r>
              <w:rPr>
                <w:rFonts w:ascii="Calibri" w:cs="Calibri" w:eastAsia="Calibri" w:hAnsi="Calibri"/>
                <w:sz w:val="18"/>
                <w:szCs w:val="18"/>
                <w:color w:val="auto"/>
              </w:rPr>
              <w:t>assumed in connecton with the acquisiton</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480" w:type="dxa"/>
            <w:vAlign w:val="bottom"/>
            <w:tcBorders>
              <w:bottom w:val="single" w:sz="8" w:color="CCEEFF"/>
            </w:tcBorders>
            <w:shd w:val="clear" w:color="auto" w:fill="CCEEFF"/>
          </w:tcPr>
          <w:p>
            <w:pPr>
              <w:ind w:left="180"/>
              <w:spacing w:after="0" w:line="215" w:lineRule="exact"/>
              <w:rPr>
                <w:sz w:val="20"/>
                <w:szCs w:val="20"/>
                <w:color w:val="auto"/>
              </w:rPr>
            </w:pPr>
            <w:r>
              <w:rPr>
                <w:rFonts w:ascii="Calibri" w:cs="Calibri" w:eastAsia="Calibri" w:hAnsi="Calibri"/>
                <w:sz w:val="18"/>
                <w:szCs w:val="18"/>
                <w:color w:val="auto"/>
              </w:rPr>
              <w:t>of VMware, Inc.</w:t>
            </w:r>
          </w:p>
        </w:tc>
        <w:tc>
          <w:tcPr>
            <w:tcW w:w="5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Borders>
              <w:bottom w:val="single" w:sz="8" w:color="CCEEFF"/>
            </w:tcBorders>
            <w:gridSpan w:val="2"/>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750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750</w:t>
            </w:r>
          </w:p>
        </w:tc>
        <w:tc>
          <w:tcPr>
            <w:tcW w:w="0" w:type="dxa"/>
            <w:vAlign w:val="bottom"/>
          </w:tcPr>
          <w:p>
            <w:pPr>
              <w:spacing w:after="0"/>
              <w:rPr>
                <w:sz w:val="1"/>
                <w:szCs w:val="1"/>
                <w:color w:val="auto"/>
              </w:rPr>
            </w:pPr>
          </w:p>
        </w:tc>
      </w:tr>
      <w:tr>
        <w:trPr>
          <w:trHeight w:val="222"/>
        </w:trPr>
        <w:tc>
          <w:tcPr>
            <w:tcW w:w="3480" w:type="dxa"/>
            <w:vAlign w:val="bottom"/>
          </w:tcPr>
          <w:p>
            <w:pPr>
              <w:ind w:left="20"/>
              <w:spacing w:after="0" w:line="215" w:lineRule="exact"/>
              <w:rPr>
                <w:sz w:val="20"/>
                <w:szCs w:val="20"/>
                <w:color w:val="auto"/>
              </w:rPr>
            </w:pPr>
            <w:r>
              <w:rPr>
                <w:rFonts w:ascii="Calibri" w:cs="Calibri" w:eastAsia="Calibri" w:hAnsi="Calibri"/>
                <w:sz w:val="18"/>
                <w:szCs w:val="18"/>
                <w:color w:val="auto"/>
              </w:rPr>
              <w:t>Dividends to common stockholders</w:t>
            </w: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2"/>
          </w:tcPr>
          <w:p>
            <w:pPr>
              <w:spacing w:after="0" w:line="215" w:lineRule="exact"/>
              <w:rPr>
                <w:sz w:val="20"/>
                <w:szCs w:val="20"/>
                <w:color w:val="auto"/>
              </w:rPr>
            </w:pPr>
            <w:r>
              <w:rPr>
                <w:rFonts w:ascii="Calibri" w:cs="Calibri" w:eastAsia="Calibri" w:hAnsi="Calibri"/>
                <w:sz w:val="18"/>
                <w:szCs w:val="18"/>
                <w:color w:val="auto"/>
              </w:rPr>
              <w:t>—</w:t>
            </w:r>
          </w:p>
        </w:tc>
        <w:tc>
          <w:tcPr>
            <w:tcW w:w="6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(2,809)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(7,005)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(9,814)</w:t>
            </w:r>
          </w:p>
        </w:tc>
        <w:tc>
          <w:tcPr>
            <w:tcW w:w="0" w:type="dxa"/>
            <w:vAlign w:val="bottom"/>
          </w:tcPr>
          <w:p>
            <w:pPr>
              <w:spacing w:after="0"/>
              <w:rPr>
                <w:sz w:val="1"/>
                <w:szCs w:val="1"/>
                <w:color w:val="auto"/>
              </w:rPr>
            </w:pPr>
          </w:p>
        </w:tc>
      </w:tr>
      <w:tr>
        <w:trPr>
          <w:trHeight w:val="237"/>
        </w:trPr>
        <w:tc>
          <w:tcPr>
            <w:tcW w:w="34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Common stock issued</w:t>
            </w:r>
          </w:p>
        </w:tc>
        <w:tc>
          <w:tcPr>
            <w:tcW w:w="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spacing w:after="0"/>
              <w:rPr>
                <w:sz w:val="20"/>
                <w:szCs w:val="20"/>
                <w:color w:val="auto"/>
              </w:rPr>
            </w:pPr>
            <w:r>
              <w:rPr>
                <w:rFonts w:ascii="Calibri" w:cs="Calibri" w:eastAsia="Calibri" w:hAnsi="Calibri"/>
                <w:sz w:val="18"/>
                <w:szCs w:val="18"/>
                <w:color w:val="auto"/>
              </w:rPr>
              <w:t>—</w:t>
            </w:r>
          </w:p>
        </w:tc>
        <w:tc>
          <w:tcPr>
            <w:tcW w:w="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190</w:t>
            </w:r>
          </w:p>
        </w:tc>
        <w:tc>
          <w:tcPr>
            <w:tcW w:w="0" w:type="dxa"/>
            <w:vAlign w:val="bottom"/>
          </w:tcPr>
          <w:p>
            <w:pPr>
              <w:spacing w:after="0"/>
              <w:rPr>
                <w:sz w:val="1"/>
                <w:szCs w:val="1"/>
                <w:color w:val="auto"/>
              </w:rPr>
            </w:pPr>
          </w:p>
        </w:tc>
      </w:tr>
      <w:tr>
        <w:trPr>
          <w:trHeight w:val="222"/>
        </w:trPr>
        <w:tc>
          <w:tcPr>
            <w:tcW w:w="3480" w:type="dxa"/>
            <w:vAlign w:val="bottom"/>
          </w:tcPr>
          <w:p>
            <w:pPr>
              <w:ind w:left="20"/>
              <w:spacing w:after="0" w:line="215" w:lineRule="exact"/>
              <w:rPr>
                <w:sz w:val="20"/>
                <w:szCs w:val="20"/>
                <w:color w:val="auto"/>
              </w:rPr>
            </w:pPr>
            <w:r>
              <w:rPr>
                <w:rFonts w:ascii="Calibri" w:cs="Calibri" w:eastAsia="Calibri" w:hAnsi="Calibri"/>
                <w:sz w:val="18"/>
                <w:szCs w:val="18"/>
                <w:color w:val="auto"/>
              </w:rPr>
              <w:t>Stock-based compensaton</w:t>
            </w: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2"/>
          </w:tcPr>
          <w:p>
            <w:pPr>
              <w:spacing w:after="0" w:line="215" w:lineRule="exact"/>
              <w:rPr>
                <w:sz w:val="20"/>
                <w:szCs w:val="20"/>
                <w:color w:val="auto"/>
              </w:rPr>
            </w:pPr>
            <w:r>
              <w:rPr>
                <w:rFonts w:ascii="Calibri" w:cs="Calibri" w:eastAsia="Calibri" w:hAnsi="Calibri"/>
                <w:sz w:val="18"/>
                <w:szCs w:val="18"/>
                <w:color w:val="auto"/>
              </w:rPr>
              <w:t>—</w:t>
            </w:r>
          </w:p>
        </w:tc>
        <w:tc>
          <w:tcPr>
            <w:tcW w:w="6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5,747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5,747</w:t>
            </w:r>
          </w:p>
        </w:tc>
        <w:tc>
          <w:tcPr>
            <w:tcW w:w="0" w:type="dxa"/>
            <w:vAlign w:val="bottom"/>
          </w:tcPr>
          <w:p>
            <w:pPr>
              <w:spacing w:after="0"/>
              <w:rPr>
                <w:sz w:val="1"/>
                <w:szCs w:val="1"/>
                <w:color w:val="auto"/>
              </w:rPr>
            </w:pPr>
          </w:p>
        </w:tc>
      </w:tr>
      <w:tr>
        <w:trPr>
          <w:trHeight w:val="237"/>
        </w:trPr>
        <w:tc>
          <w:tcPr>
            <w:tcW w:w="34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Repurchases of common stock</w:t>
            </w:r>
          </w:p>
        </w:tc>
        <w:tc>
          <w:tcPr>
            <w:tcW w:w="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spacing w:after="0"/>
              <w:rPr>
                <w:sz w:val="20"/>
                <w:szCs w:val="20"/>
                <w:color w:val="auto"/>
              </w:rPr>
            </w:pPr>
            <w:r>
              <w:rPr>
                <w:rFonts w:ascii="Calibri" w:cs="Calibri" w:eastAsia="Calibri" w:hAnsi="Calibri"/>
                <w:sz w:val="18"/>
                <w:szCs w:val="18"/>
                <w:color w:val="auto"/>
              </w:rPr>
              <w:t>—</w:t>
            </w:r>
          </w:p>
        </w:tc>
        <w:tc>
          <w:tcPr>
            <w:tcW w:w="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(5,604)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(7,176)</w:t>
            </w:r>
          </w:p>
        </w:tc>
        <w:tc>
          <w:tcPr>
            <w:tcW w:w="0" w:type="dxa"/>
            <w:vAlign w:val="bottom"/>
          </w:tcPr>
          <w:p>
            <w:pPr>
              <w:spacing w:after="0"/>
              <w:rPr>
                <w:sz w:val="1"/>
                <w:szCs w:val="1"/>
                <w:color w:val="auto"/>
              </w:rPr>
            </w:pPr>
          </w:p>
        </w:tc>
      </w:tr>
      <w:tr>
        <w:trPr>
          <w:trHeight w:val="167"/>
        </w:trPr>
        <w:tc>
          <w:tcPr>
            <w:tcW w:w="3480" w:type="dxa"/>
            <w:vAlign w:val="bottom"/>
          </w:tcPr>
          <w:p>
            <w:pPr>
              <w:ind w:left="20"/>
              <w:spacing w:after="0" w:line="166" w:lineRule="exact"/>
              <w:rPr>
                <w:sz w:val="20"/>
                <w:szCs w:val="20"/>
                <w:color w:val="auto"/>
              </w:rPr>
            </w:pPr>
            <w:r>
              <w:rPr>
                <w:rFonts w:ascii="Calibri" w:cs="Calibri" w:eastAsia="Calibri" w:hAnsi="Calibri"/>
                <w:sz w:val="18"/>
                <w:szCs w:val="18"/>
                <w:color w:val="auto"/>
              </w:rPr>
              <w:t>Shares repurchased for tax withholdings on</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480" w:type="dxa"/>
            <w:vAlign w:val="bottom"/>
          </w:tcPr>
          <w:p>
            <w:pPr>
              <w:ind w:left="180"/>
              <w:spacing w:after="0" w:line="215" w:lineRule="exact"/>
              <w:rPr>
                <w:sz w:val="20"/>
                <w:szCs w:val="20"/>
                <w:color w:val="auto"/>
              </w:rPr>
            </w:pPr>
            <w:r>
              <w:rPr>
                <w:rFonts w:ascii="Calibri" w:cs="Calibri" w:eastAsia="Calibri" w:hAnsi="Calibri"/>
                <w:sz w:val="18"/>
                <w:szCs w:val="18"/>
                <w:color w:val="auto"/>
              </w:rPr>
              <w:t>vestng of equity awards</w:t>
            </w:r>
          </w:p>
        </w:tc>
        <w:tc>
          <w:tcPr>
            <w:tcW w:w="5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rPr>
                <w:sz w:val="20"/>
                <w:szCs w:val="20"/>
                <w:color w:val="auto"/>
              </w:rPr>
            </w:pPr>
            <w:r>
              <w:rPr>
                <w:rFonts w:ascii="Calibri" w:cs="Calibri" w:eastAsia="Calibri" w:hAnsi="Calibri"/>
                <w:sz w:val="18"/>
                <w:szCs w:val="18"/>
                <w:color w:val="auto"/>
              </w:rPr>
              <w:t>(38)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(5,323)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(5,323)</w:t>
            </w:r>
          </w:p>
        </w:tc>
        <w:tc>
          <w:tcPr>
            <w:tcW w:w="0" w:type="dxa"/>
            <w:vAlign w:val="bottom"/>
          </w:tcPr>
          <w:p>
            <w:pPr>
              <w:spacing w:after="0"/>
              <w:rPr>
                <w:sz w:val="1"/>
                <w:szCs w:val="1"/>
                <w:color w:val="auto"/>
              </w:rPr>
            </w:pPr>
          </w:p>
        </w:tc>
      </w:tr>
      <w:tr>
        <w:trPr>
          <w:trHeight w:val="23"/>
        </w:trPr>
        <w:tc>
          <w:tcPr>
            <w:tcW w:w="34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b w:val="1"/>
                <w:bCs w:val="1"/>
                <w:color w:val="auto"/>
              </w:rPr>
              <w:t>Balance as of November 3, 2024</w:t>
            </w:r>
          </w:p>
        </w:tc>
        <w:tc>
          <w:tcPr>
            <w:tcW w:w="5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center"/>
              <w:ind w:right="399"/>
              <w:spacing w:after="0" w:line="215" w:lineRule="exact"/>
              <w:rPr>
                <w:sz w:val="20"/>
                <w:szCs w:val="20"/>
                <w:color w:val="auto"/>
              </w:rPr>
            </w:pPr>
            <w:r>
              <w:rPr>
                <w:rFonts w:ascii="Calibri" w:cs="Calibri" w:eastAsia="Calibri" w:hAnsi="Calibri"/>
                <w:sz w:val="18"/>
                <w:szCs w:val="18"/>
                <w:color w:val="auto"/>
                <w:w w:val="87"/>
              </w:rPr>
              <w:t>$</w:t>
            </w:r>
          </w:p>
        </w:tc>
        <w:tc>
          <w:tcPr>
            <w:tcW w:w="220" w:type="dxa"/>
            <w:vAlign w:val="bottom"/>
            <w:tcBorders>
              <w:bottom w:val="single" w:sz="8" w:color="auto"/>
            </w:tcBorders>
            <w:shd w:val="clear" w:color="auto" w:fill="CCEEFF"/>
          </w:tcPr>
          <w:p>
            <w:pPr>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4,686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center"/>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67,466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67,678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34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7" w:name="page58"/>
    <w:bookmarkEnd w:id="5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BROADCOM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CONSOLIDATED FINANCIAL STATEMENTS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 Overview and Basis of Presentaton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Overview</w:t>
      </w:r>
    </w:p>
    <w:p>
      <w:pPr>
        <w:spacing w:after="0" w:line="109" w:lineRule="exact"/>
        <w:rPr>
          <w:sz w:val="20"/>
          <w:szCs w:val="20"/>
          <w:color w:val="auto"/>
        </w:rPr>
      </w:pPr>
    </w:p>
    <w:p>
      <w:pPr>
        <w:ind w:firstLine="405"/>
        <w:spacing w:after="0" w:line="250" w:lineRule="auto"/>
        <w:rPr>
          <w:sz w:val="20"/>
          <w:szCs w:val="20"/>
          <w:color w:val="auto"/>
        </w:rPr>
      </w:pPr>
      <w:r>
        <w:rPr>
          <w:rFonts w:ascii="Calibri" w:cs="Calibri" w:eastAsia="Calibri" w:hAnsi="Calibri"/>
          <w:sz w:val="17"/>
          <w:szCs w:val="17"/>
          <w:color w:val="auto"/>
        </w:rPr>
        <w:t>Broadcom Inc. (“Broadcom”), a Delaware corporaton, is a global technology leader that designs, develops and supplies a broad range of semiconductor and infrastructure sofware solutons. We develop semiconductor devices with a focus on complex digital and mixed signal complementary metal oxide semiconductor based devices and analog III-V based products. We ofer thousands of products that are used in end products such as enterprise and data center networking, including artfcial intelligence (“AI”) networking and connectvity, home connectvity, set-top boxes, broadband access, telecommunicaton equipment, smartphones and base statons, data center servers and storage systems, factory automaton, power generaton and alternatve energy systems, and electronic displays. Our infrastructure sofware solutons help enterprises simplify their informaton technology (“IT”) environments so they can increase business velocity and fexibility, and enable customers to plan, develop, deliver, automate, manage and secure applicatons across mainframe, distributed, edge, mobile, and private and hybrid cloud platorms. Our portolio of infrastructure and security sofware is designed to modernize, optmize, and secure the most complex private and hybrid cloud environments, enabling scalability, agility, automaton, insights, resiliency and security making it easy for customers to run their mission-critcal workloads. We also ofer mission-critcal fbre channel storage area networking (“FC SAN”) products and related sofware in the form of modules, switches and subsystems incorporatng multple semiconductor products. Unless stated otherwise or the context otherwise requires, references to “Broadcom,” “we,” “our,” and “us” mean Broadcom and its consolidated subsidiaries. We have two reportable segments: semiconductor solutons and infrastructure sofware. See Note 13. “Segment Informaton” for additonal informaton.</w:t>
      </w:r>
    </w:p>
    <w:p>
      <w:pPr>
        <w:spacing w:after="0" w:line="106"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color w:val="auto"/>
        </w:rPr>
        <w:t>On November 22, 2023, we completed the acquisiton of VMware, Inc. (“VMware”) in a cash-and-stock transacton (the “VMware Merger”). The VMware stockholders received approximately $30,788 million in cash and 544 million shares of Broadcom common stock (on a split adjusted basis) with a fair value of $53,398 million. VMware was a leading provider of mult-cloud services for all applicatons, enabling digital innovaton with enterprise control. We acquired VMware to enhance our infrastructure sofware capabilites. The accompanying consolidated fnancial statements include the results of operatons of VMware commencing on November 22, 2023. See Note 4. “Acquisitons” for additonal informaton.</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Basis of Presentaton</w:t>
      </w:r>
    </w:p>
    <w:p>
      <w:pPr>
        <w:spacing w:after="0" w:line="109" w:lineRule="exact"/>
        <w:rPr>
          <w:sz w:val="20"/>
          <w:szCs w:val="20"/>
          <w:color w:val="auto"/>
        </w:rPr>
      </w:pPr>
    </w:p>
    <w:p>
      <w:pPr>
        <w:ind w:right="160" w:firstLine="405"/>
        <w:spacing w:after="0" w:line="235" w:lineRule="auto"/>
        <w:rPr>
          <w:sz w:val="20"/>
          <w:szCs w:val="20"/>
          <w:color w:val="auto"/>
        </w:rPr>
      </w:pPr>
      <w:r>
        <w:rPr>
          <w:rFonts w:ascii="Calibri" w:cs="Calibri" w:eastAsia="Calibri" w:hAnsi="Calibri"/>
          <w:sz w:val="18"/>
          <w:szCs w:val="18"/>
          <w:color w:val="auto"/>
        </w:rPr>
        <w:t>We operate on a 52- or 53-week fscal year ending on the Sunday closest to October 31. Our fscal year ended November 3, 2024 (“fscal year 2024”) was a 53-week fscal year, with the frst fscal quarter containing 14 weeks. Our fscal year ended October 29, 2023 (“fscal year 2023”) and fscal year ended October 30, 2022 (“fscal year 2022”) were both 52-week fscal years.</w:t>
      </w:r>
    </w:p>
    <w:p>
      <w:pPr>
        <w:spacing w:after="0" w:line="111" w:lineRule="exact"/>
        <w:rPr>
          <w:sz w:val="20"/>
          <w:szCs w:val="20"/>
          <w:color w:val="auto"/>
        </w:rPr>
      </w:pPr>
    </w:p>
    <w:p>
      <w:pPr>
        <w:ind w:right="40" w:firstLine="405"/>
        <w:spacing w:after="0" w:line="258" w:lineRule="auto"/>
        <w:rPr>
          <w:sz w:val="20"/>
          <w:szCs w:val="20"/>
          <w:color w:val="auto"/>
        </w:rPr>
      </w:pPr>
      <w:r>
        <w:rPr>
          <w:rFonts w:ascii="Calibri" w:cs="Calibri" w:eastAsia="Calibri" w:hAnsi="Calibri"/>
          <w:sz w:val="17"/>
          <w:szCs w:val="17"/>
          <w:color w:val="auto"/>
        </w:rPr>
        <w:t>The accompanying consolidated fnancial statements include the accounts of Broadcom and its subsidiaries and have been prepared in accordance with generally accepted accountng principles in the United States (“GAAP”). All intercompany balances and transactons have been eliminated in consolidaton.</w:t>
      </w:r>
    </w:p>
    <w:p>
      <w:pPr>
        <w:spacing w:after="0" w:line="94" w:lineRule="exact"/>
        <w:rPr>
          <w:sz w:val="20"/>
          <w:szCs w:val="20"/>
          <w:color w:val="auto"/>
        </w:rPr>
      </w:pPr>
    </w:p>
    <w:p>
      <w:pPr>
        <w:ind w:right="240" w:firstLine="405"/>
        <w:spacing w:after="0" w:line="252" w:lineRule="auto"/>
        <w:rPr>
          <w:sz w:val="20"/>
          <w:szCs w:val="20"/>
          <w:color w:val="auto"/>
        </w:rPr>
      </w:pPr>
      <w:r>
        <w:rPr>
          <w:rFonts w:ascii="Calibri" w:cs="Calibri" w:eastAsia="Calibri" w:hAnsi="Calibri"/>
          <w:sz w:val="17"/>
          <w:szCs w:val="17"/>
          <w:color w:val="auto"/>
        </w:rPr>
        <w:t>On July 12, 2024, we completed a ten-for-one forward stock split of our common stock through the fling of an amendment (“Amendment”) to our Amended and Restated Certfcate of Incorporaton. The Amendment proportonately increased the number of shares of our authorized common stock without changing the par value of $0.001 per share. All share, equity award and per share amounts and related stockholders’ equity balances presented in the accompanying consolidated fnancial statements and notes thereto have been retroactvely adjusted, where applicable, to refect the stock split.</w:t>
      </w:r>
    </w:p>
    <w:p>
      <w:pPr>
        <w:spacing w:after="0" w:line="9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 Summary of Signifcant Accountng Policies</w:t>
      </w:r>
    </w:p>
    <w:p>
      <w:pPr>
        <w:spacing w:after="0" w:line="109" w:lineRule="exact"/>
        <w:rPr>
          <w:sz w:val="20"/>
          <w:szCs w:val="20"/>
          <w:color w:val="auto"/>
        </w:rPr>
      </w:pPr>
    </w:p>
    <w:p>
      <w:pPr>
        <w:ind w:right="360" w:firstLine="405"/>
        <w:spacing w:after="0" w:line="254" w:lineRule="auto"/>
        <w:rPr>
          <w:sz w:val="20"/>
          <w:szCs w:val="20"/>
          <w:color w:val="auto"/>
        </w:rPr>
      </w:pPr>
      <w:r>
        <w:rPr>
          <w:rFonts w:ascii="Calibri" w:cs="Calibri" w:eastAsia="Calibri" w:hAnsi="Calibri"/>
          <w:sz w:val="17"/>
          <w:szCs w:val="17"/>
          <w:i w:val="1"/>
          <w:iCs w:val="1"/>
          <w:color w:val="auto"/>
        </w:rPr>
        <w:t xml:space="preserve">Foreign currency remeasurement. </w:t>
      </w:r>
      <w:r>
        <w:rPr>
          <w:rFonts w:ascii="Calibri" w:cs="Calibri" w:eastAsia="Calibri" w:hAnsi="Calibri"/>
          <w:sz w:val="17"/>
          <w:szCs w:val="17"/>
          <w:color w:val="auto"/>
        </w:rPr>
        <w:t>We operate in a U.S. dollar functonal currency environment. Foreign currency assets and liabilites for monetary</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accounts are remeasured into U.S. dollars at current exchange rates. Non-monetary items such as inventory and property, plant and equipment, are measured and recorded at historical exchange rates. The efects of foreign currency remeasurement were not material for any period presented.</w:t>
      </w:r>
    </w:p>
    <w:p>
      <w:pPr>
        <w:spacing w:after="0" w:line="97" w:lineRule="exact"/>
        <w:rPr>
          <w:sz w:val="20"/>
          <w:szCs w:val="20"/>
          <w:color w:val="auto"/>
        </w:rPr>
      </w:pPr>
    </w:p>
    <w:p>
      <w:pPr>
        <w:ind w:right="40" w:firstLine="405"/>
        <w:spacing w:after="0" w:line="235" w:lineRule="auto"/>
        <w:rPr>
          <w:sz w:val="20"/>
          <w:szCs w:val="20"/>
          <w:color w:val="auto"/>
        </w:rPr>
      </w:pPr>
      <w:r>
        <w:rPr>
          <w:rFonts w:ascii="Calibri" w:cs="Calibri" w:eastAsia="Calibri" w:hAnsi="Calibri"/>
          <w:sz w:val="18"/>
          <w:szCs w:val="18"/>
          <w:i w:val="1"/>
          <w:iCs w:val="1"/>
          <w:color w:val="auto"/>
        </w:rPr>
        <w:t xml:space="preserve">Use of estmates. </w:t>
      </w:r>
      <w:r>
        <w:rPr>
          <w:rFonts w:ascii="Calibri" w:cs="Calibri" w:eastAsia="Calibri" w:hAnsi="Calibri"/>
          <w:sz w:val="18"/>
          <w:szCs w:val="18"/>
          <w:color w:val="auto"/>
        </w:rPr>
        <w:t>The preparaton of fnancial statements in conformity with GAAP requires management to make estmates and assumptons that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afect the reported amounts of assets and liabilites and disclosure of contngent assets and liabilites at the date of the fnancial statements and the reported amounts of revenues and expenses during the reportng period. Actual results could difer materially from these estmates, and such diferences could afect the results of operatons reported in future periods.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8" w:name="page59"/>
    <w:bookmarkEnd w:id="5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i w:val="1"/>
          <w:iCs w:val="1"/>
          <w:color w:val="auto"/>
        </w:rPr>
        <w:t xml:space="preserve">Cash and cash equivalents. </w:t>
      </w:r>
      <w:r>
        <w:rPr>
          <w:rFonts w:ascii="Calibri" w:cs="Calibri" w:eastAsia="Calibri" w:hAnsi="Calibri"/>
          <w:sz w:val="18"/>
          <w:szCs w:val="18"/>
          <w:color w:val="auto"/>
        </w:rPr>
        <w:t>We consider all highly liquid investment securites with original maturites of three months or less at the date of purchase to</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be cash equivalents. We determine the appropriate classifcaton of our cash and cash equivalents at the tme of purchase.</w:t>
      </w:r>
    </w:p>
    <w:p>
      <w:pPr>
        <w:spacing w:after="0" w:line="110"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i w:val="1"/>
          <w:iCs w:val="1"/>
          <w:color w:val="auto"/>
        </w:rPr>
        <w:t xml:space="preserve">Trade accounts receivable, net. </w:t>
      </w:r>
      <w:r>
        <w:rPr>
          <w:rFonts w:ascii="Calibri" w:cs="Calibri" w:eastAsia="Calibri" w:hAnsi="Calibri"/>
          <w:sz w:val="18"/>
          <w:szCs w:val="18"/>
          <w:color w:val="auto"/>
        </w:rPr>
        <w:t>Trade accounts receivable are recognized at the invoiced amount and do not bear interest. Accounts receivable are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reduced by an allowance for doubtul accounts, which is our best estmate of the expected credit losses in our existng accounts receivable. We determine the allowance based on historical experience and current economic conditons, among other factors. Allowances for doubtul accounts were not material as of November 3, 2024 or October 29, 2023. Accounts receivable are also recognized net of sales returns and distributor credit allowances. These amounts are recognized when it is both probable and estmable that discounts will be granted or products will be returned. Allowances for sales returns and distributor credit allowances as of November 3, 2024 and October 29, 2023 were $101 million and $137 million, respectvely.</w:t>
      </w:r>
    </w:p>
    <w:p>
      <w:pPr>
        <w:spacing w:after="0" w:line="113"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i w:val="1"/>
          <w:iCs w:val="1"/>
          <w:color w:val="auto"/>
        </w:rPr>
        <w:t xml:space="preserve">Concentratons of credit risk and signifcant customers. </w:t>
      </w:r>
      <w:r>
        <w:rPr>
          <w:rFonts w:ascii="Calibri" w:cs="Calibri" w:eastAsia="Calibri" w:hAnsi="Calibri"/>
          <w:sz w:val="18"/>
          <w:szCs w:val="18"/>
          <w:color w:val="auto"/>
        </w:rPr>
        <w:t>Our cash, cash equivalents and accounts receivable are potentally subject to concentraton of</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credit risk. Cash and cash equivalents may be redeemable upon demand and are maintained with fnancial insttutons that management believes are of high credit quality and therefore bear minimal credit risk. We seek to mitgate our credit risks by spreading such risks across multple counterpartes and monitoring the risk profle of these counterpartes. Our accounts receivable are derived from revenue earned from customers located both within and outside the U.S. We mitgate collecton risks from our customers by performing regular credit evaluatons of our customers’ fnancial conditons, and require collateral, such as leters of credit and bank guarantees, in certain circumstances.</w:t>
      </w:r>
    </w:p>
    <w:p>
      <w:pPr>
        <w:spacing w:after="0" w:line="113"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i w:val="1"/>
          <w:iCs w:val="1"/>
          <w:color w:val="auto"/>
        </w:rPr>
        <w:t xml:space="preserve">Concentraton of other risks. </w:t>
      </w:r>
      <w:r>
        <w:rPr>
          <w:rFonts w:ascii="Calibri" w:cs="Calibri" w:eastAsia="Calibri" w:hAnsi="Calibri"/>
          <w:sz w:val="18"/>
          <w:szCs w:val="18"/>
          <w:color w:val="auto"/>
        </w:rPr>
        <w:t>We operate in markets that are highly compettve and rapidly changing. Signifcant technological changes, shifing</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customer needs, the emergence of compettve products with new capabilites, general economic conditons worldwide, the ability to safeguard patents and other intellectual property (“IP”) in a rapidly evolving market and reliance on third-party wafer fabricators, assembly and test subcontractors and independent distributors and other factors could afect our fnancial results.</w:t>
      </w:r>
    </w:p>
    <w:p>
      <w:pPr>
        <w:spacing w:after="0" w:line="111"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i w:val="1"/>
          <w:iCs w:val="1"/>
          <w:color w:val="auto"/>
        </w:rPr>
        <w:t xml:space="preserve">Inventory. </w:t>
      </w:r>
      <w:r>
        <w:rPr>
          <w:rFonts w:ascii="Calibri" w:cs="Calibri" w:eastAsia="Calibri" w:hAnsi="Calibri"/>
          <w:sz w:val="18"/>
          <w:szCs w:val="18"/>
          <w:color w:val="auto"/>
        </w:rPr>
        <w:t>We value our inventory at the lower of actual cost or net realizable value of the inventory, with cost being determined under the frst-in, frst-out method. We record a provision for excess and obsolete inventory based primarily on our forecast of product demand and producton requirements. The excess and obsolete balance determined by this analysis becomes the basis for our excess and obsolete inventory charge and the writen-down value of the inventory becomes its new cost basis.</w:t>
      </w:r>
    </w:p>
    <w:p>
      <w:pPr>
        <w:spacing w:after="0" w:line="111" w:lineRule="exact"/>
        <w:rPr>
          <w:sz w:val="20"/>
          <w:szCs w:val="20"/>
          <w:color w:val="auto"/>
        </w:rPr>
      </w:pPr>
    </w:p>
    <w:p>
      <w:pPr>
        <w:ind w:right="200" w:firstLine="405"/>
        <w:spacing w:after="0" w:line="235" w:lineRule="auto"/>
        <w:rPr>
          <w:sz w:val="20"/>
          <w:szCs w:val="20"/>
          <w:color w:val="auto"/>
        </w:rPr>
      </w:pPr>
      <w:r>
        <w:rPr>
          <w:rFonts w:ascii="Calibri" w:cs="Calibri" w:eastAsia="Calibri" w:hAnsi="Calibri"/>
          <w:sz w:val="18"/>
          <w:szCs w:val="18"/>
          <w:i w:val="1"/>
          <w:iCs w:val="1"/>
          <w:color w:val="auto"/>
        </w:rPr>
        <w:t xml:space="preserve">Retrement beneft plans. </w:t>
      </w:r>
      <w:r>
        <w:rPr>
          <w:rFonts w:ascii="Calibri" w:cs="Calibri" w:eastAsia="Calibri" w:hAnsi="Calibri"/>
          <w:sz w:val="18"/>
          <w:szCs w:val="18"/>
          <w:color w:val="auto"/>
        </w:rPr>
        <w:t>For defned beneft pension plans, we consider various factors in determining our respectve beneft obligatons and net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periodic beneft cost, including the number of employees that we expect to receive benefts, their salary levels and years of service, the expected return on plan assets, the discount rate, the tming of the payment of benefts, and other actuarial assumptons. If the actual results and events of the beneft plans difer from our current assumptons, the beneft obligatons may be over- or under-valued.</w:t>
      </w:r>
    </w:p>
    <w:p>
      <w:pPr>
        <w:spacing w:after="0" w:line="111" w:lineRule="exact"/>
        <w:rPr>
          <w:sz w:val="20"/>
          <w:szCs w:val="20"/>
          <w:color w:val="auto"/>
        </w:rPr>
      </w:pPr>
    </w:p>
    <w:p>
      <w:pPr>
        <w:ind w:right="180" w:firstLine="405"/>
        <w:spacing w:after="0" w:line="235" w:lineRule="auto"/>
        <w:rPr>
          <w:sz w:val="20"/>
          <w:szCs w:val="20"/>
          <w:color w:val="auto"/>
        </w:rPr>
      </w:pPr>
      <w:r>
        <w:rPr>
          <w:rFonts w:ascii="Calibri" w:cs="Calibri" w:eastAsia="Calibri" w:hAnsi="Calibri"/>
          <w:sz w:val="18"/>
          <w:szCs w:val="18"/>
          <w:color w:val="auto"/>
        </w:rPr>
        <w:t>The key assumptons are the discount rate and the expected rate of return on plan assets. The U.S. discount rates are based on a hypothetcal yield curve constructed using high-quality corporate bonds selected to yield cash fows that match the expected tming and amount of the beneft payments. The U.S. expected rate of return on plan assets is set equal to the discount rate due to the implementaton of our fully-matched, liability-driven investment strategy. We evaluate these assumptons at least annually. For the non-U.S. plans, we set assumptons specifc to each country. We have elected to measure defned beneft pension plan assets and liabilites as of October 31, which is the month end that is closest to our fscal year end.</w:t>
      </w:r>
    </w:p>
    <w:p>
      <w:pPr>
        <w:spacing w:after="0" w:line="112" w:lineRule="exact"/>
        <w:rPr>
          <w:sz w:val="20"/>
          <w:szCs w:val="20"/>
          <w:color w:val="auto"/>
        </w:rPr>
      </w:pPr>
    </w:p>
    <w:p>
      <w:pPr>
        <w:ind w:right="460" w:firstLine="405"/>
        <w:spacing w:after="0" w:line="235" w:lineRule="auto"/>
        <w:rPr>
          <w:sz w:val="20"/>
          <w:szCs w:val="20"/>
          <w:color w:val="auto"/>
        </w:rPr>
      </w:pPr>
      <w:r>
        <w:rPr>
          <w:rFonts w:ascii="Calibri" w:cs="Calibri" w:eastAsia="Calibri" w:hAnsi="Calibri"/>
          <w:sz w:val="18"/>
          <w:szCs w:val="18"/>
          <w:i w:val="1"/>
          <w:iCs w:val="1"/>
          <w:color w:val="auto"/>
        </w:rPr>
        <w:t xml:space="preserve">Derivatve instruments. </w:t>
      </w:r>
      <w:r>
        <w:rPr>
          <w:rFonts w:ascii="Calibri" w:cs="Calibri" w:eastAsia="Calibri" w:hAnsi="Calibri"/>
          <w:sz w:val="18"/>
          <w:szCs w:val="18"/>
          <w:color w:val="auto"/>
        </w:rPr>
        <w:t>We use derivatve fnancial instruments to manage exposure to foreign exchange risk and interest rate risk. We do not use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derivatve fnancial instruments for speculatve or trading purposes.</w:t>
      </w:r>
    </w:p>
    <w:p>
      <w:pPr>
        <w:spacing w:after="0" w:line="110" w:lineRule="exact"/>
        <w:rPr>
          <w:sz w:val="20"/>
          <w:szCs w:val="20"/>
          <w:color w:val="auto"/>
        </w:rPr>
      </w:pPr>
    </w:p>
    <w:p>
      <w:pPr>
        <w:ind w:right="400" w:firstLine="405"/>
        <w:spacing w:after="0" w:line="235" w:lineRule="auto"/>
        <w:rPr>
          <w:sz w:val="20"/>
          <w:szCs w:val="20"/>
          <w:color w:val="auto"/>
        </w:rPr>
      </w:pPr>
      <w:r>
        <w:rPr>
          <w:rFonts w:ascii="Calibri" w:cs="Calibri" w:eastAsia="Calibri" w:hAnsi="Calibri"/>
          <w:sz w:val="18"/>
          <w:szCs w:val="18"/>
          <w:color w:val="auto"/>
        </w:rPr>
        <w:t>Outstanding derivatves are recognized as assets or liabilites at their fair values based on Level 2 inputs, as defned in the fair value hierarchy. For derivatve instruments designated as cash fow hedges, the changes in fair value are initally recognized in other comprehensive income, net of tax in the period of change, and are subsequently reclassifed and recognized in the same line item as the hedged item when either the hedged transactons afect earnings or it becomes probable that the hedged transactons will not occur.</w:t>
      </w:r>
    </w:p>
    <w:p>
      <w:pPr>
        <w:spacing w:after="0" w:line="111" w:lineRule="exact"/>
        <w:rPr>
          <w:sz w:val="20"/>
          <w:szCs w:val="20"/>
          <w:color w:val="auto"/>
        </w:rPr>
      </w:pPr>
    </w:p>
    <w:p>
      <w:pPr>
        <w:jc w:val="both"/>
        <w:ind w:right="480" w:firstLine="405"/>
        <w:spacing w:after="0" w:line="235" w:lineRule="auto"/>
        <w:rPr>
          <w:sz w:val="20"/>
          <w:szCs w:val="20"/>
          <w:color w:val="auto"/>
        </w:rPr>
      </w:pPr>
      <w:r>
        <w:rPr>
          <w:rFonts w:ascii="Calibri" w:cs="Calibri" w:eastAsia="Calibri" w:hAnsi="Calibri"/>
          <w:sz w:val="18"/>
          <w:szCs w:val="18"/>
          <w:color w:val="auto"/>
        </w:rPr>
        <w:t>We use foreign exchange forward contracts to manage exposure to foreign exchange risk. These forward contracts are not designated as hedging instruments, and the changes in fair value are recognized in other income (expense), net in the period of change. We did not have any material foreign exchange forward contracts outstanding as of November 3, 2024 or October 29, 2023. The gains and losses recorded in other income (expense), net for derivatve instruments not designated as hedges were not material.</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firstLine="405"/>
        <w:spacing w:after="0" w:line="249" w:lineRule="auto"/>
        <w:rPr>
          <w:sz w:val="20"/>
          <w:szCs w:val="20"/>
          <w:color w:val="auto"/>
        </w:rPr>
      </w:pPr>
      <w:r>
        <w:rPr>
          <w:rFonts w:ascii="Calibri" w:cs="Calibri" w:eastAsia="Calibri" w:hAnsi="Calibri"/>
          <w:sz w:val="17"/>
          <w:szCs w:val="17"/>
          <w:color w:val="auto"/>
        </w:rPr>
        <w:t>During fscal years 2023 and 2022, we entered into treasury rate lock contracts that mature in approximately one year to hedge variability of cash fows due to changes in the benchmark interest rate of antcipated future debt issuances. These treasury rate locks were designated and accounted for as cash fow hedging instruments. In August 2023, we early setled all treasury rate lock contracts, which had a $5.5 billion notonal amount, for a cumulatve gain of $371 million. The cumulatve gain was recorded net of tax of $44 million as a component of accumulated other comprehensive income as of October 29, 2023. The cash receipts from the setlement were included in cash fows from operatng actvites in the consolidated statement of cash fows during fscal year 2023. In fscal year 2024, upon the issuance of our $1.75 billion 4.800% senior notes due October 2034 as discussed in Note 10. “Borrowings”,</w:t>
      </w:r>
    </w:p>
    <w:p>
      <w:pPr>
        <w:spacing w:after="0" w:line="4" w:lineRule="exact"/>
        <w:rPr>
          <w:sz w:val="20"/>
          <w:szCs w:val="20"/>
          <w:color w:val="auto"/>
        </w:rPr>
      </w:pPr>
    </w:p>
    <w:p>
      <w:pPr>
        <w:jc w:val="both"/>
        <w:ind w:right="500"/>
        <w:spacing w:after="0" w:line="235" w:lineRule="auto"/>
        <w:rPr>
          <w:sz w:val="20"/>
          <w:szCs w:val="20"/>
          <w:color w:val="auto"/>
        </w:rPr>
      </w:pPr>
      <w:r>
        <w:rPr>
          <w:rFonts w:ascii="Calibri" w:cs="Calibri" w:eastAsia="Calibri" w:hAnsi="Calibri"/>
          <w:sz w:val="18"/>
          <w:szCs w:val="18"/>
          <w:color w:val="auto"/>
        </w:rPr>
        <w:t>$75 million out of the $371 million pre-tax cumulatve gain in accumulated other comprehensive income will be amortzed to interest expense through October 15, 2034 using the efectve interest method. The remaining cumulatve gain will be amortzed to interest expense associated with future debt referencing the hedged treasury rates.</w:t>
      </w:r>
    </w:p>
    <w:p>
      <w:pPr>
        <w:spacing w:after="0" w:line="111" w:lineRule="exact"/>
        <w:rPr>
          <w:sz w:val="20"/>
          <w:szCs w:val="20"/>
          <w:color w:val="auto"/>
        </w:rPr>
      </w:pPr>
    </w:p>
    <w:p>
      <w:pPr>
        <w:ind w:right="40" w:firstLine="405"/>
        <w:spacing w:after="0" w:line="235" w:lineRule="auto"/>
        <w:rPr>
          <w:sz w:val="20"/>
          <w:szCs w:val="20"/>
          <w:color w:val="auto"/>
        </w:rPr>
      </w:pPr>
      <w:r>
        <w:rPr>
          <w:rFonts w:ascii="Calibri" w:cs="Calibri" w:eastAsia="Calibri" w:hAnsi="Calibri"/>
          <w:sz w:val="18"/>
          <w:szCs w:val="18"/>
          <w:i w:val="1"/>
          <w:iCs w:val="1"/>
          <w:color w:val="auto"/>
        </w:rPr>
        <w:t xml:space="preserve">Property, plant and equipment. </w:t>
      </w:r>
      <w:r>
        <w:rPr>
          <w:rFonts w:ascii="Calibri" w:cs="Calibri" w:eastAsia="Calibri" w:hAnsi="Calibri"/>
          <w:sz w:val="18"/>
          <w:szCs w:val="18"/>
          <w:color w:val="auto"/>
        </w:rPr>
        <w:t>Property, plant and equipment are stated at cost less accumulated depreciaton and amortzaton. Additons,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improvements and major renewals are capitalized, and maintenance, repairs and minor renewals are expensed as incurred. Assets are held in constructon in progress untl placed in service, upon which date, we begin to depreciate these assets. When assets are retred or disposed of, the assets and related accumulated depreciaton and amortzaton are removed from our property, plant and equipment balances and the resultng gain or loss is refected in the consolidated statements of operatons. Buildings and leasehold improvements are generally depreciated over 15 to 40 years, or over the lease period, whichever is shorter, and machinery and equipment are generally depreciated over 3 to 10 years. We use the straight-line method of depreciaton for all property, plant and equipment.</w:t>
      </w:r>
    </w:p>
    <w:p>
      <w:pPr>
        <w:spacing w:after="0" w:line="114" w:lineRule="exact"/>
        <w:rPr>
          <w:sz w:val="20"/>
          <w:szCs w:val="20"/>
          <w:color w:val="auto"/>
        </w:rPr>
      </w:pPr>
    </w:p>
    <w:p>
      <w:pPr>
        <w:ind w:right="60" w:firstLine="405"/>
        <w:spacing w:after="0" w:line="235" w:lineRule="auto"/>
        <w:rPr>
          <w:sz w:val="20"/>
          <w:szCs w:val="20"/>
          <w:color w:val="auto"/>
        </w:rPr>
      </w:pPr>
      <w:r>
        <w:rPr>
          <w:rFonts w:ascii="Calibri" w:cs="Calibri" w:eastAsia="Calibri" w:hAnsi="Calibri"/>
          <w:sz w:val="18"/>
          <w:szCs w:val="18"/>
          <w:i w:val="1"/>
          <w:iCs w:val="1"/>
          <w:color w:val="auto"/>
        </w:rPr>
        <w:t xml:space="preserve">Leases. </w:t>
      </w:r>
      <w:r>
        <w:rPr>
          <w:rFonts w:ascii="Calibri" w:cs="Calibri" w:eastAsia="Calibri" w:hAnsi="Calibri"/>
          <w:sz w:val="18"/>
          <w:szCs w:val="18"/>
          <w:color w:val="auto"/>
        </w:rPr>
        <w:t>We determine if an arrangement is a lease, or contains a lease, at the incepton of the arrangement and evaluate whether the lease is an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operatng lease or a fnance lease at the commencement date. We recognize right-of-use (“ROU”) assets and lease liabilites for operatng and fnance leases with terms greater than 12 months, and account for the lease and non-lease components as a single component. ROU assets represent our right to use an asset for the lease term, while lease liabilites represent our obligaton to make lease payments. Operatng and fnance lease ROU assets and liabilites are recognized based on the present value of lease payments over the lease term at the lease commencement date. We use the implicit interest rate or, if not readily determinable, our incremental borrowing rate as of the lease commencement date to determine the present value of lease payments. The incremental borrowing rate is based on our unsecured borrowing rate, adjusted for the efects of collateral. Operatng and fnance lease ROU assets are recognized net of any lease prepayments and incentves. Lease terms may include optons to extend or terminate the lease when it is reasonably certain that we will exercise that opton. Operatng lease expense is recognized on a straight-line basis over the lease term. Finance lease expense is recognized based on the efectve interest method over the lease term.</w:t>
      </w:r>
    </w:p>
    <w:p>
      <w:pPr>
        <w:spacing w:after="0" w:line="116" w:lineRule="exact"/>
        <w:rPr>
          <w:sz w:val="20"/>
          <w:szCs w:val="20"/>
          <w:color w:val="auto"/>
        </w:rPr>
      </w:pPr>
    </w:p>
    <w:p>
      <w:pPr>
        <w:ind w:right="120" w:firstLine="405"/>
        <w:spacing w:after="0" w:line="235" w:lineRule="auto"/>
        <w:rPr>
          <w:sz w:val="20"/>
          <w:szCs w:val="20"/>
          <w:color w:val="auto"/>
        </w:rPr>
      </w:pPr>
      <w:r>
        <w:rPr>
          <w:rFonts w:ascii="Calibri" w:cs="Calibri" w:eastAsia="Calibri" w:hAnsi="Calibri"/>
          <w:sz w:val="18"/>
          <w:szCs w:val="18"/>
          <w:i w:val="1"/>
          <w:iCs w:val="1"/>
          <w:color w:val="auto"/>
        </w:rPr>
        <w:t xml:space="preserve">Fair value measurement. </w:t>
      </w:r>
      <w:r>
        <w:rPr>
          <w:rFonts w:ascii="Calibri" w:cs="Calibri" w:eastAsia="Calibri" w:hAnsi="Calibri"/>
          <w:sz w:val="18"/>
          <w:szCs w:val="18"/>
          <w:color w:val="auto"/>
        </w:rPr>
        <w:t>Fair value is defned as the price that would be received upon sale of an asset or paid to transfer a liability in an orderly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transacton between market partcipants at the measurement date. A three-level hierarchy is applied to prioritze the inputs to valuaton techniques used to measure fair value. The hierarchy gives the highest priority to unadjusted quoted prices in actve markets for identcal assets or liabilites (Level 1 measurements) and the lowest priority to unobservable inputs (Level 3 measurements).</w:t>
      </w:r>
    </w:p>
    <w:p>
      <w:pPr>
        <w:spacing w:after="0" w:line="107"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The three levels of the fair value hierarchy under the guidance on fair value measurements are described below:</w:t>
      </w:r>
    </w:p>
    <w:p>
      <w:pPr>
        <w:spacing w:after="0" w:line="109" w:lineRule="exact"/>
        <w:rPr>
          <w:sz w:val="20"/>
          <w:szCs w:val="20"/>
          <w:color w:val="auto"/>
        </w:rPr>
      </w:pPr>
    </w:p>
    <w:p>
      <w:pPr>
        <w:ind w:right="40" w:firstLine="405"/>
        <w:spacing w:after="0" w:line="235" w:lineRule="auto"/>
        <w:rPr>
          <w:sz w:val="20"/>
          <w:szCs w:val="20"/>
          <w:color w:val="auto"/>
        </w:rPr>
      </w:pPr>
      <w:r>
        <w:rPr>
          <w:rFonts w:ascii="Calibri" w:cs="Calibri" w:eastAsia="Calibri" w:hAnsi="Calibri"/>
          <w:sz w:val="18"/>
          <w:szCs w:val="18"/>
          <w:color w:val="auto"/>
        </w:rPr>
        <w:t>Level 1 — Level 1 inputs are quoted prices (unadjusted) in actve markets for identcal assets or liabilites that the reportng entty has the ability to access at the measurement date. Our Level 1 assets include cash equivalents, banker's acceptances, trading securites investments and investment funds. We measure trading securites investments and investment funds at quoted market prices as they are traded in actve markets with sufcient volume and frequency of transactons.</w:t>
      </w:r>
    </w:p>
    <w:p>
      <w:pPr>
        <w:spacing w:after="0" w:line="111" w:lineRule="exact"/>
        <w:rPr>
          <w:sz w:val="20"/>
          <w:szCs w:val="20"/>
          <w:color w:val="auto"/>
        </w:rPr>
      </w:pPr>
    </w:p>
    <w:p>
      <w:pPr>
        <w:ind w:right="300" w:firstLine="405"/>
        <w:spacing w:after="0" w:line="258" w:lineRule="auto"/>
        <w:rPr>
          <w:sz w:val="20"/>
          <w:szCs w:val="20"/>
          <w:color w:val="auto"/>
        </w:rPr>
      </w:pPr>
      <w:r>
        <w:rPr>
          <w:rFonts w:ascii="Calibri" w:cs="Calibri" w:eastAsia="Calibri" w:hAnsi="Calibri"/>
          <w:sz w:val="17"/>
          <w:szCs w:val="17"/>
          <w:color w:val="auto"/>
        </w:rPr>
        <w:t>Level 2 — Level 2 inputs are inputs other than quoted prices included within Level 1 that are observable for the asset or liability, either directly or indirectly. If the asset or liability has a specifed contractual term, a Level 2 input must be observable for substantally the full term of the asset or liability.</w:t>
      </w:r>
    </w:p>
    <w:p>
      <w:pPr>
        <w:spacing w:after="0" w:line="94" w:lineRule="exact"/>
        <w:rPr>
          <w:sz w:val="20"/>
          <w:szCs w:val="20"/>
          <w:color w:val="auto"/>
        </w:rPr>
      </w:pPr>
    </w:p>
    <w:p>
      <w:pPr>
        <w:ind w:right="140" w:firstLine="405"/>
        <w:spacing w:after="0" w:line="251" w:lineRule="auto"/>
        <w:rPr>
          <w:sz w:val="20"/>
          <w:szCs w:val="20"/>
          <w:color w:val="auto"/>
        </w:rPr>
      </w:pPr>
      <w:r>
        <w:rPr>
          <w:rFonts w:ascii="Calibri" w:cs="Calibri" w:eastAsia="Calibri" w:hAnsi="Calibri"/>
          <w:sz w:val="17"/>
          <w:szCs w:val="17"/>
          <w:color w:val="auto"/>
        </w:rPr>
        <w:t>Level 3 — Level 3 inputs are unobservable inputs for the asset or liability in which there is litle, if any, market actvity for the asset or liability at the measurement date. Level 3 assets and liabilites include investment in equity securites without readily determinable fair values, goodwill, intangible assets, and property, plant and equipment, which are measured at fair value using a discounted cash fow approach when they are impaired. Quanttatve informaton for Level 3 assets and liabilites reviewed at each reportng period includes indicators of signifcant deterioraton in the earnings performance, credit ratng, asset quality, business prospects of the investee, and fnancial indicators of the investee's ability to contnue as a going concern.</w:t>
      </w:r>
    </w:p>
    <w:p>
      <w:pPr>
        <w:spacing w:after="0" w:line="103" w:lineRule="exact"/>
        <w:rPr>
          <w:sz w:val="20"/>
          <w:szCs w:val="20"/>
          <w:color w:val="auto"/>
        </w:rPr>
      </w:pPr>
    </w:p>
    <w:p>
      <w:pPr>
        <w:ind w:right="180" w:firstLine="405"/>
        <w:spacing w:after="0" w:line="235" w:lineRule="auto"/>
        <w:rPr>
          <w:sz w:val="20"/>
          <w:szCs w:val="20"/>
          <w:color w:val="auto"/>
        </w:rPr>
      </w:pPr>
      <w:r>
        <w:rPr>
          <w:rFonts w:ascii="Calibri" w:cs="Calibri" w:eastAsia="Calibri" w:hAnsi="Calibri"/>
          <w:sz w:val="18"/>
          <w:szCs w:val="18"/>
          <w:i w:val="1"/>
          <w:iCs w:val="1"/>
          <w:color w:val="auto"/>
        </w:rPr>
        <w:t xml:space="preserve">Business combinatons. </w:t>
      </w:r>
      <w:r>
        <w:rPr>
          <w:rFonts w:ascii="Calibri" w:cs="Calibri" w:eastAsia="Calibri" w:hAnsi="Calibri"/>
          <w:sz w:val="18"/>
          <w:szCs w:val="18"/>
          <w:color w:val="auto"/>
        </w:rPr>
        <w:t>We account for business combinatons under the acquisiton method of accountng, which requires us to recognize separately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from goodwill the assets acquired and the liabilites assumed at their acquisiton date fair</w:t>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60" w:name="page61"/>
    <w:bookmarkEnd w:id="6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spacing w:after="0" w:line="250" w:lineRule="auto"/>
        <w:rPr>
          <w:sz w:val="20"/>
          <w:szCs w:val="20"/>
          <w:color w:val="auto"/>
        </w:rPr>
      </w:pPr>
      <w:r>
        <w:rPr>
          <w:rFonts w:ascii="Calibri" w:cs="Calibri" w:eastAsia="Calibri" w:hAnsi="Calibri"/>
          <w:sz w:val="17"/>
          <w:szCs w:val="17"/>
          <w:color w:val="auto"/>
        </w:rPr>
        <w:t>values, except for revenue contracts acquired, which are recognized in accordance with our revenue recogniton policy. While we use our best estmates and assumptons to accurately value assets acquired and liabilites assumed at the acquisiton date as well as contngent consideraton, where applicable, our estmates are inherently uncertain and subject to refnement. As a result, during the measurement period, which may be up to one year from the acquisiton date, we record adjustments to the assets acquired and liabilites assumed with the corresponding ofset to goodwill. Upon the conclusion of the measurement period or fnal determinaton of the values of assets acquired or liabilites assumed, whichever comes frst, any subsequent adjustments are recognized in our consolidated statements of operatons. Accountng for business combinatons requires our management to make signifcant estmates and assumptons, especially at the acquisiton date, for intangible assets, contractual obligatons assumed, restructuring liabilites, pre-acquisiton contngencies, and contngent consideraton, where applicable. Although we believe the assumptons and estmates we have made in the past have been reasonable and appropriate, they are based, in part, on historical experience and informaton obtained from the management of the acquired companies and are inherently uncertain. Critcal estmates in valuing certain acquired intangible assets include the present value of projected cash fows regarding the projected revenues, projected expenses which include cost of revenue, research and development and selling, general and administratve expenses, technology obsolescence rate, contributory asset charges, discount rate and income tax rate for developed technology; the projected revenues, customer retenton rate, customer ramp up period, discount rate and income tax rate for the customer contracts and related relatonships; the projected revenues, technology obsolescence rate, expected costs to develop in-process research and development (“IPR&amp;D”) into commercially viable products, discount rate and income tax rate for the IPR&amp;D; and the projected revenues, brand asset phase-out patern, brand asset royalty rate, discount rate and the income tax rate for the trade name. Unantcipated events and circumstances may occur which could afect the accuracy or validity of such assumptons, estmates or actual results.</w:t>
      </w:r>
    </w:p>
    <w:p>
      <w:pPr>
        <w:spacing w:after="0" w:line="105"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i w:val="1"/>
          <w:iCs w:val="1"/>
          <w:color w:val="auto"/>
        </w:rPr>
        <w:t xml:space="preserve">Goodwill. </w:t>
      </w:r>
      <w:r>
        <w:rPr>
          <w:rFonts w:ascii="Calibri" w:cs="Calibri" w:eastAsia="Calibri" w:hAnsi="Calibri"/>
          <w:sz w:val="18"/>
          <w:szCs w:val="18"/>
          <w:color w:val="auto"/>
        </w:rPr>
        <w:t>Goodwill represents the excess of purchase price and related costs over the value assigned to the net tangible and identfable intangible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assets of businesses acquired. Goodwill is not amortzed but is reviewed annually (or more frequently if impairment indicators arise) for impairment. To review for impairment, we frst assess qualitatve factors to determine whether events or circumstances lead to a determinaton that it is more likely than not that the fair value of any of our reportng units is less than its carrying amount. Our qualitatve assessment of the recoverability of goodwill, whether performed annually or based on specifc events or circumstances, considers various macroeconomic, industry-specifc and company-specifc factors. Those factors include: (i) severe adverse industry or economic trends; (ii) signifcant company-specifc actons, including exitng an actvity in conjuncton with restructuring of operatons; (iii) current, historical or projected deterioraton of our fnancial performance; or (iv) a sustained decrease in our market capitalizaton below our net book value. Afer assessing the totality of events and circumstances, if we determine that it is not more likely than not that the fair value of any of our reportng units is less than its carrying amount, no further assessment is performed. If we determine that it is more likely than not that the fair value of any of our reportng units is less than its carrying amount, we calculate the fair value of that reportng unit and compare the fair value to the reportng unit’s net book value. If the fair value of the reportng unit is greater than its net book value, there is no impairment. Otherwise, we calculate the implied fair value of goodwill by deductng the fair value of all tangible and intangible assets, excluding goodwill, of the reportng unit from the fair value of the reportng unit. The implied fair value of goodwill is compared to the carrying value of goodwill. If the implied fair value of goodwill is less than the carrying value of goodwill, an impairment loss is recognized equal to the diference. Determining the fair value of a reportng unit involves the use of signifcant estmates and assumptons.</w:t>
      </w:r>
    </w:p>
    <w:p>
      <w:pPr>
        <w:spacing w:after="0" w:line="121" w:lineRule="exact"/>
        <w:rPr>
          <w:sz w:val="20"/>
          <w:szCs w:val="20"/>
          <w:color w:val="auto"/>
        </w:rPr>
      </w:pPr>
    </w:p>
    <w:p>
      <w:pPr>
        <w:ind w:right="60" w:firstLine="405"/>
        <w:spacing w:after="0" w:line="249" w:lineRule="auto"/>
        <w:rPr>
          <w:sz w:val="20"/>
          <w:szCs w:val="20"/>
          <w:color w:val="auto"/>
        </w:rPr>
      </w:pPr>
      <w:r>
        <w:rPr>
          <w:rFonts w:ascii="Calibri" w:cs="Calibri" w:eastAsia="Calibri" w:hAnsi="Calibri"/>
          <w:sz w:val="17"/>
          <w:szCs w:val="17"/>
          <w:i w:val="1"/>
          <w:iCs w:val="1"/>
          <w:color w:val="auto"/>
        </w:rPr>
        <w:t xml:space="preserve">Long-lived assets. </w:t>
      </w:r>
      <w:r>
        <w:rPr>
          <w:rFonts w:ascii="Calibri" w:cs="Calibri" w:eastAsia="Calibri" w:hAnsi="Calibri"/>
          <w:sz w:val="17"/>
          <w:szCs w:val="17"/>
          <w:color w:val="auto"/>
        </w:rPr>
        <w:t>Purchased fnite-lived intangible assets are carried at cost less accumulated amortzaton. Amortzaton is recognized over the periods</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during which the intangible assets are expected to contribute to our cash fows. Purchased IPR&amp;D projects are capitalized at fair value as an indefnite-lived intangible asset and assessed for impairment thereafer. Upon completon of each underlying project, IPR&amp;D assets are reclassifed as amortzable purchased intangible assets and amortzed over their estmated useful lives. If an IPR&amp;D project is abandoned, we recognize the carrying value of the related intangible asset in our consolidated statements of operatons in the period it is abandoned. On a quarterly basis, we monitor factors and changes in circumstances that could indicate carrying amounts of long-lived assets, including purchased intangible assets, ROU assets, and property, plant and equipment, may not be recoverable. Factors we consider important which could trigger an impairment review include: (i) signifcant under-performance relatve to historical or projected future operatng results, (ii) signifcant changes in the manner of our use of the acquired assets or the strategy for our overall business, and</w:t>
      </w:r>
    </w:p>
    <w:p>
      <w:pPr>
        <w:spacing w:after="0" w:line="6" w:lineRule="exact"/>
        <w:rPr>
          <w:sz w:val="20"/>
          <w:szCs w:val="20"/>
          <w:color w:val="auto"/>
        </w:rPr>
      </w:pPr>
    </w:p>
    <w:p>
      <w:pPr>
        <w:ind w:firstLine="8"/>
        <w:spacing w:after="0" w:line="254" w:lineRule="auto"/>
        <w:tabs>
          <w:tab w:leader="none" w:pos="267" w:val="left"/>
        </w:tabs>
        <w:numPr>
          <w:ilvl w:val="0"/>
          <w:numId w:val="44"/>
        </w:numPr>
        <w:rPr>
          <w:rFonts w:ascii="Calibri" w:cs="Calibri" w:eastAsia="Calibri" w:hAnsi="Calibri"/>
          <w:sz w:val="17"/>
          <w:szCs w:val="17"/>
          <w:color w:val="auto"/>
        </w:rPr>
      </w:pPr>
      <w:r>
        <w:rPr>
          <w:rFonts w:ascii="Calibri" w:cs="Calibri" w:eastAsia="Calibri" w:hAnsi="Calibri"/>
          <w:sz w:val="17"/>
          <w:szCs w:val="17"/>
          <w:color w:val="auto"/>
        </w:rPr>
        <w:t>signifcant negatve industry or economic trends. An impairment loss must be measured if the sum of the expected future cash fows (undiscounted and before interest) from the use and eventual dispositon of the asset (or asset group) is less than the net book value of the asset (or asset group). The amount of the impairment loss will generally be measured as the diference between the net book value of the asset (or asset group) and the estmated fair value.</w:t>
      </w:r>
    </w:p>
    <w:p>
      <w:pPr>
        <w:spacing w:after="0" w:line="97"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i w:val="1"/>
          <w:iCs w:val="1"/>
          <w:color w:val="auto"/>
        </w:rPr>
        <w:t xml:space="preserve">Warranty. </w:t>
      </w:r>
      <w:r>
        <w:rPr>
          <w:rFonts w:ascii="Calibri" w:cs="Calibri" w:eastAsia="Calibri" w:hAnsi="Calibri"/>
          <w:sz w:val="18"/>
          <w:szCs w:val="18"/>
          <w:color w:val="auto"/>
        </w:rPr>
        <w:t>We accrue for the estmated costs of product warrantes at the tme revenue is recognized. Product warranty costs are estmated based upon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our historical experience and specifc identfcaton of the product requirements, which may fuctuate based on product mix. Additonally, we accrue for warranty costs associated with occasional or unantcipated product quality issues if a loss is probable and can be reasonably estmated.</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220" w:firstLine="405"/>
        <w:spacing w:after="0" w:line="235" w:lineRule="auto"/>
        <w:rPr>
          <w:sz w:val="20"/>
          <w:szCs w:val="20"/>
          <w:color w:val="auto"/>
        </w:rPr>
      </w:pPr>
      <w:r>
        <w:rPr>
          <w:rFonts w:ascii="Calibri" w:cs="Calibri" w:eastAsia="Calibri" w:hAnsi="Calibri"/>
          <w:sz w:val="18"/>
          <w:szCs w:val="18"/>
          <w:i w:val="1"/>
          <w:iCs w:val="1"/>
          <w:color w:val="auto"/>
        </w:rPr>
        <w:t xml:space="preserve">Revenue recogniton. </w:t>
      </w:r>
      <w:r>
        <w:rPr>
          <w:rFonts w:ascii="Calibri" w:cs="Calibri" w:eastAsia="Calibri" w:hAnsi="Calibri"/>
          <w:sz w:val="18"/>
          <w:szCs w:val="18"/>
          <w:color w:val="auto"/>
        </w:rPr>
        <w:t>We account for a contract with a customer when both partes have approved the contract and are commited to perform their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respectve obligatons, each party’s rights can be identfed, payment terms can be identfed, the contract has commercial substance, and it is probable we will collect substantally all of the consideraton we are enttled to. Revenue is recognized when, or as, performance obligatons are satsfed by transferring control of a promised product or service to a customer.</w:t>
      </w:r>
    </w:p>
    <w:p>
      <w:pPr>
        <w:spacing w:after="0" w:line="111" w:lineRule="exact"/>
        <w:rPr>
          <w:sz w:val="20"/>
          <w:szCs w:val="20"/>
          <w:color w:val="auto"/>
        </w:rPr>
      </w:pPr>
    </w:p>
    <w:p>
      <w:pPr>
        <w:ind w:right="40" w:firstLine="405"/>
        <w:spacing w:after="0" w:line="235" w:lineRule="auto"/>
        <w:rPr>
          <w:sz w:val="20"/>
          <w:szCs w:val="20"/>
          <w:color w:val="auto"/>
        </w:rPr>
      </w:pPr>
      <w:r>
        <w:rPr>
          <w:rFonts w:ascii="Calibri" w:cs="Calibri" w:eastAsia="Calibri" w:hAnsi="Calibri"/>
          <w:sz w:val="18"/>
          <w:szCs w:val="18"/>
          <w:color w:val="auto"/>
        </w:rPr>
        <w:t>Payment terms and conditons vary by contract type, and terms between invoicing and when payment is due are short-term in duraton. The tming of revenue recogniton and required payments can difer and payment terms are generally structured to provide the customer with predictable and dependable ways to procure our products, not to provide or receive fnancing from the customer.</w:t>
      </w:r>
    </w:p>
    <w:p>
      <w:pPr>
        <w:spacing w:after="0" w:line="106" w:lineRule="exact"/>
        <w:rPr>
          <w:sz w:val="20"/>
          <w:szCs w:val="20"/>
          <w:color w:val="auto"/>
        </w:rPr>
      </w:pPr>
    </w:p>
    <w:p>
      <w:pPr>
        <w:ind w:left="420"/>
        <w:spacing w:after="0"/>
        <w:rPr>
          <w:sz w:val="20"/>
          <w:szCs w:val="20"/>
          <w:color w:val="auto"/>
        </w:rPr>
      </w:pPr>
      <w:r>
        <w:rPr>
          <w:rFonts w:ascii="Calibri" w:cs="Calibri" w:eastAsia="Calibri" w:hAnsi="Calibri"/>
          <w:sz w:val="18"/>
          <w:szCs w:val="18"/>
          <w:i w:val="1"/>
          <w:iCs w:val="1"/>
          <w:color w:val="auto"/>
        </w:rPr>
        <w:t>Nature of Products and Services</w:t>
      </w:r>
    </w:p>
    <w:p>
      <w:pPr>
        <w:spacing w:after="0" w:line="109" w:lineRule="exact"/>
        <w:rPr>
          <w:sz w:val="20"/>
          <w:szCs w:val="20"/>
          <w:color w:val="auto"/>
        </w:rPr>
      </w:pPr>
    </w:p>
    <w:p>
      <w:pPr>
        <w:ind w:right="100" w:firstLine="405"/>
        <w:spacing w:after="0" w:line="235" w:lineRule="auto"/>
        <w:rPr>
          <w:sz w:val="20"/>
          <w:szCs w:val="20"/>
          <w:color w:val="auto"/>
        </w:rPr>
      </w:pPr>
      <w:r>
        <w:rPr>
          <w:rFonts w:ascii="Calibri" w:cs="Calibri" w:eastAsia="Calibri" w:hAnsi="Calibri"/>
          <w:sz w:val="18"/>
          <w:szCs w:val="18"/>
          <w:color w:val="auto"/>
        </w:rPr>
        <w:t>Our products and services can be broadly categorized as sales of products and subscriptons and services. The following is a descripton of the principal actvites from which we generate revenue.</w:t>
      </w:r>
    </w:p>
    <w:p>
      <w:pPr>
        <w:spacing w:after="0" w:line="110"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i w:val="1"/>
          <w:iCs w:val="1"/>
          <w:color w:val="auto"/>
        </w:rPr>
        <w:t xml:space="preserve">Products. </w:t>
      </w:r>
      <w:r>
        <w:rPr>
          <w:rFonts w:ascii="Calibri" w:cs="Calibri" w:eastAsia="Calibri" w:hAnsi="Calibri"/>
          <w:sz w:val="18"/>
          <w:szCs w:val="18"/>
          <w:color w:val="auto"/>
        </w:rPr>
        <w:t>We recognize revenue from sales to direct customers and distributors when control transfers to the customer. Rebates and incentves ofered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to distributors, which are earned when sales to end customers are completed, are estmated at the point of revenue recogniton. We have elected to exclude from the transacton price any taxes collected from a customer and to account for shipping and handling actvites performed afer a customer obtains control of the product as actvites to fulfll the promise to transfer the product. From tme to tme, certain customers agree to pay us secure supply fees in exchange for prioritzed fulfllment of product orders. Such fees are included in the transacton price of the product orders and are recognized as revenue in the period that control over the products is transferred to the customer.</w:t>
      </w:r>
    </w:p>
    <w:p>
      <w:pPr>
        <w:spacing w:after="0" w:line="113" w:lineRule="exact"/>
        <w:rPr>
          <w:sz w:val="20"/>
          <w:szCs w:val="20"/>
          <w:color w:val="auto"/>
        </w:rPr>
      </w:pPr>
    </w:p>
    <w:p>
      <w:pPr>
        <w:ind w:right="600" w:firstLine="405"/>
        <w:spacing w:after="0" w:line="235" w:lineRule="auto"/>
        <w:rPr>
          <w:sz w:val="20"/>
          <w:szCs w:val="20"/>
          <w:color w:val="auto"/>
        </w:rPr>
      </w:pPr>
      <w:r>
        <w:rPr>
          <w:rFonts w:ascii="Calibri" w:cs="Calibri" w:eastAsia="Calibri" w:hAnsi="Calibri"/>
          <w:sz w:val="18"/>
          <w:szCs w:val="18"/>
          <w:i w:val="1"/>
          <w:iCs w:val="1"/>
          <w:color w:val="auto"/>
        </w:rPr>
        <w:t xml:space="preserve">Subscriptons and services. </w:t>
      </w:r>
      <w:r>
        <w:rPr>
          <w:rFonts w:ascii="Calibri" w:cs="Calibri" w:eastAsia="Calibri" w:hAnsi="Calibri"/>
          <w:sz w:val="18"/>
          <w:szCs w:val="18"/>
          <w:color w:val="auto"/>
        </w:rPr>
        <w:t>Our subscriptons and services revenue consists of sales and royaltes from sofware arrangements, support services,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professional services, transfer of IP, and non-recurring engineering (“NRE”) arrangements.</w:t>
      </w:r>
    </w:p>
    <w:p>
      <w:pPr>
        <w:spacing w:after="0" w:line="110" w:lineRule="exact"/>
        <w:rPr>
          <w:sz w:val="20"/>
          <w:szCs w:val="20"/>
          <w:color w:val="auto"/>
        </w:rPr>
      </w:pPr>
    </w:p>
    <w:p>
      <w:pPr>
        <w:ind w:right="380" w:firstLine="405"/>
        <w:spacing w:after="0" w:line="258" w:lineRule="auto"/>
        <w:rPr>
          <w:sz w:val="20"/>
          <w:szCs w:val="20"/>
          <w:color w:val="auto"/>
        </w:rPr>
      </w:pPr>
      <w:r>
        <w:rPr>
          <w:rFonts w:ascii="Calibri" w:cs="Calibri" w:eastAsia="Calibri" w:hAnsi="Calibri"/>
          <w:sz w:val="17"/>
          <w:szCs w:val="17"/>
          <w:color w:val="auto"/>
        </w:rPr>
        <w:t>Revenue from sofware arrangements primarily consists of fees, which may be paid either at contract incepton or in installments over the contract term, that provide customers with a right to use the sofware, access general support and maintenance, and utlize our professional services.</w:t>
      </w:r>
    </w:p>
    <w:p>
      <w:pPr>
        <w:spacing w:after="0" w:line="94" w:lineRule="exact"/>
        <w:rPr>
          <w:sz w:val="20"/>
          <w:szCs w:val="20"/>
          <w:color w:val="auto"/>
        </w:rPr>
      </w:pPr>
    </w:p>
    <w:p>
      <w:pPr>
        <w:ind w:right="120" w:firstLine="405"/>
        <w:spacing w:after="0" w:line="235" w:lineRule="auto"/>
        <w:rPr>
          <w:sz w:val="20"/>
          <w:szCs w:val="20"/>
          <w:color w:val="auto"/>
        </w:rPr>
      </w:pPr>
      <w:r>
        <w:rPr>
          <w:rFonts w:ascii="Calibri" w:cs="Calibri" w:eastAsia="Calibri" w:hAnsi="Calibri"/>
          <w:sz w:val="18"/>
          <w:szCs w:val="18"/>
          <w:color w:val="auto"/>
        </w:rPr>
        <w:t>Our sofware licenses have standalone functonality from which customers derive beneft, and the customer obtains control of the sofware when it is delivered or made available for download. We believe that for the majority of sofware arrangements, customers derive signifcant beneft from the ongoing support we provide. Certain of our subscriptons and services arrangements permit our customers to unilaterally terminate or cancel these arrangements at any tme at the customer’s convenience, referred to as terminaton for convenience provisions, without substantve terminaton penalty and receive a pro-rata refund of any prepaid fees. Accordingly, we account for arrangements with these terminaton for convenience provisions as a series of daily contracts, resultng in ratable revenue recogniton of sofware revenue over the contractual period.</w:t>
      </w:r>
    </w:p>
    <w:p>
      <w:pPr>
        <w:spacing w:after="0" w:line="108"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Support services consist primarily of telephone support and the provision of unspecifed updates and upgrades on a when-and-if-available basis.</w:t>
      </w:r>
    </w:p>
    <w:p>
      <w:pPr>
        <w:spacing w:after="0" w:line="235" w:lineRule="auto"/>
        <w:rPr>
          <w:sz w:val="20"/>
          <w:szCs w:val="20"/>
          <w:color w:val="auto"/>
        </w:rPr>
      </w:pPr>
      <w:r>
        <w:rPr>
          <w:rFonts w:ascii="Calibri" w:cs="Calibri" w:eastAsia="Calibri" w:hAnsi="Calibri"/>
          <w:sz w:val="18"/>
          <w:szCs w:val="18"/>
          <w:color w:val="auto"/>
        </w:rPr>
        <w:t>Support services represent stand-ready obligatons for which revenue is recognized ratably over the term of the arrangement.</w:t>
      </w:r>
    </w:p>
    <w:p>
      <w:pPr>
        <w:spacing w:after="0" w:line="110" w:lineRule="exact"/>
        <w:rPr>
          <w:sz w:val="20"/>
          <w:szCs w:val="20"/>
          <w:color w:val="auto"/>
        </w:rPr>
      </w:pPr>
    </w:p>
    <w:p>
      <w:pPr>
        <w:ind w:right="120" w:firstLine="405"/>
        <w:spacing w:after="0" w:line="258" w:lineRule="auto"/>
        <w:rPr>
          <w:sz w:val="20"/>
          <w:szCs w:val="20"/>
          <w:color w:val="auto"/>
        </w:rPr>
      </w:pPr>
      <w:r>
        <w:rPr>
          <w:rFonts w:ascii="Calibri" w:cs="Calibri" w:eastAsia="Calibri" w:hAnsi="Calibri"/>
          <w:sz w:val="17"/>
          <w:szCs w:val="17"/>
          <w:color w:val="auto"/>
        </w:rPr>
        <w:t>Professional services consist of implementaton, consultng, customer educaton and customer training services. The obligaton to provide professional services is generally satsfed over tme, with the customer simultaneously receiving and consuming the benefts as we satsfy our performance obligatons.</w:t>
      </w:r>
    </w:p>
    <w:p>
      <w:pPr>
        <w:spacing w:after="0" w:line="94" w:lineRule="exact"/>
        <w:rPr>
          <w:sz w:val="20"/>
          <w:szCs w:val="20"/>
          <w:color w:val="auto"/>
        </w:rPr>
      </w:pPr>
    </w:p>
    <w:p>
      <w:pPr>
        <w:ind w:right="220" w:firstLine="405"/>
        <w:spacing w:after="0" w:line="235" w:lineRule="auto"/>
        <w:rPr>
          <w:sz w:val="20"/>
          <w:szCs w:val="20"/>
          <w:color w:val="auto"/>
        </w:rPr>
      </w:pPr>
      <w:r>
        <w:rPr>
          <w:rFonts w:ascii="Calibri" w:cs="Calibri" w:eastAsia="Calibri" w:hAnsi="Calibri"/>
          <w:sz w:val="18"/>
          <w:szCs w:val="18"/>
          <w:color w:val="auto"/>
        </w:rPr>
        <w:t>Rights to our IP are either sold or licensed to a customer. IP revenue recogniton is dependent on the nature and terms of each agreement. We recognize IP revenue upon delivery of the IP if there are no substantve future obligatons to perform under the arrangement. Sales-based or usage-based royaltes from the license of IP are recognized at the later of the period the sales or usages occur or the satsfacton of the performance obligaton to which some or all of the sales-based or usage-based royaltes have been allocated.</w:t>
      </w:r>
    </w:p>
    <w:p>
      <w:pPr>
        <w:spacing w:after="0" w:line="111" w:lineRule="exact"/>
        <w:rPr>
          <w:sz w:val="20"/>
          <w:szCs w:val="20"/>
          <w:color w:val="auto"/>
        </w:rPr>
      </w:pPr>
    </w:p>
    <w:p>
      <w:pPr>
        <w:ind w:right="40" w:firstLine="405"/>
        <w:spacing w:after="0" w:line="235" w:lineRule="auto"/>
        <w:rPr>
          <w:sz w:val="20"/>
          <w:szCs w:val="20"/>
          <w:color w:val="auto"/>
        </w:rPr>
      </w:pPr>
      <w:r>
        <w:rPr>
          <w:rFonts w:ascii="Calibri" w:cs="Calibri" w:eastAsia="Calibri" w:hAnsi="Calibri"/>
          <w:sz w:val="18"/>
          <w:szCs w:val="18"/>
          <w:color w:val="auto"/>
        </w:rPr>
        <w:t>There are two main categories of NRE contracts that we enter into with our customers: (a) NRE contracts in which we develop a custom chip and (b) NRE contracts in which we accelerate our development of a new chip upon the customer’s request. The majority of our NRE contract revenues meet the over tme criteria. As such, revenue is recognized over the development period with the measure of progress using the input method based on costs incurred to total cost as the services are provided. For NRE contracts that do not meet the over tme criteria, revenue is recognized at a point in tme when the NRE services are complete.</w:t>
      </w:r>
    </w:p>
    <w:p>
      <w:pPr>
        <w:spacing w:after="0" w:line="112" w:lineRule="exact"/>
        <w:rPr>
          <w:sz w:val="20"/>
          <w:szCs w:val="20"/>
          <w:color w:val="auto"/>
        </w:rPr>
      </w:pPr>
    </w:p>
    <w:p>
      <w:pPr>
        <w:jc w:val="both"/>
        <w:ind w:right="200" w:firstLine="405"/>
        <w:spacing w:after="0" w:line="235" w:lineRule="auto"/>
        <w:rPr>
          <w:sz w:val="20"/>
          <w:szCs w:val="20"/>
          <w:color w:val="auto"/>
        </w:rPr>
      </w:pPr>
      <w:r>
        <w:rPr>
          <w:rFonts w:ascii="Calibri" w:cs="Calibri" w:eastAsia="Calibri" w:hAnsi="Calibri"/>
          <w:sz w:val="18"/>
          <w:szCs w:val="18"/>
          <w:i w:val="1"/>
          <w:iCs w:val="1"/>
          <w:color w:val="auto"/>
        </w:rPr>
        <w:t xml:space="preserve">Material rights. </w:t>
      </w:r>
      <w:r>
        <w:rPr>
          <w:rFonts w:ascii="Calibri" w:cs="Calibri" w:eastAsia="Calibri" w:hAnsi="Calibri"/>
          <w:sz w:val="18"/>
          <w:szCs w:val="18"/>
          <w:color w:val="auto"/>
        </w:rPr>
        <w:t>Contracts with customers may also include material rights that are also performance obligatons. These include the right to renew or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receive products or services at a discounted price in the future. Revenue allocated to material rights is recognized when the customer exercises the right or the right expires.</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2" w:name="page63"/>
    <w:bookmarkEnd w:id="6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0"/>
        <w:spacing w:after="0"/>
        <w:rPr>
          <w:sz w:val="20"/>
          <w:szCs w:val="20"/>
          <w:color w:val="auto"/>
        </w:rPr>
      </w:pPr>
      <w:r>
        <w:rPr>
          <w:rFonts w:ascii="Calibri" w:cs="Calibri" w:eastAsia="Calibri" w:hAnsi="Calibri"/>
          <w:sz w:val="18"/>
          <w:szCs w:val="18"/>
          <w:i w:val="1"/>
          <w:iCs w:val="1"/>
          <w:color w:val="auto"/>
        </w:rPr>
        <w:t>Arrangements with Multple Performance Obligatons</w:t>
      </w:r>
    </w:p>
    <w:p>
      <w:pPr>
        <w:spacing w:after="0" w:line="109"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color w:val="auto"/>
        </w:rPr>
        <w:t>Our contracts may contain more than one of the products and services listed above, each of which is separately accounted for as a distnct performance obligaton.</w:t>
      </w:r>
    </w:p>
    <w:p>
      <w:pPr>
        <w:spacing w:after="0" w:line="110" w:lineRule="exact"/>
        <w:rPr>
          <w:sz w:val="20"/>
          <w:szCs w:val="20"/>
          <w:color w:val="auto"/>
        </w:rPr>
      </w:pPr>
    </w:p>
    <w:p>
      <w:pPr>
        <w:jc w:val="both"/>
        <w:ind w:right="340" w:firstLine="405"/>
        <w:spacing w:after="0" w:line="235" w:lineRule="auto"/>
        <w:rPr>
          <w:sz w:val="20"/>
          <w:szCs w:val="20"/>
          <w:color w:val="auto"/>
        </w:rPr>
      </w:pPr>
      <w:r>
        <w:rPr>
          <w:rFonts w:ascii="Calibri" w:cs="Calibri" w:eastAsia="Calibri" w:hAnsi="Calibri"/>
          <w:sz w:val="18"/>
          <w:szCs w:val="18"/>
          <w:i w:val="1"/>
          <w:iCs w:val="1"/>
          <w:color w:val="auto"/>
        </w:rPr>
        <w:t xml:space="preserve">Allocaton of consideraton. </w:t>
      </w:r>
      <w:r>
        <w:rPr>
          <w:rFonts w:ascii="Calibri" w:cs="Calibri" w:eastAsia="Calibri" w:hAnsi="Calibri"/>
          <w:sz w:val="18"/>
          <w:szCs w:val="18"/>
          <w:color w:val="auto"/>
        </w:rPr>
        <w:t>We allocate total contract consideraton to each distnct performance obligaton in a bundled arrangement on a relatve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standalone selling price basis. The standalone selling price refects the price we would charge for a specifc product or service if it were sold separately in similar circumstances and to similar customers.</w:t>
      </w:r>
    </w:p>
    <w:p>
      <w:pPr>
        <w:spacing w:after="0" w:line="111" w:lineRule="exact"/>
        <w:rPr>
          <w:sz w:val="20"/>
          <w:szCs w:val="20"/>
          <w:color w:val="auto"/>
        </w:rPr>
      </w:pPr>
    </w:p>
    <w:p>
      <w:pPr>
        <w:ind w:right="80" w:firstLine="405"/>
        <w:spacing w:after="0" w:line="235" w:lineRule="auto"/>
        <w:rPr>
          <w:sz w:val="20"/>
          <w:szCs w:val="20"/>
          <w:color w:val="auto"/>
        </w:rPr>
      </w:pPr>
      <w:r>
        <w:rPr>
          <w:rFonts w:ascii="Calibri" w:cs="Calibri" w:eastAsia="Calibri" w:hAnsi="Calibri"/>
          <w:sz w:val="18"/>
          <w:szCs w:val="18"/>
          <w:i w:val="1"/>
          <w:iCs w:val="1"/>
          <w:color w:val="auto"/>
        </w:rPr>
        <w:t xml:space="preserve">Standalone selling price. </w:t>
      </w:r>
      <w:r>
        <w:rPr>
          <w:rFonts w:ascii="Calibri" w:cs="Calibri" w:eastAsia="Calibri" w:hAnsi="Calibri"/>
          <w:sz w:val="18"/>
          <w:szCs w:val="18"/>
          <w:color w:val="auto"/>
        </w:rPr>
        <w:t>When available, we use directly observable transactons to determine the standalone selling prices for performance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obligatons. When directly observable transactons are not available, our estmates of standalone selling price for each performance obligaton require judgment that considers multple factors, including, but not limited to, reasonably available data points such as costs incurred to provide the good or service, market conditons, entty-specifc factors such as pricing strategies and objectves, and informaton about the customer.</w:t>
      </w:r>
    </w:p>
    <w:p>
      <w:pPr>
        <w:spacing w:after="0" w:line="111" w:lineRule="exact"/>
        <w:rPr>
          <w:sz w:val="20"/>
          <w:szCs w:val="20"/>
          <w:color w:val="auto"/>
        </w:rPr>
      </w:pPr>
    </w:p>
    <w:p>
      <w:pPr>
        <w:jc w:val="both"/>
        <w:ind w:right="200" w:firstLine="405"/>
        <w:spacing w:after="0" w:line="235" w:lineRule="auto"/>
        <w:rPr>
          <w:sz w:val="20"/>
          <w:szCs w:val="20"/>
          <w:color w:val="auto"/>
        </w:rPr>
      </w:pPr>
      <w:r>
        <w:rPr>
          <w:rFonts w:ascii="Calibri" w:cs="Calibri" w:eastAsia="Calibri" w:hAnsi="Calibri"/>
          <w:sz w:val="18"/>
          <w:szCs w:val="18"/>
          <w:color w:val="auto"/>
        </w:rPr>
        <w:t>We separately determine the standalone selling prices by product or service type. Additonally, we segment the standalone selling prices for products where the pricing strategies difer, and where there are diferences in customers and circumstances that warrant segmentaton.</w:t>
      </w:r>
    </w:p>
    <w:p>
      <w:pPr>
        <w:spacing w:after="0" w:line="110" w:lineRule="exact"/>
        <w:rPr>
          <w:sz w:val="20"/>
          <w:szCs w:val="20"/>
          <w:color w:val="auto"/>
        </w:rPr>
      </w:pPr>
    </w:p>
    <w:p>
      <w:pPr>
        <w:jc w:val="both"/>
        <w:ind w:right="200" w:firstLine="405"/>
        <w:spacing w:after="0" w:line="235" w:lineRule="auto"/>
        <w:rPr>
          <w:sz w:val="20"/>
          <w:szCs w:val="20"/>
          <w:color w:val="auto"/>
        </w:rPr>
      </w:pPr>
      <w:r>
        <w:rPr>
          <w:rFonts w:ascii="Calibri" w:cs="Calibri" w:eastAsia="Calibri" w:hAnsi="Calibri"/>
          <w:sz w:val="18"/>
          <w:szCs w:val="18"/>
          <w:color w:val="auto"/>
        </w:rPr>
        <w:t>We also estmate the standalone selling price of our material rights. We estmate the value of the customer’s opton to purchase or receive additonal products or services at a discounted price by estmatng the incremental discount the customer would obtain when exercising the opton and the likelihood that the opton would be exercised.</w:t>
      </w:r>
    </w:p>
    <w:p>
      <w:pPr>
        <w:spacing w:after="0" w:line="106" w:lineRule="exact"/>
        <w:rPr>
          <w:sz w:val="20"/>
          <w:szCs w:val="20"/>
          <w:color w:val="auto"/>
        </w:rPr>
      </w:pPr>
    </w:p>
    <w:p>
      <w:pPr>
        <w:ind w:left="420"/>
        <w:spacing w:after="0"/>
        <w:rPr>
          <w:sz w:val="20"/>
          <w:szCs w:val="20"/>
          <w:color w:val="auto"/>
        </w:rPr>
      </w:pPr>
      <w:r>
        <w:rPr>
          <w:rFonts w:ascii="Calibri" w:cs="Calibri" w:eastAsia="Calibri" w:hAnsi="Calibri"/>
          <w:sz w:val="18"/>
          <w:szCs w:val="18"/>
          <w:i w:val="1"/>
          <w:iCs w:val="1"/>
          <w:color w:val="auto"/>
        </w:rPr>
        <w:t>Other Policies and Judgments</w:t>
      </w:r>
    </w:p>
    <w:p>
      <w:pPr>
        <w:spacing w:after="0" w:line="109"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i w:val="1"/>
          <w:iCs w:val="1"/>
          <w:color w:val="auto"/>
        </w:rPr>
        <w:t xml:space="preserve">Contract modifcatons. </w:t>
      </w:r>
      <w:r>
        <w:rPr>
          <w:rFonts w:ascii="Calibri" w:cs="Calibri" w:eastAsia="Calibri" w:hAnsi="Calibri"/>
          <w:sz w:val="18"/>
          <w:szCs w:val="18"/>
          <w:color w:val="auto"/>
        </w:rPr>
        <w:t>We may modify contracts to ofer customers additonal products or services. Each of the additonal products and services is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generally considered distnct from those products or services transferred to the customer before the modifcaton. We evaluate whether the contract price for the additonal products and services refects the standalone selling price as adjusted for facts and circumstances applicable to that contract. In these cases, we account for the additonal products or services as a separate contract. In other cases where the pricing in the modifcaton does not refect the standalone selling price as adjusted for facts and circumstances applicable to that contract, we account for the additonal products or services as part of the existng contract on a prospectve basis, on a cumulatve catch-up basis, or a combinaton of both based on the nature of the modifcaton. In instances where the pricing in the modifcaton ofers the customer a credit for a prior arrangement, we adjust our variable consideraton reserves for returns and other concessions.</w:t>
      </w:r>
    </w:p>
    <w:p>
      <w:pPr>
        <w:spacing w:after="0" w:line="115" w:lineRule="exact"/>
        <w:rPr>
          <w:sz w:val="20"/>
          <w:szCs w:val="20"/>
          <w:color w:val="auto"/>
        </w:rPr>
      </w:pPr>
    </w:p>
    <w:p>
      <w:pPr>
        <w:ind w:right="140" w:firstLine="405"/>
        <w:spacing w:after="0" w:line="235" w:lineRule="auto"/>
        <w:rPr>
          <w:sz w:val="20"/>
          <w:szCs w:val="20"/>
          <w:color w:val="auto"/>
        </w:rPr>
      </w:pPr>
      <w:r>
        <w:rPr>
          <w:rFonts w:ascii="Calibri" w:cs="Calibri" w:eastAsia="Calibri" w:hAnsi="Calibri"/>
          <w:sz w:val="18"/>
          <w:szCs w:val="18"/>
          <w:i w:val="1"/>
          <w:iCs w:val="1"/>
          <w:color w:val="auto"/>
        </w:rPr>
        <w:t xml:space="preserve">Right of return. </w:t>
      </w:r>
      <w:r>
        <w:rPr>
          <w:rFonts w:ascii="Calibri" w:cs="Calibri" w:eastAsia="Calibri" w:hAnsi="Calibri"/>
          <w:sz w:val="18"/>
          <w:szCs w:val="18"/>
          <w:color w:val="auto"/>
        </w:rPr>
        <w:t>Certain contracts contain a right of return that allows the customer to cancel all or a porton of the product or service and receive a</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credit. We estmate returns based on historical returns data which is constrained to an amount for which a material revenue reversal is not probable. We do not recognize revenue for products or services that are expected to be returned.</w:t>
      </w:r>
    </w:p>
    <w:p>
      <w:pPr>
        <w:spacing w:after="0" w:line="111" w:lineRule="exact"/>
        <w:rPr>
          <w:sz w:val="20"/>
          <w:szCs w:val="20"/>
          <w:color w:val="auto"/>
        </w:rPr>
      </w:pPr>
    </w:p>
    <w:p>
      <w:pPr>
        <w:ind w:right="40" w:firstLine="405"/>
        <w:spacing w:after="0" w:line="235" w:lineRule="auto"/>
        <w:rPr>
          <w:sz w:val="20"/>
          <w:szCs w:val="20"/>
          <w:color w:val="auto"/>
        </w:rPr>
      </w:pPr>
      <w:r>
        <w:rPr>
          <w:rFonts w:ascii="Calibri" w:cs="Calibri" w:eastAsia="Calibri" w:hAnsi="Calibri"/>
          <w:sz w:val="18"/>
          <w:szCs w:val="18"/>
          <w:i w:val="1"/>
          <w:iCs w:val="1"/>
          <w:color w:val="auto"/>
        </w:rPr>
        <w:t xml:space="preserve">Practcal expedient elected. </w:t>
      </w:r>
      <w:r>
        <w:rPr>
          <w:rFonts w:ascii="Calibri" w:cs="Calibri" w:eastAsia="Calibri" w:hAnsi="Calibri"/>
          <w:sz w:val="18"/>
          <w:szCs w:val="18"/>
          <w:color w:val="auto"/>
        </w:rPr>
        <w:t>We do not disclose the value of unsatsfed performance obligatons for (i) contracts with an original expected length of one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year or less and (ii) contracts for which we recognize revenue at the amount to which we have the right to invoice for services performed. For contracts that were modifed before the beginning of the earliest reportng period presented, we have not retrospectvely restated the contract for those modifcatons. We have disclosed the aggregate efect of all modifcatons when identfying the satsfed and unsatsfed performance obligatons for purposes of determining the transacton price and allocatng the transacton price at transiton.</w:t>
      </w:r>
    </w:p>
    <w:p>
      <w:pPr>
        <w:spacing w:after="0" w:line="112"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i w:val="1"/>
          <w:iCs w:val="1"/>
          <w:color w:val="auto"/>
        </w:rPr>
        <w:t xml:space="preserve">Research and development. </w:t>
      </w:r>
      <w:r>
        <w:rPr>
          <w:rFonts w:ascii="Calibri" w:cs="Calibri" w:eastAsia="Calibri" w:hAnsi="Calibri"/>
          <w:sz w:val="18"/>
          <w:szCs w:val="18"/>
          <w:color w:val="auto"/>
        </w:rPr>
        <w:t>Research and development expense consists primarily of personnel costs for our engineers and third partes engaged in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design and development of our products, sofware and technologies, including salary, bonus and stock-based compensaton expense, project material costs, services and depreciaton. Such costs are charged to research and development expense as they are incurred.</w:t>
      </w:r>
    </w:p>
    <w:p>
      <w:pPr>
        <w:spacing w:after="0" w:line="111" w:lineRule="exact"/>
        <w:rPr>
          <w:sz w:val="20"/>
          <w:szCs w:val="20"/>
          <w:color w:val="auto"/>
        </w:rPr>
      </w:pPr>
    </w:p>
    <w:p>
      <w:pPr>
        <w:ind w:right="20" w:firstLine="405"/>
        <w:spacing w:after="0" w:line="251" w:lineRule="auto"/>
        <w:rPr>
          <w:sz w:val="20"/>
          <w:szCs w:val="20"/>
          <w:color w:val="auto"/>
        </w:rPr>
      </w:pPr>
      <w:r>
        <w:rPr>
          <w:rFonts w:ascii="Calibri" w:cs="Calibri" w:eastAsia="Calibri" w:hAnsi="Calibri"/>
          <w:sz w:val="17"/>
          <w:szCs w:val="17"/>
          <w:i w:val="1"/>
          <w:iCs w:val="1"/>
          <w:color w:val="auto"/>
        </w:rPr>
        <w:t xml:space="preserve">Stock-based compensaton expense. </w:t>
      </w:r>
      <w:r>
        <w:rPr>
          <w:rFonts w:ascii="Calibri" w:cs="Calibri" w:eastAsia="Calibri" w:hAnsi="Calibri"/>
          <w:sz w:val="17"/>
          <w:szCs w:val="17"/>
          <w:color w:val="auto"/>
        </w:rPr>
        <w:t>We recognize compensaton expense for tme-based restricted stock units (“RSUs”) using the straight-line</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amortzaton method based on the fair value of RSUs on the date of grant. The fair value of RSUs is the closing market price of Broadcom common stock on the date of grant, reduced by the present value of dividends expected to be paid on Broadcom common stock prior to vestng. We recognize compensaton expense for tme-based stock optons and employee stock purchase plan rights under the Broadcom Inc. Employee Stock Purchase Plan, as amended (“ESPP”) based on the estmated grant-date fair value determined using the Black-Scholes valuaton model with a straight-line amortzaton method.</w:t>
      </w:r>
    </w:p>
    <w:p>
      <w:pPr>
        <w:spacing w:after="0" w:line="103" w:lineRule="exact"/>
        <w:rPr>
          <w:sz w:val="20"/>
          <w:szCs w:val="20"/>
          <w:color w:val="auto"/>
        </w:rPr>
      </w:pPr>
    </w:p>
    <w:p>
      <w:pPr>
        <w:ind w:right="300" w:firstLine="405"/>
        <w:spacing w:after="0" w:line="235" w:lineRule="auto"/>
        <w:rPr>
          <w:sz w:val="20"/>
          <w:szCs w:val="20"/>
          <w:color w:val="auto"/>
        </w:rPr>
      </w:pPr>
      <w:r>
        <w:rPr>
          <w:rFonts w:ascii="Calibri" w:cs="Calibri" w:eastAsia="Calibri" w:hAnsi="Calibri"/>
          <w:sz w:val="18"/>
          <w:szCs w:val="18"/>
          <w:color w:val="auto"/>
        </w:rPr>
        <w:t>Certain equity awards include both service and market conditons. The fair value of market-based awards is estmated on the date of grant using the Monte Carlo simulaton technique. Compensaton expense for market-based awards is amortzed based upon a graded vestng method over the service period.</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3" w:name="page64"/>
    <w:bookmarkEnd w:id="6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We estmate forfeitures expected to occur and recognize stock-based compensaton expense for such awards expected to vest. We will recognize additonal expense if actual forfeitures are lower than we estmated, and will recognize a beneft if actual forfeitures are higher than we estmated. Changes in the estmated forfeiture rates can have a signifcant efect on stock-based compensaton expense since the efect of adjustng the rate is recognized in the period the forfeiture estmate is changed.</w:t>
      </w:r>
    </w:p>
    <w:p>
      <w:pPr>
        <w:spacing w:after="0" w:line="111" w:lineRule="exact"/>
        <w:rPr>
          <w:sz w:val="20"/>
          <w:szCs w:val="20"/>
          <w:color w:val="auto"/>
        </w:rPr>
      </w:pPr>
    </w:p>
    <w:p>
      <w:pPr>
        <w:ind w:right="80" w:firstLine="405"/>
        <w:spacing w:after="0" w:line="235" w:lineRule="auto"/>
        <w:rPr>
          <w:sz w:val="20"/>
          <w:szCs w:val="20"/>
          <w:color w:val="auto"/>
        </w:rPr>
      </w:pPr>
      <w:r>
        <w:rPr>
          <w:rFonts w:ascii="Calibri" w:cs="Calibri" w:eastAsia="Calibri" w:hAnsi="Calibri"/>
          <w:sz w:val="18"/>
          <w:szCs w:val="18"/>
          <w:i w:val="1"/>
          <w:iCs w:val="1"/>
          <w:color w:val="auto"/>
        </w:rPr>
        <w:t xml:space="preserve">Shipping and handling costs. </w:t>
      </w:r>
      <w:r>
        <w:rPr>
          <w:rFonts w:ascii="Calibri" w:cs="Calibri" w:eastAsia="Calibri" w:hAnsi="Calibri"/>
          <w:sz w:val="18"/>
          <w:szCs w:val="18"/>
          <w:color w:val="auto"/>
        </w:rPr>
        <w:t>Our shipping and handling costs charged to customers are included in net revenue and the associated expense is included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in cost of revenue for all periods presented.</w:t>
      </w:r>
    </w:p>
    <w:p>
      <w:pPr>
        <w:spacing w:after="0" w:line="110"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i w:val="1"/>
          <w:iCs w:val="1"/>
          <w:color w:val="auto"/>
        </w:rPr>
        <w:t xml:space="preserve">Litgaton and setlement costs. </w:t>
      </w:r>
      <w:r>
        <w:rPr>
          <w:rFonts w:ascii="Calibri" w:cs="Calibri" w:eastAsia="Calibri" w:hAnsi="Calibri"/>
          <w:sz w:val="18"/>
          <w:szCs w:val="18"/>
          <w:color w:val="auto"/>
        </w:rPr>
        <w:t>We are involved in legal actons and other maters arising in our recent business acquisitons and in the normal course of</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business. We recognize an estmated loss contngency when the outcome is probable prior to issuance of the consolidated fnancial statements and we are able to reasonably estmate the amount or range of any possible loss.</w:t>
      </w:r>
    </w:p>
    <w:p>
      <w:pPr>
        <w:spacing w:after="0" w:line="111"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i w:val="1"/>
          <w:iCs w:val="1"/>
          <w:color w:val="auto"/>
        </w:rPr>
        <w:t xml:space="preserve">Income taxes. </w:t>
      </w:r>
      <w:r>
        <w:rPr>
          <w:rFonts w:ascii="Calibri" w:cs="Calibri" w:eastAsia="Calibri" w:hAnsi="Calibri"/>
          <w:sz w:val="18"/>
          <w:szCs w:val="18"/>
          <w:color w:val="auto"/>
        </w:rPr>
        <w:t>We account for income taxes under the asset and liability method, which requires the recogniton of deferred tax assets and liabilites for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 expected future tax consequences of events that have been included in the consolidated fnancial statements. Under this method, deferred tax assets and liabilites are determined based on the diferences between the consolidated fnancial statements and tax basis of assets and liabilites using enacted tax rates in efect for the year in which the diferences are expected to reverse. The efect of a change in tax rates on deferred tax assets and liabilites is recognized in income in the period that includes the enactment date.</w:t>
      </w:r>
    </w:p>
    <w:p>
      <w:pPr>
        <w:spacing w:after="0" w:line="112" w:lineRule="exact"/>
        <w:rPr>
          <w:sz w:val="20"/>
          <w:szCs w:val="20"/>
          <w:color w:val="auto"/>
        </w:rPr>
      </w:pPr>
    </w:p>
    <w:p>
      <w:pPr>
        <w:ind w:right="240" w:firstLine="405"/>
        <w:spacing w:after="0" w:line="235" w:lineRule="auto"/>
        <w:rPr>
          <w:sz w:val="20"/>
          <w:szCs w:val="20"/>
          <w:color w:val="auto"/>
        </w:rPr>
      </w:pPr>
      <w:r>
        <w:rPr>
          <w:rFonts w:ascii="Calibri" w:cs="Calibri" w:eastAsia="Calibri" w:hAnsi="Calibri"/>
          <w:sz w:val="18"/>
          <w:szCs w:val="18"/>
          <w:color w:val="auto"/>
        </w:rPr>
        <w:t>We recognize net deferred tax assets to the extent we believe these assets will more likely than not be realized. In making such determinaton, we consider all available positve and negatve evidence, including scheduled reversals of deferred tax liabilites, projected future taxable income, tax planning strategies and recent fnancial operatons. If we determine that we are able to realize our deferred income tax assets in the future in excess of their net carrying values, we adjust the valuaton allowance and reduce the provision for income taxes or increase the beneft from income taxes. Likewise, if we determine that we are not able to realize all or part of our net deferred tax assets, we increase the provision for income taxes or decrease the beneft from income taxes in the period such determinaton is made.</w:t>
      </w:r>
    </w:p>
    <w:p>
      <w:pPr>
        <w:spacing w:after="0" w:line="113" w:lineRule="exact"/>
        <w:rPr>
          <w:sz w:val="20"/>
          <w:szCs w:val="20"/>
          <w:color w:val="auto"/>
        </w:rPr>
      </w:pPr>
    </w:p>
    <w:p>
      <w:pPr>
        <w:ind w:right="160" w:firstLine="405"/>
        <w:spacing w:after="0" w:line="254" w:lineRule="auto"/>
        <w:rPr>
          <w:sz w:val="20"/>
          <w:szCs w:val="20"/>
          <w:color w:val="auto"/>
        </w:rPr>
      </w:pPr>
      <w:r>
        <w:rPr>
          <w:rFonts w:ascii="Calibri" w:cs="Calibri" w:eastAsia="Calibri" w:hAnsi="Calibri"/>
          <w:sz w:val="17"/>
          <w:szCs w:val="17"/>
          <w:color w:val="auto"/>
        </w:rPr>
        <w:t>The U.S. Tax Cuts and Jobs Act enacted on December 22, 2017 (the “2017 Tax Act”) introduced signifcant changes to U.S. income tax law. The Global Intangible Low-Taxed Income (“GILTI”) provisions of the 2017 Tax Act require Broadcom to include in its U.S. income tax return foreign subsidiary earnings in excess of an allowable return on the foreign subsidiary’s tangible assets. We have elected to record the impacts of GILTI during the period incurred.</w:t>
      </w:r>
    </w:p>
    <w:p>
      <w:pPr>
        <w:spacing w:after="0" w:line="97" w:lineRule="exact"/>
        <w:rPr>
          <w:sz w:val="20"/>
          <w:szCs w:val="20"/>
          <w:color w:val="auto"/>
        </w:rPr>
      </w:pPr>
    </w:p>
    <w:p>
      <w:pPr>
        <w:ind w:right="200" w:firstLine="405"/>
        <w:spacing w:after="0" w:line="235" w:lineRule="auto"/>
        <w:rPr>
          <w:sz w:val="20"/>
          <w:szCs w:val="20"/>
          <w:color w:val="auto"/>
        </w:rPr>
      </w:pPr>
      <w:r>
        <w:rPr>
          <w:rFonts w:ascii="Calibri" w:cs="Calibri" w:eastAsia="Calibri" w:hAnsi="Calibri"/>
          <w:sz w:val="18"/>
          <w:szCs w:val="18"/>
          <w:color w:val="auto"/>
        </w:rPr>
        <w:t>We account for uncertainty in income taxes in accordance with the applicable accountng guidance on income taxes. This guidance provides that a tax beneft from an uncertain tax positon may be recognized when it is more likely than not that the positon will be sustained upon examinaton, including resolutons of any related appeals or litgaton processes, based on the technical merits.</w:t>
      </w:r>
    </w:p>
    <w:p>
      <w:pPr>
        <w:spacing w:after="0" w:line="111" w:lineRule="exact"/>
        <w:rPr>
          <w:sz w:val="20"/>
          <w:szCs w:val="20"/>
          <w:color w:val="auto"/>
        </w:rPr>
      </w:pPr>
    </w:p>
    <w:p>
      <w:pPr>
        <w:ind w:firstLine="405"/>
        <w:spacing w:after="0" w:line="251" w:lineRule="auto"/>
        <w:rPr>
          <w:sz w:val="20"/>
          <w:szCs w:val="20"/>
          <w:color w:val="auto"/>
        </w:rPr>
      </w:pPr>
      <w:r>
        <w:rPr>
          <w:rFonts w:ascii="Calibri" w:cs="Calibri" w:eastAsia="Calibri" w:hAnsi="Calibri"/>
          <w:sz w:val="17"/>
          <w:szCs w:val="17"/>
          <w:i w:val="1"/>
          <w:iCs w:val="1"/>
          <w:color w:val="auto"/>
        </w:rPr>
        <w:t xml:space="preserve">Net income per share. </w:t>
      </w:r>
      <w:r>
        <w:rPr>
          <w:rFonts w:ascii="Calibri" w:cs="Calibri" w:eastAsia="Calibri" w:hAnsi="Calibri"/>
          <w:sz w:val="17"/>
          <w:szCs w:val="17"/>
          <w:color w:val="auto"/>
        </w:rPr>
        <w:t>Basic net income per share is computed by dividing net income atributable to common stock by the weighted-average number of</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shares of common stock outstanding during the period. Diluted net income per share is computed by dividing net income atributable to common stock by the weighted-average number of shares of common stock and potentally dilutve shares of common stock outstanding during the period. Potentally dilutve shares outstanding include the dilutve efect of unvested RSUs and ESPP rights (together referred to as “equity awards”), as well as convertble preferred stock. Potentally dilutve shares whose efect would have been antdilutve are excluded from the computaton of diluted net income per share.</w:t>
      </w:r>
    </w:p>
    <w:p>
      <w:pPr>
        <w:spacing w:after="0" w:line="103" w:lineRule="exact"/>
        <w:rPr>
          <w:sz w:val="20"/>
          <w:szCs w:val="20"/>
          <w:color w:val="auto"/>
        </w:rPr>
      </w:pPr>
    </w:p>
    <w:p>
      <w:pPr>
        <w:ind w:right="120" w:firstLine="405"/>
        <w:spacing w:after="0" w:line="235" w:lineRule="auto"/>
        <w:rPr>
          <w:sz w:val="20"/>
          <w:szCs w:val="20"/>
          <w:color w:val="auto"/>
        </w:rPr>
      </w:pPr>
      <w:r>
        <w:rPr>
          <w:rFonts w:ascii="Calibri" w:cs="Calibri" w:eastAsia="Calibri" w:hAnsi="Calibri"/>
          <w:sz w:val="18"/>
          <w:szCs w:val="18"/>
          <w:color w:val="auto"/>
        </w:rPr>
        <w:t>The dilutve efect of equity awards is calculated based on the average stock price for each fscal period, using the treasury stock method. Under the treasury stock method, the amount the employee must pay for purchasing shares under the ESPP and the amount of compensaton expense for future service that we have not yet recognized are collectvely assumed to be used to repurchase shares. The dilutve efect of convertble preferred stock is calculated using the if-converted method. The if-converted method assumes that these securites were converted at the beginning of the reportng period to the extent that the efect is dilutve.</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3. Revenue from Contracts with Customers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Disaggregaton</w:t>
      </w:r>
    </w:p>
    <w:p>
      <w:pPr>
        <w:spacing w:after="0" w:line="109" w:lineRule="exact"/>
        <w:rPr>
          <w:sz w:val="20"/>
          <w:szCs w:val="20"/>
          <w:color w:val="auto"/>
        </w:rPr>
      </w:pPr>
    </w:p>
    <w:p>
      <w:pPr>
        <w:ind w:right="240" w:firstLine="405"/>
        <w:spacing w:after="0" w:line="235" w:lineRule="auto"/>
        <w:rPr>
          <w:sz w:val="20"/>
          <w:szCs w:val="20"/>
          <w:color w:val="auto"/>
        </w:rPr>
      </w:pPr>
      <w:r>
        <w:rPr>
          <w:rFonts w:ascii="Calibri" w:cs="Calibri" w:eastAsia="Calibri" w:hAnsi="Calibri"/>
          <w:sz w:val="18"/>
          <w:szCs w:val="18"/>
          <w:color w:val="auto"/>
        </w:rPr>
        <w:t>We have considered (1) informaton that is regularly reviewed by our Chief Executve Ofcer, who has been identfed as the chief operatng decision maker (the “CODM”) as defned by the authoritatve guidance on segment reportng, in evaluatng fnancial performance and (2) disclosures presented outside of our fnancial statements in our earnings releases and used in investor presentatons to disaggregate revenues. The principal category we use to disaggregate revenues is the nature of our products and subscriptons and services, as presented in our consolidated statements of operatons. In additon, revenues by reportable segment are presented in Note 13. “Segment Informaton.”</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The following tables present revenue disaggregated by type of revenue and by region for the periods presented: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20" w:type="dxa"/>
            <w:vAlign w:val="bottom"/>
            <w:gridSpan w:val="7"/>
          </w:tcPr>
          <w:p>
            <w:pPr>
              <w:jc w:val="center"/>
              <w:ind w:right="80"/>
              <w:spacing w:after="0"/>
              <w:rPr>
                <w:sz w:val="20"/>
                <w:szCs w:val="20"/>
                <w:color w:val="auto"/>
              </w:rPr>
            </w:pPr>
            <w:r>
              <w:rPr>
                <w:rFonts w:ascii="Calibri" w:cs="Calibri" w:eastAsia="Calibri" w:hAnsi="Calibri"/>
                <w:sz w:val="14"/>
                <w:szCs w:val="14"/>
                <w:b w:val="1"/>
                <w:bCs w:val="1"/>
                <w:color w:val="auto"/>
              </w:rPr>
              <w:t>Fiscal Year 2024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vMerge w:val="restart"/>
          </w:tcPr>
          <w:p>
            <w:pPr>
              <w:ind w:left="180"/>
              <w:spacing w:after="0"/>
              <w:rPr>
                <w:sz w:val="20"/>
                <w:szCs w:val="20"/>
                <w:color w:val="auto"/>
              </w:rPr>
            </w:pPr>
            <w:r>
              <w:rPr>
                <w:rFonts w:ascii="Calibri" w:cs="Calibri" w:eastAsia="Calibri" w:hAnsi="Calibri"/>
                <w:sz w:val="14"/>
                <w:szCs w:val="14"/>
                <w:b w:val="1"/>
                <w:bCs w:val="1"/>
                <w:color w:val="auto"/>
              </w:rPr>
              <w:t>Americas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restart"/>
          </w:tcPr>
          <w:p>
            <w:pPr>
              <w:ind w:left="160"/>
              <w:spacing w:after="0"/>
              <w:rPr>
                <w:sz w:val="20"/>
                <w:szCs w:val="20"/>
                <w:color w:val="auto"/>
              </w:rPr>
            </w:pPr>
            <w:r>
              <w:rPr>
                <w:rFonts w:ascii="Calibri" w:cs="Calibri" w:eastAsia="Calibri" w:hAnsi="Calibri"/>
                <w:sz w:val="14"/>
                <w:szCs w:val="14"/>
                <w:b w:val="1"/>
                <w:bCs w:val="1"/>
                <w:color w:val="auto"/>
              </w:rPr>
              <w:t>Asia Pacifc</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3"/>
          </w:tcPr>
          <w:p>
            <w:pPr>
              <w:jc w:val="center"/>
              <w:ind w:right="20"/>
              <w:spacing w:after="0" w:line="127" w:lineRule="exact"/>
              <w:rPr>
                <w:sz w:val="20"/>
                <w:szCs w:val="20"/>
                <w:color w:val="auto"/>
              </w:rPr>
            </w:pPr>
            <w:r>
              <w:rPr>
                <w:rFonts w:ascii="Calibri" w:cs="Calibri" w:eastAsia="Calibri" w:hAnsi="Calibri"/>
                <w:sz w:val="13"/>
                <w:szCs w:val="13"/>
                <w:b w:val="1"/>
                <w:bCs w:val="1"/>
                <w:color w:val="auto"/>
              </w:rPr>
              <w:t>Europe, the Middle East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gridSpan w:val="2"/>
            <w:vMerge w:val="restart"/>
          </w:tcPr>
          <w:p>
            <w:pPr>
              <w:ind w:left="32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Calibri" w:cs="Calibri" w:eastAsia="Calibri" w:hAnsi="Calibri"/>
                <w:sz w:val="14"/>
                <w:szCs w:val="14"/>
                <w:b w:val="1"/>
                <w:bCs w:val="1"/>
                <w:color w:val="auto"/>
              </w:rPr>
              <w:t>and Africa</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5"/>
          </w:tcPr>
          <w:p>
            <w:pPr>
              <w:jc w:val="center"/>
              <w:ind w:left="1019"/>
              <w:spacing w:after="0"/>
              <w:rPr>
                <w:sz w:val="20"/>
                <w:szCs w:val="20"/>
                <w:color w:val="auto"/>
              </w:rPr>
            </w:pPr>
            <w:r>
              <w:rPr>
                <w:rFonts w:ascii="Calibri" w:cs="Calibri" w:eastAsia="Calibri" w:hAnsi="Calibri"/>
                <w:sz w:val="14"/>
                <w:szCs w:val="14"/>
                <w:b w:val="1"/>
                <w:bCs w:val="1"/>
                <w:color w:val="auto"/>
              </w:rPr>
              <w:t>(In millions)</w:t>
            </w: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00" w:type="dxa"/>
            <w:vAlign w:val="bottom"/>
            <w:shd w:val="clear" w:color="auto" w:fill="CCEEFF"/>
          </w:tcPr>
          <w:p>
            <w:pPr>
              <w:spacing w:after="0" w:line="215" w:lineRule="exact"/>
              <w:rPr>
                <w:sz w:val="20"/>
                <w:szCs w:val="20"/>
                <w:color w:val="auto"/>
              </w:rPr>
            </w:pPr>
            <w:r>
              <w:rPr>
                <w:rFonts w:ascii="Calibri" w:cs="Calibri" w:eastAsia="Calibri" w:hAnsi="Calibri"/>
                <w:sz w:val="18"/>
                <w:szCs w:val="18"/>
                <w:color w:val="auto"/>
              </w:rPr>
              <w:t>Products</w:t>
            </w:r>
          </w:p>
        </w:tc>
        <w:tc>
          <w:tcPr>
            <w:tcW w:w="300" w:type="dxa"/>
            <w:vAlign w:val="bottom"/>
            <w:gridSpan w:val="2"/>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2,244</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26,219</w:t>
            </w:r>
          </w:p>
        </w:tc>
        <w:tc>
          <w:tcPr>
            <w:tcW w:w="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305"/>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1,896</w:t>
            </w:r>
          </w:p>
        </w:tc>
        <w:tc>
          <w:tcPr>
            <w:tcW w:w="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30,359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00" w:type="dxa"/>
            <w:vAlign w:val="bottom"/>
            <w:tcBorders>
              <w:bottom w:val="single" w:sz="8" w:color="CCEEFF"/>
            </w:tcBorders>
          </w:tcPr>
          <w:p>
            <w:pPr>
              <w:spacing w:after="0" w:line="215" w:lineRule="exact"/>
              <w:rPr>
                <w:sz w:val="20"/>
                <w:szCs w:val="20"/>
                <w:color w:val="auto"/>
              </w:rPr>
            </w:pPr>
            <w:r>
              <w:rPr>
                <w:rFonts w:ascii="Calibri" w:cs="Calibri" w:eastAsia="Calibri" w:hAnsi="Calibri"/>
                <w:sz w:val="18"/>
                <w:szCs w:val="18"/>
                <w:color w:val="auto"/>
              </w:rPr>
              <w:t>Subscriptons and services</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12,726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2,203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6,286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21,215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1"/>
                <w:szCs w:val="21"/>
                <w:color w:val="auto"/>
              </w:rPr>
            </w:pPr>
          </w:p>
        </w:tc>
        <w:tc>
          <w:tcPr>
            <w:tcW w:w="4500" w:type="dxa"/>
            <w:vAlign w:val="bottom"/>
            <w:tcBorders>
              <w:bottom w:val="single" w:sz="8" w:color="CCEEFF"/>
            </w:tcBorders>
            <w:shd w:val="clear" w:color="auto" w:fill="CCEEFF"/>
          </w:tcPr>
          <w:p>
            <w:pPr>
              <w:ind w:left="120"/>
              <w:spacing w:after="0"/>
              <w:rPr>
                <w:sz w:val="20"/>
                <w:szCs w:val="20"/>
                <w:color w:val="auto"/>
              </w:rPr>
            </w:pPr>
            <w:r>
              <w:rPr>
                <w:rFonts w:ascii="Calibri" w:cs="Calibri" w:eastAsia="Calibri" w:hAnsi="Calibri"/>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14,970</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28,422</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5"/>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8,182</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51,574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7"/>
          </w:tcPr>
          <w:p>
            <w:pPr>
              <w:jc w:val="center"/>
              <w:ind w:right="80"/>
              <w:spacing w:after="0"/>
              <w:rPr>
                <w:sz w:val="20"/>
                <w:szCs w:val="20"/>
                <w:color w:val="auto"/>
              </w:rPr>
            </w:pPr>
            <w:r>
              <w:rPr>
                <w:rFonts w:ascii="Calibri" w:cs="Calibri" w:eastAsia="Calibri" w:hAnsi="Calibri"/>
                <w:sz w:val="14"/>
                <w:szCs w:val="14"/>
                <w:b w:val="1"/>
                <w:bCs w:val="1"/>
                <w:color w:val="auto"/>
              </w:rPr>
              <w:t>Fiscal Year 2023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2"/>
            <w:vMerge w:val="restart"/>
          </w:tcPr>
          <w:p>
            <w:pPr>
              <w:ind w:left="180"/>
              <w:spacing w:after="0"/>
              <w:rPr>
                <w:sz w:val="20"/>
                <w:szCs w:val="20"/>
                <w:color w:val="auto"/>
              </w:rPr>
            </w:pPr>
            <w:r>
              <w:rPr>
                <w:rFonts w:ascii="Calibri" w:cs="Calibri" w:eastAsia="Calibri" w:hAnsi="Calibri"/>
                <w:sz w:val="14"/>
                <w:szCs w:val="14"/>
                <w:b w:val="1"/>
                <w:bCs w:val="1"/>
                <w:color w:val="auto"/>
              </w:rPr>
              <w:t>Americas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vMerge w:val="restart"/>
          </w:tcPr>
          <w:p>
            <w:pPr>
              <w:ind w:left="160"/>
              <w:spacing w:after="0"/>
              <w:rPr>
                <w:sz w:val="20"/>
                <w:szCs w:val="20"/>
                <w:color w:val="auto"/>
              </w:rPr>
            </w:pPr>
            <w:r>
              <w:rPr>
                <w:rFonts w:ascii="Calibri" w:cs="Calibri" w:eastAsia="Calibri" w:hAnsi="Calibri"/>
                <w:sz w:val="14"/>
                <w:szCs w:val="14"/>
                <w:b w:val="1"/>
                <w:bCs w:val="1"/>
                <w:color w:val="auto"/>
              </w:rPr>
              <w:t>Asia Pacifc</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gridSpan w:val="3"/>
          </w:tcPr>
          <w:p>
            <w:pPr>
              <w:jc w:val="center"/>
              <w:ind w:right="20"/>
              <w:spacing w:after="0" w:line="115" w:lineRule="exact"/>
              <w:rPr>
                <w:sz w:val="20"/>
                <w:szCs w:val="20"/>
                <w:color w:val="auto"/>
              </w:rPr>
            </w:pPr>
            <w:r>
              <w:rPr>
                <w:rFonts w:ascii="Calibri" w:cs="Calibri" w:eastAsia="Calibri" w:hAnsi="Calibri"/>
                <w:sz w:val="12"/>
                <w:szCs w:val="12"/>
                <w:b w:val="1"/>
                <w:bCs w:val="1"/>
                <w:color w:val="auto"/>
              </w:rPr>
              <w:t>Europe, the Middle East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gridSpan w:val="2"/>
            <w:vMerge w:val="restart"/>
          </w:tcPr>
          <w:p>
            <w:pPr>
              <w:ind w:left="32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Calibri" w:cs="Calibri" w:eastAsia="Calibri" w:hAnsi="Calibri"/>
                <w:sz w:val="14"/>
                <w:szCs w:val="14"/>
                <w:b w:val="1"/>
                <w:bCs w:val="1"/>
                <w:color w:val="auto"/>
              </w:rPr>
              <w:t>and Africa</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5"/>
          </w:tcPr>
          <w:p>
            <w:pPr>
              <w:jc w:val="center"/>
              <w:ind w:left="1019"/>
              <w:spacing w:after="0"/>
              <w:rPr>
                <w:sz w:val="20"/>
                <w:szCs w:val="20"/>
                <w:color w:val="auto"/>
              </w:rPr>
            </w:pPr>
            <w:r>
              <w:rPr>
                <w:rFonts w:ascii="Calibri" w:cs="Calibri" w:eastAsia="Calibri" w:hAnsi="Calibri"/>
                <w:sz w:val="14"/>
                <w:szCs w:val="14"/>
                <w:b w:val="1"/>
                <w:bCs w:val="1"/>
                <w:color w:val="auto"/>
              </w:rPr>
              <w:t>(In millions)</w:t>
            </w: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500" w:type="dxa"/>
            <w:vAlign w:val="bottom"/>
          </w:tcPr>
          <w:p>
            <w:pPr>
              <w:spacing w:after="0"/>
              <w:rPr>
                <w:sz w:val="4"/>
                <w:szCs w:val="4"/>
                <w:color w:val="auto"/>
              </w:rPr>
            </w:pPr>
          </w:p>
        </w:tc>
        <w:tc>
          <w:tcPr>
            <w:tcW w:w="300" w:type="dxa"/>
            <w:vAlign w:val="bottom"/>
            <w:gridSpan w:val="2"/>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12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gridSpan w:val="2"/>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00" w:type="dxa"/>
            <w:vAlign w:val="bottom"/>
            <w:shd w:val="clear" w:color="auto" w:fill="CCEEFF"/>
          </w:tcPr>
          <w:p>
            <w:pPr>
              <w:spacing w:after="0" w:line="215" w:lineRule="exact"/>
              <w:rPr>
                <w:sz w:val="20"/>
                <w:szCs w:val="20"/>
                <w:color w:val="auto"/>
              </w:rPr>
            </w:pPr>
            <w:r>
              <w:rPr>
                <w:rFonts w:ascii="Calibri" w:cs="Calibri" w:eastAsia="Calibri" w:hAnsi="Calibri"/>
                <w:sz w:val="18"/>
                <w:szCs w:val="18"/>
                <w:color w:val="auto"/>
              </w:rPr>
              <w:t>Products</w:t>
            </w:r>
          </w:p>
        </w:tc>
        <w:tc>
          <w:tcPr>
            <w:tcW w:w="300" w:type="dxa"/>
            <w:vAlign w:val="bottom"/>
            <w:gridSpan w:val="2"/>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2,601</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23,263</w:t>
            </w:r>
          </w:p>
        </w:tc>
        <w:tc>
          <w:tcPr>
            <w:tcW w:w="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305"/>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2,027</w:t>
            </w:r>
          </w:p>
        </w:tc>
        <w:tc>
          <w:tcPr>
            <w:tcW w:w="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27,891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00" w:type="dxa"/>
            <w:vAlign w:val="bottom"/>
            <w:tcBorders>
              <w:bottom w:val="single" w:sz="8" w:color="CCEEFF"/>
            </w:tcBorders>
          </w:tcPr>
          <w:p>
            <w:pPr>
              <w:spacing w:after="0" w:line="215" w:lineRule="exact"/>
              <w:rPr>
                <w:sz w:val="20"/>
                <w:szCs w:val="20"/>
                <w:color w:val="auto"/>
              </w:rPr>
            </w:pPr>
            <w:r>
              <w:rPr>
                <w:rFonts w:ascii="Calibri" w:cs="Calibri" w:eastAsia="Calibri" w:hAnsi="Calibri"/>
                <w:sz w:val="18"/>
                <w:szCs w:val="18"/>
                <w:color w:val="auto"/>
              </w:rPr>
              <w:t>Subscriptons and services</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5,678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657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1,593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7,928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1"/>
                <w:szCs w:val="21"/>
                <w:color w:val="auto"/>
              </w:rPr>
            </w:pPr>
          </w:p>
        </w:tc>
        <w:tc>
          <w:tcPr>
            <w:tcW w:w="4500" w:type="dxa"/>
            <w:vAlign w:val="bottom"/>
            <w:tcBorders>
              <w:bottom w:val="single" w:sz="8" w:color="CCEEFF"/>
            </w:tcBorders>
            <w:shd w:val="clear" w:color="auto" w:fill="CCEEFF"/>
          </w:tcPr>
          <w:p>
            <w:pPr>
              <w:ind w:left="120"/>
              <w:spacing w:after="0"/>
              <w:rPr>
                <w:sz w:val="20"/>
                <w:szCs w:val="20"/>
                <w:color w:val="auto"/>
              </w:rPr>
            </w:pPr>
            <w:r>
              <w:rPr>
                <w:rFonts w:ascii="Calibri" w:cs="Calibri" w:eastAsia="Calibri" w:hAnsi="Calibri"/>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8,279</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23,920</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5"/>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3,620</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35,819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7"/>
          </w:tcPr>
          <w:p>
            <w:pPr>
              <w:jc w:val="center"/>
              <w:ind w:right="120"/>
              <w:spacing w:after="0"/>
              <w:rPr>
                <w:sz w:val="20"/>
                <w:szCs w:val="20"/>
                <w:color w:val="auto"/>
              </w:rPr>
            </w:pPr>
            <w:r>
              <w:rPr>
                <w:rFonts w:ascii="Calibri" w:cs="Calibri" w:eastAsia="Calibri" w:hAnsi="Calibri"/>
                <w:sz w:val="14"/>
                <w:szCs w:val="14"/>
                <w:b w:val="1"/>
                <w:bCs w:val="1"/>
                <w:color w:val="auto"/>
              </w:rPr>
              <w:t>Fiscal Year 2022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vMerge w:val="restart"/>
          </w:tcPr>
          <w:p>
            <w:pPr>
              <w:ind w:left="160"/>
              <w:spacing w:after="0"/>
              <w:rPr>
                <w:sz w:val="20"/>
                <w:szCs w:val="20"/>
                <w:color w:val="auto"/>
              </w:rPr>
            </w:pPr>
            <w:r>
              <w:rPr>
                <w:rFonts w:ascii="Calibri" w:cs="Calibri" w:eastAsia="Calibri" w:hAnsi="Calibri"/>
                <w:sz w:val="14"/>
                <w:szCs w:val="14"/>
                <w:b w:val="1"/>
                <w:bCs w:val="1"/>
                <w:color w:val="auto"/>
              </w:rPr>
              <w:t>Americas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restart"/>
          </w:tcPr>
          <w:p>
            <w:pPr>
              <w:ind w:left="140"/>
              <w:spacing w:after="0"/>
              <w:rPr>
                <w:sz w:val="20"/>
                <w:szCs w:val="20"/>
                <w:color w:val="auto"/>
              </w:rPr>
            </w:pPr>
            <w:r>
              <w:rPr>
                <w:rFonts w:ascii="Calibri" w:cs="Calibri" w:eastAsia="Calibri" w:hAnsi="Calibri"/>
                <w:sz w:val="14"/>
                <w:szCs w:val="14"/>
                <w:b w:val="1"/>
                <w:bCs w:val="1"/>
                <w:color w:val="auto"/>
              </w:rPr>
              <w:t>Asia Pacifc</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3"/>
          </w:tcPr>
          <w:p>
            <w:pPr>
              <w:jc w:val="center"/>
              <w:ind w:right="60"/>
              <w:spacing w:after="0" w:line="127" w:lineRule="exact"/>
              <w:rPr>
                <w:sz w:val="20"/>
                <w:szCs w:val="20"/>
                <w:color w:val="auto"/>
              </w:rPr>
            </w:pPr>
            <w:r>
              <w:rPr>
                <w:rFonts w:ascii="Calibri" w:cs="Calibri" w:eastAsia="Calibri" w:hAnsi="Calibri"/>
                <w:sz w:val="13"/>
                <w:szCs w:val="13"/>
                <w:b w:val="1"/>
                <w:bCs w:val="1"/>
                <w:color w:val="auto"/>
              </w:rPr>
              <w:t>Europe, the Middle East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gridSpan w:val="2"/>
            <w:vMerge w:val="restart"/>
          </w:tcPr>
          <w:p>
            <w:pPr>
              <w:ind w:left="30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Calibri" w:cs="Calibri" w:eastAsia="Calibri" w:hAnsi="Calibri"/>
                <w:sz w:val="14"/>
                <w:szCs w:val="14"/>
                <w:b w:val="1"/>
                <w:bCs w:val="1"/>
                <w:color w:val="auto"/>
              </w:rPr>
              <w:t>and Africa</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5"/>
          </w:tcPr>
          <w:p>
            <w:pPr>
              <w:jc w:val="center"/>
              <w:ind w:left="979"/>
              <w:spacing w:after="0"/>
              <w:rPr>
                <w:sz w:val="20"/>
                <w:szCs w:val="20"/>
                <w:color w:val="auto"/>
              </w:rPr>
            </w:pPr>
            <w:r>
              <w:rPr>
                <w:rFonts w:ascii="Calibri" w:cs="Calibri" w:eastAsia="Calibri" w:hAnsi="Calibri"/>
                <w:sz w:val="14"/>
                <w:szCs w:val="14"/>
                <w:b w:val="1"/>
                <w:bCs w:val="1"/>
                <w:color w:val="auto"/>
              </w:rPr>
              <w:t>(In millions)</w:t>
            </w: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540" w:type="dxa"/>
            <w:vAlign w:val="bottom"/>
            <w:gridSpan w:val="2"/>
          </w:tcPr>
          <w:p>
            <w:pPr>
              <w:spacing w:after="0"/>
              <w:rPr>
                <w:sz w:val="4"/>
                <w:szCs w:val="4"/>
                <w:color w:val="auto"/>
              </w:rPr>
            </w:pPr>
          </w:p>
        </w:tc>
        <w:tc>
          <w:tcPr>
            <w:tcW w:w="300" w:type="dxa"/>
            <w:vAlign w:val="bottom"/>
            <w:gridSpan w:val="2"/>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12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gridSpan w:val="2"/>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Products</w:t>
            </w:r>
          </w:p>
        </w:tc>
        <w:tc>
          <w:tcPr>
            <w:tcW w:w="300" w:type="dxa"/>
            <w:vAlign w:val="bottom"/>
            <w:gridSpan w:val="2"/>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2,371</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21,761</w:t>
            </w:r>
          </w:p>
        </w:tc>
        <w:tc>
          <w:tcPr>
            <w:tcW w:w="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325"/>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2,145</w:t>
            </w:r>
          </w:p>
        </w:tc>
        <w:tc>
          <w:tcPr>
            <w:tcW w:w="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21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26,277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gridSpan w:val="2"/>
          </w:tcPr>
          <w:p>
            <w:pPr>
              <w:ind w:left="20"/>
              <w:spacing w:after="0" w:line="215" w:lineRule="exact"/>
              <w:rPr>
                <w:sz w:val="20"/>
                <w:szCs w:val="20"/>
                <w:color w:val="auto"/>
              </w:rPr>
            </w:pPr>
            <w:r>
              <w:rPr>
                <w:rFonts w:ascii="Calibri" w:cs="Calibri" w:eastAsia="Calibri" w:hAnsi="Calibri"/>
                <w:sz w:val="18"/>
                <w:szCs w:val="18"/>
                <w:color w:val="auto"/>
              </w:rPr>
              <w:t>Subscriptons and services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4,573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744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1,609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6,926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shd w:val="clear" w:color="auto" w:fill="CCEEFF"/>
          </w:tcPr>
          <w:p>
            <w:pPr>
              <w:ind w:left="100"/>
              <w:spacing w:after="0"/>
              <w:rPr>
                <w:sz w:val="20"/>
                <w:szCs w:val="20"/>
                <w:color w:val="auto"/>
              </w:rPr>
            </w:pPr>
            <w:r>
              <w:rPr>
                <w:rFonts w:ascii="Calibri" w:cs="Calibri" w:eastAsia="Calibri" w:hAnsi="Calibri"/>
                <w:sz w:val="18"/>
                <w:szCs w:val="18"/>
                <w:color w:val="auto"/>
              </w:rPr>
              <w:t>Total</w:t>
            </w:r>
          </w:p>
        </w:tc>
        <w:tc>
          <w:tcPr>
            <w:tcW w:w="300" w:type="dxa"/>
            <w:vAlign w:val="bottom"/>
            <w:tcBorders>
              <w:bottom w:val="single" w:sz="8" w:color="auto"/>
            </w:tcBorders>
            <w:gridSpan w:val="2"/>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6,944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22,505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jc w:val="right"/>
              <w:ind w:right="325"/>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3,754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210"/>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33,203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100" w:firstLine="405"/>
        <w:spacing w:after="0" w:line="235" w:lineRule="auto"/>
        <w:rPr>
          <w:sz w:val="20"/>
          <w:szCs w:val="20"/>
          <w:color w:val="auto"/>
        </w:rPr>
      </w:pPr>
      <w:r>
        <w:rPr>
          <w:rFonts w:ascii="Calibri" w:cs="Calibri" w:eastAsia="Calibri" w:hAnsi="Calibri"/>
          <w:sz w:val="18"/>
          <w:szCs w:val="18"/>
          <w:color w:val="auto"/>
        </w:rPr>
        <w:t>Although we recognize revenue for the majority of our products when ttle and control transfer in Penang, Malaysia, we disclose net revenue by region based primarily on the geographic shipment locaton or delivery locaton specifed by our distributors, original equipment manufacturer (“OEM”) customers, contract manufacturers, channel partners, or sofware customers.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Contract Balances</w:t>
      </w:r>
    </w:p>
    <w:p>
      <w:pPr>
        <w:spacing w:after="0" w:line="104"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Contract assets and contract liabilites balances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Calibri" w:cs="Calibri" w:eastAsia="Calibri" w:hAnsi="Calibri"/>
                <w:sz w:val="14"/>
                <w:szCs w:val="14"/>
                <w:b w:val="1"/>
                <w:bCs w:val="1"/>
                <w:color w:val="auto"/>
              </w:rPr>
              <w:t>November 3,</w:t>
            </w:r>
          </w:p>
        </w:tc>
        <w:tc>
          <w:tcPr>
            <w:tcW w:w="340" w:type="dxa"/>
            <w:vAlign w:val="bottom"/>
          </w:tcPr>
          <w:p>
            <w:pPr>
              <w:spacing w:after="0"/>
              <w:rPr>
                <w:sz w:val="14"/>
                <w:szCs w:val="14"/>
                <w:color w:val="auto"/>
              </w:rPr>
            </w:pPr>
          </w:p>
        </w:tc>
        <w:tc>
          <w:tcPr>
            <w:tcW w:w="1200" w:type="dxa"/>
            <w:vAlign w:val="bottom"/>
          </w:tcPr>
          <w:p>
            <w:pPr>
              <w:jc w:val="right"/>
              <w:ind w:right="339"/>
              <w:spacing w:after="0"/>
              <w:rPr>
                <w:sz w:val="20"/>
                <w:szCs w:val="20"/>
                <w:color w:val="auto"/>
              </w:rPr>
            </w:pPr>
            <w:r>
              <w:rPr>
                <w:rFonts w:ascii="Calibri" w:cs="Calibri" w:eastAsia="Calibri" w:hAnsi="Calibri"/>
                <w:sz w:val="14"/>
                <w:szCs w:val="14"/>
                <w:b w:val="1"/>
                <w:bCs w:val="1"/>
                <w:color w:val="auto"/>
              </w:rPr>
              <w:t>October 29,</w:t>
            </w:r>
          </w:p>
        </w:tc>
      </w:tr>
      <w:tr>
        <w:trPr>
          <w:trHeight w:val="170"/>
        </w:trPr>
        <w:tc>
          <w:tcPr>
            <w:tcW w:w="8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541"/>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539"/>
              <w:spacing w:after="0"/>
              <w:rPr>
                <w:sz w:val="20"/>
                <w:szCs w:val="20"/>
                <w:color w:val="auto"/>
              </w:rPr>
            </w:pPr>
            <w:r>
              <w:rPr>
                <w:rFonts w:ascii="Calibri" w:cs="Calibri" w:eastAsia="Calibri" w:hAnsi="Calibri"/>
                <w:sz w:val="14"/>
                <w:szCs w:val="14"/>
                <w:b w:val="1"/>
                <w:bCs w:val="1"/>
                <w:color w:val="auto"/>
              </w:rPr>
              <w:t>2023</w:t>
            </w:r>
          </w:p>
        </w:tc>
      </w:tr>
      <w:tr>
        <w:trPr>
          <w:trHeight w:val="33"/>
        </w:trPr>
        <w:tc>
          <w:tcPr>
            <w:tcW w:w="8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1200" w:type="dxa"/>
            <w:vAlign w:val="bottom"/>
          </w:tcPr>
          <w:p>
            <w:pPr>
              <w:spacing w:after="0"/>
              <w:rPr>
                <w:sz w:val="16"/>
                <w:szCs w:val="16"/>
                <w:color w:val="auto"/>
              </w:rPr>
            </w:pPr>
          </w:p>
        </w:tc>
      </w:tr>
      <w:tr>
        <w:trPr>
          <w:trHeight w:val="47"/>
        </w:trPr>
        <w:tc>
          <w:tcPr>
            <w:tcW w:w="8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30"/>
        </w:trPr>
        <w:tc>
          <w:tcPr>
            <w:tcW w:w="80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Contract Assets</w:t>
            </w: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4,402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955</w:t>
            </w:r>
          </w:p>
        </w:tc>
      </w:tr>
      <w:tr>
        <w:trPr>
          <w:trHeight w:val="270"/>
        </w:trPr>
        <w:tc>
          <w:tcPr>
            <w:tcW w:w="8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80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Contract Liabilites</w:t>
            </w: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14,495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2,786</w:t>
            </w:r>
          </w:p>
        </w:tc>
      </w:tr>
    </w:tbl>
    <w:p>
      <w:pPr>
        <w:spacing w:after="0" w:line="180" w:lineRule="exact"/>
        <w:rPr>
          <w:sz w:val="20"/>
          <w:szCs w:val="20"/>
          <w:color w:val="auto"/>
        </w:rPr>
      </w:pPr>
    </w:p>
    <w:p>
      <w:pPr>
        <w:ind w:firstLine="405"/>
        <w:spacing w:after="0" w:line="250" w:lineRule="auto"/>
        <w:rPr>
          <w:sz w:val="20"/>
          <w:szCs w:val="20"/>
          <w:color w:val="auto"/>
        </w:rPr>
      </w:pPr>
      <w:r>
        <w:rPr>
          <w:rFonts w:ascii="Calibri" w:cs="Calibri" w:eastAsia="Calibri" w:hAnsi="Calibri"/>
          <w:sz w:val="17"/>
          <w:szCs w:val="17"/>
          <w:color w:val="auto"/>
        </w:rPr>
        <w:t>Changes in our contract assets and contract liabilites primarily result from the tming diference between our performance and the customer’s payment. Contract assets and contract liabilites as of November 3, 2024 included the impact of VMware balances acquired on November 22, 2023. We fulfll our obligatons under a contract with a customer by transferring products and services in exchange for consideraton from the customer. We recognize a contract asset when we transfer products or services to a customer and the right to consideraton is conditonal on something other than the passage of tme. Accounts receivable are recorded when the customer has been billed or the right to consideraton is unconditonal. We recognize contract liabilites when we have received consideraton or an amount of consideraton is due from the customer and we have a future obligaton to transfer products or services. As of November 3, 2024, approximately 55% of contract liabilites related to contracts subject to terminaton for convenience provisions. The amount of revenue recognized during fscal year 2024 that was included in the contract liabilites balance as of October 29, 2023 was $2,440 million. The amount of revenue recognized during fscal year 2023 that was included in the contract liabilites balance as of October 30, 2022 was $2,915 million.</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5" w:name="page66"/>
    <w:bookmarkEnd w:id="6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Remaining Performance Obligatons</w:t>
      </w:r>
    </w:p>
    <w:p>
      <w:pPr>
        <w:spacing w:after="0" w:line="109" w:lineRule="exact"/>
        <w:rPr>
          <w:sz w:val="20"/>
          <w:szCs w:val="20"/>
          <w:color w:val="auto"/>
        </w:rPr>
      </w:pPr>
    </w:p>
    <w:p>
      <w:pPr>
        <w:ind w:right="140" w:firstLine="405"/>
        <w:spacing w:after="0" w:line="235" w:lineRule="auto"/>
        <w:rPr>
          <w:sz w:val="20"/>
          <w:szCs w:val="20"/>
          <w:color w:val="auto"/>
        </w:rPr>
      </w:pPr>
      <w:r>
        <w:rPr>
          <w:rFonts w:ascii="Calibri" w:cs="Calibri" w:eastAsia="Calibri" w:hAnsi="Calibri"/>
          <w:sz w:val="18"/>
          <w:szCs w:val="18"/>
          <w:color w:val="auto"/>
        </w:rPr>
        <w:t>Revenue allocated to remaining performance obligatons represents the transacton price allocated to unsatsfed or partally unsatsfed performance obligatons. Remaining performance obligatons include unearned revenue and amounts that will be invoiced and recognized as revenue in future periods, but do not include contracts for sofware, subscriptons or services where the customer is not commited. The customer is not considered commited when terminaton for convenience without payment of a substantve penalty exists, either contractually or through customary business practce. Additonally, as a practcal expedient, we have not included contracts that have an original duraton of one year or less, nor have we included contracts with sales-based or usage-based royaltes promised in exchange for a license of IP.</w:t>
      </w:r>
    </w:p>
    <w:p>
      <w:pPr>
        <w:spacing w:after="0" w:line="113"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Certain mult-year customer contracts in our semiconductor solutons and infrastructure sofware segments contain frmly commited amounts and the remaining performance obligatons under these contracts as of November 3, 2024 were approximately $20.5 billion. We expect approximately 43% of this amount to be recognized as revenue over the next 12 months. For contracts with terminaton for convenience rights, our customers generally do not exercise those rights. In additon, the majority of our revenue is from contracts with a duraton of one year or less. Accordingly, our remaining performance obligatons disclosed above are not indicatve of revenue for future periods</w:t>
      </w:r>
      <w:r>
        <w:rPr>
          <w:rFonts w:ascii="Calibri" w:cs="Calibri" w:eastAsia="Calibri" w:hAnsi="Calibri"/>
          <w:sz w:val="18"/>
          <w:szCs w:val="18"/>
          <w:color w:val="222222"/>
        </w:rPr>
        <w:t>.</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4. Acquisitons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Acquisiton of VMware, Inc.</w:t>
      </w:r>
    </w:p>
    <w:p>
      <w:pPr>
        <w:spacing w:after="0" w:line="96"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color w:val="auto"/>
        </w:rPr>
        <w:t>On November 22, 2023, we completed the VMware Merger. Pursuant to the Agreement and Plan of Merger, each share of VMware common stock issued and outstanding immediately prior to the VMware Merger was indirectly converted into the right to receive, at the electon of the holder of such share of VMware common stock, either $142.50 in cash or 2.52 shares of Broadcom common stock (on a split adjusted basis). The stockholder electon was prorated, such that the total number of shares of VMware common stock enttled to receive cash and the total number of shares of VMware common stock enttled to receive Broadcom common stock, in each case, was equal to 50% of the aggregate number of shares of VMware common stock issued and outstanding immediately prior to the VMware Merger. Based on the VMware stockholders’ electons, the VMware stockholders received approximately $30,788 million in cash and 544 million shares of Broadcom common stock with a fair value of $53,398 million.</w:t>
      </w:r>
    </w:p>
    <w:p>
      <w:pPr>
        <w:spacing w:after="0" w:line="114" w:lineRule="exact"/>
        <w:rPr>
          <w:sz w:val="20"/>
          <w:szCs w:val="20"/>
          <w:color w:val="auto"/>
        </w:rPr>
      </w:pPr>
    </w:p>
    <w:p>
      <w:pPr>
        <w:ind w:left="420"/>
        <w:spacing w:after="0"/>
        <w:rPr>
          <w:sz w:val="20"/>
          <w:szCs w:val="20"/>
          <w:color w:val="auto"/>
        </w:rPr>
      </w:pPr>
      <w:r>
        <w:rPr>
          <w:rFonts w:ascii="Calibri" w:cs="Calibri" w:eastAsia="Calibri" w:hAnsi="Calibri"/>
          <w:sz w:val="17"/>
          <w:szCs w:val="17"/>
          <w:color w:val="auto"/>
        </w:rPr>
        <w:t>We funded the cash porton of the VMware Merger with the net proceeds from the issuance of the 2023 Term Loans, as defned and discussed in Note</w:t>
      </w:r>
    </w:p>
    <w:p>
      <w:pPr>
        <w:spacing w:after="0" w:line="4" w:lineRule="exact"/>
        <w:rPr>
          <w:sz w:val="20"/>
          <w:szCs w:val="20"/>
          <w:color w:val="auto"/>
        </w:rPr>
      </w:pPr>
    </w:p>
    <w:p>
      <w:pPr>
        <w:ind w:left="260" w:hanging="252"/>
        <w:spacing w:after="0"/>
        <w:tabs>
          <w:tab w:leader="none" w:pos="26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“Borrowings”, as well as cash on hand. We assumed $8,250 million of VMware’s outstanding senior unsecured notes.</w:t>
      </w:r>
    </w:p>
    <w:p>
      <w:pPr>
        <w:spacing w:after="0" w:line="90" w:lineRule="exact"/>
        <w:rPr>
          <w:rFonts w:ascii="Calibri" w:cs="Calibri" w:eastAsia="Calibri" w:hAnsi="Calibri"/>
          <w:sz w:val="18"/>
          <w:szCs w:val="18"/>
          <w:color w:val="auto"/>
        </w:rPr>
      </w:pPr>
    </w:p>
    <w:p>
      <w:pPr>
        <w:ind w:left="420"/>
        <w:spacing w:after="0"/>
        <w:rPr>
          <w:rFonts w:ascii="Calibri" w:cs="Calibri" w:eastAsia="Calibri" w:hAnsi="Calibri"/>
          <w:sz w:val="18"/>
          <w:szCs w:val="18"/>
          <w:color w:val="auto"/>
        </w:rPr>
      </w:pPr>
      <w:r>
        <w:rPr>
          <w:rFonts w:ascii="Calibri" w:cs="Calibri" w:eastAsia="Calibri" w:hAnsi="Calibri"/>
          <w:sz w:val="18"/>
          <w:szCs w:val="18"/>
          <w:b w:val="1"/>
          <w:bCs w:val="1"/>
          <w:i w:val="1"/>
          <w:iCs w:val="1"/>
          <w:color w:val="auto"/>
        </w:rPr>
        <w:t>Purchase Consideraton</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9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jc w:val="right"/>
              <w:ind w:right="552"/>
              <w:spacing w:after="0"/>
              <w:rPr>
                <w:sz w:val="20"/>
                <w:szCs w:val="20"/>
                <w:color w:val="auto"/>
              </w:rPr>
            </w:pPr>
            <w:r>
              <w:rPr>
                <w:rFonts w:ascii="Calibri" w:cs="Calibri" w:eastAsia="Calibri" w:hAnsi="Calibri"/>
                <w:sz w:val="14"/>
                <w:szCs w:val="14"/>
                <w:b w:val="1"/>
                <w:bCs w:val="1"/>
                <w:color w:val="auto"/>
              </w:rPr>
              <w:t>(In millions)</w:t>
            </w:r>
          </w:p>
        </w:tc>
      </w:tr>
      <w:tr>
        <w:trPr>
          <w:trHeight w:val="47"/>
        </w:trPr>
        <w:tc>
          <w:tcPr>
            <w:tcW w:w="9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229"/>
        </w:trPr>
        <w:tc>
          <w:tcPr>
            <w:tcW w:w="92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Fair value of Broadcom common stock issued for outstanding VMware common stock</w:t>
            </w:r>
          </w:p>
        </w:tc>
        <w:tc>
          <w:tcPr>
            <w:tcW w:w="38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6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53,398</w:t>
            </w:r>
          </w:p>
        </w:tc>
      </w:tr>
      <w:tr>
        <w:trPr>
          <w:trHeight w:val="222"/>
        </w:trPr>
        <w:tc>
          <w:tcPr>
            <w:tcW w:w="9220" w:type="dxa"/>
            <w:vAlign w:val="bottom"/>
          </w:tcPr>
          <w:p>
            <w:pPr>
              <w:ind w:left="20"/>
              <w:spacing w:after="0" w:line="215" w:lineRule="exact"/>
              <w:rPr>
                <w:sz w:val="20"/>
                <w:szCs w:val="20"/>
                <w:color w:val="auto"/>
              </w:rPr>
            </w:pPr>
            <w:r>
              <w:rPr>
                <w:rFonts w:ascii="Calibri" w:cs="Calibri" w:eastAsia="Calibri" w:hAnsi="Calibri"/>
                <w:sz w:val="18"/>
                <w:szCs w:val="18"/>
                <w:color w:val="auto"/>
              </w:rPr>
              <w:t>Cash paid for outstanding VMware common stock</w:t>
            </w:r>
          </w:p>
        </w:tc>
        <w:tc>
          <w:tcPr>
            <w:tcW w:w="380" w:type="dxa"/>
            <w:vAlign w:val="bottom"/>
          </w:tcPr>
          <w:p>
            <w:pPr>
              <w:spacing w:after="0"/>
              <w:rPr>
                <w:sz w:val="19"/>
                <w:szCs w:val="19"/>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30,788</w:t>
            </w:r>
          </w:p>
        </w:tc>
      </w:tr>
      <w:tr>
        <w:trPr>
          <w:trHeight w:val="237"/>
        </w:trPr>
        <w:tc>
          <w:tcPr>
            <w:tcW w:w="92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Cash paid by Broadcom to retre VMware’s term loan</w:t>
            </w:r>
          </w:p>
        </w:tc>
        <w:tc>
          <w:tcPr>
            <w:tcW w:w="3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1,257</w:t>
            </w:r>
          </w:p>
        </w:tc>
      </w:tr>
      <w:tr>
        <w:trPr>
          <w:trHeight w:val="222"/>
        </w:trPr>
        <w:tc>
          <w:tcPr>
            <w:tcW w:w="9220" w:type="dxa"/>
            <w:vAlign w:val="bottom"/>
          </w:tcPr>
          <w:p>
            <w:pPr>
              <w:ind w:left="20"/>
              <w:spacing w:after="0" w:line="215" w:lineRule="exact"/>
              <w:rPr>
                <w:sz w:val="20"/>
                <w:szCs w:val="20"/>
                <w:color w:val="auto"/>
              </w:rPr>
            </w:pPr>
            <w:r>
              <w:rPr>
                <w:rFonts w:ascii="Calibri" w:cs="Calibri" w:eastAsia="Calibri" w:hAnsi="Calibri"/>
                <w:sz w:val="18"/>
                <w:szCs w:val="18"/>
                <w:color w:val="auto"/>
              </w:rPr>
              <w:t>Fair value of partally vested assumed VMware equity awards</w:t>
            </w:r>
          </w:p>
        </w:tc>
        <w:tc>
          <w:tcPr>
            <w:tcW w:w="380" w:type="dxa"/>
            <w:vAlign w:val="bottom"/>
          </w:tcPr>
          <w:p>
            <w:pPr>
              <w:spacing w:after="0"/>
              <w:rPr>
                <w:sz w:val="19"/>
                <w:szCs w:val="19"/>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805</w:t>
            </w:r>
          </w:p>
        </w:tc>
      </w:tr>
      <w:tr>
        <w:trPr>
          <w:trHeight w:val="237"/>
        </w:trPr>
        <w:tc>
          <w:tcPr>
            <w:tcW w:w="92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Fair value of Broadcom common stock issued for accelerated VMware equity awards</w:t>
            </w:r>
          </w:p>
        </w:tc>
        <w:tc>
          <w:tcPr>
            <w:tcW w:w="3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23</w:t>
            </w:r>
          </w:p>
        </w:tc>
      </w:tr>
      <w:tr>
        <w:trPr>
          <w:trHeight w:val="222"/>
        </w:trPr>
        <w:tc>
          <w:tcPr>
            <w:tcW w:w="9220" w:type="dxa"/>
            <w:vAlign w:val="bottom"/>
          </w:tcPr>
          <w:p>
            <w:pPr>
              <w:ind w:left="20"/>
              <w:spacing w:after="0" w:line="215" w:lineRule="exact"/>
              <w:rPr>
                <w:sz w:val="20"/>
                <w:szCs w:val="20"/>
                <w:color w:val="auto"/>
              </w:rPr>
            </w:pPr>
            <w:r>
              <w:rPr>
                <w:rFonts w:ascii="Calibri" w:cs="Calibri" w:eastAsia="Calibri" w:hAnsi="Calibri"/>
                <w:sz w:val="18"/>
                <w:szCs w:val="18"/>
                <w:color w:val="auto"/>
              </w:rPr>
              <w:t>Cash paid for accelerated VMware equity awards</w:t>
            </w:r>
          </w:p>
        </w:tc>
        <w:tc>
          <w:tcPr>
            <w:tcW w:w="380" w:type="dxa"/>
            <w:vAlign w:val="bottom"/>
          </w:tcPr>
          <w:p>
            <w:pPr>
              <w:spacing w:after="0"/>
              <w:rPr>
                <w:sz w:val="19"/>
                <w:szCs w:val="19"/>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13</w:t>
            </w:r>
          </w:p>
        </w:tc>
      </w:tr>
      <w:tr>
        <w:trPr>
          <w:trHeight w:val="237"/>
        </w:trPr>
        <w:tc>
          <w:tcPr>
            <w:tcW w:w="92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Efectve setlement of pre-existng relatonships</w:t>
            </w:r>
          </w:p>
        </w:tc>
        <w:tc>
          <w:tcPr>
            <w:tcW w:w="3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w:t>
            </w:r>
          </w:p>
        </w:tc>
      </w:tr>
      <w:tr>
        <w:trPr>
          <w:trHeight w:val="216"/>
        </w:trPr>
        <w:tc>
          <w:tcPr>
            <w:tcW w:w="9220" w:type="dxa"/>
            <w:vAlign w:val="bottom"/>
          </w:tcPr>
          <w:p>
            <w:pPr>
              <w:ind w:left="120"/>
              <w:spacing w:after="0" w:line="199" w:lineRule="exact"/>
              <w:rPr>
                <w:sz w:val="20"/>
                <w:szCs w:val="20"/>
                <w:color w:val="auto"/>
              </w:rPr>
            </w:pPr>
            <w:r>
              <w:rPr>
                <w:rFonts w:ascii="Calibri" w:cs="Calibri" w:eastAsia="Calibri" w:hAnsi="Calibri"/>
                <w:sz w:val="18"/>
                <w:szCs w:val="18"/>
                <w:color w:val="auto"/>
              </w:rPr>
              <w:t>Total purchase consideraton</w:t>
            </w:r>
          </w:p>
        </w:tc>
        <w:tc>
          <w:tcPr>
            <w:tcW w:w="380" w:type="dxa"/>
            <w:vAlign w:val="bottom"/>
          </w:tcPr>
          <w:p>
            <w:pPr>
              <w:spacing w:after="0"/>
              <w:rPr>
                <w:sz w:val="18"/>
                <w:szCs w:val="18"/>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86,290</w:t>
            </w:r>
          </w:p>
        </w:tc>
      </w:tr>
      <w:tr>
        <w:trPr>
          <w:trHeight w:val="230"/>
        </w:trPr>
        <w:tc>
          <w:tcPr>
            <w:tcW w:w="92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Less: cash acquired</w:t>
            </w:r>
          </w:p>
        </w:tc>
        <w:tc>
          <w:tcPr>
            <w:tcW w:w="3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6,642</w:t>
            </w:r>
          </w:p>
        </w:tc>
      </w:tr>
      <w:tr>
        <w:trPr>
          <w:trHeight w:val="230"/>
        </w:trPr>
        <w:tc>
          <w:tcPr>
            <w:tcW w:w="9220" w:type="dxa"/>
            <w:vAlign w:val="bottom"/>
          </w:tcPr>
          <w:p>
            <w:pPr>
              <w:ind w:left="120"/>
              <w:spacing w:after="0"/>
              <w:rPr>
                <w:sz w:val="20"/>
                <w:szCs w:val="20"/>
                <w:color w:val="auto"/>
              </w:rPr>
            </w:pPr>
            <w:r>
              <w:rPr>
                <w:rFonts w:ascii="Calibri" w:cs="Calibri" w:eastAsia="Calibri" w:hAnsi="Calibri"/>
                <w:sz w:val="18"/>
                <w:szCs w:val="18"/>
                <w:color w:val="auto"/>
              </w:rPr>
              <w:t>Total purchase consideraton, net of cash acquired</w:t>
            </w:r>
          </w:p>
        </w:tc>
        <w:tc>
          <w:tcPr>
            <w:tcW w:w="38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79,648</w:t>
            </w:r>
          </w:p>
        </w:tc>
      </w:tr>
      <w:tr>
        <w:trPr>
          <w:trHeight w:val="20"/>
        </w:trPr>
        <w:tc>
          <w:tcPr>
            <w:tcW w:w="9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color w:val="auto"/>
        </w:rPr>
        <w:t>We assumed all outstanding VMware RSU awards and performance stock unit (“PSU”) awards held by contnuing employees. The assumed awards were converted into RSU awards for shares of Broadcom common stock. All outstanding in-the-money VMware stock optons and RSU awards held by non-employee directors were accelerated and converted into the right to receive cash and shares of Broadcom common stock, in equal parts.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6" w:name="page67"/>
    <w:bookmarkEnd w:id="6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The following table presents our allocaton of the total purchase price, net of cash acquired: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Pr>
          <w:p>
            <w:pPr>
              <w:jc w:val="right"/>
              <w:ind w:right="612"/>
              <w:spacing w:after="0"/>
              <w:rPr>
                <w:sz w:val="20"/>
                <w:szCs w:val="20"/>
                <w:color w:val="auto"/>
              </w:rPr>
            </w:pPr>
            <w:r>
              <w:rPr>
                <w:rFonts w:ascii="Calibri" w:cs="Calibri" w:eastAsia="Calibri" w:hAnsi="Calibri"/>
                <w:sz w:val="14"/>
                <w:szCs w:val="14"/>
                <w:b w:val="1"/>
                <w:bCs w:val="1"/>
                <w:color w:val="auto"/>
              </w:rPr>
              <w:t>Fair Value</w:t>
            </w:r>
          </w:p>
        </w:tc>
      </w:tr>
      <w:tr>
        <w:trPr>
          <w:trHeight w:val="47"/>
        </w:trPr>
        <w:tc>
          <w:tcPr>
            <w:tcW w:w="9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163"/>
        </w:trPr>
        <w:tc>
          <w:tcPr>
            <w:tcW w:w="9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Pr>
          <w:p>
            <w:pPr>
              <w:jc w:val="right"/>
              <w:ind w:right="552"/>
              <w:spacing w:after="0" w:line="164" w:lineRule="exact"/>
              <w:rPr>
                <w:sz w:val="20"/>
                <w:szCs w:val="20"/>
                <w:color w:val="auto"/>
              </w:rPr>
            </w:pPr>
            <w:r>
              <w:rPr>
                <w:rFonts w:ascii="Calibri" w:cs="Calibri" w:eastAsia="Calibri" w:hAnsi="Calibri"/>
                <w:sz w:val="14"/>
                <w:szCs w:val="14"/>
                <w:b w:val="1"/>
                <w:bCs w:val="1"/>
                <w:color w:val="auto"/>
              </w:rPr>
              <w:t>(In millions)</w:t>
            </w:r>
          </w:p>
        </w:tc>
      </w:tr>
      <w:tr>
        <w:trPr>
          <w:trHeight w:val="33"/>
        </w:trPr>
        <w:tc>
          <w:tcPr>
            <w:tcW w:w="9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9"/>
        </w:trPr>
        <w:tc>
          <w:tcPr>
            <w:tcW w:w="92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Trade accounts receivable</w:t>
            </w:r>
          </w:p>
        </w:tc>
        <w:tc>
          <w:tcPr>
            <w:tcW w:w="36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6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3,571</w:t>
            </w:r>
          </w:p>
        </w:tc>
      </w:tr>
      <w:tr>
        <w:trPr>
          <w:trHeight w:val="222"/>
        </w:trPr>
        <w:tc>
          <w:tcPr>
            <w:tcW w:w="9220" w:type="dxa"/>
            <w:vAlign w:val="bottom"/>
          </w:tcPr>
          <w:p>
            <w:pPr>
              <w:ind w:left="20"/>
              <w:spacing w:after="0" w:line="215" w:lineRule="exact"/>
              <w:rPr>
                <w:sz w:val="20"/>
                <w:szCs w:val="20"/>
                <w:color w:val="auto"/>
              </w:rPr>
            </w:pPr>
            <w:r>
              <w:rPr>
                <w:rFonts w:ascii="Calibri" w:cs="Calibri" w:eastAsia="Calibri" w:hAnsi="Calibri"/>
                <w:sz w:val="18"/>
                <w:szCs w:val="18"/>
                <w:color w:val="auto"/>
              </w:rPr>
              <w:t>Inventory</w:t>
            </w:r>
          </w:p>
        </w:tc>
        <w:tc>
          <w:tcPr>
            <w:tcW w:w="360" w:type="dxa"/>
            <w:vAlign w:val="bottom"/>
          </w:tcPr>
          <w:p>
            <w:pPr>
              <w:spacing w:after="0"/>
              <w:rPr>
                <w:sz w:val="19"/>
                <w:szCs w:val="19"/>
                <w:color w:val="auto"/>
              </w:rPr>
            </w:pPr>
          </w:p>
        </w:tc>
        <w:tc>
          <w:tcPr>
            <w:tcW w:w="1620" w:type="dxa"/>
            <w:vAlign w:val="bottom"/>
          </w:tcPr>
          <w:p>
            <w:pPr>
              <w:jc w:val="right"/>
              <w:spacing w:after="0" w:line="215" w:lineRule="exact"/>
              <w:rPr>
                <w:sz w:val="20"/>
                <w:szCs w:val="20"/>
                <w:color w:val="auto"/>
              </w:rPr>
            </w:pPr>
            <w:r>
              <w:rPr>
                <w:rFonts w:ascii="Calibri" w:cs="Calibri" w:eastAsia="Calibri" w:hAnsi="Calibri"/>
                <w:sz w:val="18"/>
                <w:szCs w:val="18"/>
                <w:color w:val="auto"/>
              </w:rPr>
              <w:t>15</w:t>
            </w:r>
          </w:p>
        </w:tc>
      </w:tr>
      <w:tr>
        <w:trPr>
          <w:trHeight w:val="237"/>
        </w:trPr>
        <w:tc>
          <w:tcPr>
            <w:tcW w:w="92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Assets held-for-sale</w:t>
            </w:r>
          </w:p>
        </w:tc>
        <w:tc>
          <w:tcPr>
            <w:tcW w:w="3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5,206</w:t>
            </w:r>
          </w:p>
        </w:tc>
      </w:tr>
      <w:tr>
        <w:trPr>
          <w:trHeight w:val="222"/>
        </w:trPr>
        <w:tc>
          <w:tcPr>
            <w:tcW w:w="9220" w:type="dxa"/>
            <w:vAlign w:val="bottom"/>
          </w:tcPr>
          <w:p>
            <w:pPr>
              <w:ind w:left="20"/>
              <w:spacing w:after="0" w:line="215" w:lineRule="exact"/>
              <w:rPr>
                <w:sz w:val="20"/>
                <w:szCs w:val="20"/>
                <w:color w:val="auto"/>
              </w:rPr>
            </w:pPr>
            <w:r>
              <w:rPr>
                <w:rFonts w:ascii="Calibri" w:cs="Calibri" w:eastAsia="Calibri" w:hAnsi="Calibri"/>
                <w:sz w:val="18"/>
                <w:szCs w:val="18"/>
                <w:color w:val="auto"/>
              </w:rPr>
              <w:t>Other current assets</w:t>
            </w:r>
          </w:p>
        </w:tc>
        <w:tc>
          <w:tcPr>
            <w:tcW w:w="360" w:type="dxa"/>
            <w:vAlign w:val="bottom"/>
          </w:tcPr>
          <w:p>
            <w:pPr>
              <w:spacing w:after="0"/>
              <w:rPr>
                <w:sz w:val="19"/>
                <w:szCs w:val="19"/>
                <w:color w:val="auto"/>
              </w:rPr>
            </w:pPr>
          </w:p>
        </w:tc>
        <w:tc>
          <w:tcPr>
            <w:tcW w:w="1620" w:type="dxa"/>
            <w:vAlign w:val="bottom"/>
          </w:tcPr>
          <w:p>
            <w:pPr>
              <w:jc w:val="right"/>
              <w:spacing w:after="0" w:line="215" w:lineRule="exact"/>
              <w:rPr>
                <w:sz w:val="20"/>
                <w:szCs w:val="20"/>
                <w:color w:val="auto"/>
              </w:rPr>
            </w:pPr>
            <w:r>
              <w:rPr>
                <w:rFonts w:ascii="Calibri" w:cs="Calibri" w:eastAsia="Calibri" w:hAnsi="Calibri"/>
                <w:sz w:val="18"/>
                <w:szCs w:val="18"/>
                <w:color w:val="auto"/>
              </w:rPr>
              <w:t>757</w:t>
            </w:r>
          </w:p>
        </w:tc>
      </w:tr>
      <w:tr>
        <w:trPr>
          <w:trHeight w:val="237"/>
        </w:trPr>
        <w:tc>
          <w:tcPr>
            <w:tcW w:w="92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Property, plant and equipment</w:t>
            </w:r>
          </w:p>
        </w:tc>
        <w:tc>
          <w:tcPr>
            <w:tcW w:w="3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531</w:t>
            </w:r>
          </w:p>
        </w:tc>
      </w:tr>
      <w:tr>
        <w:trPr>
          <w:trHeight w:val="222"/>
        </w:trPr>
        <w:tc>
          <w:tcPr>
            <w:tcW w:w="9220" w:type="dxa"/>
            <w:vAlign w:val="bottom"/>
          </w:tcPr>
          <w:p>
            <w:pPr>
              <w:ind w:left="20"/>
              <w:spacing w:after="0" w:line="215" w:lineRule="exact"/>
              <w:rPr>
                <w:sz w:val="20"/>
                <w:szCs w:val="20"/>
                <w:color w:val="auto"/>
              </w:rPr>
            </w:pPr>
            <w:r>
              <w:rPr>
                <w:rFonts w:ascii="Calibri" w:cs="Calibri" w:eastAsia="Calibri" w:hAnsi="Calibri"/>
                <w:sz w:val="18"/>
                <w:szCs w:val="18"/>
                <w:color w:val="auto"/>
              </w:rPr>
              <w:t>Goodwill</w:t>
            </w:r>
          </w:p>
        </w:tc>
        <w:tc>
          <w:tcPr>
            <w:tcW w:w="360" w:type="dxa"/>
            <w:vAlign w:val="bottom"/>
          </w:tcPr>
          <w:p>
            <w:pPr>
              <w:spacing w:after="0"/>
              <w:rPr>
                <w:sz w:val="19"/>
                <w:szCs w:val="19"/>
                <w:color w:val="auto"/>
              </w:rPr>
            </w:pPr>
          </w:p>
        </w:tc>
        <w:tc>
          <w:tcPr>
            <w:tcW w:w="1620" w:type="dxa"/>
            <w:vAlign w:val="bottom"/>
          </w:tcPr>
          <w:p>
            <w:pPr>
              <w:jc w:val="right"/>
              <w:spacing w:after="0" w:line="215" w:lineRule="exact"/>
              <w:rPr>
                <w:sz w:val="20"/>
                <w:szCs w:val="20"/>
                <w:color w:val="auto"/>
              </w:rPr>
            </w:pPr>
            <w:r>
              <w:rPr>
                <w:rFonts w:ascii="Calibri" w:cs="Calibri" w:eastAsia="Calibri" w:hAnsi="Calibri"/>
                <w:sz w:val="18"/>
                <w:szCs w:val="18"/>
                <w:color w:val="auto"/>
              </w:rPr>
              <w:t>54,206</w:t>
            </w:r>
          </w:p>
        </w:tc>
      </w:tr>
      <w:tr>
        <w:trPr>
          <w:trHeight w:val="237"/>
        </w:trPr>
        <w:tc>
          <w:tcPr>
            <w:tcW w:w="92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Intangible assets</w:t>
            </w:r>
          </w:p>
        </w:tc>
        <w:tc>
          <w:tcPr>
            <w:tcW w:w="3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45,572</w:t>
            </w:r>
          </w:p>
        </w:tc>
      </w:tr>
      <w:tr>
        <w:trPr>
          <w:trHeight w:val="223"/>
        </w:trPr>
        <w:tc>
          <w:tcPr>
            <w:tcW w:w="922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Other long-term assets</w:t>
            </w: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1,064</w:t>
            </w:r>
          </w:p>
        </w:tc>
      </w:tr>
      <w:tr>
        <w:trPr>
          <w:trHeight w:val="229"/>
        </w:trPr>
        <w:tc>
          <w:tcPr>
            <w:tcW w:w="9220" w:type="dxa"/>
            <w:vAlign w:val="bottom"/>
            <w:shd w:val="clear" w:color="auto" w:fill="CCEEFF"/>
          </w:tcPr>
          <w:p>
            <w:pPr>
              <w:ind w:left="140"/>
              <w:spacing w:after="0" w:line="206" w:lineRule="exact"/>
              <w:rPr>
                <w:sz w:val="20"/>
                <w:szCs w:val="20"/>
                <w:color w:val="auto"/>
              </w:rPr>
            </w:pPr>
            <w:r>
              <w:rPr>
                <w:rFonts w:ascii="Calibri" w:cs="Calibri" w:eastAsia="Calibri" w:hAnsi="Calibri"/>
                <w:sz w:val="18"/>
                <w:szCs w:val="18"/>
                <w:color w:val="auto"/>
              </w:rPr>
              <w:t>Total assets acquired</w:t>
            </w: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110,922</w:t>
            </w:r>
          </w:p>
        </w:tc>
      </w:tr>
      <w:tr>
        <w:trPr>
          <w:trHeight w:val="222"/>
        </w:trPr>
        <w:tc>
          <w:tcPr>
            <w:tcW w:w="9220" w:type="dxa"/>
            <w:vAlign w:val="bottom"/>
          </w:tcPr>
          <w:p>
            <w:pPr>
              <w:ind w:left="20"/>
              <w:spacing w:after="0" w:line="215" w:lineRule="exact"/>
              <w:rPr>
                <w:sz w:val="20"/>
                <w:szCs w:val="20"/>
                <w:color w:val="auto"/>
              </w:rPr>
            </w:pPr>
            <w:r>
              <w:rPr>
                <w:rFonts w:ascii="Calibri" w:cs="Calibri" w:eastAsia="Calibri" w:hAnsi="Calibri"/>
                <w:sz w:val="18"/>
                <w:szCs w:val="18"/>
                <w:color w:val="auto"/>
              </w:rPr>
              <w:t>Accounts payable</w:t>
            </w:r>
          </w:p>
        </w:tc>
        <w:tc>
          <w:tcPr>
            <w:tcW w:w="360" w:type="dxa"/>
            <w:vAlign w:val="bottom"/>
          </w:tcPr>
          <w:p>
            <w:pPr>
              <w:spacing w:after="0"/>
              <w:rPr>
                <w:sz w:val="19"/>
                <w:szCs w:val="19"/>
                <w:color w:val="auto"/>
              </w:rPr>
            </w:pPr>
          </w:p>
        </w:tc>
        <w:tc>
          <w:tcPr>
            <w:tcW w:w="1620" w:type="dxa"/>
            <w:vAlign w:val="bottom"/>
          </w:tcPr>
          <w:p>
            <w:pPr>
              <w:jc w:val="right"/>
              <w:spacing w:after="0" w:line="215" w:lineRule="exact"/>
              <w:rPr>
                <w:sz w:val="20"/>
                <w:szCs w:val="20"/>
                <w:color w:val="auto"/>
              </w:rPr>
            </w:pPr>
            <w:r>
              <w:rPr>
                <w:rFonts w:ascii="Calibri" w:cs="Calibri" w:eastAsia="Calibri" w:hAnsi="Calibri"/>
                <w:sz w:val="18"/>
                <w:szCs w:val="18"/>
                <w:color w:val="auto"/>
              </w:rPr>
              <w:t>(359)</w:t>
            </w:r>
          </w:p>
        </w:tc>
      </w:tr>
      <w:tr>
        <w:trPr>
          <w:trHeight w:val="237"/>
        </w:trPr>
        <w:tc>
          <w:tcPr>
            <w:tcW w:w="92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Employee compensaton and benefts</w:t>
            </w:r>
          </w:p>
        </w:tc>
        <w:tc>
          <w:tcPr>
            <w:tcW w:w="3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(848)</w:t>
            </w:r>
          </w:p>
        </w:tc>
      </w:tr>
      <w:tr>
        <w:trPr>
          <w:trHeight w:val="222"/>
        </w:trPr>
        <w:tc>
          <w:tcPr>
            <w:tcW w:w="922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porton of long-term debt</w:t>
            </w:r>
          </w:p>
        </w:tc>
        <w:tc>
          <w:tcPr>
            <w:tcW w:w="360" w:type="dxa"/>
            <w:vAlign w:val="bottom"/>
          </w:tcPr>
          <w:p>
            <w:pPr>
              <w:spacing w:after="0"/>
              <w:rPr>
                <w:sz w:val="19"/>
                <w:szCs w:val="19"/>
                <w:color w:val="auto"/>
              </w:rPr>
            </w:pPr>
          </w:p>
        </w:tc>
        <w:tc>
          <w:tcPr>
            <w:tcW w:w="1620" w:type="dxa"/>
            <w:vAlign w:val="bottom"/>
          </w:tcPr>
          <w:p>
            <w:pPr>
              <w:jc w:val="right"/>
              <w:spacing w:after="0" w:line="215" w:lineRule="exact"/>
              <w:rPr>
                <w:sz w:val="20"/>
                <w:szCs w:val="20"/>
                <w:color w:val="auto"/>
              </w:rPr>
            </w:pPr>
            <w:r>
              <w:rPr>
                <w:rFonts w:ascii="Calibri" w:cs="Calibri" w:eastAsia="Calibri" w:hAnsi="Calibri"/>
                <w:sz w:val="18"/>
                <w:szCs w:val="18"/>
                <w:color w:val="auto"/>
              </w:rPr>
              <w:t>(1,264)</w:t>
            </w:r>
          </w:p>
        </w:tc>
      </w:tr>
      <w:tr>
        <w:trPr>
          <w:trHeight w:val="237"/>
        </w:trPr>
        <w:tc>
          <w:tcPr>
            <w:tcW w:w="92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Liabilites held-for-sale</w:t>
            </w:r>
          </w:p>
        </w:tc>
        <w:tc>
          <w:tcPr>
            <w:tcW w:w="3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(1,901)</w:t>
            </w:r>
          </w:p>
        </w:tc>
      </w:tr>
      <w:tr>
        <w:trPr>
          <w:trHeight w:val="222"/>
        </w:trPr>
        <w:tc>
          <w:tcPr>
            <w:tcW w:w="9220" w:type="dxa"/>
            <w:vAlign w:val="bottom"/>
          </w:tcPr>
          <w:p>
            <w:pPr>
              <w:ind w:left="20"/>
              <w:spacing w:after="0" w:line="215" w:lineRule="exact"/>
              <w:rPr>
                <w:sz w:val="20"/>
                <w:szCs w:val="20"/>
                <w:color w:val="auto"/>
              </w:rPr>
            </w:pPr>
            <w:r>
              <w:rPr>
                <w:rFonts w:ascii="Calibri" w:cs="Calibri" w:eastAsia="Calibri" w:hAnsi="Calibri"/>
                <w:sz w:val="18"/>
                <w:szCs w:val="18"/>
                <w:color w:val="auto"/>
              </w:rPr>
              <w:t>Other current liabilites</w:t>
            </w:r>
          </w:p>
        </w:tc>
        <w:tc>
          <w:tcPr>
            <w:tcW w:w="360" w:type="dxa"/>
            <w:vAlign w:val="bottom"/>
          </w:tcPr>
          <w:p>
            <w:pPr>
              <w:spacing w:after="0"/>
              <w:rPr>
                <w:sz w:val="19"/>
                <w:szCs w:val="19"/>
                <w:color w:val="auto"/>
              </w:rPr>
            </w:pPr>
          </w:p>
        </w:tc>
        <w:tc>
          <w:tcPr>
            <w:tcW w:w="1620" w:type="dxa"/>
            <w:vAlign w:val="bottom"/>
          </w:tcPr>
          <w:p>
            <w:pPr>
              <w:jc w:val="right"/>
              <w:spacing w:after="0" w:line="215" w:lineRule="exact"/>
              <w:rPr>
                <w:sz w:val="20"/>
                <w:szCs w:val="20"/>
                <w:color w:val="auto"/>
              </w:rPr>
            </w:pPr>
            <w:r>
              <w:rPr>
                <w:rFonts w:ascii="Calibri" w:cs="Calibri" w:eastAsia="Calibri" w:hAnsi="Calibri"/>
                <w:sz w:val="18"/>
                <w:szCs w:val="18"/>
                <w:color w:val="auto"/>
              </w:rPr>
              <w:t>(11,041)</w:t>
            </w:r>
          </w:p>
        </w:tc>
      </w:tr>
      <w:tr>
        <w:trPr>
          <w:trHeight w:val="237"/>
        </w:trPr>
        <w:tc>
          <w:tcPr>
            <w:tcW w:w="92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Long-term debt</w:t>
            </w:r>
          </w:p>
        </w:tc>
        <w:tc>
          <w:tcPr>
            <w:tcW w:w="3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(6,254)</w:t>
            </w:r>
          </w:p>
        </w:tc>
      </w:tr>
      <w:tr>
        <w:trPr>
          <w:trHeight w:val="223"/>
        </w:trPr>
        <w:tc>
          <w:tcPr>
            <w:tcW w:w="922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Other long-term liabilites</w:t>
            </w: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(9,607)</w:t>
            </w:r>
          </w:p>
        </w:tc>
      </w:tr>
      <w:tr>
        <w:trPr>
          <w:trHeight w:val="223"/>
        </w:trPr>
        <w:tc>
          <w:tcPr>
            <w:tcW w:w="9220" w:type="dxa"/>
            <w:vAlign w:val="bottom"/>
            <w:shd w:val="clear" w:color="auto" w:fill="CCEEFF"/>
          </w:tcPr>
          <w:p>
            <w:pPr>
              <w:ind w:left="140"/>
              <w:spacing w:after="0" w:line="206" w:lineRule="exact"/>
              <w:rPr>
                <w:sz w:val="20"/>
                <w:szCs w:val="20"/>
                <w:color w:val="auto"/>
              </w:rPr>
            </w:pPr>
            <w:r>
              <w:rPr>
                <w:rFonts w:ascii="Calibri" w:cs="Calibri" w:eastAsia="Calibri" w:hAnsi="Calibri"/>
                <w:sz w:val="18"/>
                <w:szCs w:val="18"/>
                <w:color w:val="auto"/>
              </w:rPr>
              <w:t>Total liabilites assumed</w:t>
            </w:r>
          </w:p>
        </w:tc>
        <w:tc>
          <w:tcPr>
            <w:tcW w:w="3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(31,274)</w:t>
            </w:r>
          </w:p>
        </w:tc>
      </w:tr>
      <w:tr>
        <w:trPr>
          <w:trHeight w:val="229"/>
        </w:trPr>
        <w:tc>
          <w:tcPr>
            <w:tcW w:w="9220" w:type="dxa"/>
            <w:vAlign w:val="bottom"/>
          </w:tcPr>
          <w:p>
            <w:pPr>
              <w:ind w:left="140"/>
              <w:spacing w:after="0"/>
              <w:rPr>
                <w:sz w:val="20"/>
                <w:szCs w:val="20"/>
                <w:color w:val="auto"/>
              </w:rPr>
            </w:pPr>
            <w:r>
              <w:rPr>
                <w:rFonts w:ascii="Calibri" w:cs="Calibri" w:eastAsia="Calibri" w:hAnsi="Calibri"/>
                <w:sz w:val="18"/>
                <w:szCs w:val="18"/>
                <w:color w:val="auto"/>
              </w:rPr>
              <w:t>Fair value of net assets acquired</w:t>
            </w:r>
          </w:p>
        </w:tc>
        <w:tc>
          <w:tcPr>
            <w:tcW w:w="36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79,648</w:t>
            </w:r>
          </w:p>
        </w:tc>
      </w:tr>
      <w:tr>
        <w:trPr>
          <w:trHeight w:val="21"/>
        </w:trPr>
        <w:tc>
          <w:tcPr>
            <w:tcW w:w="9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right="240" w:firstLine="405"/>
        <w:spacing w:after="0" w:line="235" w:lineRule="auto"/>
        <w:rPr>
          <w:sz w:val="20"/>
          <w:szCs w:val="20"/>
          <w:color w:val="auto"/>
        </w:rPr>
      </w:pPr>
      <w:r>
        <w:rPr>
          <w:rFonts w:ascii="Calibri" w:cs="Calibri" w:eastAsia="Calibri" w:hAnsi="Calibri"/>
          <w:sz w:val="18"/>
          <w:szCs w:val="18"/>
          <w:color w:val="auto"/>
        </w:rPr>
        <w:t>Goodwill is primarily atributable to the assembled workforce and antcipated synergies and economies of scale expected from the integraton of the VMware business. The synergies include certain cost savings, operatng efciencies and other strategic benefts projected to be achieved as a result of the VMware Merger. Goodwill is not deductble for tax purposes.</w:t>
      </w:r>
    </w:p>
    <w:p>
      <w:pPr>
        <w:spacing w:after="0" w:line="111" w:lineRule="exact"/>
        <w:rPr>
          <w:sz w:val="20"/>
          <w:szCs w:val="20"/>
          <w:color w:val="auto"/>
        </w:rPr>
      </w:pPr>
    </w:p>
    <w:p>
      <w:pPr>
        <w:jc w:val="both"/>
        <w:ind w:right="180" w:firstLine="405"/>
        <w:spacing w:after="0" w:line="235" w:lineRule="auto"/>
        <w:rPr>
          <w:sz w:val="20"/>
          <w:szCs w:val="20"/>
          <w:color w:val="auto"/>
        </w:rPr>
      </w:pPr>
      <w:r>
        <w:rPr>
          <w:rFonts w:ascii="Calibri" w:cs="Calibri" w:eastAsia="Calibri" w:hAnsi="Calibri"/>
          <w:sz w:val="18"/>
          <w:szCs w:val="18"/>
          <w:color w:val="auto"/>
        </w:rPr>
        <w:t>Assets and liabilites held-for-sale primarily included the end-user computng (“EUC”) business and certain other assets and liabilites, which were not aligned with our strategic objectves. On July 1, 2024, we sold the EUC business to KKR &amp; Co. Inc. for cash consideraton of $3.5 billion, afer working capital adjustments. We do not have any material contnuing involvement with this business and have presented its results in discontnued operatons.</w:t>
      </w:r>
    </w:p>
    <w:p>
      <w:pPr>
        <w:spacing w:after="0" w:line="111" w:lineRule="exact"/>
        <w:rPr>
          <w:sz w:val="20"/>
          <w:szCs w:val="20"/>
          <w:color w:val="auto"/>
        </w:rPr>
      </w:pPr>
    </w:p>
    <w:p>
      <w:pPr>
        <w:ind w:right="100" w:firstLine="405"/>
        <w:spacing w:after="0" w:line="235" w:lineRule="auto"/>
        <w:rPr>
          <w:sz w:val="20"/>
          <w:szCs w:val="20"/>
          <w:color w:val="auto"/>
        </w:rPr>
      </w:pPr>
      <w:r>
        <w:rPr>
          <w:rFonts w:ascii="Calibri" w:cs="Calibri" w:eastAsia="Calibri" w:hAnsi="Calibri"/>
          <w:sz w:val="18"/>
          <w:szCs w:val="18"/>
          <w:color w:val="auto"/>
        </w:rPr>
        <w:t>Our results of contnuing operatons included $12,384 million of net revenue atributable to VMware for fscal year 2024. It is impractcable to determine the efect on net income atributable to VMware as we immediately integrated VMware into our ongoing operatons. Transacton costs related to the VMware Merger of $255 million were primarily included in selling, general and administratve expense for fscal year 2024.</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67" w:name="page68"/>
    <w:bookmarkEnd w:id="6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20"/>
        <w:spacing w:after="0"/>
        <w:rPr>
          <w:sz w:val="20"/>
          <w:szCs w:val="20"/>
          <w:color w:val="auto"/>
        </w:rPr>
      </w:pPr>
      <w:r>
        <w:rPr>
          <w:rFonts w:ascii="Calibri" w:cs="Calibri" w:eastAsia="Calibri" w:hAnsi="Calibri"/>
          <w:sz w:val="18"/>
          <w:szCs w:val="18"/>
          <w:b w:val="1"/>
          <w:bCs w:val="1"/>
          <w:i w:val="1"/>
          <w:iCs w:val="1"/>
          <w:color w:val="auto"/>
        </w:rPr>
        <w:t>Intangible Assets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40" w:type="dxa"/>
            <w:vAlign w:val="bottom"/>
          </w:tcPr>
          <w:p>
            <w:pPr>
              <w:spacing w:after="0"/>
              <w:rPr>
                <w:sz w:val="14"/>
                <w:szCs w:val="14"/>
                <w:color w:val="auto"/>
              </w:rPr>
            </w:pPr>
          </w:p>
        </w:tc>
        <w:tc>
          <w:tcPr>
            <w:tcW w:w="1400" w:type="dxa"/>
            <w:vAlign w:val="bottom"/>
            <w:vMerge w:val="restart"/>
          </w:tcPr>
          <w:p>
            <w:pPr>
              <w:jc w:val="right"/>
              <w:ind w:right="19"/>
              <w:spacing w:after="0"/>
              <w:rPr>
                <w:sz w:val="20"/>
                <w:szCs w:val="20"/>
                <w:color w:val="auto"/>
              </w:rPr>
            </w:pPr>
            <w:r>
              <w:rPr>
                <w:rFonts w:ascii="Calibri" w:cs="Calibri" w:eastAsia="Calibri" w:hAnsi="Calibri"/>
                <w:sz w:val="14"/>
                <w:szCs w:val="14"/>
                <w:b w:val="1"/>
                <w:bCs w:val="1"/>
                <w:color w:val="auto"/>
              </w:rPr>
              <w:t>Fair Value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Calibri" w:cs="Calibri" w:eastAsia="Calibri" w:hAnsi="Calibri"/>
                <w:sz w:val="14"/>
                <w:szCs w:val="14"/>
                <w:b w:val="1"/>
                <w:bCs w:val="1"/>
                <w:color w:val="auto"/>
              </w:rPr>
              <w:t>Weighted-Average Amortzaton</w:t>
            </w:r>
          </w:p>
        </w:tc>
        <w:tc>
          <w:tcPr>
            <w:tcW w:w="0" w:type="dxa"/>
            <w:vAlign w:val="bottom"/>
          </w:tcPr>
          <w:p>
            <w:pPr>
              <w:spacing w:after="0"/>
              <w:rPr>
                <w:sz w:val="1"/>
                <w:szCs w:val="1"/>
                <w:color w:val="auto"/>
              </w:rPr>
            </w:pPr>
          </w:p>
        </w:tc>
      </w:tr>
      <w:tr>
        <w:trPr>
          <w:trHeight w:val="170"/>
        </w:trPr>
        <w:tc>
          <w:tcPr>
            <w:tcW w:w="71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Calibri" w:cs="Calibri" w:eastAsia="Calibri" w:hAnsi="Calibri"/>
                <w:sz w:val="14"/>
                <w:szCs w:val="14"/>
                <w:b w:val="1"/>
                <w:bCs w:val="1"/>
                <w:color w:val="auto"/>
              </w:rPr>
              <w:t>Periods</w:t>
            </w:r>
          </w:p>
        </w:tc>
        <w:tc>
          <w:tcPr>
            <w:tcW w:w="0" w:type="dxa"/>
            <w:vAlign w:val="bottom"/>
          </w:tcPr>
          <w:p>
            <w:pPr>
              <w:spacing w:after="0"/>
              <w:rPr>
                <w:sz w:val="1"/>
                <w:szCs w:val="1"/>
                <w:color w:val="auto"/>
              </w:rPr>
            </w:pPr>
          </w:p>
        </w:tc>
      </w:tr>
      <w:tr>
        <w:trPr>
          <w:trHeight w:val="33"/>
        </w:trPr>
        <w:tc>
          <w:tcPr>
            <w:tcW w:w="71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7140" w:type="dxa"/>
            <w:vAlign w:val="bottom"/>
          </w:tcPr>
          <w:p>
            <w:pPr>
              <w:spacing w:after="0"/>
              <w:rPr>
                <w:sz w:val="14"/>
                <w:szCs w:val="14"/>
                <w:color w:val="auto"/>
              </w:rPr>
            </w:pPr>
          </w:p>
        </w:tc>
        <w:tc>
          <w:tcPr>
            <w:tcW w:w="14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 millions)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jc w:val="center"/>
              <w:spacing w:after="0" w:line="164" w:lineRule="exact"/>
              <w:rPr>
                <w:sz w:val="20"/>
                <w:szCs w:val="20"/>
                <w:color w:val="auto"/>
              </w:rPr>
            </w:pPr>
            <w:r>
              <w:rPr>
                <w:rFonts w:ascii="Calibri" w:cs="Calibri" w:eastAsia="Calibri" w:hAnsi="Calibri"/>
                <w:sz w:val="14"/>
                <w:szCs w:val="14"/>
                <w:b w:val="1"/>
                <w:bCs w:val="1"/>
                <w:color w:val="auto"/>
              </w:rPr>
              <w:t>(In years)</w:t>
            </w:r>
          </w:p>
        </w:tc>
        <w:tc>
          <w:tcPr>
            <w:tcW w:w="0" w:type="dxa"/>
            <w:vAlign w:val="bottom"/>
          </w:tcPr>
          <w:p>
            <w:pPr>
              <w:spacing w:after="0"/>
              <w:rPr>
                <w:sz w:val="1"/>
                <w:szCs w:val="1"/>
                <w:color w:val="auto"/>
              </w:rPr>
            </w:pPr>
          </w:p>
        </w:tc>
      </w:tr>
      <w:tr>
        <w:trPr>
          <w:trHeight w:val="33"/>
        </w:trPr>
        <w:tc>
          <w:tcPr>
            <w:tcW w:w="7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Developed technology</w:t>
            </w:r>
          </w:p>
        </w:tc>
        <w:tc>
          <w:tcPr>
            <w:tcW w:w="1400" w:type="dxa"/>
            <w:vAlign w:val="bottom"/>
            <w:shd w:val="clear" w:color="auto" w:fill="CCEEFF"/>
          </w:tcPr>
          <w:p>
            <w:pPr>
              <w:jc w:val="right"/>
              <w:ind w:right="1199"/>
              <w:spacing w:after="0" w:line="215" w:lineRule="exact"/>
              <w:rPr>
                <w:sz w:val="20"/>
                <w:szCs w:val="20"/>
                <w:color w:val="auto"/>
              </w:rPr>
            </w:pPr>
            <w:r>
              <w:rPr>
                <w:rFonts w:ascii="Calibri" w:cs="Calibri" w:eastAsia="Calibri" w:hAnsi="Calibri"/>
                <w:sz w:val="18"/>
                <w:szCs w:val="18"/>
                <w:color w:val="auto"/>
              </w:rPr>
              <w:t>$</w:t>
            </w:r>
          </w:p>
        </w:tc>
        <w:tc>
          <w:tcPr>
            <w:tcW w:w="6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99"/>
              </w:rPr>
              <w:t>24,156</w:t>
            </w:r>
          </w:p>
        </w:tc>
        <w:tc>
          <w:tcPr>
            <w:tcW w:w="2100" w:type="dxa"/>
            <w:vAlign w:val="bottom"/>
            <w:gridSpan w:val="2"/>
            <w:shd w:val="clear" w:color="auto" w:fill="CCEEFF"/>
          </w:tcPr>
          <w:p>
            <w:pPr>
              <w:jc w:val="center"/>
              <w:ind w:left="10"/>
              <w:spacing w:after="0" w:line="215" w:lineRule="exact"/>
              <w:rPr>
                <w:sz w:val="20"/>
                <w:szCs w:val="20"/>
                <w:color w:val="auto"/>
              </w:rPr>
            </w:pPr>
            <w:r>
              <w:rPr>
                <w:rFonts w:ascii="Calibri" w:cs="Calibri" w:eastAsia="Calibri" w:hAnsi="Calibri"/>
                <w:sz w:val="18"/>
                <w:szCs w:val="18"/>
                <w:color w:val="auto"/>
                <w:w w:val="87"/>
              </w:rPr>
              <w:t>8</w:t>
            </w:r>
          </w:p>
        </w:tc>
        <w:tc>
          <w:tcPr>
            <w:tcW w:w="0" w:type="dxa"/>
            <w:vAlign w:val="bottom"/>
          </w:tcPr>
          <w:p>
            <w:pPr>
              <w:spacing w:after="0"/>
              <w:rPr>
                <w:sz w:val="1"/>
                <w:szCs w:val="1"/>
                <w:color w:val="auto"/>
              </w:rPr>
            </w:pPr>
          </w:p>
        </w:tc>
      </w:tr>
      <w:tr>
        <w:trPr>
          <w:trHeight w:val="222"/>
        </w:trPr>
        <w:tc>
          <w:tcPr>
            <w:tcW w:w="7140" w:type="dxa"/>
            <w:vAlign w:val="bottom"/>
          </w:tcPr>
          <w:p>
            <w:pPr>
              <w:ind w:left="20"/>
              <w:spacing w:after="0" w:line="215" w:lineRule="exact"/>
              <w:rPr>
                <w:sz w:val="20"/>
                <w:szCs w:val="20"/>
                <w:color w:val="auto"/>
              </w:rPr>
            </w:pPr>
            <w:r>
              <w:rPr>
                <w:rFonts w:ascii="Calibri" w:cs="Calibri" w:eastAsia="Calibri" w:hAnsi="Calibri"/>
                <w:sz w:val="18"/>
                <w:szCs w:val="18"/>
                <w:color w:val="auto"/>
              </w:rPr>
              <w:t>Customer contracts and related relatonships</w:t>
            </w:r>
          </w:p>
        </w:tc>
        <w:tc>
          <w:tcPr>
            <w:tcW w:w="1400" w:type="dxa"/>
            <w:vAlign w:val="bottom"/>
          </w:tcPr>
          <w:p>
            <w:pPr>
              <w:spacing w:after="0"/>
              <w:rPr>
                <w:sz w:val="19"/>
                <w:szCs w:val="19"/>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w w:val="99"/>
              </w:rPr>
              <w:t>15,239</w:t>
            </w:r>
          </w:p>
        </w:tc>
        <w:tc>
          <w:tcPr>
            <w:tcW w:w="2100" w:type="dxa"/>
            <w:vAlign w:val="bottom"/>
            <w:gridSpan w:val="2"/>
          </w:tcPr>
          <w:p>
            <w:pPr>
              <w:jc w:val="center"/>
              <w:ind w:left="10"/>
              <w:spacing w:after="0" w:line="215" w:lineRule="exact"/>
              <w:rPr>
                <w:sz w:val="20"/>
                <w:szCs w:val="20"/>
                <w:color w:val="auto"/>
              </w:rPr>
            </w:pPr>
            <w:r>
              <w:rPr>
                <w:rFonts w:ascii="Calibri" w:cs="Calibri" w:eastAsia="Calibri" w:hAnsi="Calibri"/>
                <w:sz w:val="18"/>
                <w:szCs w:val="18"/>
                <w:color w:val="auto"/>
                <w:w w:val="87"/>
              </w:rPr>
              <w:t>8</w:t>
            </w:r>
          </w:p>
        </w:tc>
        <w:tc>
          <w:tcPr>
            <w:tcW w:w="0" w:type="dxa"/>
            <w:vAlign w:val="bottom"/>
          </w:tcPr>
          <w:p>
            <w:pPr>
              <w:spacing w:after="0"/>
              <w:rPr>
                <w:sz w:val="1"/>
                <w:szCs w:val="1"/>
                <w:color w:val="auto"/>
              </w:rPr>
            </w:pPr>
          </w:p>
        </w:tc>
      </w:tr>
      <w:tr>
        <w:trPr>
          <w:trHeight w:val="237"/>
        </w:trPr>
        <w:tc>
          <w:tcPr>
            <w:tcW w:w="71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Trade name</w:t>
            </w:r>
          </w:p>
        </w:tc>
        <w:tc>
          <w:tcPr>
            <w:tcW w:w="14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1,205</w:t>
            </w:r>
          </w:p>
        </w:tc>
        <w:tc>
          <w:tcPr>
            <w:tcW w:w="2100" w:type="dxa"/>
            <w:vAlign w:val="bottom"/>
            <w:gridSpan w:val="2"/>
            <w:shd w:val="clear" w:color="auto" w:fill="CCEEFF"/>
          </w:tcPr>
          <w:p>
            <w:pPr>
              <w:jc w:val="center"/>
              <w:ind w:left="30"/>
              <w:spacing w:after="0"/>
              <w:rPr>
                <w:sz w:val="20"/>
                <w:szCs w:val="20"/>
                <w:color w:val="auto"/>
              </w:rPr>
            </w:pPr>
            <w:r>
              <w:rPr>
                <w:rFonts w:ascii="Calibri" w:cs="Calibri" w:eastAsia="Calibri" w:hAnsi="Calibri"/>
                <w:sz w:val="18"/>
                <w:szCs w:val="18"/>
                <w:color w:val="auto"/>
                <w:w w:val="98"/>
              </w:rPr>
              <w:t>14</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Of-market component of customer contracts</w:t>
            </w:r>
          </w:p>
        </w:tc>
        <w:tc>
          <w:tcPr>
            <w:tcW w:w="1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242</w:t>
            </w:r>
          </w:p>
        </w:tc>
        <w:tc>
          <w:tcPr>
            <w:tcW w:w="2100" w:type="dxa"/>
            <w:vAlign w:val="bottom"/>
            <w:tcBorders>
              <w:bottom w:val="single" w:sz="8" w:color="CCEEFF"/>
            </w:tcBorders>
            <w:gridSpan w:val="2"/>
          </w:tcPr>
          <w:p>
            <w:pPr>
              <w:jc w:val="center"/>
              <w:ind w:left="10"/>
              <w:spacing w:after="0" w:line="215" w:lineRule="exact"/>
              <w:rPr>
                <w:sz w:val="20"/>
                <w:szCs w:val="20"/>
                <w:color w:val="auto"/>
              </w:rPr>
            </w:pPr>
            <w:r>
              <w:rPr>
                <w:rFonts w:ascii="Calibri" w:cs="Calibri" w:eastAsia="Calibri" w:hAnsi="Calibri"/>
                <w:sz w:val="18"/>
                <w:szCs w:val="18"/>
                <w:color w:val="auto"/>
                <w:w w:val="87"/>
              </w:rPr>
              <w:t>2</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line="206" w:lineRule="exact"/>
              <w:rPr>
                <w:sz w:val="20"/>
                <w:szCs w:val="20"/>
                <w:color w:val="auto"/>
              </w:rPr>
            </w:pPr>
            <w:r>
              <w:rPr>
                <w:rFonts w:ascii="Calibri" w:cs="Calibri" w:eastAsia="Calibri" w:hAnsi="Calibri"/>
                <w:sz w:val="18"/>
                <w:szCs w:val="18"/>
                <w:color w:val="auto"/>
              </w:rPr>
              <w:t>Total identfed fnite-lived intangible assets</w:t>
            </w:r>
          </w:p>
        </w:tc>
        <w:tc>
          <w:tcPr>
            <w:tcW w:w="1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99"/>
              </w:rPr>
              <w:t>40,842</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IPR&amp;D</w:t>
            </w:r>
          </w:p>
        </w:tc>
        <w:tc>
          <w:tcPr>
            <w:tcW w:w="1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4,730</w:t>
            </w:r>
          </w:p>
        </w:tc>
        <w:tc>
          <w:tcPr>
            <w:tcW w:w="10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jc w:val="center"/>
              <w:spacing w:after="0" w:line="215" w:lineRule="exact"/>
              <w:rPr>
                <w:sz w:val="20"/>
                <w:szCs w:val="20"/>
                <w:color w:val="auto"/>
              </w:rPr>
            </w:pPr>
            <w:r>
              <w:rPr>
                <w:rFonts w:ascii="Calibri" w:cs="Calibri" w:eastAsia="Calibri" w:hAnsi="Calibri"/>
                <w:sz w:val="18"/>
                <w:szCs w:val="18"/>
                <w:color w:val="auto"/>
                <w:w w:val="96"/>
              </w:rPr>
              <w:t>N/A</w:t>
            </w:r>
          </w:p>
        </w:tc>
        <w:tc>
          <w:tcPr>
            <w:tcW w:w="0" w:type="dxa"/>
            <w:vAlign w:val="bottom"/>
          </w:tcPr>
          <w:p>
            <w:pPr>
              <w:spacing w:after="0"/>
              <w:rPr>
                <w:sz w:val="1"/>
                <w:szCs w:val="1"/>
                <w:color w:val="auto"/>
              </w:rPr>
            </w:pPr>
          </w:p>
        </w:tc>
      </w:tr>
      <w:tr>
        <w:trPr>
          <w:trHeight w:val="255"/>
        </w:trPr>
        <w:tc>
          <w:tcPr>
            <w:tcW w:w="714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Total identfed intangible assets</w:t>
            </w:r>
          </w:p>
        </w:tc>
        <w:tc>
          <w:tcPr>
            <w:tcW w:w="1400" w:type="dxa"/>
            <w:vAlign w:val="bottom"/>
            <w:tcBorders>
              <w:bottom w:val="single" w:sz="8" w:color="auto"/>
            </w:tcBorders>
            <w:shd w:val="clear" w:color="auto" w:fill="CCEEFF"/>
          </w:tcPr>
          <w:p>
            <w:pPr>
              <w:jc w:val="right"/>
              <w:ind w:right="1199"/>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99"/>
              </w:rPr>
              <w:t>45,572</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180" w:firstLine="405"/>
        <w:spacing w:after="0" w:line="235" w:lineRule="auto"/>
        <w:rPr>
          <w:sz w:val="20"/>
          <w:szCs w:val="20"/>
          <w:color w:val="auto"/>
        </w:rPr>
      </w:pPr>
      <w:r>
        <w:rPr>
          <w:rFonts w:ascii="Calibri" w:cs="Calibri" w:eastAsia="Calibri" w:hAnsi="Calibri"/>
          <w:sz w:val="18"/>
          <w:szCs w:val="18"/>
          <w:color w:val="auto"/>
        </w:rPr>
        <w:t>Developed technology relates to products used for VMware cloud foundaton, applicaton management, security, applicaton networking and security, and sofware-defned edge. We valued the developed technology using the mult-period excess earnings method under the income approach. This method refects the present value of the projected cash fows that are expected to be generated by the developed technology less charges representng the contributon of other assets to those cash fows. The economic useful life was determined based on the technology cycle related to each developed technology, as well as the cash fows over the forecast period.</w:t>
      </w:r>
    </w:p>
    <w:p>
      <w:pPr>
        <w:spacing w:after="0" w:line="112" w:lineRule="exact"/>
        <w:rPr>
          <w:sz w:val="20"/>
          <w:szCs w:val="20"/>
          <w:color w:val="auto"/>
        </w:rPr>
      </w:pPr>
    </w:p>
    <w:p>
      <w:pPr>
        <w:ind w:right="100" w:firstLine="405"/>
        <w:spacing w:after="0" w:line="251" w:lineRule="auto"/>
        <w:rPr>
          <w:sz w:val="20"/>
          <w:szCs w:val="20"/>
          <w:color w:val="auto"/>
        </w:rPr>
      </w:pPr>
      <w:r>
        <w:rPr>
          <w:rFonts w:ascii="Calibri" w:cs="Calibri" w:eastAsia="Calibri" w:hAnsi="Calibri"/>
          <w:sz w:val="17"/>
          <w:szCs w:val="17"/>
          <w:color w:val="auto"/>
        </w:rPr>
        <w:t>Customer contracts and related relatonships represent the fair value of future projected revenue that will be derived from sales of products to existng customers of VMware. Customer contracts and related relatonships were valued using the with-and-without-method under the income approach. In the with-and-without method, the fair value was measured by the diference between the present values of the cash fows with and without the existng customers in place over the period of tme necessary to reacquire the customers. The economic useful life was determined by evaluatng many factors, including the useful life of other intangible assets, the length of tme remaining on the acquired contracts and the historical customer turnover rates.</w:t>
      </w:r>
    </w:p>
    <w:p>
      <w:pPr>
        <w:spacing w:after="0" w:line="103" w:lineRule="exact"/>
        <w:rPr>
          <w:sz w:val="20"/>
          <w:szCs w:val="20"/>
          <w:color w:val="auto"/>
        </w:rPr>
      </w:pPr>
    </w:p>
    <w:p>
      <w:pPr>
        <w:ind w:right="280" w:firstLine="405"/>
        <w:spacing w:after="0" w:line="235" w:lineRule="auto"/>
        <w:rPr>
          <w:sz w:val="20"/>
          <w:szCs w:val="20"/>
          <w:color w:val="auto"/>
        </w:rPr>
      </w:pPr>
      <w:r>
        <w:rPr>
          <w:rFonts w:ascii="Calibri" w:cs="Calibri" w:eastAsia="Calibri" w:hAnsi="Calibri"/>
          <w:sz w:val="18"/>
          <w:szCs w:val="18"/>
          <w:color w:val="auto"/>
        </w:rPr>
        <w:t>Trade name relates to the “VMware” trade name. The fair value was determined by applying the relief-from-royalty method under the income approach. This method is based on the applicaton of a royalty rate to forecasted revenue under the trade name. The economic useful life was determined based on the expected life of the trade name and the cash fows antcipated over the forecast period.</w:t>
      </w:r>
    </w:p>
    <w:p>
      <w:pPr>
        <w:spacing w:after="0" w:line="111" w:lineRule="exact"/>
        <w:rPr>
          <w:sz w:val="20"/>
          <w:szCs w:val="20"/>
          <w:color w:val="auto"/>
        </w:rPr>
      </w:pPr>
    </w:p>
    <w:p>
      <w:pPr>
        <w:ind w:right="160" w:firstLine="405"/>
        <w:spacing w:after="0" w:line="235" w:lineRule="auto"/>
        <w:rPr>
          <w:sz w:val="20"/>
          <w:szCs w:val="20"/>
          <w:color w:val="auto"/>
        </w:rPr>
      </w:pPr>
      <w:r>
        <w:rPr>
          <w:rFonts w:ascii="Calibri" w:cs="Calibri" w:eastAsia="Calibri" w:hAnsi="Calibri"/>
          <w:sz w:val="18"/>
          <w:szCs w:val="18"/>
          <w:color w:val="auto"/>
        </w:rPr>
        <w:t>Of-market component of customer contracts relate to rebates and marketng development funds provided to customers prior to the VMware Merger. We valued these contracts based on their remaining unamortzed balances, which approximate their fair value. The economic useful life was determined based on the remaining terms of customer contracts.</w:t>
      </w:r>
    </w:p>
    <w:p>
      <w:pPr>
        <w:spacing w:after="0" w:line="111" w:lineRule="exact"/>
        <w:rPr>
          <w:sz w:val="20"/>
          <w:szCs w:val="20"/>
          <w:color w:val="auto"/>
        </w:rPr>
      </w:pPr>
    </w:p>
    <w:p>
      <w:pPr>
        <w:jc w:val="both"/>
        <w:ind w:right="200" w:firstLine="405"/>
        <w:spacing w:after="0" w:line="235" w:lineRule="auto"/>
        <w:rPr>
          <w:sz w:val="20"/>
          <w:szCs w:val="20"/>
          <w:color w:val="auto"/>
        </w:rPr>
      </w:pPr>
      <w:r>
        <w:rPr>
          <w:rFonts w:ascii="Calibri" w:cs="Calibri" w:eastAsia="Calibri" w:hAnsi="Calibri"/>
          <w:sz w:val="18"/>
          <w:szCs w:val="18"/>
          <w:color w:val="auto"/>
        </w:rPr>
        <w:t>The fair value of IPR&amp;D was determined using the mult-period excess earnings method under the income approach. This method refects the present value of the projected cash fows that are expected to be generated by the IPR&amp;D, less charges representng the contributon of other assets to those cash fows.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The following table presents the details of IPR&amp;D by category as of the date of the VMware Merger:</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alibri" w:cs="Calibri" w:eastAsia="Calibri" w:hAnsi="Calibri"/>
                <w:sz w:val="14"/>
                <w:szCs w:val="14"/>
                <w:b w:val="1"/>
                <w:bCs w:val="1"/>
                <w:color w:val="auto"/>
              </w:rPr>
              <w:t>Expected Release</w:t>
            </w:r>
          </w:p>
        </w:tc>
        <w:tc>
          <w:tcPr>
            <w:tcW w:w="380" w:type="dxa"/>
            <w:vAlign w:val="bottom"/>
          </w:tcPr>
          <w:p>
            <w:pPr>
              <w:spacing w:after="0"/>
              <w:rPr>
                <w:sz w:val="14"/>
                <w:szCs w:val="14"/>
                <w:color w:val="auto"/>
              </w:rPr>
            </w:pPr>
          </w:p>
        </w:tc>
      </w:tr>
      <w:tr>
        <w:trPr>
          <w:trHeight w:val="136"/>
        </w:trPr>
        <w:tc>
          <w:tcPr>
            <w:tcW w:w="6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20"/>
              <w:spacing w:after="0" w:line="136" w:lineRule="exact"/>
              <w:rPr>
                <w:sz w:val="20"/>
                <w:szCs w:val="20"/>
                <w:color w:val="auto"/>
              </w:rPr>
            </w:pPr>
            <w:r>
              <w:rPr>
                <w:rFonts w:ascii="Calibri" w:cs="Calibri" w:eastAsia="Calibri" w:hAnsi="Calibri"/>
                <w:sz w:val="14"/>
                <w:szCs w:val="14"/>
                <w:b w:val="1"/>
                <w:bCs w:val="1"/>
                <w:color w:val="auto"/>
              </w:rPr>
              <w:t>Percentage of</w:t>
            </w:r>
          </w:p>
        </w:tc>
        <w:tc>
          <w:tcPr>
            <w:tcW w:w="1260" w:type="dxa"/>
            <w:vAlign w:val="bottom"/>
            <w:gridSpan w:val="3"/>
          </w:tcPr>
          <w:p>
            <w:pPr>
              <w:jc w:val="center"/>
              <w:ind w:right="100"/>
              <w:spacing w:after="0" w:line="136" w:lineRule="exact"/>
              <w:rPr>
                <w:sz w:val="20"/>
                <w:szCs w:val="20"/>
                <w:color w:val="auto"/>
              </w:rPr>
            </w:pPr>
            <w:r>
              <w:rPr>
                <w:rFonts w:ascii="Calibri" w:cs="Calibri" w:eastAsia="Calibri" w:hAnsi="Calibri"/>
                <w:sz w:val="14"/>
                <w:szCs w:val="14"/>
                <w:b w:val="1"/>
                <w:bCs w:val="1"/>
                <w:color w:val="auto"/>
              </w:rPr>
              <w:t>Estmated Cost to</w:t>
            </w:r>
          </w:p>
        </w:tc>
        <w:tc>
          <w:tcPr>
            <w:tcW w:w="1160" w:type="dxa"/>
            <w:vAlign w:val="bottom"/>
          </w:tcPr>
          <w:p>
            <w:pPr>
              <w:jc w:val="center"/>
              <w:spacing w:after="0" w:line="136" w:lineRule="exact"/>
              <w:rPr>
                <w:sz w:val="20"/>
                <w:szCs w:val="20"/>
                <w:color w:val="auto"/>
              </w:rPr>
            </w:pPr>
            <w:r>
              <w:rPr>
                <w:rFonts w:ascii="Calibri" w:cs="Calibri" w:eastAsia="Calibri" w:hAnsi="Calibri"/>
                <w:sz w:val="14"/>
                <w:szCs w:val="14"/>
                <w:b w:val="1"/>
                <w:bCs w:val="1"/>
                <w:color w:val="auto"/>
              </w:rPr>
              <w:t>Date</w:t>
            </w:r>
          </w:p>
        </w:tc>
        <w:tc>
          <w:tcPr>
            <w:tcW w:w="380" w:type="dxa"/>
            <w:vAlign w:val="bottom"/>
          </w:tcPr>
          <w:p>
            <w:pPr>
              <w:spacing w:after="0"/>
              <w:rPr>
                <w:sz w:val="11"/>
                <w:szCs w:val="11"/>
                <w:color w:val="auto"/>
              </w:rPr>
            </w:pPr>
          </w:p>
        </w:tc>
      </w:tr>
      <w:tr>
        <w:trPr>
          <w:trHeight w:val="183"/>
        </w:trPr>
        <w:tc>
          <w:tcPr>
            <w:tcW w:w="614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Descripton</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Calibri" w:cs="Calibri" w:eastAsia="Calibri" w:hAnsi="Calibri"/>
                <w:sz w:val="14"/>
                <w:szCs w:val="14"/>
                <w:b w:val="1"/>
                <w:bCs w:val="1"/>
                <w:color w:val="auto"/>
              </w:rPr>
              <w:t>IPR&amp;D</w:t>
            </w:r>
          </w:p>
        </w:tc>
        <w:tc>
          <w:tcPr>
            <w:tcW w:w="130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Completon</w:t>
            </w:r>
          </w:p>
        </w:tc>
        <w:tc>
          <w:tcPr>
            <w:tcW w:w="20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Complete</w:t>
            </w:r>
          </w:p>
        </w:tc>
        <w:tc>
          <w:tcPr>
            <w:tcW w:w="1160" w:type="dxa"/>
            <w:vAlign w:val="bottom"/>
          </w:tcPr>
          <w:p>
            <w:pPr>
              <w:jc w:val="center"/>
              <w:spacing w:after="0"/>
              <w:rPr>
                <w:sz w:val="20"/>
                <w:szCs w:val="20"/>
                <w:color w:val="auto"/>
              </w:rPr>
            </w:pPr>
            <w:r>
              <w:rPr>
                <w:rFonts w:ascii="Calibri" w:cs="Calibri" w:eastAsia="Calibri" w:hAnsi="Calibri"/>
                <w:sz w:val="14"/>
                <w:szCs w:val="14"/>
                <w:b w:val="1"/>
                <w:bCs w:val="1"/>
                <w:color w:val="auto"/>
              </w:rPr>
              <w:t>(By Fiscal Year)</w:t>
            </w:r>
          </w:p>
        </w:tc>
        <w:tc>
          <w:tcPr>
            <w:tcW w:w="380" w:type="dxa"/>
            <w:vAlign w:val="bottom"/>
          </w:tcPr>
          <w:p>
            <w:pPr>
              <w:spacing w:after="0"/>
              <w:rPr>
                <w:sz w:val="15"/>
                <w:szCs w:val="15"/>
                <w:color w:val="auto"/>
              </w:rPr>
            </w:pPr>
          </w:p>
        </w:tc>
      </w:tr>
      <w:tr>
        <w:trPr>
          <w:trHeight w:val="33"/>
        </w:trPr>
        <w:tc>
          <w:tcPr>
            <w:tcW w:w="6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190"/>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jc w:val="center"/>
              <w:ind w:left="77"/>
              <w:spacing w:after="0"/>
              <w:rPr>
                <w:sz w:val="20"/>
                <w:szCs w:val="20"/>
                <w:color w:val="auto"/>
              </w:rPr>
            </w:pPr>
            <w:r>
              <w:rPr>
                <w:rFonts w:ascii="Calibri" w:cs="Calibri" w:eastAsia="Calibri" w:hAnsi="Calibri"/>
                <w:sz w:val="14"/>
                <w:szCs w:val="14"/>
                <w:b w:val="1"/>
                <w:bCs w:val="1"/>
                <w:color w:val="auto"/>
              </w:rPr>
              <w:t>(Dollars in millions)</w:t>
            </w: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47"/>
        </w:trPr>
        <w:tc>
          <w:tcPr>
            <w:tcW w:w="6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30"/>
        </w:trPr>
        <w:tc>
          <w:tcPr>
            <w:tcW w:w="6140" w:type="dxa"/>
            <w:vAlign w:val="bottom"/>
            <w:gridSpan w:val="2"/>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VMware cloud foundaton July 2024 releases</w:t>
            </w: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790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98"/>
              </w:rPr>
              <w:t>2024</w:t>
            </w:r>
          </w:p>
        </w:tc>
        <w:tc>
          <w:tcPr>
            <w:tcW w:w="380" w:type="dxa"/>
            <w:vAlign w:val="bottom"/>
            <w:shd w:val="clear" w:color="auto" w:fill="CCEEFF"/>
          </w:tcPr>
          <w:p>
            <w:pPr>
              <w:ind w:left="100"/>
              <w:spacing w:after="0" w:line="215" w:lineRule="exact"/>
              <w:rPr>
                <w:sz w:val="20"/>
                <w:szCs w:val="20"/>
                <w:color w:val="auto"/>
              </w:rPr>
            </w:pPr>
            <w:r>
              <w:rPr>
                <w:rFonts w:ascii="Calibri" w:cs="Calibri" w:eastAsia="Calibri" w:hAnsi="Calibri"/>
                <w:sz w:val="18"/>
                <w:szCs w:val="18"/>
                <w:color w:val="auto"/>
              </w:rPr>
              <w:t>(a)</w:t>
            </w:r>
          </w:p>
        </w:tc>
      </w:tr>
      <w:tr>
        <w:trPr>
          <w:trHeight w:val="222"/>
        </w:trPr>
        <w:tc>
          <w:tcPr>
            <w:tcW w:w="614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VMware cloud foundaton March 2025 releases</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2,900</w:t>
            </w:r>
          </w:p>
        </w:tc>
        <w:tc>
          <w:tcPr>
            <w:tcW w:w="1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58 %</w:t>
            </w:r>
          </w:p>
        </w:tc>
        <w:tc>
          <w:tcPr>
            <w:tcW w:w="120" w:type="dxa"/>
            <w:vAlign w:val="bottom"/>
          </w:tcPr>
          <w:p>
            <w:pPr>
              <w:spacing w:after="0"/>
              <w:rPr>
                <w:sz w:val="19"/>
                <w:szCs w:val="19"/>
                <w:color w:val="auto"/>
              </w:rPr>
            </w:pPr>
          </w:p>
        </w:tc>
        <w:tc>
          <w:tcPr>
            <w:tcW w:w="2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185</w:t>
            </w:r>
          </w:p>
        </w:tc>
        <w:tc>
          <w:tcPr>
            <w:tcW w:w="100" w:type="dxa"/>
            <w:vAlign w:val="bottom"/>
          </w:tcPr>
          <w:p>
            <w:pPr>
              <w:spacing w:after="0"/>
              <w:rPr>
                <w:sz w:val="19"/>
                <w:szCs w:val="19"/>
                <w:color w:val="auto"/>
              </w:rPr>
            </w:pPr>
          </w:p>
        </w:tc>
        <w:tc>
          <w:tcPr>
            <w:tcW w:w="116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2025</w:t>
            </w:r>
          </w:p>
        </w:tc>
        <w:tc>
          <w:tcPr>
            <w:tcW w:w="380" w:type="dxa"/>
            <w:vAlign w:val="bottom"/>
          </w:tcPr>
          <w:p>
            <w:pPr>
              <w:ind w:left="100"/>
              <w:spacing w:after="0" w:line="215" w:lineRule="exact"/>
              <w:rPr>
                <w:sz w:val="20"/>
                <w:szCs w:val="20"/>
                <w:color w:val="auto"/>
              </w:rPr>
            </w:pPr>
            <w:r>
              <w:rPr>
                <w:rFonts w:ascii="Calibri" w:cs="Calibri" w:eastAsia="Calibri" w:hAnsi="Calibri"/>
                <w:sz w:val="18"/>
                <w:szCs w:val="18"/>
                <w:color w:val="auto"/>
              </w:rPr>
              <w:t>(b)</w:t>
            </w:r>
          </w:p>
        </w:tc>
      </w:tr>
      <w:tr>
        <w:trPr>
          <w:trHeight w:val="237"/>
        </w:trPr>
        <w:tc>
          <w:tcPr>
            <w:tcW w:w="614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VMware cloud foundaton July 2025 releases</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7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750</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43 %</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87"/>
              </w:rPr>
              <w:t>$</w:t>
            </w: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65</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98"/>
              </w:rPr>
              <w:t>2025</w:t>
            </w:r>
          </w:p>
        </w:tc>
        <w:tc>
          <w:tcPr>
            <w:tcW w:w="380" w:type="dxa"/>
            <w:vAlign w:val="bottom"/>
            <w:shd w:val="clear" w:color="auto" w:fill="CCEEFF"/>
          </w:tcPr>
          <w:p>
            <w:pPr>
              <w:ind w:left="100"/>
              <w:spacing w:after="0"/>
              <w:rPr>
                <w:sz w:val="20"/>
                <w:szCs w:val="20"/>
                <w:color w:val="auto"/>
              </w:rPr>
            </w:pPr>
            <w:r>
              <w:rPr>
                <w:rFonts w:ascii="Calibri" w:cs="Calibri" w:eastAsia="Calibri" w:hAnsi="Calibri"/>
                <w:sz w:val="18"/>
                <w:szCs w:val="18"/>
                <w:color w:val="auto"/>
              </w:rPr>
              <w:t>(c)</w:t>
            </w:r>
          </w:p>
        </w:tc>
      </w:tr>
      <w:tr>
        <w:trPr>
          <w:trHeight w:val="222"/>
        </w:trPr>
        <w:tc>
          <w:tcPr>
            <w:tcW w:w="614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VMware cloud foundaton networking and security virtualizaton</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265</w:t>
            </w:r>
          </w:p>
        </w:tc>
        <w:tc>
          <w:tcPr>
            <w:tcW w:w="10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21 %</w:t>
            </w:r>
          </w:p>
        </w:tc>
        <w:tc>
          <w:tcPr>
            <w:tcW w:w="120" w:type="dxa"/>
            <w:vAlign w:val="bottom"/>
          </w:tcPr>
          <w:p>
            <w:pPr>
              <w:spacing w:after="0"/>
              <w:rPr>
                <w:sz w:val="19"/>
                <w:szCs w:val="19"/>
                <w:color w:val="auto"/>
              </w:rPr>
            </w:pPr>
          </w:p>
        </w:tc>
        <w:tc>
          <w:tcPr>
            <w:tcW w:w="2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59</w:t>
            </w:r>
          </w:p>
        </w:tc>
        <w:tc>
          <w:tcPr>
            <w:tcW w:w="100" w:type="dxa"/>
            <w:vAlign w:val="bottom"/>
          </w:tcPr>
          <w:p>
            <w:pPr>
              <w:spacing w:after="0"/>
              <w:rPr>
                <w:sz w:val="19"/>
                <w:szCs w:val="19"/>
                <w:color w:val="auto"/>
              </w:rPr>
            </w:pPr>
          </w:p>
        </w:tc>
        <w:tc>
          <w:tcPr>
            <w:tcW w:w="116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2024</w:t>
            </w:r>
          </w:p>
        </w:tc>
        <w:tc>
          <w:tcPr>
            <w:tcW w:w="380" w:type="dxa"/>
            <w:vAlign w:val="bottom"/>
          </w:tcPr>
          <w:p>
            <w:pPr>
              <w:ind w:left="100"/>
              <w:spacing w:after="0" w:line="215" w:lineRule="exact"/>
              <w:rPr>
                <w:sz w:val="20"/>
                <w:szCs w:val="20"/>
                <w:color w:val="auto"/>
              </w:rPr>
            </w:pPr>
            <w:r>
              <w:rPr>
                <w:rFonts w:ascii="Calibri" w:cs="Calibri" w:eastAsia="Calibri" w:hAnsi="Calibri"/>
                <w:sz w:val="18"/>
                <w:szCs w:val="18"/>
                <w:color w:val="auto"/>
              </w:rPr>
              <w:t>(a)</w:t>
            </w:r>
          </w:p>
        </w:tc>
      </w:tr>
      <w:tr>
        <w:trPr>
          <w:trHeight w:val="237"/>
        </w:trPr>
        <w:tc>
          <w:tcPr>
            <w:tcW w:w="614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Applicaton networking and security</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7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25</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21 %</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87"/>
              </w:rPr>
              <w:t>$</w:t>
            </w: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47</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98"/>
              </w:rPr>
              <w:t>2024</w:t>
            </w:r>
          </w:p>
        </w:tc>
        <w:tc>
          <w:tcPr>
            <w:tcW w:w="380" w:type="dxa"/>
            <w:vAlign w:val="bottom"/>
            <w:shd w:val="clear" w:color="auto" w:fill="CCEEFF"/>
          </w:tcPr>
          <w:p>
            <w:pPr>
              <w:ind w:left="100"/>
              <w:spacing w:after="0"/>
              <w:rPr>
                <w:sz w:val="20"/>
                <w:szCs w:val="20"/>
                <w:color w:val="auto"/>
              </w:rPr>
            </w:pPr>
            <w:r>
              <w:rPr>
                <w:rFonts w:ascii="Calibri" w:cs="Calibri" w:eastAsia="Calibri" w:hAnsi="Calibri"/>
                <w:sz w:val="18"/>
                <w:szCs w:val="18"/>
                <w:color w:val="auto"/>
              </w:rPr>
              <w:t>(a)</w:t>
            </w:r>
          </w:p>
        </w:tc>
      </w:tr>
    </w:tbl>
    <w:p>
      <w:pPr>
        <w:spacing w:after="0" w:line="67" w:lineRule="exact"/>
        <w:rPr>
          <w:sz w:val="20"/>
          <w:szCs w:val="20"/>
          <w:color w:val="auto"/>
        </w:rPr>
      </w:pPr>
    </w:p>
    <w:p>
      <w:pPr>
        <w:spacing w:after="0"/>
        <w:rPr>
          <w:sz w:val="20"/>
          <w:szCs w:val="20"/>
          <w:color w:val="auto"/>
        </w:rPr>
      </w:pPr>
      <w:r>
        <w:rPr>
          <w:rFonts w:ascii="Calibri" w:cs="Calibri" w:eastAsia="Calibri" w:hAnsi="Calibri"/>
          <w:sz w:val="18"/>
          <w:szCs w:val="18"/>
          <w:color w:val="auto"/>
        </w:rPr>
        <w:t>____________________________</w:t>
      </w:r>
    </w:p>
    <w:p>
      <w:pPr>
        <w:spacing w:after="0" w:line="104" w:lineRule="exact"/>
        <w:rPr>
          <w:sz w:val="20"/>
          <w:szCs w:val="20"/>
          <w:color w:val="auto"/>
        </w:rPr>
      </w:pPr>
    </w:p>
    <w:p>
      <w:pPr>
        <w:ind w:left="240" w:hanging="232"/>
        <w:spacing w:after="0"/>
        <w:tabs>
          <w:tab w:leader="none" w:pos="24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Released during fscal year 2024.</w:t>
      </w:r>
    </w:p>
    <w:p>
      <w:pPr>
        <w:spacing w:after="0" w:line="109" w:lineRule="exact"/>
        <w:rPr>
          <w:rFonts w:ascii="Calibri" w:cs="Calibri" w:eastAsia="Calibri" w:hAnsi="Calibri"/>
          <w:sz w:val="18"/>
          <w:szCs w:val="18"/>
          <w:color w:val="auto"/>
        </w:rPr>
      </w:pPr>
    </w:p>
    <w:p>
      <w:pPr>
        <w:ind w:right="160" w:firstLine="8"/>
        <w:spacing w:after="0" w:line="235" w:lineRule="auto"/>
        <w:tabs>
          <w:tab w:leader="none" w:pos="238"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$1,380 million of the $2,900 million was released during fscal year 2024. The remaining balance is expected to be released during the second half of the fscal year ending November 2, 2025 (“fscal year 2025”).</w:t>
      </w:r>
    </w:p>
    <w:p>
      <w:pPr>
        <w:spacing w:after="0" w:line="104" w:lineRule="exact"/>
        <w:rPr>
          <w:rFonts w:ascii="Calibri" w:cs="Calibri" w:eastAsia="Calibri" w:hAnsi="Calibri"/>
          <w:sz w:val="18"/>
          <w:szCs w:val="18"/>
          <w:color w:val="auto"/>
        </w:rPr>
      </w:pPr>
    </w:p>
    <w:p>
      <w:pPr>
        <w:ind w:left="220" w:hanging="212"/>
        <w:spacing w:after="0"/>
        <w:tabs>
          <w:tab w:leader="none" w:pos="22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Expected to be released during the frst half of the fscal year ending November 1, 2026.</w:t>
      </w:r>
    </w:p>
    <w:p>
      <w:pPr>
        <w:spacing w:after="0" w:line="109"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VMware cloud foundaton is a private cloud platorm that integrates compute, storage, networking, and management into a single soluton and provides license portability. It enables customers to modernize infrastructure and accelerate developer productvity with greater resilience and security.</w:t>
      </w:r>
    </w:p>
    <w:p>
      <w:pPr>
        <w:spacing w:after="0" w:line="110" w:lineRule="exact"/>
        <w:rPr>
          <w:sz w:val="20"/>
          <w:szCs w:val="20"/>
          <w:color w:val="auto"/>
        </w:rPr>
      </w:pPr>
    </w:p>
    <w:p>
      <w:pPr>
        <w:ind w:right="80" w:firstLine="405"/>
        <w:spacing w:after="0" w:line="235" w:lineRule="auto"/>
        <w:rPr>
          <w:sz w:val="20"/>
          <w:szCs w:val="20"/>
          <w:color w:val="auto"/>
        </w:rPr>
      </w:pPr>
      <w:r>
        <w:rPr>
          <w:rFonts w:ascii="Calibri" w:cs="Calibri" w:eastAsia="Calibri" w:hAnsi="Calibri"/>
          <w:sz w:val="18"/>
          <w:szCs w:val="18"/>
          <w:color w:val="auto"/>
        </w:rPr>
        <w:t>We believe the amounts of purchased intangible assets recorded above represent the fair values of, and approximate the amounts a market partcipant would pay for, these intangible assets as of the date of the VMware Merger.</w:t>
      </w:r>
    </w:p>
    <w:p>
      <w:pPr>
        <w:spacing w:after="0" w:line="105" w:lineRule="exact"/>
        <w:rPr>
          <w:sz w:val="20"/>
          <w:szCs w:val="20"/>
          <w:color w:val="auto"/>
        </w:rPr>
      </w:pPr>
    </w:p>
    <w:p>
      <w:pPr>
        <w:ind w:left="420"/>
        <w:spacing w:after="0"/>
        <w:rPr>
          <w:sz w:val="20"/>
          <w:szCs w:val="20"/>
          <w:color w:val="auto"/>
        </w:rPr>
      </w:pPr>
      <w:r>
        <w:rPr>
          <w:rFonts w:ascii="Calibri" w:cs="Calibri" w:eastAsia="Calibri" w:hAnsi="Calibri"/>
          <w:sz w:val="18"/>
          <w:szCs w:val="18"/>
          <w:b w:val="1"/>
          <w:bCs w:val="1"/>
          <w:i w:val="1"/>
          <w:iCs w:val="1"/>
          <w:color w:val="auto"/>
        </w:rPr>
        <w:t>Unaudited Pro Forma Informaton</w:t>
      </w:r>
    </w:p>
    <w:p>
      <w:pPr>
        <w:spacing w:after="0" w:line="109" w:lineRule="exact"/>
        <w:rPr>
          <w:sz w:val="20"/>
          <w:szCs w:val="20"/>
          <w:color w:val="auto"/>
        </w:rPr>
      </w:pPr>
    </w:p>
    <w:p>
      <w:pPr>
        <w:ind w:right="120" w:firstLine="405"/>
        <w:spacing w:after="0" w:line="235" w:lineRule="auto"/>
        <w:rPr>
          <w:sz w:val="20"/>
          <w:szCs w:val="20"/>
          <w:color w:val="auto"/>
        </w:rPr>
      </w:pPr>
      <w:r>
        <w:rPr>
          <w:rFonts w:ascii="Calibri" w:cs="Calibri" w:eastAsia="Calibri" w:hAnsi="Calibri"/>
          <w:sz w:val="18"/>
          <w:szCs w:val="18"/>
          <w:color w:val="auto"/>
        </w:rPr>
        <w:t>The following unaudited pro forma fnancial informaton presents combined results of operatons for each of the periods presented, as if VMware had been acquired as of the beginning of fscal year 2023. The unaudited pro forma informaton includes adjustments to amortzaton for intangible assets acquired, stock-based compensaton expense, interest expense for acquisiton fnancing, amortzaton of deferred assets and liabilites, and depreciaton for property and equipment acquired. The unaudited pro forma informaton presented below is for informatonal purposes only and is not necessarily indicatve of our consolidated results of operatons of the combined business had the acquisiton actually occurred at the beginning of fscal year 2023 or of the results of our future operatons of the combined business.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40" w:type="dxa"/>
            <w:vAlign w:val="bottom"/>
            <w:gridSpan w:val="3"/>
          </w:tcPr>
          <w:p>
            <w:pPr>
              <w:jc w:val="right"/>
              <w:ind w:right="150"/>
              <w:spacing w:after="0"/>
              <w:rPr>
                <w:sz w:val="20"/>
                <w:szCs w:val="20"/>
                <w:color w:val="auto"/>
              </w:rPr>
            </w:pPr>
            <w:r>
              <w:rPr>
                <w:rFonts w:ascii="Calibri" w:cs="Calibri" w:eastAsia="Calibri" w:hAnsi="Calibri"/>
                <w:sz w:val="14"/>
                <w:szCs w:val="14"/>
                <w:b w:val="1"/>
                <w:bCs w:val="1"/>
                <w:color w:val="auto"/>
              </w:rPr>
              <w:t>Fiscal Year</w:t>
            </w:r>
          </w:p>
        </w:tc>
        <w:tc>
          <w:tcPr>
            <w:tcW w:w="1260" w:type="dxa"/>
            <w:vAlign w:val="bottom"/>
          </w:tcPr>
          <w:p>
            <w:pPr>
              <w:spacing w:after="0"/>
              <w:rPr>
                <w:sz w:val="14"/>
                <w:szCs w:val="14"/>
                <w:color w:val="auto"/>
              </w:rPr>
            </w:pPr>
          </w:p>
        </w:tc>
      </w:tr>
      <w:tr>
        <w:trPr>
          <w:trHeight w:val="47"/>
        </w:trPr>
        <w:tc>
          <w:tcPr>
            <w:tcW w:w="756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63"/>
        </w:trPr>
        <w:tc>
          <w:tcPr>
            <w:tcW w:w="7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661"/>
              <w:spacing w:after="0" w:line="164" w:lineRule="exact"/>
              <w:rPr>
                <w:sz w:val="20"/>
                <w:szCs w:val="20"/>
                <w:color w:val="auto"/>
              </w:rPr>
            </w:pPr>
            <w:r>
              <w:rPr>
                <w:rFonts w:ascii="Calibri" w:cs="Calibri" w:eastAsia="Calibri" w:hAnsi="Calibri"/>
                <w:sz w:val="14"/>
                <w:szCs w:val="14"/>
                <w:b w:val="1"/>
                <w:bCs w:val="1"/>
                <w:color w:val="auto"/>
              </w:rPr>
              <w:t>2024</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jc w:val="right"/>
              <w:ind w:right="656"/>
              <w:spacing w:after="0" w:line="164" w:lineRule="exact"/>
              <w:rPr>
                <w:sz w:val="20"/>
                <w:szCs w:val="20"/>
                <w:color w:val="auto"/>
              </w:rPr>
            </w:pPr>
            <w:r>
              <w:rPr>
                <w:rFonts w:ascii="Calibri" w:cs="Calibri" w:eastAsia="Calibri" w:hAnsi="Calibri"/>
                <w:sz w:val="14"/>
                <w:szCs w:val="14"/>
                <w:b w:val="1"/>
                <w:bCs w:val="1"/>
                <w:color w:val="auto"/>
              </w:rPr>
              <w:t>2023</w:t>
            </w:r>
          </w:p>
        </w:tc>
      </w:tr>
      <w:tr>
        <w:trPr>
          <w:trHeight w:val="33"/>
        </w:trPr>
        <w:tc>
          <w:tcPr>
            <w:tcW w:w="7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gridSpan w:val="3"/>
          </w:tcPr>
          <w:p>
            <w:pPr>
              <w:jc w:val="right"/>
              <w:ind w:right="150"/>
              <w:spacing w:after="0"/>
              <w:rPr>
                <w:sz w:val="20"/>
                <w:szCs w:val="20"/>
                <w:color w:val="auto"/>
              </w:rPr>
            </w:pPr>
            <w:r>
              <w:rPr>
                <w:rFonts w:ascii="Calibri" w:cs="Calibri" w:eastAsia="Calibri" w:hAnsi="Calibri"/>
                <w:sz w:val="14"/>
                <w:szCs w:val="14"/>
                <w:b w:val="1"/>
                <w:bCs w:val="1"/>
                <w:color w:val="auto"/>
              </w:rPr>
              <w:t>(In millions)</w:t>
            </w:r>
          </w:p>
        </w:tc>
        <w:tc>
          <w:tcPr>
            <w:tcW w:w="1260" w:type="dxa"/>
            <w:vAlign w:val="bottom"/>
          </w:tcPr>
          <w:p>
            <w:pPr>
              <w:spacing w:after="0"/>
              <w:rPr>
                <w:sz w:val="16"/>
                <w:szCs w:val="16"/>
                <w:color w:val="auto"/>
              </w:rPr>
            </w:pPr>
          </w:p>
        </w:tc>
      </w:tr>
      <w:tr>
        <w:trPr>
          <w:trHeight w:val="47"/>
        </w:trPr>
        <w:tc>
          <w:tcPr>
            <w:tcW w:w="7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29"/>
        </w:trPr>
        <w:tc>
          <w:tcPr>
            <w:tcW w:w="7560" w:type="dxa"/>
            <w:vAlign w:val="bottom"/>
            <w:shd w:val="clear" w:color="auto" w:fill="CCEEFF"/>
          </w:tcPr>
          <w:p>
            <w:pPr>
              <w:spacing w:after="0" w:line="215" w:lineRule="exact"/>
              <w:rPr>
                <w:sz w:val="20"/>
                <w:szCs w:val="20"/>
                <w:color w:val="auto"/>
              </w:rPr>
            </w:pPr>
            <w:r>
              <w:rPr>
                <w:rFonts w:ascii="Calibri" w:cs="Calibri" w:eastAsia="Calibri" w:hAnsi="Calibri"/>
                <w:sz w:val="18"/>
                <w:szCs w:val="18"/>
                <w:color w:val="auto"/>
              </w:rPr>
              <w:t>Pro forma net revenue</w:t>
            </w:r>
          </w:p>
        </w:tc>
        <w:tc>
          <w:tcPr>
            <w:tcW w:w="420" w:type="dxa"/>
            <w:vAlign w:val="bottom"/>
            <w:shd w:val="clear" w:color="auto" w:fill="CCEEFF"/>
          </w:tcPr>
          <w:p>
            <w:pPr>
              <w:jc w:val="right"/>
              <w:ind w:right="210"/>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52,188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48,227</w:t>
            </w:r>
          </w:p>
        </w:tc>
      </w:tr>
      <w:tr>
        <w:trPr>
          <w:trHeight w:val="215"/>
        </w:trPr>
        <w:tc>
          <w:tcPr>
            <w:tcW w:w="7560" w:type="dxa"/>
            <w:vAlign w:val="bottom"/>
          </w:tcPr>
          <w:p>
            <w:pPr>
              <w:spacing w:after="0" w:line="215" w:lineRule="exact"/>
              <w:rPr>
                <w:sz w:val="20"/>
                <w:szCs w:val="20"/>
                <w:color w:val="auto"/>
              </w:rPr>
            </w:pPr>
            <w:r>
              <w:rPr>
                <w:rFonts w:ascii="Calibri" w:cs="Calibri" w:eastAsia="Calibri" w:hAnsi="Calibri"/>
                <w:sz w:val="18"/>
                <w:szCs w:val="18"/>
                <w:color w:val="auto"/>
              </w:rPr>
              <w:t>Pro forma net income</w:t>
            </w:r>
          </w:p>
        </w:tc>
        <w:tc>
          <w:tcPr>
            <w:tcW w:w="42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6,473</w:t>
            </w:r>
          </w:p>
        </w:tc>
        <w:tc>
          <w:tcPr>
            <w:tcW w:w="120" w:type="dxa"/>
            <w:vAlign w:val="bottom"/>
          </w:tcPr>
          <w:p>
            <w:pPr>
              <w:spacing w:after="0"/>
              <w:rPr>
                <w:sz w:val="18"/>
                <w:szCs w:val="18"/>
                <w:color w:val="auto"/>
              </w:rPr>
            </w:pPr>
          </w:p>
        </w:tc>
        <w:tc>
          <w:tcPr>
            <w:tcW w:w="480" w:type="dxa"/>
            <w:vAlign w:val="bottom"/>
          </w:tcPr>
          <w:p>
            <w:pPr>
              <w:jc w:val="right"/>
              <w:ind w:right="29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8,215</w:t>
            </w:r>
          </w:p>
        </w:tc>
      </w:tr>
    </w:tbl>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Acquisiton of Seagate’s SoC Operatons</w:t>
      </w:r>
    </w:p>
    <w:p>
      <w:pPr>
        <w:spacing w:after="0" w:line="109" w:lineRule="exact"/>
        <w:rPr>
          <w:sz w:val="20"/>
          <w:szCs w:val="20"/>
          <w:color w:val="auto"/>
        </w:rPr>
      </w:pPr>
    </w:p>
    <w:p>
      <w:pPr>
        <w:ind w:right="280" w:firstLine="405"/>
        <w:spacing w:after="0" w:line="235" w:lineRule="auto"/>
        <w:rPr>
          <w:sz w:val="20"/>
          <w:szCs w:val="20"/>
          <w:color w:val="auto"/>
        </w:rPr>
      </w:pPr>
      <w:r>
        <w:rPr>
          <w:rFonts w:ascii="Calibri" w:cs="Calibri" w:eastAsia="Calibri" w:hAnsi="Calibri"/>
          <w:sz w:val="18"/>
          <w:szCs w:val="18"/>
          <w:color w:val="auto"/>
        </w:rPr>
        <w:t>On April 23, 2024, we acquired certain assets related to the design, development, and manufacture of System-on-Chip (“SoC”) operatons of Seagate Technology Holdings plc for $600 million. We acquired these assets to strengthen our portolio of SoC products.</w:t>
      </w:r>
    </w:p>
    <w:p>
      <w:pPr>
        <w:spacing w:after="0" w:line="110" w:lineRule="exact"/>
        <w:rPr>
          <w:sz w:val="20"/>
          <w:szCs w:val="20"/>
          <w:color w:val="auto"/>
        </w:rPr>
      </w:pPr>
    </w:p>
    <w:p>
      <w:pPr>
        <w:ind w:right="160" w:firstLine="405"/>
        <w:spacing w:after="0" w:line="235" w:lineRule="auto"/>
        <w:rPr>
          <w:sz w:val="20"/>
          <w:szCs w:val="20"/>
          <w:color w:val="auto"/>
        </w:rPr>
      </w:pPr>
      <w:r>
        <w:rPr>
          <w:rFonts w:ascii="Calibri" w:cs="Calibri" w:eastAsia="Calibri" w:hAnsi="Calibri"/>
          <w:sz w:val="18"/>
          <w:szCs w:val="18"/>
          <w:color w:val="auto"/>
        </w:rPr>
        <w:t>The following table presents our allocaton of the total purchase price. Goodwill is allocated to the semiconductor solutons segment and is deductble for tax purposes.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Intangible assets</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Goodwill</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Other assets</w:t>
      </w:r>
    </w:p>
    <w:p>
      <w:pPr>
        <w:spacing w:after="0" w:line="55" w:lineRule="exact"/>
        <w:rPr>
          <w:sz w:val="20"/>
          <w:szCs w:val="20"/>
          <w:color w:val="auto"/>
        </w:rPr>
      </w:pPr>
    </w:p>
    <w:p>
      <w:pPr>
        <w:ind w:left="140"/>
        <w:spacing w:after="0"/>
        <w:rPr>
          <w:sz w:val="20"/>
          <w:szCs w:val="20"/>
          <w:color w:val="auto"/>
        </w:rPr>
      </w:pPr>
      <w:r>
        <w:rPr>
          <w:rFonts w:ascii="Calibri" w:cs="Calibri" w:eastAsia="Calibri" w:hAnsi="Calibri"/>
          <w:sz w:val="17"/>
          <w:szCs w:val="17"/>
          <w:color w:val="auto"/>
        </w:rPr>
        <w:t>Total assets acquired</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620" w:type="dxa"/>
            <w:vAlign w:val="bottom"/>
          </w:tcPr>
          <w:p>
            <w:pPr>
              <w:jc w:val="right"/>
              <w:ind w:right="616"/>
              <w:spacing w:after="0"/>
              <w:rPr>
                <w:sz w:val="20"/>
                <w:szCs w:val="20"/>
                <w:color w:val="auto"/>
              </w:rPr>
            </w:pPr>
            <w:r>
              <w:rPr>
                <w:rFonts w:ascii="Calibri" w:cs="Calibri" w:eastAsia="Calibri" w:hAnsi="Calibri"/>
                <w:sz w:val="14"/>
                <w:szCs w:val="14"/>
                <w:b w:val="1"/>
                <w:bCs w:val="1"/>
                <w:color w:val="auto"/>
              </w:rPr>
              <w:t>Fair Value</w:t>
            </w:r>
          </w:p>
        </w:tc>
      </w:tr>
      <w:tr>
        <w:trPr>
          <w:trHeight w:val="47"/>
        </w:trPr>
        <w:tc>
          <w:tcPr>
            <w:tcW w:w="36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163"/>
        </w:trPr>
        <w:tc>
          <w:tcPr>
            <w:tcW w:w="360" w:type="dxa"/>
            <w:vAlign w:val="bottom"/>
          </w:tcPr>
          <w:p>
            <w:pPr>
              <w:spacing w:after="0"/>
              <w:rPr>
                <w:sz w:val="14"/>
                <w:szCs w:val="14"/>
                <w:color w:val="auto"/>
              </w:rPr>
            </w:pPr>
          </w:p>
        </w:tc>
        <w:tc>
          <w:tcPr>
            <w:tcW w:w="1620" w:type="dxa"/>
            <w:vAlign w:val="bottom"/>
          </w:tcPr>
          <w:p>
            <w:pPr>
              <w:jc w:val="right"/>
              <w:ind w:right="556"/>
              <w:spacing w:after="0" w:line="164" w:lineRule="exact"/>
              <w:rPr>
                <w:sz w:val="20"/>
                <w:szCs w:val="20"/>
                <w:color w:val="auto"/>
              </w:rPr>
            </w:pPr>
            <w:r>
              <w:rPr>
                <w:rFonts w:ascii="Calibri" w:cs="Calibri" w:eastAsia="Calibri" w:hAnsi="Calibri"/>
                <w:sz w:val="14"/>
                <w:szCs w:val="14"/>
                <w:b w:val="1"/>
                <w:bCs w:val="1"/>
                <w:color w:val="auto"/>
              </w:rPr>
              <w:t>(In millions)</w:t>
            </w:r>
          </w:p>
        </w:tc>
      </w:tr>
      <w:tr>
        <w:trPr>
          <w:trHeight w:val="239"/>
        </w:trPr>
        <w:tc>
          <w:tcPr>
            <w:tcW w:w="360" w:type="dxa"/>
            <w:vAlign w:val="bottom"/>
          </w:tcPr>
          <w:p>
            <w:pPr>
              <w:jc w:val="right"/>
              <w:ind w:right="170"/>
              <w:spacing w:after="0"/>
              <w:rPr>
                <w:sz w:val="20"/>
                <w:szCs w:val="20"/>
                <w:color w:val="auto"/>
              </w:rPr>
            </w:pPr>
            <w:r>
              <w:rPr>
                <w:rFonts w:ascii="Calibri" w:cs="Calibri" w:eastAsia="Calibri" w:hAnsi="Calibri"/>
                <w:sz w:val="18"/>
                <w:szCs w:val="18"/>
                <w:color w:val="auto"/>
                <w:w w:val="87"/>
              </w:rPr>
              <w:t>$</w:t>
            </w:r>
          </w:p>
        </w:tc>
        <w:tc>
          <w:tcPr>
            <w:tcW w:w="1620" w:type="dxa"/>
            <w:vAlign w:val="bottom"/>
          </w:tcPr>
          <w:p>
            <w:pPr>
              <w:jc w:val="right"/>
              <w:spacing w:after="0"/>
              <w:rPr>
                <w:sz w:val="20"/>
                <w:szCs w:val="20"/>
                <w:color w:val="auto"/>
              </w:rPr>
            </w:pPr>
            <w:r>
              <w:rPr>
                <w:rFonts w:ascii="Calibri" w:cs="Calibri" w:eastAsia="Calibri" w:hAnsi="Calibri"/>
                <w:sz w:val="18"/>
                <w:szCs w:val="18"/>
                <w:color w:val="auto"/>
              </w:rPr>
              <w:t>570</w:t>
            </w:r>
          </w:p>
        </w:tc>
      </w:tr>
      <w:tr>
        <w:trPr>
          <w:trHeight w:val="230"/>
        </w:trPr>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Calibri" w:cs="Calibri" w:eastAsia="Calibri" w:hAnsi="Calibri"/>
                <w:sz w:val="18"/>
                <w:szCs w:val="18"/>
                <w:color w:val="auto"/>
              </w:rPr>
              <w:t>14</w:t>
            </w:r>
          </w:p>
        </w:tc>
      </w:tr>
      <w:tr>
        <w:trPr>
          <w:trHeight w:val="230"/>
        </w:trPr>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Calibri" w:cs="Calibri" w:eastAsia="Calibri" w:hAnsi="Calibri"/>
                <w:sz w:val="18"/>
                <w:szCs w:val="18"/>
                <w:color w:val="auto"/>
              </w:rPr>
              <w:t>16</w:t>
            </w:r>
          </w:p>
        </w:tc>
      </w:tr>
      <w:tr>
        <w:trPr>
          <w:trHeight w:val="23"/>
        </w:trPr>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6"/>
        </w:trPr>
        <w:tc>
          <w:tcPr>
            <w:tcW w:w="36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600</w:t>
            </w:r>
          </w:p>
        </w:tc>
      </w:tr>
      <w:tr>
        <w:trPr>
          <w:trHeight w:val="27"/>
        </w:trPr>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-5848985</wp:posOffset>
            </wp:positionH>
            <wp:positionV relativeFrom="paragraph">
              <wp:posOffset>-625475</wp:posOffset>
            </wp:positionV>
            <wp:extent cx="7106285"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-5848985</wp:posOffset>
            </wp:positionH>
            <wp:positionV relativeFrom="paragraph">
              <wp:posOffset>-333375</wp:posOffset>
            </wp:positionV>
            <wp:extent cx="710628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112" w:right="33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20"/>
        <w:spacing w:after="0"/>
        <w:rPr>
          <w:sz w:val="20"/>
          <w:szCs w:val="20"/>
          <w:color w:val="auto"/>
        </w:rPr>
      </w:pPr>
      <w:r>
        <w:rPr>
          <w:rFonts w:ascii="Calibri" w:cs="Calibri" w:eastAsia="Calibri" w:hAnsi="Calibri"/>
          <w:sz w:val="18"/>
          <w:szCs w:val="18"/>
          <w:b w:val="1"/>
          <w:bCs w:val="1"/>
          <w:i w:val="1"/>
          <w:iCs w:val="1"/>
          <w:color w:val="auto"/>
        </w:rPr>
        <w:t>Intangible Assets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40" w:type="dxa"/>
            <w:vAlign w:val="bottom"/>
          </w:tcPr>
          <w:p>
            <w:pPr>
              <w:spacing w:after="0"/>
              <w:rPr>
                <w:sz w:val="14"/>
                <w:szCs w:val="14"/>
                <w:color w:val="auto"/>
              </w:rPr>
            </w:pPr>
          </w:p>
        </w:tc>
        <w:tc>
          <w:tcPr>
            <w:tcW w:w="1500" w:type="dxa"/>
            <w:vAlign w:val="bottom"/>
            <w:vMerge w:val="restart"/>
          </w:tcPr>
          <w:p>
            <w:pPr>
              <w:jc w:val="right"/>
              <w:ind w:right="119"/>
              <w:spacing w:after="0"/>
              <w:rPr>
                <w:sz w:val="20"/>
                <w:szCs w:val="20"/>
                <w:color w:val="auto"/>
              </w:rPr>
            </w:pPr>
            <w:r>
              <w:rPr>
                <w:rFonts w:ascii="Calibri" w:cs="Calibri" w:eastAsia="Calibri" w:hAnsi="Calibri"/>
                <w:sz w:val="14"/>
                <w:szCs w:val="14"/>
                <w:b w:val="1"/>
                <w:bCs w:val="1"/>
                <w:color w:val="auto"/>
              </w:rPr>
              <w:t>Fair Value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Calibri" w:cs="Calibri" w:eastAsia="Calibri" w:hAnsi="Calibri"/>
                <w:sz w:val="14"/>
                <w:szCs w:val="14"/>
                <w:b w:val="1"/>
                <w:bCs w:val="1"/>
                <w:color w:val="auto"/>
              </w:rPr>
              <w:t>Weighted-Average Amortzaton</w:t>
            </w:r>
          </w:p>
        </w:tc>
        <w:tc>
          <w:tcPr>
            <w:tcW w:w="0" w:type="dxa"/>
            <w:vAlign w:val="bottom"/>
          </w:tcPr>
          <w:p>
            <w:pPr>
              <w:spacing w:after="0"/>
              <w:rPr>
                <w:sz w:val="1"/>
                <w:szCs w:val="1"/>
                <w:color w:val="auto"/>
              </w:rPr>
            </w:pPr>
          </w:p>
        </w:tc>
      </w:tr>
      <w:tr>
        <w:trPr>
          <w:trHeight w:val="170"/>
        </w:trPr>
        <w:tc>
          <w:tcPr>
            <w:tcW w:w="71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Calibri" w:cs="Calibri" w:eastAsia="Calibri" w:hAnsi="Calibri"/>
                <w:sz w:val="14"/>
                <w:szCs w:val="14"/>
                <w:b w:val="1"/>
                <w:bCs w:val="1"/>
                <w:color w:val="auto"/>
              </w:rPr>
              <w:t>Periods</w:t>
            </w:r>
          </w:p>
        </w:tc>
        <w:tc>
          <w:tcPr>
            <w:tcW w:w="0" w:type="dxa"/>
            <w:vAlign w:val="bottom"/>
          </w:tcPr>
          <w:p>
            <w:pPr>
              <w:spacing w:after="0"/>
              <w:rPr>
                <w:sz w:val="1"/>
                <w:szCs w:val="1"/>
                <w:color w:val="auto"/>
              </w:rPr>
            </w:pPr>
          </w:p>
        </w:tc>
      </w:tr>
      <w:tr>
        <w:trPr>
          <w:trHeight w:val="33"/>
        </w:trPr>
        <w:tc>
          <w:tcPr>
            <w:tcW w:w="71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7140" w:type="dxa"/>
            <w:vAlign w:val="bottom"/>
          </w:tcPr>
          <w:p>
            <w:pPr>
              <w:spacing w:after="0"/>
              <w:rPr>
                <w:sz w:val="14"/>
                <w:szCs w:val="14"/>
                <w:color w:val="auto"/>
              </w:rPr>
            </w:pPr>
          </w:p>
        </w:tc>
        <w:tc>
          <w:tcPr>
            <w:tcW w:w="1500" w:type="dxa"/>
            <w:vAlign w:val="bottom"/>
          </w:tcPr>
          <w:p>
            <w:pPr>
              <w:jc w:val="right"/>
              <w:ind w:right="59"/>
              <w:spacing w:after="0" w:line="164" w:lineRule="exact"/>
              <w:rPr>
                <w:sz w:val="20"/>
                <w:szCs w:val="20"/>
                <w:color w:val="auto"/>
              </w:rPr>
            </w:pPr>
            <w:r>
              <w:rPr>
                <w:rFonts w:ascii="Calibri" w:cs="Calibri" w:eastAsia="Calibri" w:hAnsi="Calibri"/>
                <w:sz w:val="14"/>
                <w:szCs w:val="14"/>
                <w:b w:val="1"/>
                <w:bCs w:val="1"/>
                <w:color w:val="auto"/>
              </w:rPr>
              <w:t>(In millions)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jc w:val="center"/>
              <w:spacing w:after="0" w:line="164" w:lineRule="exact"/>
              <w:rPr>
                <w:sz w:val="20"/>
                <w:szCs w:val="20"/>
                <w:color w:val="auto"/>
              </w:rPr>
            </w:pPr>
            <w:r>
              <w:rPr>
                <w:rFonts w:ascii="Calibri" w:cs="Calibri" w:eastAsia="Calibri" w:hAnsi="Calibri"/>
                <w:sz w:val="14"/>
                <w:szCs w:val="14"/>
                <w:b w:val="1"/>
                <w:bCs w:val="1"/>
                <w:color w:val="auto"/>
              </w:rPr>
              <w:t>(In years)</w:t>
            </w:r>
          </w:p>
        </w:tc>
        <w:tc>
          <w:tcPr>
            <w:tcW w:w="0" w:type="dxa"/>
            <w:vAlign w:val="bottom"/>
          </w:tcPr>
          <w:p>
            <w:pPr>
              <w:spacing w:after="0"/>
              <w:rPr>
                <w:sz w:val="1"/>
                <w:szCs w:val="1"/>
                <w:color w:val="auto"/>
              </w:rPr>
            </w:pPr>
          </w:p>
        </w:tc>
      </w:tr>
      <w:tr>
        <w:trPr>
          <w:trHeight w:val="33"/>
        </w:trPr>
        <w:tc>
          <w:tcPr>
            <w:tcW w:w="7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Customer contracts and related relatonships</w:t>
            </w:r>
          </w:p>
        </w:tc>
        <w:tc>
          <w:tcPr>
            <w:tcW w:w="1500" w:type="dxa"/>
            <w:vAlign w:val="bottom"/>
            <w:shd w:val="clear" w:color="auto" w:fill="CCEEFF"/>
          </w:tcPr>
          <w:p>
            <w:pPr>
              <w:jc w:val="right"/>
              <w:ind w:right="1299"/>
              <w:spacing w:after="0" w:line="215" w:lineRule="exact"/>
              <w:rPr>
                <w:sz w:val="20"/>
                <w:szCs w:val="20"/>
                <w:color w:val="auto"/>
              </w:rPr>
            </w:pPr>
            <w:r>
              <w:rPr>
                <w:rFonts w:ascii="Calibri" w:cs="Calibri" w:eastAsia="Calibri" w:hAnsi="Calibri"/>
                <w:sz w:val="18"/>
                <w:szCs w:val="18"/>
                <w:color w:val="auto"/>
              </w:rPr>
              <w:t>$</w:t>
            </w:r>
          </w:p>
        </w:tc>
        <w:tc>
          <w:tcPr>
            <w:tcW w:w="5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410</w:t>
            </w:r>
          </w:p>
        </w:tc>
        <w:tc>
          <w:tcPr>
            <w:tcW w:w="2100" w:type="dxa"/>
            <w:vAlign w:val="bottom"/>
            <w:gridSpan w:val="2"/>
            <w:shd w:val="clear" w:color="auto" w:fill="CCEEFF"/>
          </w:tcPr>
          <w:p>
            <w:pPr>
              <w:jc w:val="center"/>
              <w:ind w:left="30"/>
              <w:spacing w:after="0" w:line="215" w:lineRule="exact"/>
              <w:rPr>
                <w:sz w:val="20"/>
                <w:szCs w:val="20"/>
                <w:color w:val="auto"/>
              </w:rPr>
            </w:pPr>
            <w:r>
              <w:rPr>
                <w:rFonts w:ascii="Calibri" w:cs="Calibri" w:eastAsia="Calibri" w:hAnsi="Calibri"/>
                <w:sz w:val="18"/>
                <w:szCs w:val="18"/>
                <w:color w:val="auto"/>
                <w:w w:val="98"/>
              </w:rPr>
              <w:t>11</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Developed technology</w:t>
            </w:r>
          </w:p>
        </w:tc>
        <w:tc>
          <w:tcPr>
            <w:tcW w:w="1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90</w:t>
            </w:r>
          </w:p>
        </w:tc>
        <w:tc>
          <w:tcPr>
            <w:tcW w:w="2100" w:type="dxa"/>
            <w:vAlign w:val="bottom"/>
            <w:tcBorders>
              <w:bottom w:val="single" w:sz="8" w:color="CCEEFF"/>
            </w:tcBorders>
            <w:gridSpan w:val="2"/>
          </w:tcPr>
          <w:p>
            <w:pPr>
              <w:jc w:val="center"/>
              <w:ind w:left="30"/>
              <w:spacing w:after="0" w:line="215" w:lineRule="exact"/>
              <w:rPr>
                <w:sz w:val="20"/>
                <w:szCs w:val="20"/>
                <w:color w:val="auto"/>
              </w:rPr>
            </w:pPr>
            <w:r>
              <w:rPr>
                <w:rFonts w:ascii="Calibri" w:cs="Calibri" w:eastAsia="Calibri" w:hAnsi="Calibri"/>
                <w:sz w:val="18"/>
                <w:szCs w:val="18"/>
                <w:color w:val="auto"/>
                <w:w w:val="98"/>
              </w:rPr>
              <w:t>11</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40"/>
              <w:spacing w:after="0" w:line="206" w:lineRule="exact"/>
              <w:rPr>
                <w:sz w:val="20"/>
                <w:szCs w:val="20"/>
                <w:color w:val="auto"/>
              </w:rPr>
            </w:pPr>
            <w:r>
              <w:rPr>
                <w:rFonts w:ascii="Calibri" w:cs="Calibri" w:eastAsia="Calibri" w:hAnsi="Calibri"/>
                <w:sz w:val="18"/>
                <w:szCs w:val="18"/>
                <w:color w:val="auto"/>
              </w:rPr>
              <w:t>Total identfed fnite-lived intangible assets</w:t>
            </w:r>
          </w:p>
        </w:tc>
        <w:tc>
          <w:tcPr>
            <w:tcW w:w="15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500</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IPR&amp;D</w:t>
            </w:r>
          </w:p>
        </w:tc>
        <w:tc>
          <w:tcPr>
            <w:tcW w:w="1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jc w:val="center"/>
              <w:spacing w:after="0" w:line="215" w:lineRule="exact"/>
              <w:rPr>
                <w:sz w:val="20"/>
                <w:szCs w:val="20"/>
                <w:color w:val="auto"/>
              </w:rPr>
            </w:pPr>
            <w:r>
              <w:rPr>
                <w:rFonts w:ascii="Calibri" w:cs="Calibri" w:eastAsia="Calibri" w:hAnsi="Calibri"/>
                <w:sz w:val="18"/>
                <w:szCs w:val="18"/>
                <w:color w:val="auto"/>
                <w:w w:val="96"/>
              </w:rPr>
              <w:t>N/A</w:t>
            </w:r>
          </w:p>
        </w:tc>
        <w:tc>
          <w:tcPr>
            <w:tcW w:w="0" w:type="dxa"/>
            <w:vAlign w:val="bottom"/>
          </w:tcPr>
          <w:p>
            <w:pPr>
              <w:spacing w:after="0"/>
              <w:rPr>
                <w:sz w:val="1"/>
                <w:szCs w:val="1"/>
                <w:color w:val="auto"/>
              </w:rPr>
            </w:pPr>
          </w:p>
        </w:tc>
      </w:tr>
      <w:tr>
        <w:trPr>
          <w:trHeight w:val="254"/>
        </w:trPr>
        <w:tc>
          <w:tcPr>
            <w:tcW w:w="714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Total identfed intangible assets</w:t>
            </w:r>
          </w:p>
        </w:tc>
        <w:tc>
          <w:tcPr>
            <w:tcW w:w="1500" w:type="dxa"/>
            <w:vAlign w:val="bottom"/>
            <w:tcBorders>
              <w:bottom w:val="single" w:sz="8" w:color="auto"/>
            </w:tcBorders>
            <w:shd w:val="clear" w:color="auto" w:fill="CCEEFF"/>
          </w:tcPr>
          <w:p>
            <w:pPr>
              <w:jc w:val="right"/>
              <w:ind w:right="1299"/>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Customer contracts and related relatonships represent the fair value of future projected revenue that will be derived from sales of SoC controller products for hard disk drive applicatons. Customer contracts and related relatonships were valued using the mult-period excess earnings method under the income approach. This method refects the present value of the projected cash fows that are expected to be generated by the customer contracts and related relatonships less charges representng the contributon of other assets to those cash fows. The economic useful life was determined based on the useful lives of other intangible assets and the length of tme remaining on the acquired contracts.</w:t>
      </w:r>
    </w:p>
    <w:p>
      <w:pPr>
        <w:spacing w:after="0" w:line="112" w:lineRule="exact"/>
        <w:rPr>
          <w:sz w:val="20"/>
          <w:szCs w:val="20"/>
          <w:color w:val="auto"/>
        </w:rPr>
      </w:pPr>
    </w:p>
    <w:p>
      <w:pPr>
        <w:ind w:right="60" w:firstLine="405"/>
        <w:spacing w:after="0" w:line="235" w:lineRule="auto"/>
        <w:rPr>
          <w:sz w:val="20"/>
          <w:szCs w:val="20"/>
          <w:color w:val="auto"/>
        </w:rPr>
      </w:pPr>
      <w:r>
        <w:rPr>
          <w:rFonts w:ascii="Calibri" w:cs="Calibri" w:eastAsia="Calibri" w:hAnsi="Calibri"/>
          <w:sz w:val="18"/>
          <w:szCs w:val="18"/>
          <w:color w:val="auto"/>
        </w:rPr>
        <w:t>Developed technology relates to SoC controller products for hard disk drive applicatons. We valued the developed technology using the relief-from-royalty method under the income approach. This method is based on the applicaton of a royalty rate to forecasted revenue under the developed technology. The economic useful life was determined based on the technology cycle related to each developed technology, as well as the cash fows over the forecast period.</w:t>
      </w:r>
    </w:p>
    <w:p>
      <w:pPr>
        <w:spacing w:after="0" w:line="111" w:lineRule="exact"/>
        <w:rPr>
          <w:sz w:val="20"/>
          <w:szCs w:val="20"/>
          <w:color w:val="auto"/>
        </w:rPr>
      </w:pPr>
    </w:p>
    <w:p>
      <w:pPr>
        <w:ind w:right="120" w:firstLine="405"/>
        <w:spacing w:after="0" w:line="235" w:lineRule="auto"/>
        <w:rPr>
          <w:sz w:val="20"/>
          <w:szCs w:val="20"/>
          <w:color w:val="auto"/>
        </w:rPr>
      </w:pPr>
      <w:r>
        <w:rPr>
          <w:rFonts w:ascii="Calibri" w:cs="Calibri" w:eastAsia="Calibri" w:hAnsi="Calibri"/>
          <w:sz w:val="18"/>
          <w:szCs w:val="18"/>
          <w:color w:val="auto"/>
        </w:rPr>
        <w:t>The fair value of IPR&amp;D was determined using the relief-from-royalty method under the income approach. This method is based on the applicaton of a royalty rate to forecasted revenue from the IPR&amp;D.</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5. Supplemental Financial Informaton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Equivalents</w:t>
      </w:r>
    </w:p>
    <w:p>
      <w:pPr>
        <w:spacing w:after="0" w:line="109" w:lineRule="exact"/>
        <w:rPr>
          <w:sz w:val="20"/>
          <w:szCs w:val="20"/>
          <w:color w:val="auto"/>
        </w:rPr>
      </w:pPr>
    </w:p>
    <w:p>
      <w:pPr>
        <w:ind w:right="560" w:firstLine="405"/>
        <w:spacing w:after="0" w:line="235" w:lineRule="auto"/>
        <w:rPr>
          <w:sz w:val="20"/>
          <w:szCs w:val="20"/>
          <w:color w:val="auto"/>
        </w:rPr>
      </w:pPr>
      <w:r>
        <w:rPr>
          <w:rFonts w:ascii="Calibri" w:cs="Calibri" w:eastAsia="Calibri" w:hAnsi="Calibri"/>
          <w:sz w:val="18"/>
          <w:szCs w:val="18"/>
          <w:color w:val="auto"/>
        </w:rPr>
        <w:t>Cash equivalents included $1,716 million and $1,470 million of tme deposits and $1,171 million and $1,650 million of money-market funds as of November 3, 2024 and October 29, 2023, respectvely. For tme deposits, carrying value approximates fair value due to the short-term nature of the instruments. The fair value of money-market funds, which was consistent with their carrying value, was determined using unadjusted prices in actve, accessible markets for identcal assets, and as such, they were classifed as Level 1 assets in the fair value hierarchy.</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Accounts Receivable Factoring</w:t>
      </w:r>
    </w:p>
    <w:p>
      <w:pPr>
        <w:spacing w:after="0" w:line="109" w:lineRule="exact"/>
        <w:rPr>
          <w:sz w:val="20"/>
          <w:szCs w:val="20"/>
          <w:color w:val="auto"/>
        </w:rPr>
      </w:pPr>
    </w:p>
    <w:p>
      <w:pPr>
        <w:jc w:val="both"/>
        <w:ind w:right="160" w:firstLine="405"/>
        <w:spacing w:after="0" w:line="235" w:lineRule="auto"/>
        <w:rPr>
          <w:sz w:val="20"/>
          <w:szCs w:val="20"/>
          <w:color w:val="auto"/>
        </w:rPr>
      </w:pPr>
      <w:r>
        <w:rPr>
          <w:rFonts w:ascii="Calibri" w:cs="Calibri" w:eastAsia="Calibri" w:hAnsi="Calibri"/>
          <w:sz w:val="18"/>
          <w:szCs w:val="18"/>
          <w:color w:val="auto"/>
        </w:rPr>
        <w:t>We sell certain of our trade accounts receivable on a non-recourse basis to third-party fnancial insttutons pursuant to factoring arrangements. We account for these transactons as sales of receivables and present cash proceeds as cash provided by operatng actvites in the consolidated statements of cash fows. Total trade accounts receivable sold under the factoring arrangements were $5,900 million, $3,975 million and $3,700 million during fscal years 2024, 2023 and 2022, respectvely. Factoring fees for the sales of receivables were recorded in other income (expense), net and were not material for any of the</w:t>
      </w:r>
    </w:p>
    <w:p>
      <w:pPr>
        <w:spacing w:after="0"/>
        <w:rPr>
          <w:sz w:val="20"/>
          <w:szCs w:val="20"/>
          <w:color w:val="auto"/>
        </w:rPr>
      </w:pPr>
      <w:r>
        <w:rPr>
          <w:rFonts w:ascii="Calibri" w:cs="Calibri" w:eastAsia="Calibri" w:hAnsi="Calibri"/>
          <w:sz w:val="18"/>
          <w:szCs w:val="18"/>
          <w:color w:val="auto"/>
        </w:rPr>
        <w:t>periods presented.</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Inventory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Calibri" w:cs="Calibri" w:eastAsia="Calibri" w:hAnsi="Calibri"/>
                <w:sz w:val="14"/>
                <w:szCs w:val="14"/>
                <w:b w:val="1"/>
                <w:bCs w:val="1"/>
                <w:color w:val="auto"/>
              </w:rPr>
              <w:t>November 3,</w:t>
            </w:r>
          </w:p>
        </w:tc>
        <w:tc>
          <w:tcPr>
            <w:tcW w:w="3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October 29,</w:t>
            </w:r>
          </w:p>
        </w:tc>
        <w:tc>
          <w:tcPr>
            <w:tcW w:w="0" w:type="dxa"/>
            <w:vAlign w:val="bottom"/>
          </w:tcPr>
          <w:p>
            <w:pPr>
              <w:spacing w:after="0"/>
              <w:rPr>
                <w:sz w:val="1"/>
                <w:szCs w:val="1"/>
                <w:color w:val="auto"/>
              </w:rPr>
            </w:pPr>
          </w:p>
        </w:tc>
      </w:tr>
      <w:tr>
        <w:trPr>
          <w:trHeight w:val="170"/>
        </w:trPr>
        <w:tc>
          <w:tcPr>
            <w:tcW w:w="33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498"/>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96"/>
              <w:spacing w:after="0"/>
              <w:rPr>
                <w:sz w:val="20"/>
                <w:szCs w:val="20"/>
                <w:color w:val="auto"/>
              </w:rPr>
            </w:pPr>
            <w:r>
              <w:rPr>
                <w:rFonts w:ascii="Calibri" w:cs="Calibri" w:eastAsia="Calibri" w:hAnsi="Calibri"/>
                <w:sz w:val="14"/>
                <w:szCs w:val="14"/>
                <w:b w:val="1"/>
                <w:bCs w:val="1"/>
                <w:color w:val="auto"/>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4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Finished goods</w:t>
            </w:r>
          </w:p>
        </w:tc>
        <w:tc>
          <w:tcPr>
            <w:tcW w:w="5040" w:type="dxa"/>
            <w:vAlign w:val="bottom"/>
            <w:gridSpan w:val="2"/>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80" w:type="dxa"/>
            <w:vAlign w:val="bottom"/>
          </w:tcPr>
          <w:p>
            <w:pPr>
              <w:ind w:left="20"/>
              <w:spacing w:after="0" w:line="215" w:lineRule="exact"/>
              <w:rPr>
                <w:sz w:val="20"/>
                <w:szCs w:val="20"/>
                <w:color w:val="auto"/>
              </w:rPr>
            </w:pPr>
            <w:r>
              <w:rPr>
                <w:rFonts w:ascii="Calibri" w:cs="Calibri" w:eastAsia="Calibri" w:hAnsi="Calibri"/>
                <w:sz w:val="18"/>
                <w:szCs w:val="18"/>
                <w:color w:val="auto"/>
              </w:rPr>
              <w:t>Work-in-process</w:t>
            </w: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970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901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Raw materials</w:t>
            </w:r>
          </w:p>
        </w:tc>
        <w:tc>
          <w:tcPr>
            <w:tcW w:w="48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286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140"/>
              <w:spacing w:after="0"/>
              <w:rPr>
                <w:sz w:val="20"/>
                <w:szCs w:val="20"/>
                <w:color w:val="auto"/>
              </w:rPr>
            </w:pPr>
            <w:r>
              <w:rPr>
                <w:rFonts w:ascii="Calibri" w:cs="Calibri" w:eastAsia="Calibri" w:hAnsi="Calibri"/>
                <w:sz w:val="18"/>
                <w:szCs w:val="18"/>
                <w:color w:val="auto"/>
              </w:rPr>
              <w:t>Total inventory</w:t>
            </w:r>
          </w:p>
        </w:tc>
        <w:tc>
          <w:tcPr>
            <w:tcW w:w="48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820" w:type="dxa"/>
            <w:vAlign w:val="bottom"/>
            <w:vMerge w:val="restart"/>
          </w:tcPr>
          <w:p>
            <w:pPr>
              <w:jc w:val="right"/>
              <w:ind w:right="2390"/>
              <w:spacing w:after="0"/>
              <w:rPr>
                <w:sz w:val="20"/>
                <w:szCs w:val="20"/>
                <w:color w:val="auto"/>
              </w:rPr>
            </w:pPr>
            <w:r>
              <w:rPr>
                <w:rFonts w:ascii="Calibri" w:cs="Calibri" w:eastAsia="Calibri" w:hAnsi="Calibri"/>
                <w:sz w:val="18"/>
                <w:szCs w:val="18"/>
                <w:color w:val="auto"/>
              </w:rPr>
              <w:t>68</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4"/>
        </w:trPr>
        <w:tc>
          <w:tcPr>
            <w:tcW w:w="338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380" w:type="dxa"/>
            <w:vAlign w:val="bottom"/>
            <w:tcBorders>
              <w:bottom w:val="single" w:sz="8" w:color="9A9A9A"/>
            </w:tcBorders>
          </w:tcPr>
          <w:p>
            <w:pPr>
              <w:spacing w:after="0"/>
              <w:rPr>
                <w:sz w:val="12"/>
                <w:szCs w:val="12"/>
                <w:color w:val="auto"/>
              </w:rPr>
            </w:pPr>
          </w:p>
        </w:tc>
        <w:tc>
          <w:tcPr>
            <w:tcW w:w="48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Property, Plant and Equipment, Net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Calibri" w:cs="Calibri" w:eastAsia="Calibri" w:hAnsi="Calibri"/>
                <w:sz w:val="14"/>
                <w:szCs w:val="14"/>
                <w:b w:val="1"/>
                <w:bCs w:val="1"/>
                <w:color w:val="auto"/>
              </w:rPr>
              <w:t>November 3,</w:t>
            </w:r>
          </w:p>
        </w:tc>
        <w:tc>
          <w:tcPr>
            <w:tcW w:w="340" w:type="dxa"/>
            <w:vAlign w:val="bottom"/>
          </w:tcPr>
          <w:p>
            <w:pPr>
              <w:spacing w:after="0"/>
              <w:rPr>
                <w:sz w:val="14"/>
                <w:szCs w:val="14"/>
                <w:color w:val="auto"/>
              </w:rPr>
            </w:pPr>
          </w:p>
        </w:tc>
        <w:tc>
          <w:tcPr>
            <w:tcW w:w="1100" w:type="dxa"/>
            <w:vAlign w:val="bottom"/>
          </w:tcPr>
          <w:p>
            <w:pPr>
              <w:jc w:val="right"/>
              <w:ind w:right="274"/>
              <w:spacing w:after="0"/>
              <w:rPr>
                <w:sz w:val="20"/>
                <w:szCs w:val="20"/>
                <w:color w:val="auto"/>
              </w:rPr>
            </w:pPr>
            <w:r>
              <w:rPr>
                <w:rFonts w:ascii="Calibri" w:cs="Calibri" w:eastAsia="Calibri" w:hAnsi="Calibri"/>
                <w:sz w:val="14"/>
                <w:szCs w:val="14"/>
                <w:b w:val="1"/>
                <w:bCs w:val="1"/>
                <w:color w:val="auto"/>
              </w:rPr>
              <w:t>October 29,</w:t>
            </w:r>
          </w:p>
        </w:tc>
      </w:tr>
      <w:tr>
        <w:trPr>
          <w:trHeight w:val="170"/>
        </w:trPr>
        <w:tc>
          <w:tcPr>
            <w:tcW w:w="8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475"/>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4"/>
              <w:spacing w:after="0"/>
              <w:rPr>
                <w:sz w:val="20"/>
                <w:szCs w:val="20"/>
                <w:color w:val="auto"/>
              </w:rPr>
            </w:pPr>
            <w:r>
              <w:rPr>
                <w:rFonts w:ascii="Calibri" w:cs="Calibri" w:eastAsia="Calibri" w:hAnsi="Calibri"/>
                <w:sz w:val="14"/>
                <w:szCs w:val="14"/>
                <w:b w:val="1"/>
                <w:bCs w:val="1"/>
                <w:color w:val="auto"/>
              </w:rPr>
              <w:t>2023</w:t>
            </w:r>
          </w:p>
        </w:tc>
      </w:tr>
      <w:tr>
        <w:trPr>
          <w:trHeight w:val="33"/>
        </w:trPr>
        <w:tc>
          <w:tcPr>
            <w:tcW w:w="8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1100" w:type="dxa"/>
            <w:vAlign w:val="bottom"/>
          </w:tcPr>
          <w:p>
            <w:pPr>
              <w:spacing w:after="0"/>
              <w:rPr>
                <w:sz w:val="16"/>
                <w:szCs w:val="16"/>
                <w:color w:val="auto"/>
              </w:rPr>
            </w:pPr>
          </w:p>
        </w:tc>
      </w:tr>
      <w:tr>
        <w:trPr>
          <w:trHeight w:val="47"/>
        </w:trPr>
        <w:tc>
          <w:tcPr>
            <w:tcW w:w="8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9"/>
        </w:trPr>
        <w:tc>
          <w:tcPr>
            <w:tcW w:w="82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Land</w:t>
            </w:r>
          </w:p>
        </w:tc>
        <w:tc>
          <w:tcPr>
            <w:tcW w:w="22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195</w:t>
            </w:r>
          </w:p>
        </w:tc>
      </w:tr>
      <w:tr>
        <w:trPr>
          <w:trHeight w:val="222"/>
        </w:trPr>
        <w:tc>
          <w:tcPr>
            <w:tcW w:w="8260" w:type="dxa"/>
            <w:vAlign w:val="bottom"/>
          </w:tcPr>
          <w:p>
            <w:pPr>
              <w:ind w:left="20"/>
              <w:spacing w:after="0" w:line="215" w:lineRule="exact"/>
              <w:rPr>
                <w:sz w:val="20"/>
                <w:szCs w:val="20"/>
                <w:color w:val="auto"/>
              </w:rPr>
            </w:pPr>
            <w:r>
              <w:rPr>
                <w:rFonts w:ascii="Calibri" w:cs="Calibri" w:eastAsia="Calibri" w:hAnsi="Calibri"/>
                <w:sz w:val="18"/>
                <w:szCs w:val="18"/>
                <w:color w:val="auto"/>
              </w:rPr>
              <w:t>Constructon in progress</w:t>
            </w:r>
          </w:p>
        </w:tc>
        <w:tc>
          <w:tcPr>
            <w:tcW w:w="22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63</w:t>
            </w:r>
          </w:p>
        </w:tc>
      </w:tr>
      <w:tr>
        <w:trPr>
          <w:trHeight w:val="237"/>
        </w:trPr>
        <w:tc>
          <w:tcPr>
            <w:tcW w:w="82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Buildings and leasehold improvements</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1,181</w:t>
            </w:r>
          </w:p>
        </w:tc>
      </w:tr>
      <w:tr>
        <w:trPr>
          <w:trHeight w:val="223"/>
        </w:trPr>
        <w:tc>
          <w:tcPr>
            <w:tcW w:w="826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Machinery and equipment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5,246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4,739</w:t>
            </w:r>
          </w:p>
        </w:tc>
      </w:tr>
      <w:tr>
        <w:trPr>
          <w:trHeight w:val="230"/>
        </w:trPr>
        <w:tc>
          <w:tcPr>
            <w:tcW w:w="8260" w:type="dxa"/>
            <w:vAlign w:val="bottom"/>
            <w:shd w:val="clear" w:color="auto" w:fill="CCEEFF"/>
          </w:tcPr>
          <w:p>
            <w:pPr>
              <w:ind w:left="140"/>
              <w:spacing w:after="0" w:line="206" w:lineRule="exact"/>
              <w:rPr>
                <w:sz w:val="20"/>
                <w:szCs w:val="20"/>
                <w:color w:val="auto"/>
              </w:rPr>
            </w:pPr>
            <w:r>
              <w:rPr>
                <w:rFonts w:ascii="Calibri" w:cs="Calibri" w:eastAsia="Calibri" w:hAnsi="Calibri"/>
                <w:sz w:val="18"/>
                <w:szCs w:val="18"/>
                <w:color w:val="auto"/>
              </w:rPr>
              <w:t>Total property, plant and equipment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6,178</w:t>
            </w:r>
          </w:p>
        </w:tc>
      </w:tr>
      <w:tr>
        <w:trPr>
          <w:trHeight w:val="223"/>
        </w:trPr>
        <w:tc>
          <w:tcPr>
            <w:tcW w:w="826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Accumulated depreciaton and amortzaton</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(4,504)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(4,024)</w:t>
            </w:r>
          </w:p>
        </w:tc>
      </w:tr>
      <w:tr>
        <w:trPr>
          <w:trHeight w:val="255"/>
        </w:trPr>
        <w:tc>
          <w:tcPr>
            <w:tcW w:w="826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Total property, plant and equipment, net</w:t>
            </w:r>
          </w:p>
        </w:tc>
        <w:tc>
          <w:tcPr>
            <w:tcW w:w="220" w:type="dxa"/>
            <w:vAlign w:val="bottom"/>
            <w:tcBorders>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2,154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Depreciaton expense was $593 million, $502 million and $529 million for fscal years 2024, 2023 and 2022, respectvely.</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Current Assets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November 3,</w:t>
            </w:r>
          </w:p>
        </w:tc>
        <w:tc>
          <w:tcPr>
            <w:tcW w:w="340" w:type="dxa"/>
            <w:vAlign w:val="bottom"/>
          </w:tcPr>
          <w:p>
            <w:pPr>
              <w:spacing w:after="0"/>
              <w:rPr>
                <w:sz w:val="14"/>
                <w:szCs w:val="14"/>
                <w:color w:val="auto"/>
              </w:rPr>
            </w:pPr>
          </w:p>
        </w:tc>
        <w:tc>
          <w:tcPr>
            <w:tcW w:w="1100" w:type="dxa"/>
            <w:vAlign w:val="bottom"/>
          </w:tcPr>
          <w:p>
            <w:pPr>
              <w:jc w:val="center"/>
              <w:ind w:right="235"/>
              <w:spacing w:after="0"/>
              <w:rPr>
                <w:sz w:val="20"/>
                <w:szCs w:val="20"/>
                <w:color w:val="auto"/>
              </w:rPr>
            </w:pPr>
            <w:r>
              <w:rPr>
                <w:rFonts w:ascii="Calibri" w:cs="Calibri" w:eastAsia="Calibri" w:hAnsi="Calibri"/>
                <w:sz w:val="14"/>
                <w:szCs w:val="14"/>
                <w:b w:val="1"/>
                <w:bCs w:val="1"/>
                <w:color w:val="auto"/>
              </w:rPr>
              <w:t>October 29,</w:t>
            </w:r>
          </w:p>
        </w:tc>
        <w:tc>
          <w:tcPr>
            <w:tcW w:w="0" w:type="dxa"/>
            <w:vAlign w:val="bottom"/>
          </w:tcPr>
          <w:p>
            <w:pPr>
              <w:spacing w:after="0"/>
              <w:rPr>
                <w:sz w:val="1"/>
                <w:szCs w:val="1"/>
                <w:color w:val="auto"/>
              </w:rPr>
            </w:pPr>
          </w:p>
        </w:tc>
      </w:tr>
      <w:tr>
        <w:trPr>
          <w:trHeight w:val="170"/>
        </w:trPr>
        <w:tc>
          <w:tcPr>
            <w:tcW w:w="45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117"/>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center"/>
              <w:ind w:right="235"/>
              <w:spacing w:after="0"/>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46"/>
        </w:trPr>
        <w:tc>
          <w:tcPr>
            <w:tcW w:w="45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5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Current porton of contract assets</w:t>
            </w:r>
          </w:p>
        </w:tc>
        <w:tc>
          <w:tcPr>
            <w:tcW w:w="3960" w:type="dxa"/>
            <w:vAlign w:val="bottom"/>
            <w:gridSpan w:val="2"/>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499</w:t>
            </w:r>
          </w:p>
        </w:tc>
        <w:tc>
          <w:tcPr>
            <w:tcW w:w="0" w:type="dxa"/>
            <w:vAlign w:val="bottom"/>
          </w:tcPr>
          <w:p>
            <w:pPr>
              <w:spacing w:after="0"/>
              <w:rPr>
                <w:sz w:val="1"/>
                <w:szCs w:val="1"/>
                <w:color w:val="auto"/>
              </w:rPr>
            </w:pPr>
          </w:p>
        </w:tc>
      </w:tr>
      <w:tr>
        <w:trPr>
          <w:trHeight w:val="222"/>
        </w:trPr>
        <w:tc>
          <w:tcPr>
            <w:tcW w:w="4520" w:type="dxa"/>
            <w:vAlign w:val="bottom"/>
          </w:tcPr>
          <w:p>
            <w:pPr>
              <w:ind w:left="20"/>
              <w:spacing w:after="0" w:line="215" w:lineRule="exact"/>
              <w:rPr>
                <w:sz w:val="20"/>
                <w:szCs w:val="20"/>
                <w:color w:val="auto"/>
              </w:rPr>
            </w:pPr>
            <w:r>
              <w:rPr>
                <w:rFonts w:ascii="Calibri" w:cs="Calibri" w:eastAsia="Calibri" w:hAnsi="Calibri"/>
                <w:sz w:val="18"/>
                <w:szCs w:val="18"/>
                <w:color w:val="auto"/>
              </w:rPr>
              <w:t>Prepaid expenses</w:t>
            </w:r>
          </w:p>
        </w:tc>
        <w:tc>
          <w:tcPr>
            <w:tcW w:w="3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1,391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743</w:t>
            </w: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w:t>
            </w:r>
          </w:p>
        </w:tc>
        <w:tc>
          <w:tcPr>
            <w:tcW w:w="37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764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364</w:t>
            </w:r>
          </w:p>
        </w:tc>
        <w:tc>
          <w:tcPr>
            <w:tcW w:w="0" w:type="dxa"/>
            <w:vAlign w:val="bottom"/>
          </w:tcPr>
          <w:p>
            <w:pPr>
              <w:spacing w:after="0"/>
              <w:rPr>
                <w:sz w:val="1"/>
                <w:szCs w:val="1"/>
                <w:color w:val="auto"/>
              </w:rPr>
            </w:pPr>
          </w:p>
        </w:tc>
      </w:tr>
      <w:tr>
        <w:trPr>
          <w:trHeight w:val="223"/>
        </w:trPr>
        <w:tc>
          <w:tcPr>
            <w:tcW w:w="4520" w:type="dxa"/>
            <w:vAlign w:val="bottom"/>
          </w:tcPr>
          <w:p>
            <w:pPr>
              <w:ind w:left="140"/>
              <w:spacing w:after="0"/>
              <w:rPr>
                <w:sz w:val="20"/>
                <w:szCs w:val="20"/>
                <w:color w:val="auto"/>
              </w:rPr>
            </w:pPr>
            <w:r>
              <w:rPr>
                <w:rFonts w:ascii="Calibri" w:cs="Calibri" w:eastAsia="Calibri" w:hAnsi="Calibri"/>
                <w:sz w:val="18"/>
                <w:szCs w:val="18"/>
                <w:color w:val="auto"/>
              </w:rPr>
              <w:t>Total other current assets</w:t>
            </w:r>
          </w:p>
        </w:tc>
        <w:tc>
          <w:tcPr>
            <w:tcW w:w="37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1,606</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Calibri" w:cs="Calibri" w:eastAsia="Calibri" w:hAnsi="Calibri"/>
                <w:sz w:val="18"/>
                <w:szCs w:val="18"/>
                <w:b w:val="1"/>
                <w:bCs w:val="1"/>
                <w:i w:val="1"/>
                <w:iCs w:val="1"/>
                <w:color w:val="auto"/>
              </w:rPr>
              <w:t>Other Current Liabilites</w:t>
            </w:r>
          </w:p>
        </w:tc>
        <w:tc>
          <w:tcPr>
            <w:tcW w:w="3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4520" w:type="dxa"/>
            <w:vAlign w:val="bottom"/>
            <w:vMerge w:val="continue"/>
          </w:tcPr>
          <w:p>
            <w:pPr>
              <w:spacing w:after="0"/>
              <w:rPr>
                <w:sz w:val="24"/>
                <w:szCs w:val="24"/>
                <w:color w:val="auto"/>
              </w:rPr>
            </w:pPr>
          </w:p>
        </w:tc>
        <w:tc>
          <w:tcPr>
            <w:tcW w:w="3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5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November 3,</w:t>
            </w:r>
          </w:p>
        </w:tc>
        <w:tc>
          <w:tcPr>
            <w:tcW w:w="340" w:type="dxa"/>
            <w:vAlign w:val="bottom"/>
          </w:tcPr>
          <w:p>
            <w:pPr>
              <w:spacing w:after="0"/>
              <w:rPr>
                <w:sz w:val="24"/>
                <w:szCs w:val="24"/>
                <w:color w:val="auto"/>
              </w:rPr>
            </w:pPr>
          </w:p>
        </w:tc>
        <w:tc>
          <w:tcPr>
            <w:tcW w:w="1100" w:type="dxa"/>
            <w:vAlign w:val="bottom"/>
          </w:tcPr>
          <w:p>
            <w:pPr>
              <w:jc w:val="center"/>
              <w:ind w:right="235"/>
              <w:spacing w:after="0"/>
              <w:rPr>
                <w:sz w:val="20"/>
                <w:szCs w:val="20"/>
                <w:color w:val="auto"/>
              </w:rPr>
            </w:pPr>
            <w:r>
              <w:rPr>
                <w:rFonts w:ascii="Calibri" w:cs="Calibri" w:eastAsia="Calibri" w:hAnsi="Calibri"/>
                <w:sz w:val="14"/>
                <w:szCs w:val="14"/>
                <w:b w:val="1"/>
                <w:bCs w:val="1"/>
                <w:color w:val="auto"/>
              </w:rPr>
              <w:t>October 29,</w:t>
            </w:r>
          </w:p>
        </w:tc>
        <w:tc>
          <w:tcPr>
            <w:tcW w:w="0" w:type="dxa"/>
            <w:vAlign w:val="bottom"/>
          </w:tcPr>
          <w:p>
            <w:pPr>
              <w:spacing w:after="0"/>
              <w:rPr>
                <w:sz w:val="1"/>
                <w:szCs w:val="1"/>
                <w:color w:val="auto"/>
              </w:rPr>
            </w:pPr>
          </w:p>
        </w:tc>
      </w:tr>
      <w:tr>
        <w:trPr>
          <w:trHeight w:val="170"/>
        </w:trPr>
        <w:tc>
          <w:tcPr>
            <w:tcW w:w="45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117"/>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center"/>
              <w:ind w:right="235"/>
              <w:spacing w:after="0"/>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45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520" w:type="dxa"/>
            <w:vAlign w:val="bottom"/>
          </w:tcPr>
          <w:p>
            <w:pPr>
              <w:spacing w:after="0"/>
              <w:rPr>
                <w:sz w:val="4"/>
                <w:szCs w:val="4"/>
                <w:color w:val="auto"/>
              </w:rPr>
            </w:pPr>
          </w:p>
        </w:tc>
        <w:tc>
          <w:tcPr>
            <w:tcW w:w="3960" w:type="dxa"/>
            <w:vAlign w:val="bottom"/>
            <w:gridSpan w:val="2"/>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Contract liabilites</w:t>
            </w:r>
          </w:p>
        </w:tc>
        <w:tc>
          <w:tcPr>
            <w:tcW w:w="3960" w:type="dxa"/>
            <w:vAlign w:val="bottom"/>
            <w:gridSpan w:val="2"/>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2,487</w:t>
            </w:r>
          </w:p>
        </w:tc>
        <w:tc>
          <w:tcPr>
            <w:tcW w:w="0" w:type="dxa"/>
            <w:vAlign w:val="bottom"/>
          </w:tcPr>
          <w:p>
            <w:pPr>
              <w:spacing w:after="0"/>
              <w:rPr>
                <w:sz w:val="1"/>
                <w:szCs w:val="1"/>
                <w:color w:val="auto"/>
              </w:rPr>
            </w:pPr>
          </w:p>
        </w:tc>
      </w:tr>
      <w:tr>
        <w:trPr>
          <w:trHeight w:val="222"/>
        </w:trPr>
        <w:tc>
          <w:tcPr>
            <w:tcW w:w="4520" w:type="dxa"/>
            <w:vAlign w:val="bottom"/>
          </w:tcPr>
          <w:p>
            <w:pPr>
              <w:ind w:left="20"/>
              <w:spacing w:after="0" w:line="215" w:lineRule="exact"/>
              <w:rPr>
                <w:sz w:val="20"/>
                <w:szCs w:val="20"/>
                <w:color w:val="auto"/>
              </w:rPr>
            </w:pPr>
            <w:r>
              <w:rPr>
                <w:rFonts w:ascii="Calibri" w:cs="Calibri" w:eastAsia="Calibri" w:hAnsi="Calibri"/>
                <w:sz w:val="18"/>
                <w:szCs w:val="18"/>
                <w:color w:val="auto"/>
              </w:rPr>
              <w:t>Tax liabilites</w:t>
            </w:r>
          </w:p>
        </w:tc>
        <w:tc>
          <w:tcPr>
            <w:tcW w:w="3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720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473</w:t>
            </w: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Interest payable</w:t>
            </w:r>
          </w:p>
        </w:tc>
        <w:tc>
          <w:tcPr>
            <w:tcW w:w="3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535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380</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Other</w:t>
            </w:r>
          </w:p>
        </w:tc>
        <w:tc>
          <w:tcPr>
            <w:tcW w:w="3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312</w:t>
            </w:r>
          </w:p>
        </w:tc>
        <w:tc>
          <w:tcPr>
            <w:tcW w:w="0" w:type="dxa"/>
            <w:vAlign w:val="bottom"/>
          </w:tcPr>
          <w:p>
            <w:pPr>
              <w:spacing w:after="0"/>
              <w:rPr>
                <w:sz w:val="1"/>
                <w:szCs w:val="1"/>
                <w:color w:val="auto"/>
              </w:rPr>
            </w:pPr>
          </w:p>
        </w:tc>
      </w:tr>
      <w:tr>
        <w:trPr>
          <w:trHeight w:val="255"/>
        </w:trPr>
        <w:tc>
          <w:tcPr>
            <w:tcW w:w="452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Total other current liabilites</w:t>
            </w:r>
          </w:p>
        </w:tc>
        <w:tc>
          <w:tcPr>
            <w:tcW w:w="3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11,793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3,652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spacing w:after="0"/>
              <w:rPr>
                <w:sz w:val="20"/>
                <w:szCs w:val="20"/>
                <w:color w:val="auto"/>
              </w:rPr>
            </w:pPr>
            <w:r>
              <w:rPr>
                <w:rFonts w:ascii="Calibri" w:cs="Calibri" w:eastAsia="Calibri" w:hAnsi="Calibri"/>
                <w:sz w:val="18"/>
                <w:szCs w:val="18"/>
                <w:b w:val="1"/>
                <w:bCs w:val="1"/>
                <w:i w:val="1"/>
                <w:iCs w:val="1"/>
                <w:color w:val="auto"/>
              </w:rPr>
              <w:t>Other Long-Term Liabilites</w:t>
            </w:r>
          </w:p>
        </w:tc>
        <w:tc>
          <w:tcPr>
            <w:tcW w:w="3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520" w:type="dxa"/>
            <w:vAlign w:val="bottom"/>
            <w:vMerge w:val="continue"/>
          </w:tcPr>
          <w:p>
            <w:pPr>
              <w:spacing w:after="0"/>
              <w:rPr>
                <w:sz w:val="24"/>
                <w:szCs w:val="24"/>
                <w:color w:val="auto"/>
              </w:rPr>
            </w:pPr>
          </w:p>
        </w:tc>
        <w:tc>
          <w:tcPr>
            <w:tcW w:w="3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5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November 3,</w:t>
            </w:r>
          </w:p>
        </w:tc>
        <w:tc>
          <w:tcPr>
            <w:tcW w:w="340" w:type="dxa"/>
            <w:vAlign w:val="bottom"/>
          </w:tcPr>
          <w:p>
            <w:pPr>
              <w:spacing w:after="0"/>
              <w:rPr>
                <w:sz w:val="24"/>
                <w:szCs w:val="24"/>
                <w:color w:val="auto"/>
              </w:rPr>
            </w:pPr>
          </w:p>
        </w:tc>
        <w:tc>
          <w:tcPr>
            <w:tcW w:w="1100" w:type="dxa"/>
            <w:vAlign w:val="bottom"/>
          </w:tcPr>
          <w:p>
            <w:pPr>
              <w:jc w:val="center"/>
              <w:ind w:right="235"/>
              <w:spacing w:after="0"/>
              <w:rPr>
                <w:sz w:val="20"/>
                <w:szCs w:val="20"/>
                <w:color w:val="auto"/>
              </w:rPr>
            </w:pPr>
            <w:r>
              <w:rPr>
                <w:rFonts w:ascii="Calibri" w:cs="Calibri" w:eastAsia="Calibri" w:hAnsi="Calibri"/>
                <w:sz w:val="14"/>
                <w:szCs w:val="14"/>
                <w:b w:val="1"/>
                <w:bCs w:val="1"/>
                <w:color w:val="auto"/>
              </w:rPr>
              <w:t>October 29,</w:t>
            </w:r>
          </w:p>
        </w:tc>
        <w:tc>
          <w:tcPr>
            <w:tcW w:w="0" w:type="dxa"/>
            <w:vAlign w:val="bottom"/>
          </w:tcPr>
          <w:p>
            <w:pPr>
              <w:spacing w:after="0"/>
              <w:rPr>
                <w:sz w:val="1"/>
                <w:szCs w:val="1"/>
                <w:color w:val="auto"/>
              </w:rPr>
            </w:pPr>
          </w:p>
        </w:tc>
      </w:tr>
      <w:tr>
        <w:trPr>
          <w:trHeight w:val="170"/>
        </w:trPr>
        <w:tc>
          <w:tcPr>
            <w:tcW w:w="45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117"/>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center"/>
              <w:ind w:right="235"/>
              <w:spacing w:after="0"/>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45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520" w:type="dxa"/>
            <w:vAlign w:val="bottom"/>
          </w:tcPr>
          <w:p>
            <w:pPr>
              <w:spacing w:after="0"/>
              <w:rPr>
                <w:sz w:val="4"/>
                <w:szCs w:val="4"/>
                <w:color w:val="auto"/>
              </w:rPr>
            </w:pPr>
          </w:p>
        </w:tc>
        <w:tc>
          <w:tcPr>
            <w:tcW w:w="3960" w:type="dxa"/>
            <w:vAlign w:val="bottom"/>
            <w:gridSpan w:val="2"/>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Contract liabilites</w:t>
            </w:r>
          </w:p>
        </w:tc>
        <w:tc>
          <w:tcPr>
            <w:tcW w:w="3960" w:type="dxa"/>
            <w:vAlign w:val="bottom"/>
            <w:gridSpan w:val="2"/>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299</w:t>
            </w:r>
          </w:p>
        </w:tc>
        <w:tc>
          <w:tcPr>
            <w:tcW w:w="0" w:type="dxa"/>
            <w:vAlign w:val="bottom"/>
          </w:tcPr>
          <w:p>
            <w:pPr>
              <w:spacing w:after="0"/>
              <w:rPr>
                <w:sz w:val="1"/>
                <w:szCs w:val="1"/>
                <w:color w:val="auto"/>
              </w:rPr>
            </w:pPr>
          </w:p>
        </w:tc>
      </w:tr>
      <w:tr>
        <w:trPr>
          <w:trHeight w:val="222"/>
        </w:trPr>
        <w:tc>
          <w:tcPr>
            <w:tcW w:w="4520" w:type="dxa"/>
            <w:vAlign w:val="bottom"/>
          </w:tcPr>
          <w:p>
            <w:pPr>
              <w:ind w:left="20"/>
              <w:spacing w:after="0" w:line="215" w:lineRule="exact"/>
              <w:rPr>
                <w:sz w:val="20"/>
                <w:szCs w:val="20"/>
                <w:color w:val="auto"/>
              </w:rPr>
            </w:pPr>
            <w:r>
              <w:rPr>
                <w:rFonts w:ascii="Calibri" w:cs="Calibri" w:eastAsia="Calibri" w:hAnsi="Calibri"/>
                <w:sz w:val="18"/>
                <w:szCs w:val="18"/>
                <w:color w:val="auto"/>
              </w:rPr>
              <w:t>Deferred tax liabilites</w:t>
            </w:r>
          </w:p>
        </w:tc>
        <w:tc>
          <w:tcPr>
            <w:tcW w:w="3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4,703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99</w:t>
            </w: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Unrecognized tax benefts, interest and penaltes</w:t>
            </w:r>
          </w:p>
        </w:tc>
        <w:tc>
          <w:tcPr>
            <w:tcW w:w="3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3,669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2,792</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Other</w:t>
            </w:r>
          </w:p>
        </w:tc>
        <w:tc>
          <w:tcPr>
            <w:tcW w:w="3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657</w:t>
            </w:r>
          </w:p>
        </w:tc>
        <w:tc>
          <w:tcPr>
            <w:tcW w:w="0" w:type="dxa"/>
            <w:vAlign w:val="bottom"/>
          </w:tcPr>
          <w:p>
            <w:pPr>
              <w:spacing w:after="0"/>
              <w:rPr>
                <w:sz w:val="1"/>
                <w:szCs w:val="1"/>
                <w:color w:val="auto"/>
              </w:rPr>
            </w:pPr>
          </w:p>
        </w:tc>
      </w:tr>
      <w:tr>
        <w:trPr>
          <w:trHeight w:val="254"/>
        </w:trPr>
        <w:tc>
          <w:tcPr>
            <w:tcW w:w="452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Total other long-term liabilites</w:t>
            </w:r>
          </w:p>
        </w:tc>
        <w:tc>
          <w:tcPr>
            <w:tcW w:w="3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14,975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3,847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Calibri" w:cs="Calibri" w:eastAsia="Calibri" w:hAnsi="Calibri"/>
                <w:sz w:val="18"/>
                <w:szCs w:val="18"/>
                <w:color w:val="auto"/>
              </w:rPr>
              <w:t>69</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5"/>
        </w:trPr>
        <w:tc>
          <w:tcPr>
            <w:tcW w:w="452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520" w:type="dxa"/>
            <w:vAlign w:val="bottom"/>
            <w:tcBorders>
              <w:bottom w:val="single" w:sz="8" w:color="9A9A9A"/>
            </w:tcBorders>
          </w:tcPr>
          <w:p>
            <w:pPr>
              <w:spacing w:after="0"/>
              <w:rPr>
                <w:sz w:val="12"/>
                <w:szCs w:val="12"/>
                <w:color w:val="auto"/>
              </w:rPr>
            </w:pPr>
          </w:p>
        </w:tc>
        <w:tc>
          <w:tcPr>
            <w:tcW w:w="37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1" w:name="page72"/>
    <w:bookmarkEnd w:id="7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Income (Expense), Net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Fiscal Year</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47"/>
        </w:trPr>
        <w:tc>
          <w:tcPr>
            <w:tcW w:w="674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63"/>
        </w:trPr>
        <w:tc>
          <w:tcPr>
            <w:tcW w:w="6740" w:type="dxa"/>
            <w:vAlign w:val="bottom"/>
          </w:tcPr>
          <w:p>
            <w:pPr>
              <w:spacing w:after="0"/>
              <w:rPr>
                <w:sz w:val="14"/>
                <w:szCs w:val="14"/>
                <w:color w:val="auto"/>
              </w:rPr>
            </w:pPr>
          </w:p>
        </w:tc>
        <w:tc>
          <w:tcPr>
            <w:tcW w:w="980" w:type="dxa"/>
            <w:vAlign w:val="bottom"/>
          </w:tcPr>
          <w:p>
            <w:pPr>
              <w:jc w:val="right"/>
              <w:ind w:right="36"/>
              <w:spacing w:after="0" w:line="164" w:lineRule="exact"/>
              <w:rPr>
                <w:sz w:val="20"/>
                <w:szCs w:val="20"/>
                <w:color w:val="auto"/>
              </w:rPr>
            </w:pPr>
            <w:r>
              <w:rPr>
                <w:rFonts w:ascii="Calibri" w:cs="Calibri" w:eastAsia="Calibri" w:hAnsi="Calibri"/>
                <w:sz w:val="14"/>
                <w:szCs w:val="14"/>
                <w:b w:val="1"/>
                <w:bCs w:val="1"/>
                <w:color w:val="auto"/>
              </w:rPr>
              <w:t>2024</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37"/>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3"/>
              <w:spacing w:after="0" w:line="164" w:lineRule="exact"/>
              <w:rPr>
                <w:sz w:val="20"/>
                <w:szCs w:val="20"/>
                <w:color w:val="auto"/>
              </w:rPr>
            </w:pPr>
            <w:r>
              <w:rPr>
                <w:rFonts w:ascii="Calibri" w:cs="Calibri" w:eastAsia="Calibri" w:hAnsi="Calibri"/>
                <w:sz w:val="14"/>
                <w:szCs w:val="14"/>
                <w:b w:val="1"/>
                <w:bCs w:val="1"/>
                <w:color w:val="auto"/>
              </w:rPr>
              <w:t>2022</w:t>
            </w:r>
          </w:p>
        </w:tc>
      </w:tr>
      <w:tr>
        <w:trPr>
          <w:trHeight w:val="33"/>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47"/>
        </w:trPr>
        <w:tc>
          <w:tcPr>
            <w:tcW w:w="6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9"/>
        </w:trPr>
        <w:tc>
          <w:tcPr>
            <w:tcW w:w="67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Interest income</w:t>
            </w:r>
          </w:p>
        </w:tc>
        <w:tc>
          <w:tcPr>
            <w:tcW w:w="980" w:type="dxa"/>
            <w:vAlign w:val="bottom"/>
            <w:shd w:val="clear" w:color="auto" w:fill="CCEEFF"/>
          </w:tcPr>
          <w:p>
            <w:pPr>
              <w:jc w:val="right"/>
              <w:ind w:right="776"/>
              <w:spacing w:after="0" w:line="215" w:lineRule="exact"/>
              <w:rPr>
                <w:sz w:val="20"/>
                <w:szCs w:val="20"/>
                <w:color w:val="auto"/>
              </w:rPr>
            </w:pPr>
            <w:r>
              <w:rPr>
                <w:rFonts w:ascii="Calibri" w:cs="Calibri" w:eastAsia="Calibri" w:hAnsi="Calibri"/>
                <w:sz w:val="18"/>
                <w:szCs w:val="18"/>
                <w:color w:val="auto"/>
              </w:rPr>
              <w:t>$</w:t>
            </w:r>
          </w:p>
        </w:tc>
        <w:tc>
          <w:tcPr>
            <w:tcW w:w="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100</w:t>
            </w:r>
          </w:p>
        </w:tc>
      </w:tr>
      <w:tr>
        <w:trPr>
          <w:trHeight w:val="222"/>
        </w:trPr>
        <w:tc>
          <w:tcPr>
            <w:tcW w:w="6740" w:type="dxa"/>
            <w:vAlign w:val="bottom"/>
          </w:tcPr>
          <w:p>
            <w:pPr>
              <w:ind w:left="20"/>
              <w:spacing w:after="0" w:line="215" w:lineRule="exact"/>
              <w:rPr>
                <w:sz w:val="20"/>
                <w:szCs w:val="20"/>
                <w:color w:val="auto"/>
              </w:rPr>
            </w:pPr>
            <w:r>
              <w:rPr>
                <w:rFonts w:ascii="Calibri" w:cs="Calibri" w:eastAsia="Calibri" w:hAnsi="Calibri"/>
                <w:sz w:val="18"/>
                <w:szCs w:val="18"/>
                <w:color w:val="auto"/>
              </w:rPr>
              <w:t>Other income</w:t>
            </w:r>
          </w:p>
        </w:tc>
        <w:tc>
          <w:tcPr>
            <w:tcW w:w="980" w:type="dxa"/>
            <w:vAlign w:val="bottom"/>
          </w:tcPr>
          <w:p>
            <w:pPr>
              <w:spacing w:after="0"/>
              <w:rPr>
                <w:sz w:val="19"/>
                <w:szCs w:val="19"/>
                <w:color w:val="auto"/>
              </w:rPr>
            </w:pP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30</w:t>
            </w:r>
          </w:p>
        </w:tc>
      </w:tr>
      <w:tr>
        <w:trPr>
          <w:trHeight w:val="237"/>
        </w:trPr>
        <w:tc>
          <w:tcPr>
            <w:tcW w:w="67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Gain (loss) on investments</w:t>
            </w: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(169)</w:t>
            </w:r>
          </w:p>
        </w:tc>
      </w:tr>
      <w:tr>
        <w:trPr>
          <w:trHeight w:val="223"/>
        </w:trPr>
        <w:tc>
          <w:tcPr>
            <w:tcW w:w="674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Other expense</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w:t>
            </w:r>
          </w:p>
        </w:tc>
      </w:tr>
      <w:tr>
        <w:trPr>
          <w:trHeight w:val="254"/>
        </w:trPr>
        <w:tc>
          <w:tcPr>
            <w:tcW w:w="674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Other income (expense), net</w:t>
            </w:r>
          </w:p>
        </w:tc>
        <w:tc>
          <w:tcPr>
            <w:tcW w:w="980" w:type="dxa"/>
            <w:vAlign w:val="bottom"/>
            <w:tcBorders>
              <w:bottom w:val="single" w:sz="8" w:color="auto"/>
            </w:tcBorders>
            <w:shd w:val="clear" w:color="auto" w:fill="CCEEFF"/>
          </w:tcPr>
          <w:p>
            <w:pPr>
              <w:jc w:val="right"/>
              <w:ind w:right="776"/>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200" w:firstLine="405"/>
        <w:spacing w:after="0" w:line="348" w:lineRule="auto"/>
        <w:rPr>
          <w:sz w:val="20"/>
          <w:szCs w:val="20"/>
          <w:color w:val="auto"/>
        </w:rPr>
      </w:pPr>
      <w:r>
        <w:rPr>
          <w:rFonts w:ascii="Calibri" w:cs="Calibri" w:eastAsia="Calibri" w:hAnsi="Calibri"/>
          <w:sz w:val="18"/>
          <w:szCs w:val="18"/>
          <w:color w:val="auto"/>
        </w:rPr>
        <w:t xml:space="preserve">Other income and other expense include foreign exchange gains and losses, factoring fees for the sales of receivables, and other miscellaneous items. </w:t>
      </w:r>
      <w:r>
        <w:rPr>
          <w:rFonts w:ascii="Calibri" w:cs="Calibri" w:eastAsia="Calibri" w:hAnsi="Calibri"/>
          <w:sz w:val="18"/>
          <w:szCs w:val="18"/>
          <w:b w:val="1"/>
          <w:bCs w:val="1"/>
          <w:i w:val="1"/>
          <w:iCs w:val="1"/>
          <w:color w:val="auto"/>
        </w:rPr>
        <w:t>Discontnued Operatons</w:t>
      </w:r>
    </w:p>
    <w:p>
      <w:pPr>
        <w:spacing w:after="0" w:line="11"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color w:val="auto"/>
        </w:rPr>
        <w:t>During fscal year 2024, we sold the EUC business for $3.5 billion, afer working capital adjustments. In connecton with the sale, we agreed to provide transitonal services to the buyer on a short-term basis. We do not have any material contnuing involvement with this business and have presented its results in discontnued operatons.</w:t>
      </w:r>
    </w:p>
    <w:p>
      <w:pPr>
        <w:spacing w:after="0" w:line="106"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The following table summarizes the selected fnancial informaton of discontnued operatons: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tcPr>
          <w:p>
            <w:pPr>
              <w:jc w:val="right"/>
              <w:ind w:right="618"/>
              <w:spacing w:after="0"/>
              <w:rPr>
                <w:sz w:val="20"/>
                <w:szCs w:val="20"/>
                <w:color w:val="auto"/>
              </w:rPr>
            </w:pPr>
            <w:r>
              <w:rPr>
                <w:rFonts w:ascii="Calibri" w:cs="Calibri" w:eastAsia="Calibri" w:hAnsi="Calibri"/>
                <w:sz w:val="14"/>
                <w:szCs w:val="14"/>
                <w:b w:val="1"/>
                <w:bCs w:val="1"/>
                <w:color w:val="auto"/>
              </w:rPr>
              <w:t>Fiscal Year</w:t>
            </w:r>
          </w:p>
        </w:tc>
      </w:tr>
      <w:tr>
        <w:trPr>
          <w:trHeight w:val="47"/>
        </w:trPr>
        <w:tc>
          <w:tcPr>
            <w:tcW w:w="9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163"/>
        </w:trPr>
        <w:tc>
          <w:tcPr>
            <w:tcW w:w="9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tcPr>
          <w:p>
            <w:pPr>
              <w:jc w:val="right"/>
              <w:ind w:right="778"/>
              <w:spacing w:after="0" w:line="164" w:lineRule="exact"/>
              <w:rPr>
                <w:sz w:val="20"/>
                <w:szCs w:val="20"/>
                <w:color w:val="auto"/>
              </w:rPr>
            </w:pPr>
            <w:r>
              <w:rPr>
                <w:rFonts w:ascii="Calibri" w:cs="Calibri" w:eastAsia="Calibri" w:hAnsi="Calibri"/>
                <w:sz w:val="14"/>
                <w:szCs w:val="14"/>
                <w:b w:val="1"/>
                <w:bCs w:val="1"/>
                <w:color w:val="auto"/>
              </w:rPr>
              <w:t>2024</w:t>
            </w:r>
          </w:p>
        </w:tc>
      </w:tr>
      <w:tr>
        <w:trPr>
          <w:trHeight w:val="33"/>
        </w:trPr>
        <w:tc>
          <w:tcPr>
            <w:tcW w:w="9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9"/>
        </w:trPr>
        <w:tc>
          <w:tcPr>
            <w:tcW w:w="9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jc w:val="right"/>
              <w:ind w:right="618"/>
              <w:spacing w:after="0"/>
              <w:rPr>
                <w:sz w:val="20"/>
                <w:szCs w:val="20"/>
                <w:color w:val="auto"/>
              </w:rPr>
            </w:pPr>
            <w:r>
              <w:rPr>
                <w:rFonts w:ascii="Calibri" w:cs="Calibri" w:eastAsia="Calibri" w:hAnsi="Calibri"/>
                <w:sz w:val="14"/>
                <w:szCs w:val="14"/>
                <w:b w:val="1"/>
                <w:bCs w:val="1"/>
                <w:color w:val="auto"/>
              </w:rPr>
              <w:t>(In millions)</w:t>
            </w:r>
          </w:p>
        </w:tc>
      </w:tr>
      <w:tr>
        <w:trPr>
          <w:trHeight w:val="47"/>
        </w:trPr>
        <w:tc>
          <w:tcPr>
            <w:tcW w:w="9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30"/>
        </w:trPr>
        <w:tc>
          <w:tcPr>
            <w:tcW w:w="92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Net revenue</w:t>
            </w:r>
          </w:p>
        </w:tc>
        <w:tc>
          <w:tcPr>
            <w:tcW w:w="36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6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858</w:t>
            </w:r>
          </w:p>
        </w:tc>
      </w:tr>
      <w:tr>
        <w:trPr>
          <w:trHeight w:val="270"/>
        </w:trPr>
        <w:tc>
          <w:tcPr>
            <w:tcW w:w="9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29"/>
        </w:trPr>
        <w:tc>
          <w:tcPr>
            <w:tcW w:w="92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Loss from discontnued operatons before income taxes</w:t>
            </w:r>
          </w:p>
        </w:tc>
        <w:tc>
          <w:tcPr>
            <w:tcW w:w="36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6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w:t>
            </w:r>
          </w:p>
        </w:tc>
      </w:tr>
      <w:tr>
        <w:trPr>
          <w:trHeight w:val="223"/>
        </w:trPr>
        <w:tc>
          <w:tcPr>
            <w:tcW w:w="922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(261)</w:t>
            </w:r>
          </w:p>
        </w:tc>
      </w:tr>
      <w:tr>
        <w:trPr>
          <w:trHeight w:val="254"/>
        </w:trPr>
        <w:tc>
          <w:tcPr>
            <w:tcW w:w="92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Loss from discontnued operatons, net of income taxes</w:t>
            </w:r>
          </w:p>
        </w:tc>
        <w:tc>
          <w:tcPr>
            <w:tcW w:w="360" w:type="dxa"/>
            <w:vAlign w:val="bottom"/>
            <w:tcBorders>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6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(273)</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6. Leases</w:t>
      </w:r>
    </w:p>
    <w:p>
      <w:pPr>
        <w:spacing w:after="0" w:line="109"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color w:val="auto"/>
        </w:rPr>
        <w:t>We have operatng and fnance leases for our facilites, land, data centers and certain equipment. Operatng lease expense was $187 million, $91 million and $98 million for fscal years 2024, 2023 and 2022, respectvely. Finance lease expense was $27 million, $16 million and $18 million for fscal years 2024, 2023 and 2022, respectvely.</w:t>
      </w:r>
    </w:p>
    <w:p>
      <w:pPr>
        <w:spacing w:after="0" w:line="106"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Other lease informaton, which included the impact of VMware leases acquired on November 22, 2023, was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Calibri" w:cs="Calibri" w:eastAsia="Calibri" w:hAnsi="Calibri"/>
                <w:sz w:val="14"/>
                <w:szCs w:val="14"/>
                <w:b w:val="1"/>
                <w:bCs w:val="1"/>
                <w:color w:val="auto"/>
              </w:rPr>
              <w:t>Fiscal Year</w:t>
            </w: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47"/>
        </w:trPr>
        <w:tc>
          <w:tcPr>
            <w:tcW w:w="5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63"/>
        </w:trPr>
        <w:tc>
          <w:tcPr>
            <w:tcW w:w="5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495"/>
              <w:spacing w:after="0" w:line="164" w:lineRule="exact"/>
              <w:rPr>
                <w:sz w:val="20"/>
                <w:szCs w:val="20"/>
                <w:color w:val="auto"/>
              </w:rPr>
            </w:pPr>
            <w:r>
              <w:rPr>
                <w:rFonts w:ascii="Calibri" w:cs="Calibri" w:eastAsia="Calibri" w:hAnsi="Calibri"/>
                <w:sz w:val="14"/>
                <w:szCs w:val="14"/>
                <w:b w:val="1"/>
                <w:bCs w:val="1"/>
                <w:color w:val="auto"/>
              </w:rPr>
              <w:t>2024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58"/>
              <w:spacing w:after="0" w:line="164" w:lineRule="exact"/>
              <w:rPr>
                <w:sz w:val="20"/>
                <w:szCs w:val="20"/>
                <w:color w:val="auto"/>
              </w:rPr>
            </w:pPr>
            <w:r>
              <w:rPr>
                <w:rFonts w:ascii="Calibri" w:cs="Calibri" w:eastAsia="Calibri" w:hAnsi="Calibri"/>
                <w:sz w:val="14"/>
                <w:szCs w:val="14"/>
                <w:b w:val="1"/>
                <w:bCs w:val="1"/>
                <w:color w:val="auto"/>
                <w:w w:val="98"/>
              </w:rPr>
              <w:t>2023</w:t>
            </w:r>
          </w:p>
        </w:tc>
        <w:tc>
          <w:tcPr>
            <w:tcW w:w="580" w:type="dxa"/>
            <w:vAlign w:val="bottom"/>
          </w:tcPr>
          <w:p>
            <w:pPr>
              <w:spacing w:after="0"/>
              <w:rPr>
                <w:sz w:val="14"/>
                <w:szCs w:val="14"/>
                <w:color w:val="auto"/>
              </w:rPr>
            </w:pPr>
          </w:p>
        </w:tc>
        <w:tc>
          <w:tcPr>
            <w:tcW w:w="1100" w:type="dxa"/>
            <w:vAlign w:val="bottom"/>
          </w:tcPr>
          <w:p>
            <w:pPr>
              <w:jc w:val="right"/>
              <w:ind w:right="475"/>
              <w:spacing w:after="0" w:line="164" w:lineRule="exact"/>
              <w:rPr>
                <w:sz w:val="20"/>
                <w:szCs w:val="20"/>
                <w:color w:val="auto"/>
              </w:rPr>
            </w:pPr>
            <w:r>
              <w:rPr>
                <w:rFonts w:ascii="Calibri" w:cs="Calibri" w:eastAsia="Calibri" w:hAnsi="Calibri"/>
                <w:sz w:val="14"/>
                <w:szCs w:val="14"/>
                <w:b w:val="1"/>
                <w:bCs w:val="1"/>
                <w:color w:val="auto"/>
              </w:rPr>
              <w:t>2022</w:t>
            </w:r>
          </w:p>
        </w:tc>
      </w:tr>
      <w:tr>
        <w:trPr>
          <w:trHeight w:val="33"/>
        </w:trPr>
        <w:tc>
          <w:tcPr>
            <w:tcW w:w="5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3"/>
        </w:trPr>
        <w:tc>
          <w:tcPr>
            <w:tcW w:w="5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98"/>
              <w:spacing w:after="0" w:line="164" w:lineRule="exact"/>
              <w:rPr>
                <w:sz w:val="20"/>
                <w:szCs w:val="20"/>
                <w:color w:val="auto"/>
              </w:rPr>
            </w:pPr>
            <w:r>
              <w:rPr>
                <w:rFonts w:ascii="Calibri" w:cs="Calibri" w:eastAsia="Calibri" w:hAnsi="Calibri"/>
                <w:sz w:val="14"/>
                <w:szCs w:val="14"/>
                <w:b w:val="1"/>
                <w:bCs w:val="1"/>
                <w:color w:val="auto"/>
              </w:rPr>
              <w:t>(In millions)</w:t>
            </w: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
        </w:trPr>
        <w:tc>
          <w:tcPr>
            <w:tcW w:w="5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52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Cash paid for operatng leases included in operatng cash fows</w:t>
            </w:r>
          </w:p>
        </w:tc>
        <w:tc>
          <w:tcPr>
            <w:tcW w:w="1400" w:type="dxa"/>
            <w:vAlign w:val="bottom"/>
            <w:gridSpan w:val="2"/>
            <w:shd w:val="clear" w:color="auto" w:fill="CCEEFF"/>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223</w:t>
            </w:r>
          </w:p>
        </w:tc>
        <w:tc>
          <w:tcPr>
            <w:tcW w:w="520" w:type="dxa"/>
            <w:vAlign w:val="bottom"/>
            <w:gridSpan w:val="2"/>
            <w:shd w:val="clear" w:color="auto" w:fill="CCEEFF"/>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90</w:t>
            </w:r>
          </w:p>
        </w:tc>
        <w:tc>
          <w:tcPr>
            <w:tcW w:w="58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103</w:t>
            </w:r>
          </w:p>
        </w:tc>
      </w:tr>
      <w:tr>
        <w:trPr>
          <w:trHeight w:val="222"/>
        </w:trPr>
        <w:tc>
          <w:tcPr>
            <w:tcW w:w="5220" w:type="dxa"/>
            <w:vAlign w:val="bottom"/>
          </w:tcPr>
          <w:p>
            <w:pPr>
              <w:ind w:left="20"/>
              <w:spacing w:after="0" w:line="215" w:lineRule="exact"/>
              <w:rPr>
                <w:sz w:val="20"/>
                <w:szCs w:val="20"/>
                <w:color w:val="auto"/>
              </w:rPr>
            </w:pPr>
            <w:r>
              <w:rPr>
                <w:rFonts w:ascii="Calibri" w:cs="Calibri" w:eastAsia="Calibri" w:hAnsi="Calibri"/>
                <w:sz w:val="18"/>
                <w:szCs w:val="18"/>
                <w:color w:val="auto"/>
              </w:rPr>
              <w:t>ROU assets obtained in exchange for operatng lease liabilites</w:t>
            </w:r>
          </w:p>
        </w:tc>
        <w:tc>
          <w:tcPr>
            <w:tcW w:w="14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1,165</w:t>
            </w:r>
          </w:p>
        </w:tc>
        <w:tc>
          <w:tcPr>
            <w:tcW w:w="5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28</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16</w:t>
            </w:r>
          </w:p>
        </w:tc>
      </w:tr>
      <w:tr>
        <w:trPr>
          <w:trHeight w:val="237"/>
        </w:trPr>
        <w:tc>
          <w:tcPr>
            <w:tcW w:w="52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ROU assets obtained in exchange for fnance lease liabilites</w:t>
            </w:r>
          </w:p>
        </w:tc>
        <w:tc>
          <w:tcPr>
            <w:tcW w:w="1400" w:type="dxa"/>
            <w:vAlign w:val="bottom"/>
            <w:gridSpan w:val="2"/>
            <w:shd w:val="clear" w:color="auto" w:fill="CCEEFF"/>
          </w:tcPr>
          <w:p>
            <w:pPr>
              <w:jc w:val="right"/>
              <w:ind w:right="100"/>
              <w:spacing w:after="0"/>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49</w:t>
            </w:r>
          </w:p>
        </w:tc>
        <w:tc>
          <w:tcPr>
            <w:tcW w:w="520" w:type="dxa"/>
            <w:vAlign w:val="bottom"/>
            <w:gridSpan w:val="2"/>
            <w:shd w:val="clear" w:color="auto" w:fill="CCEEFF"/>
          </w:tcPr>
          <w:p>
            <w:pPr>
              <w:jc w:val="right"/>
              <w:ind w:right="120"/>
              <w:spacing w:after="0"/>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w:t>
            </w:r>
          </w:p>
        </w:tc>
      </w:tr>
      <w:tr>
        <w:trPr>
          <w:trHeight w:val="404"/>
        </w:trPr>
        <w:tc>
          <w:tcPr>
            <w:tcW w:w="5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255"/>
              <w:spacing w:after="0"/>
              <w:rPr>
                <w:sz w:val="20"/>
                <w:szCs w:val="20"/>
                <w:color w:val="auto"/>
              </w:rPr>
            </w:pPr>
            <w:r>
              <w:rPr>
                <w:rFonts w:ascii="Calibri" w:cs="Calibri" w:eastAsia="Calibri" w:hAnsi="Calibri"/>
                <w:sz w:val="14"/>
                <w:szCs w:val="14"/>
                <w:b w:val="1"/>
                <w:bCs w:val="1"/>
                <w:color w:val="auto"/>
              </w:rPr>
              <w:t>November 3,</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center"/>
              <w:ind w:right="178"/>
              <w:spacing w:after="0"/>
              <w:rPr>
                <w:sz w:val="20"/>
                <w:szCs w:val="20"/>
                <w:color w:val="auto"/>
              </w:rPr>
            </w:pPr>
            <w:r>
              <w:rPr>
                <w:rFonts w:ascii="Calibri" w:cs="Calibri" w:eastAsia="Calibri" w:hAnsi="Calibri"/>
                <w:sz w:val="14"/>
                <w:szCs w:val="14"/>
                <w:b w:val="1"/>
                <w:bCs w:val="1"/>
                <w:color w:val="auto"/>
              </w:rPr>
              <w:t>October 29,</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495"/>
              <w:spacing w:after="0"/>
              <w:rPr>
                <w:sz w:val="20"/>
                <w:szCs w:val="20"/>
                <w:color w:val="auto"/>
              </w:rPr>
            </w:pPr>
            <w:r>
              <w:rPr>
                <w:rFonts w:ascii="Calibri" w:cs="Calibri" w:eastAsia="Calibri" w:hAnsi="Calibri"/>
                <w:sz w:val="14"/>
                <w:szCs w:val="14"/>
                <w:b w:val="1"/>
                <w:bCs w:val="1"/>
                <w:color w:val="auto"/>
              </w:rPr>
              <w:t>2024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58"/>
              <w:spacing w:after="0"/>
              <w:rPr>
                <w:sz w:val="20"/>
                <w:szCs w:val="20"/>
                <w:color w:val="auto"/>
              </w:rPr>
            </w:pPr>
            <w:r>
              <w:rPr>
                <w:rFonts w:ascii="Calibri" w:cs="Calibri" w:eastAsia="Calibri" w:hAnsi="Calibri"/>
                <w:sz w:val="14"/>
                <w:szCs w:val="14"/>
                <w:b w:val="1"/>
                <w:bCs w:val="1"/>
                <w:color w:val="auto"/>
                <w:w w:val="98"/>
              </w:rPr>
              <w:t>2023</w:t>
            </w: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
        </w:trPr>
        <w:tc>
          <w:tcPr>
            <w:tcW w:w="5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5220" w:type="dxa"/>
            <w:vAlign w:val="bottom"/>
            <w:tcBorders>
              <w:top w:val="single" w:sz="8" w:color="CCEEFF"/>
            </w:tcBorders>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Weighted-average remaining lease term – operatng leases (In years)</w:t>
            </w:r>
          </w:p>
        </w:tc>
        <w:tc>
          <w:tcPr>
            <w:tcW w:w="1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w:t>
            </w:r>
          </w:p>
        </w:tc>
        <w:tc>
          <w:tcPr>
            <w:tcW w:w="2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w:t>
            </w:r>
          </w:p>
        </w:tc>
        <w:tc>
          <w:tcPr>
            <w:tcW w:w="5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r>
      <w:tr>
        <w:trPr>
          <w:trHeight w:val="222"/>
        </w:trPr>
        <w:tc>
          <w:tcPr>
            <w:tcW w:w="522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Weighted-average remaining lease term – fnance leases (In years)</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210"/>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Pr>
          <w:p>
            <w:pPr>
              <w:spacing w:after="0"/>
              <w:rPr>
                <w:sz w:val="19"/>
                <w:szCs w:val="19"/>
                <w:color w:val="auto"/>
              </w:rPr>
            </w:pPr>
          </w:p>
        </w:tc>
        <w:tc>
          <w:tcPr>
            <w:tcW w:w="1780" w:type="dxa"/>
            <w:vAlign w:val="bottom"/>
            <w:gridSpan w:val="2"/>
          </w:tcPr>
          <w:p>
            <w:pPr>
              <w:jc w:val="right"/>
              <w:ind w:right="510"/>
              <w:spacing w:after="0" w:line="215" w:lineRule="exact"/>
              <w:rPr>
                <w:sz w:val="20"/>
                <w:szCs w:val="20"/>
                <w:color w:val="auto"/>
              </w:rPr>
            </w:pPr>
            <w:r>
              <w:rPr>
                <w:rFonts w:ascii="Calibri" w:cs="Calibri" w:eastAsia="Calibri" w:hAnsi="Calibri"/>
                <w:sz w:val="18"/>
                <w:szCs w:val="18"/>
                <w:color w:val="auto"/>
              </w:rPr>
              <w:t>2</w:t>
            </w:r>
          </w:p>
        </w:tc>
        <w:tc>
          <w:tcPr>
            <w:tcW w:w="1100" w:type="dxa"/>
            <w:vAlign w:val="bottom"/>
          </w:tcPr>
          <w:p>
            <w:pPr>
              <w:spacing w:after="0"/>
              <w:rPr>
                <w:sz w:val="19"/>
                <w:szCs w:val="19"/>
                <w:color w:val="auto"/>
              </w:rPr>
            </w:pPr>
          </w:p>
        </w:tc>
      </w:tr>
      <w:tr>
        <w:trPr>
          <w:trHeight w:val="237"/>
        </w:trPr>
        <w:tc>
          <w:tcPr>
            <w:tcW w:w="52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Weighted-average discount rate – operatng leases</w:t>
            </w: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5.31</w:t>
            </w:r>
          </w:p>
        </w:tc>
        <w:tc>
          <w:tcPr>
            <w:tcW w:w="28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auto"/>
                <w:w w:val="92"/>
              </w:rPr>
              <w:t>%</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3.90</w:t>
            </w:r>
          </w:p>
        </w:tc>
        <w:tc>
          <w:tcPr>
            <w:tcW w:w="580" w:type="dxa"/>
            <w:vAlign w:val="bottom"/>
            <w:shd w:val="clear" w:color="auto" w:fill="CCEEFF"/>
          </w:tcPr>
          <w:p>
            <w:pPr>
              <w:jc w:val="right"/>
              <w:ind w:right="350"/>
              <w:spacing w:after="0"/>
              <w:rPr>
                <w:sz w:val="20"/>
                <w:szCs w:val="20"/>
                <w:color w:val="auto"/>
              </w:rPr>
            </w:pPr>
            <w:r>
              <w:rPr>
                <w:rFonts w:ascii="Calibri" w:cs="Calibri" w:eastAsia="Calibri" w:hAnsi="Calibri"/>
                <w:sz w:val="18"/>
                <w:szCs w:val="18"/>
                <w:color w:val="auto"/>
                <w:w w:val="92"/>
              </w:rPr>
              <w:t>%</w:t>
            </w:r>
          </w:p>
        </w:tc>
        <w:tc>
          <w:tcPr>
            <w:tcW w:w="1100" w:type="dxa"/>
            <w:vAlign w:val="bottom"/>
            <w:shd w:val="clear" w:color="auto" w:fill="CCEEFF"/>
          </w:tcPr>
          <w:p>
            <w:pPr>
              <w:spacing w:after="0"/>
              <w:rPr>
                <w:sz w:val="20"/>
                <w:szCs w:val="20"/>
                <w:color w:val="auto"/>
              </w:rPr>
            </w:pPr>
          </w:p>
        </w:tc>
      </w:tr>
      <w:tr>
        <w:trPr>
          <w:trHeight w:val="215"/>
        </w:trPr>
        <w:tc>
          <w:tcPr>
            <w:tcW w:w="522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Weighted-average discount rate – fnance leases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3.13</w:t>
            </w:r>
          </w:p>
        </w:tc>
        <w:tc>
          <w:tcPr>
            <w:tcW w:w="2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92"/>
              </w:rPr>
              <w:t>%</w:t>
            </w:r>
          </w:p>
        </w:tc>
        <w:tc>
          <w:tcPr>
            <w:tcW w:w="2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3.09</w:t>
            </w:r>
          </w:p>
        </w:tc>
        <w:tc>
          <w:tcPr>
            <w:tcW w:w="580" w:type="dxa"/>
            <w:vAlign w:val="bottom"/>
          </w:tcPr>
          <w:p>
            <w:pPr>
              <w:jc w:val="right"/>
              <w:ind w:right="350"/>
              <w:spacing w:after="0" w:line="215" w:lineRule="exact"/>
              <w:rPr>
                <w:sz w:val="20"/>
                <w:szCs w:val="20"/>
                <w:color w:val="auto"/>
              </w:rPr>
            </w:pPr>
            <w:r>
              <w:rPr>
                <w:rFonts w:ascii="Calibri" w:cs="Calibri" w:eastAsia="Calibri" w:hAnsi="Calibri"/>
                <w:sz w:val="18"/>
                <w:szCs w:val="18"/>
                <w:color w:val="auto"/>
                <w:w w:val="92"/>
              </w:rPr>
              <w:t>%</w:t>
            </w:r>
          </w:p>
        </w:tc>
        <w:tc>
          <w:tcPr>
            <w:tcW w:w="1100" w:type="dxa"/>
            <w:vAlign w:val="bottom"/>
          </w:tcPr>
          <w:p>
            <w:pPr>
              <w:spacing w:after="0"/>
              <w:rPr>
                <w:sz w:val="18"/>
                <w:szCs w:val="18"/>
                <w:color w:val="auto"/>
              </w:rPr>
            </w:pPr>
          </w:p>
        </w:tc>
      </w:tr>
      <w:tr>
        <w:trPr>
          <w:trHeight w:val="896"/>
        </w:trPr>
        <w:tc>
          <w:tcPr>
            <w:tcW w:w="5220" w:type="dxa"/>
            <w:vAlign w:val="bottom"/>
          </w:tcPr>
          <w:p>
            <w:pPr>
              <w:spacing w:after="0"/>
              <w:rPr>
                <w:sz w:val="24"/>
                <w:szCs w:val="24"/>
                <w:color w:val="auto"/>
              </w:rPr>
            </w:pPr>
          </w:p>
        </w:tc>
        <w:tc>
          <w:tcPr>
            <w:tcW w:w="1180" w:type="dxa"/>
            <w:vAlign w:val="bottom"/>
          </w:tcPr>
          <w:p>
            <w:pPr>
              <w:jc w:val="right"/>
              <w:ind w:right="590"/>
              <w:spacing w:after="0"/>
              <w:rPr>
                <w:sz w:val="20"/>
                <w:szCs w:val="20"/>
                <w:color w:val="auto"/>
              </w:rPr>
            </w:pPr>
            <w:r>
              <w:rPr>
                <w:rFonts w:ascii="Calibri" w:cs="Calibri" w:eastAsia="Calibri" w:hAnsi="Calibri"/>
                <w:sz w:val="18"/>
                <w:szCs w:val="18"/>
                <w:color w:val="auto"/>
              </w:rPr>
              <w:t>70</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38"/>
        </w:trPr>
        <w:tc>
          <w:tcPr>
            <w:tcW w:w="52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2" w:name="page73"/>
    <w:bookmarkEnd w:id="7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Supplemental balance sheet informaton related to leases, which included the VMware leases acquired on November 22, 2023, was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3740" w:type="dxa"/>
            <w:vAlign w:val="bottom"/>
            <w:gridSpan w:val="2"/>
            <w:vMerge w:val="restart"/>
          </w:tcPr>
          <w:p>
            <w:pPr>
              <w:ind w:left="340"/>
              <w:spacing w:after="0"/>
              <w:rPr>
                <w:sz w:val="20"/>
                <w:szCs w:val="20"/>
                <w:color w:val="auto"/>
              </w:rPr>
            </w:pPr>
            <w:r>
              <w:rPr>
                <w:rFonts w:ascii="Calibri" w:cs="Calibri" w:eastAsia="Calibri" w:hAnsi="Calibri"/>
                <w:sz w:val="14"/>
                <w:szCs w:val="14"/>
                <w:b w:val="1"/>
                <w:bCs w:val="1"/>
                <w:color w:val="auto"/>
              </w:rPr>
              <w:t>Classifcaton on the Consolidated Balance Sheets</w:t>
            </w:r>
          </w:p>
        </w:tc>
        <w:tc>
          <w:tcPr>
            <w:tcW w:w="260" w:type="dxa"/>
            <w:vAlign w:val="bottom"/>
          </w:tcPr>
          <w:p>
            <w:pPr>
              <w:spacing w:after="0"/>
              <w:rPr>
                <w:sz w:val="14"/>
                <w:szCs w:val="14"/>
                <w:color w:val="auto"/>
              </w:rPr>
            </w:pPr>
          </w:p>
        </w:tc>
        <w:tc>
          <w:tcPr>
            <w:tcW w:w="1380" w:type="dxa"/>
            <w:vAlign w:val="bottom"/>
          </w:tcPr>
          <w:p>
            <w:pPr>
              <w:jc w:val="right"/>
              <w:ind w:right="361"/>
              <w:spacing w:after="0"/>
              <w:rPr>
                <w:sz w:val="20"/>
                <w:szCs w:val="20"/>
                <w:color w:val="auto"/>
              </w:rPr>
            </w:pPr>
            <w:r>
              <w:rPr>
                <w:rFonts w:ascii="Calibri" w:cs="Calibri" w:eastAsia="Calibri" w:hAnsi="Calibri"/>
                <w:sz w:val="14"/>
                <w:szCs w:val="14"/>
                <w:b w:val="1"/>
                <w:bCs w:val="1"/>
                <w:color w:val="auto"/>
              </w:rPr>
              <w:t>November 3,</w:t>
            </w:r>
          </w:p>
        </w:tc>
        <w:tc>
          <w:tcPr>
            <w:tcW w:w="460" w:type="dxa"/>
            <w:vAlign w:val="bottom"/>
          </w:tcPr>
          <w:p>
            <w:pPr>
              <w:spacing w:after="0"/>
              <w:rPr>
                <w:sz w:val="14"/>
                <w:szCs w:val="14"/>
                <w:color w:val="auto"/>
              </w:rPr>
            </w:pPr>
          </w:p>
        </w:tc>
        <w:tc>
          <w:tcPr>
            <w:tcW w:w="1240" w:type="dxa"/>
            <w:vAlign w:val="bottom"/>
          </w:tcPr>
          <w:p>
            <w:pPr>
              <w:jc w:val="right"/>
              <w:ind w:right="379"/>
              <w:spacing w:after="0"/>
              <w:rPr>
                <w:sz w:val="20"/>
                <w:szCs w:val="20"/>
                <w:color w:val="auto"/>
              </w:rPr>
            </w:pPr>
            <w:r>
              <w:rPr>
                <w:rFonts w:ascii="Calibri" w:cs="Calibri" w:eastAsia="Calibri" w:hAnsi="Calibri"/>
                <w:sz w:val="14"/>
                <w:szCs w:val="14"/>
                <w:b w:val="1"/>
                <w:bCs w:val="1"/>
                <w:color w:val="auto"/>
              </w:rPr>
              <w:t>October 29,</w:t>
            </w:r>
          </w:p>
        </w:tc>
        <w:tc>
          <w:tcPr>
            <w:tcW w:w="0" w:type="dxa"/>
            <w:vAlign w:val="bottom"/>
          </w:tcPr>
          <w:p>
            <w:pPr>
              <w:spacing w:after="0"/>
              <w:rPr>
                <w:sz w:val="1"/>
                <w:szCs w:val="1"/>
                <w:color w:val="auto"/>
              </w:rPr>
            </w:pPr>
          </w:p>
        </w:tc>
      </w:tr>
      <w:tr>
        <w:trPr>
          <w:trHeight w:val="170"/>
        </w:trPr>
        <w:tc>
          <w:tcPr>
            <w:tcW w:w="4160" w:type="dxa"/>
            <w:vAlign w:val="bottom"/>
          </w:tcPr>
          <w:p>
            <w:pPr>
              <w:spacing w:after="0"/>
              <w:rPr>
                <w:sz w:val="14"/>
                <w:szCs w:val="14"/>
                <w:color w:val="auto"/>
              </w:rPr>
            </w:pPr>
          </w:p>
        </w:tc>
        <w:tc>
          <w:tcPr>
            <w:tcW w:w="37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ind w:right="601"/>
              <w:spacing w:after="0"/>
              <w:rPr>
                <w:sz w:val="20"/>
                <w:szCs w:val="20"/>
                <w:color w:val="auto"/>
              </w:rPr>
            </w:pPr>
            <w:r>
              <w:rPr>
                <w:rFonts w:ascii="Calibri" w:cs="Calibri" w:eastAsia="Calibri" w:hAnsi="Calibri"/>
                <w:sz w:val="14"/>
                <w:szCs w:val="14"/>
                <w:b w:val="1"/>
                <w:bCs w:val="1"/>
                <w:color w:val="auto"/>
              </w:rPr>
              <w:t>2024</w:t>
            </w:r>
          </w:p>
        </w:tc>
        <w:tc>
          <w:tcPr>
            <w:tcW w:w="460" w:type="dxa"/>
            <w:vAlign w:val="bottom"/>
          </w:tcPr>
          <w:p>
            <w:pPr>
              <w:spacing w:after="0"/>
              <w:rPr>
                <w:sz w:val="14"/>
                <w:szCs w:val="14"/>
                <w:color w:val="auto"/>
              </w:rPr>
            </w:pPr>
          </w:p>
        </w:tc>
        <w:tc>
          <w:tcPr>
            <w:tcW w:w="1240" w:type="dxa"/>
            <w:vAlign w:val="bottom"/>
          </w:tcPr>
          <w:p>
            <w:pPr>
              <w:jc w:val="right"/>
              <w:ind w:right="579"/>
              <w:spacing w:after="0"/>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(In millions)</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ROU assets - operatng leases</w:t>
            </w:r>
          </w:p>
        </w:tc>
        <w:tc>
          <w:tcPr>
            <w:tcW w:w="3740" w:type="dxa"/>
            <w:vAlign w:val="bottom"/>
            <w:gridSpan w:val="2"/>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Other long-term assets</w:t>
            </w:r>
          </w:p>
        </w:tc>
        <w:tc>
          <w:tcPr>
            <w:tcW w:w="2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380" w:type="dxa"/>
            <w:vAlign w:val="bottom"/>
            <w:shd w:val="clear" w:color="auto" w:fill="CCEEFF"/>
          </w:tcPr>
          <w:p>
            <w:pPr>
              <w:jc w:val="right"/>
              <w:ind w:right="1"/>
              <w:spacing w:after="0" w:line="215" w:lineRule="exact"/>
              <w:rPr>
                <w:sz w:val="20"/>
                <w:szCs w:val="20"/>
                <w:color w:val="auto"/>
              </w:rPr>
            </w:pPr>
            <w:r>
              <w:rPr>
                <w:rFonts w:ascii="Calibri" w:cs="Calibri" w:eastAsia="Calibri" w:hAnsi="Calibri"/>
                <w:sz w:val="18"/>
                <w:szCs w:val="18"/>
                <w:color w:val="auto"/>
              </w:rPr>
              <w:t>1,325</w:t>
            </w:r>
          </w:p>
        </w:tc>
        <w:tc>
          <w:tcPr>
            <w:tcW w:w="460" w:type="dxa"/>
            <w:vAlign w:val="bottom"/>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463</w:t>
            </w:r>
          </w:p>
        </w:tc>
        <w:tc>
          <w:tcPr>
            <w:tcW w:w="0" w:type="dxa"/>
            <w:vAlign w:val="bottom"/>
          </w:tcPr>
          <w:p>
            <w:pPr>
              <w:spacing w:after="0"/>
              <w:rPr>
                <w:sz w:val="1"/>
                <w:szCs w:val="1"/>
                <w:color w:val="auto"/>
              </w:rPr>
            </w:pPr>
          </w:p>
        </w:tc>
      </w:tr>
      <w:tr>
        <w:trPr>
          <w:trHeight w:val="222"/>
        </w:trPr>
        <w:tc>
          <w:tcPr>
            <w:tcW w:w="4160" w:type="dxa"/>
            <w:vAlign w:val="bottom"/>
          </w:tcPr>
          <w:p>
            <w:pPr>
              <w:ind w:left="20"/>
              <w:spacing w:after="0" w:line="215" w:lineRule="exact"/>
              <w:rPr>
                <w:sz w:val="20"/>
                <w:szCs w:val="20"/>
                <w:color w:val="auto"/>
              </w:rPr>
            </w:pPr>
            <w:r>
              <w:rPr>
                <w:rFonts w:ascii="Calibri" w:cs="Calibri" w:eastAsia="Calibri" w:hAnsi="Calibri"/>
                <w:sz w:val="18"/>
                <w:szCs w:val="18"/>
                <w:color w:val="auto"/>
              </w:rPr>
              <w:t>ROU assets - fnance leases</w:t>
            </w:r>
          </w:p>
        </w:tc>
        <w:tc>
          <w:tcPr>
            <w:tcW w:w="374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Property, plant and equipment, net</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380" w:type="dxa"/>
            <w:vAlign w:val="bottom"/>
          </w:tcPr>
          <w:p>
            <w:pPr>
              <w:jc w:val="right"/>
              <w:ind w:right="1"/>
              <w:spacing w:after="0" w:line="215" w:lineRule="exact"/>
              <w:rPr>
                <w:sz w:val="20"/>
                <w:szCs w:val="20"/>
                <w:color w:val="auto"/>
              </w:rPr>
            </w:pPr>
            <w:r>
              <w:rPr>
                <w:rFonts w:ascii="Calibri" w:cs="Calibri" w:eastAsia="Calibri" w:hAnsi="Calibri"/>
                <w:sz w:val="18"/>
                <w:szCs w:val="18"/>
                <w:color w:val="auto"/>
              </w:rPr>
              <w:t>15</w:t>
            </w:r>
          </w:p>
        </w:tc>
        <w:tc>
          <w:tcPr>
            <w:tcW w:w="4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22</w:t>
            </w:r>
          </w:p>
        </w:tc>
        <w:tc>
          <w:tcPr>
            <w:tcW w:w="0" w:type="dxa"/>
            <w:vAlign w:val="bottom"/>
          </w:tcPr>
          <w:p>
            <w:pPr>
              <w:spacing w:after="0"/>
              <w:rPr>
                <w:sz w:val="1"/>
                <w:szCs w:val="1"/>
                <w:color w:val="auto"/>
              </w:rPr>
            </w:pPr>
          </w:p>
        </w:tc>
      </w:tr>
      <w:tr>
        <w:trPr>
          <w:trHeight w:val="277"/>
        </w:trPr>
        <w:tc>
          <w:tcPr>
            <w:tcW w:w="4160" w:type="dxa"/>
            <w:vAlign w:val="bottom"/>
            <w:shd w:val="clear" w:color="auto" w:fill="CCEEFF"/>
          </w:tcPr>
          <w:p>
            <w:pPr>
              <w:spacing w:after="0"/>
              <w:rPr>
                <w:sz w:val="24"/>
                <w:szCs w:val="24"/>
                <w:color w:val="auto"/>
              </w:rPr>
            </w:pPr>
          </w:p>
        </w:tc>
        <w:tc>
          <w:tcPr>
            <w:tcW w:w="3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2" w:right="339" w:bottom="1440" w:gutter="0" w:footer="0" w:header="0"/>
        </w:sectPr>
      </w:pPr>
    </w:p>
    <w:p>
      <w:pPr>
        <w:ind w:left="20"/>
        <w:spacing w:after="0" w:line="238" w:lineRule="auto"/>
        <w:rPr>
          <w:sz w:val="20"/>
          <w:szCs w:val="20"/>
          <w:color w:val="auto"/>
        </w:rPr>
      </w:pPr>
      <w:r>
        <w:rPr>
          <w:rFonts w:ascii="Calibri" w:cs="Calibri" w:eastAsia="Calibri" w:hAnsi="Calibri"/>
          <w:sz w:val="17"/>
          <w:szCs w:val="17"/>
          <w:color w:val="auto"/>
        </w:rPr>
        <w:t>Short-term lease liabilites - operatng leases</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Long-term lease liabilites - operatng leases</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Short-term lease liabilites - fnance leases</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Long-term lease liabilites - fnance leases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Pr>
          <w:p>
            <w:pPr>
              <w:spacing w:after="0" w:line="215" w:lineRule="exact"/>
              <w:rPr>
                <w:sz w:val="20"/>
                <w:szCs w:val="20"/>
                <w:color w:val="auto"/>
              </w:rPr>
            </w:pPr>
            <w:r>
              <w:rPr>
                <w:rFonts w:ascii="Calibri" w:cs="Calibri" w:eastAsia="Calibri" w:hAnsi="Calibri"/>
                <w:sz w:val="18"/>
                <w:szCs w:val="18"/>
                <w:color w:val="auto"/>
              </w:rPr>
              <w:t>Other current liabilites</w:t>
            </w:r>
          </w:p>
        </w:tc>
        <w:tc>
          <w:tcPr>
            <w:tcW w:w="1300" w:type="dxa"/>
            <w:vAlign w:val="bottom"/>
          </w:tcPr>
          <w:p>
            <w:pPr>
              <w:jc w:val="right"/>
              <w:ind w:right="45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207</w:t>
            </w:r>
          </w:p>
        </w:tc>
        <w:tc>
          <w:tcPr>
            <w:tcW w:w="780" w:type="dxa"/>
            <w:vAlign w:val="bottom"/>
          </w:tcPr>
          <w:p>
            <w:pPr>
              <w:jc w:val="right"/>
              <w:ind w:right="51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60</w:t>
            </w:r>
          </w:p>
        </w:tc>
      </w:tr>
      <w:tr>
        <w:trPr>
          <w:trHeight w:val="221"/>
        </w:trPr>
        <w:tc>
          <w:tcPr>
            <w:tcW w:w="3060" w:type="dxa"/>
            <w:vAlign w:val="bottom"/>
          </w:tcPr>
          <w:p>
            <w:pPr>
              <w:spacing w:after="0"/>
              <w:rPr>
                <w:sz w:val="20"/>
                <w:szCs w:val="20"/>
                <w:color w:val="auto"/>
              </w:rPr>
            </w:pPr>
            <w:r>
              <w:rPr>
                <w:rFonts w:ascii="Calibri" w:cs="Calibri" w:eastAsia="Calibri" w:hAnsi="Calibri"/>
                <w:sz w:val="18"/>
                <w:szCs w:val="18"/>
                <w:color w:val="auto"/>
              </w:rPr>
              <w:t>Other long-term liabilites</w:t>
            </w:r>
          </w:p>
        </w:tc>
        <w:tc>
          <w:tcPr>
            <w:tcW w:w="1300" w:type="dxa"/>
            <w:vAlign w:val="bottom"/>
          </w:tcPr>
          <w:p>
            <w:pPr>
              <w:jc w:val="right"/>
              <w:ind w:right="450"/>
              <w:spacing w:after="0"/>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rPr>
                <w:sz w:val="20"/>
                <w:szCs w:val="20"/>
                <w:color w:val="auto"/>
              </w:rPr>
            </w:pPr>
            <w:r>
              <w:rPr>
                <w:rFonts w:ascii="Calibri" w:cs="Calibri" w:eastAsia="Calibri" w:hAnsi="Calibri"/>
                <w:sz w:val="18"/>
                <w:szCs w:val="18"/>
                <w:color w:val="auto"/>
              </w:rPr>
              <w:t>1,143</w:t>
            </w:r>
          </w:p>
        </w:tc>
        <w:tc>
          <w:tcPr>
            <w:tcW w:w="780" w:type="dxa"/>
            <w:vAlign w:val="bottom"/>
          </w:tcPr>
          <w:p>
            <w:pPr>
              <w:jc w:val="right"/>
              <w:ind w:right="510"/>
              <w:spacing w:after="0"/>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rPr>
                <w:sz w:val="20"/>
                <w:szCs w:val="20"/>
                <w:color w:val="auto"/>
              </w:rPr>
            </w:pPr>
            <w:r>
              <w:rPr>
                <w:rFonts w:ascii="Calibri" w:cs="Calibri" w:eastAsia="Calibri" w:hAnsi="Calibri"/>
                <w:sz w:val="18"/>
                <w:szCs w:val="18"/>
                <w:color w:val="auto"/>
              </w:rPr>
              <w:t>359</w:t>
            </w:r>
          </w:p>
        </w:tc>
      </w:tr>
      <w:tr>
        <w:trPr>
          <w:trHeight w:val="229"/>
        </w:trPr>
        <w:tc>
          <w:tcPr>
            <w:tcW w:w="3060" w:type="dxa"/>
            <w:vAlign w:val="bottom"/>
          </w:tcPr>
          <w:p>
            <w:pPr>
              <w:spacing w:after="0"/>
              <w:rPr>
                <w:sz w:val="20"/>
                <w:szCs w:val="20"/>
                <w:color w:val="auto"/>
              </w:rPr>
            </w:pPr>
            <w:r>
              <w:rPr>
                <w:rFonts w:ascii="Calibri" w:cs="Calibri" w:eastAsia="Calibri" w:hAnsi="Calibri"/>
                <w:sz w:val="18"/>
                <w:szCs w:val="18"/>
                <w:color w:val="auto"/>
              </w:rPr>
              <w:t>Current porton of long-term debt</w:t>
            </w:r>
          </w:p>
        </w:tc>
        <w:tc>
          <w:tcPr>
            <w:tcW w:w="1300" w:type="dxa"/>
            <w:vAlign w:val="bottom"/>
          </w:tcPr>
          <w:p>
            <w:pPr>
              <w:jc w:val="right"/>
              <w:ind w:right="450"/>
              <w:spacing w:after="0"/>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rPr>
                <w:sz w:val="20"/>
                <w:szCs w:val="20"/>
                <w:color w:val="auto"/>
              </w:rPr>
            </w:pPr>
            <w:r>
              <w:rPr>
                <w:rFonts w:ascii="Calibri" w:cs="Calibri" w:eastAsia="Calibri" w:hAnsi="Calibri"/>
                <w:sz w:val="18"/>
                <w:szCs w:val="18"/>
                <w:color w:val="auto"/>
              </w:rPr>
              <w:t>26</w:t>
            </w:r>
          </w:p>
        </w:tc>
        <w:tc>
          <w:tcPr>
            <w:tcW w:w="780" w:type="dxa"/>
            <w:vAlign w:val="bottom"/>
          </w:tcPr>
          <w:p>
            <w:pPr>
              <w:jc w:val="right"/>
              <w:ind w:right="510"/>
              <w:spacing w:after="0"/>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rPr>
                <w:sz w:val="20"/>
                <w:szCs w:val="20"/>
                <w:color w:val="auto"/>
              </w:rPr>
            </w:pPr>
            <w:r>
              <w:rPr>
                <w:rFonts w:ascii="Calibri" w:cs="Calibri" w:eastAsia="Calibri" w:hAnsi="Calibri"/>
                <w:sz w:val="18"/>
                <w:szCs w:val="18"/>
                <w:color w:val="auto"/>
              </w:rPr>
              <w:t>45</w:t>
            </w:r>
          </w:p>
        </w:tc>
      </w:tr>
      <w:tr>
        <w:trPr>
          <w:trHeight w:val="229"/>
        </w:trPr>
        <w:tc>
          <w:tcPr>
            <w:tcW w:w="3060" w:type="dxa"/>
            <w:vAlign w:val="bottom"/>
          </w:tcPr>
          <w:p>
            <w:pPr>
              <w:spacing w:after="0"/>
              <w:rPr>
                <w:sz w:val="20"/>
                <w:szCs w:val="20"/>
                <w:color w:val="auto"/>
              </w:rPr>
            </w:pPr>
            <w:r>
              <w:rPr>
                <w:rFonts w:ascii="Calibri" w:cs="Calibri" w:eastAsia="Calibri" w:hAnsi="Calibri"/>
                <w:sz w:val="18"/>
                <w:szCs w:val="18"/>
                <w:color w:val="auto"/>
              </w:rPr>
              <w:t>Long-term debt</w:t>
            </w:r>
          </w:p>
        </w:tc>
        <w:tc>
          <w:tcPr>
            <w:tcW w:w="1300" w:type="dxa"/>
            <w:vAlign w:val="bottom"/>
          </w:tcPr>
          <w:p>
            <w:pPr>
              <w:jc w:val="right"/>
              <w:ind w:right="450"/>
              <w:spacing w:after="0"/>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rPr>
                <w:sz w:val="20"/>
                <w:szCs w:val="20"/>
                <w:color w:val="auto"/>
              </w:rPr>
            </w:pPr>
            <w:r>
              <w:rPr>
                <w:rFonts w:ascii="Calibri" w:cs="Calibri" w:eastAsia="Calibri" w:hAnsi="Calibri"/>
                <w:sz w:val="18"/>
                <w:szCs w:val="18"/>
                <w:color w:val="auto"/>
              </w:rPr>
              <w:t>13</w:t>
            </w:r>
          </w:p>
        </w:tc>
        <w:tc>
          <w:tcPr>
            <w:tcW w:w="780" w:type="dxa"/>
            <w:vAlign w:val="bottom"/>
          </w:tcPr>
          <w:p>
            <w:pPr>
              <w:jc w:val="right"/>
              <w:ind w:right="510"/>
              <w:spacing w:after="0"/>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rPr>
                <w:sz w:val="20"/>
                <w:szCs w:val="20"/>
                <w:color w:val="auto"/>
              </w:rPr>
            </w:pPr>
            <w:r>
              <w:rPr>
                <w:rFonts w:ascii="Calibri" w:cs="Calibri" w:eastAsia="Calibri" w:hAnsi="Calibri"/>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-421640</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-130175</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3460" w:space="720"/>
            <w:col w:w="7060"/>
          </w:cols>
          <w:pgMar w:left="320" w:top="112" w:right="339" w:bottom="1440" w:gutter="0" w:footer="0" w:header="0"/>
          <w:type w:val="continuous"/>
        </w:sectPr>
      </w:pPr>
    </w:p>
    <w:p>
      <w:pPr>
        <w:ind w:left="420"/>
        <w:spacing w:after="0"/>
        <w:rPr>
          <w:sz w:val="20"/>
          <w:szCs w:val="20"/>
          <w:color w:val="auto"/>
        </w:rPr>
      </w:pPr>
      <w:r>
        <w:rPr>
          <w:rFonts w:ascii="Calibri" w:cs="Calibri" w:eastAsia="Calibri" w:hAnsi="Calibri"/>
          <w:sz w:val="18"/>
          <w:szCs w:val="18"/>
          <w:color w:val="auto"/>
        </w:rPr>
        <w:t>Future minimum lease payments under non-cancelable leases as of November 3, 2024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5"/>
          </w:tcPr>
          <w:p>
            <w:pPr>
              <w:jc w:val="center"/>
              <w:ind w:left="374"/>
              <w:spacing w:after="0"/>
              <w:rPr>
                <w:sz w:val="20"/>
                <w:szCs w:val="20"/>
                <w:color w:val="auto"/>
              </w:rPr>
            </w:pPr>
            <w:r>
              <w:rPr>
                <w:rFonts w:ascii="Calibri" w:cs="Calibri" w:eastAsia="Calibri" w:hAnsi="Calibri"/>
                <w:sz w:val="14"/>
                <w:szCs w:val="14"/>
                <w:b w:val="1"/>
                <w:bCs w:val="1"/>
                <w:color w:val="auto"/>
              </w:rPr>
              <w:t>November 3,</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4"/>
          </w:tcPr>
          <w:p>
            <w:pPr>
              <w:jc w:val="center"/>
              <w:ind w:left="494"/>
              <w:spacing w:after="0"/>
              <w:rPr>
                <w:sz w:val="20"/>
                <w:szCs w:val="20"/>
                <w:color w:val="auto"/>
              </w:rPr>
            </w:pPr>
            <w:r>
              <w:rPr>
                <w:rFonts w:ascii="Calibri" w:cs="Calibri" w:eastAsia="Calibri" w:hAnsi="Calibri"/>
                <w:sz w:val="14"/>
                <w:szCs w:val="14"/>
                <w:b w:val="1"/>
                <w:bCs w:val="1"/>
                <w:color w:val="auto"/>
                <w:w w:val="98"/>
              </w:rPr>
              <w:t>2024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6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4"/>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gridSpan w:val="5"/>
          </w:tcPr>
          <w:p>
            <w:pPr>
              <w:ind w:left="420"/>
              <w:spacing w:after="0" w:line="164" w:lineRule="exact"/>
              <w:rPr>
                <w:sz w:val="20"/>
                <w:szCs w:val="20"/>
                <w:color w:val="auto"/>
              </w:rPr>
            </w:pPr>
            <w:r>
              <w:rPr>
                <w:rFonts w:ascii="Calibri" w:cs="Calibri" w:eastAsia="Calibri" w:hAnsi="Calibri"/>
                <w:sz w:val="14"/>
                <w:szCs w:val="14"/>
                <w:b w:val="1"/>
                <w:bCs w:val="1"/>
                <w:color w:val="auto"/>
              </w:rPr>
              <w:t>Operatng Leases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480"/>
              <w:spacing w:after="0" w:line="164" w:lineRule="exact"/>
              <w:rPr>
                <w:sz w:val="20"/>
                <w:szCs w:val="20"/>
                <w:color w:val="auto"/>
              </w:rPr>
            </w:pPr>
            <w:r>
              <w:rPr>
                <w:rFonts w:ascii="Calibri" w:cs="Calibri" w:eastAsia="Calibri" w:hAnsi="Calibri"/>
                <w:sz w:val="14"/>
                <w:szCs w:val="14"/>
                <w:b w:val="1"/>
                <w:bCs w:val="1"/>
                <w:color w:val="auto"/>
              </w:rPr>
              <w:t>Finance Leases</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5"/>
          </w:tcPr>
          <w:p>
            <w:pPr>
              <w:jc w:val="center"/>
              <w:ind w:left="374"/>
              <w:spacing w:after="0"/>
              <w:rPr>
                <w:sz w:val="20"/>
                <w:szCs w:val="20"/>
                <w:color w:val="auto"/>
              </w:rPr>
            </w:pPr>
            <w:r>
              <w:rPr>
                <w:rFonts w:ascii="Calibri" w:cs="Calibri" w:eastAsia="Calibri" w:hAnsi="Calibri"/>
                <w:sz w:val="14"/>
                <w:szCs w:val="14"/>
                <w:b w:val="1"/>
                <w:bCs w:val="1"/>
                <w:color w:val="auto"/>
              </w:rPr>
              <w:t>(In millions)</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6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2025</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96"/>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268</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line="215" w:lineRule="exact"/>
              <w:rPr>
                <w:sz w:val="20"/>
                <w:szCs w:val="20"/>
                <w:color w:val="auto"/>
              </w:rPr>
            </w:pPr>
            <w:r>
              <w:rPr>
                <w:rFonts w:ascii="Calibri" w:cs="Calibri" w:eastAsia="Calibri" w:hAnsi="Calibri"/>
                <w:sz w:val="18"/>
                <w:szCs w:val="18"/>
                <w:color w:val="auto"/>
              </w:rPr>
              <w:t>26</w:t>
            </w:r>
          </w:p>
        </w:tc>
        <w:tc>
          <w:tcPr>
            <w:tcW w:w="0" w:type="dxa"/>
            <w:vAlign w:val="bottom"/>
          </w:tcPr>
          <w:p>
            <w:pPr>
              <w:spacing w:after="0"/>
              <w:rPr>
                <w:sz w:val="1"/>
                <w:szCs w:val="1"/>
                <w:color w:val="auto"/>
              </w:rPr>
            </w:pPr>
          </w:p>
        </w:tc>
      </w:tr>
      <w:tr>
        <w:trPr>
          <w:trHeight w:val="222"/>
        </w:trPr>
        <w:tc>
          <w:tcPr>
            <w:tcW w:w="6640" w:type="dxa"/>
            <w:vAlign w:val="bottom"/>
          </w:tcPr>
          <w:p>
            <w:pPr>
              <w:ind w:left="20"/>
              <w:spacing w:after="0" w:line="215" w:lineRule="exact"/>
              <w:rPr>
                <w:sz w:val="20"/>
                <w:szCs w:val="20"/>
                <w:color w:val="auto"/>
              </w:rPr>
            </w:pPr>
            <w:r>
              <w:rPr>
                <w:rFonts w:ascii="Calibri" w:cs="Calibri" w:eastAsia="Calibri" w:hAnsi="Calibri"/>
                <w:sz w:val="18"/>
                <w:szCs w:val="18"/>
                <w:color w:val="auto"/>
              </w:rPr>
              <w:t>2026</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194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8</w:t>
            </w:r>
          </w:p>
        </w:tc>
        <w:tc>
          <w:tcPr>
            <w:tcW w:w="0" w:type="dxa"/>
            <w:vAlign w:val="bottom"/>
          </w:tcPr>
          <w:p>
            <w:pPr>
              <w:spacing w:after="0"/>
              <w:rPr>
                <w:sz w:val="1"/>
                <w:szCs w:val="1"/>
                <w:color w:val="auto"/>
              </w:rPr>
            </w:pPr>
          </w:p>
        </w:tc>
      </w:tr>
      <w:tr>
        <w:trPr>
          <w:trHeight w:val="237"/>
        </w:trPr>
        <w:tc>
          <w:tcPr>
            <w:tcW w:w="66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2027</w:t>
            </w: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171</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
              <w:spacing w:after="0"/>
              <w:rPr>
                <w:sz w:val="20"/>
                <w:szCs w:val="20"/>
                <w:color w:val="auto"/>
              </w:rPr>
            </w:pPr>
            <w:r>
              <w:rPr>
                <w:rFonts w:ascii="Calibri" w:cs="Calibri" w:eastAsia="Calibri" w:hAnsi="Calibri"/>
                <w:sz w:val="18"/>
                <w:szCs w:val="18"/>
                <w:color w:val="auto"/>
              </w:rPr>
              <w:t>3</w:t>
            </w:r>
          </w:p>
        </w:tc>
        <w:tc>
          <w:tcPr>
            <w:tcW w:w="0" w:type="dxa"/>
            <w:vAlign w:val="bottom"/>
          </w:tcPr>
          <w:p>
            <w:pPr>
              <w:spacing w:after="0"/>
              <w:rPr>
                <w:sz w:val="1"/>
                <w:szCs w:val="1"/>
                <w:color w:val="auto"/>
              </w:rPr>
            </w:pPr>
          </w:p>
        </w:tc>
      </w:tr>
      <w:tr>
        <w:trPr>
          <w:trHeight w:val="222"/>
        </w:trPr>
        <w:tc>
          <w:tcPr>
            <w:tcW w:w="6640" w:type="dxa"/>
            <w:vAlign w:val="bottom"/>
          </w:tcPr>
          <w:p>
            <w:pPr>
              <w:ind w:left="20"/>
              <w:spacing w:after="0" w:line="215" w:lineRule="exact"/>
              <w:rPr>
                <w:sz w:val="20"/>
                <w:szCs w:val="20"/>
                <w:color w:val="auto"/>
              </w:rPr>
            </w:pPr>
            <w:r>
              <w:rPr>
                <w:rFonts w:ascii="Calibri" w:cs="Calibri" w:eastAsia="Calibri" w:hAnsi="Calibri"/>
                <w:sz w:val="18"/>
                <w:szCs w:val="18"/>
                <w:color w:val="auto"/>
              </w:rPr>
              <w:t>2028</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144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37"/>
        </w:trPr>
        <w:tc>
          <w:tcPr>
            <w:tcW w:w="66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2029</w:t>
            </w: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
              <w:spacing w:after="0"/>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Thereafer</w:t>
            </w:r>
          </w:p>
        </w:tc>
        <w:tc>
          <w:tcPr>
            <w:tcW w:w="1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894</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20"/>
              <w:spacing w:after="0" w:line="206" w:lineRule="exact"/>
              <w:rPr>
                <w:sz w:val="20"/>
                <w:szCs w:val="20"/>
                <w:color w:val="auto"/>
              </w:rPr>
            </w:pPr>
            <w:r>
              <w:rPr>
                <w:rFonts w:ascii="Calibri" w:cs="Calibri" w:eastAsia="Calibri" w:hAnsi="Calibri"/>
                <w:sz w:val="18"/>
                <w:szCs w:val="18"/>
                <w:color w:val="auto"/>
              </w:rPr>
              <w:t>Total undiscounted liabilites</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1,795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line="215" w:lineRule="exact"/>
              <w:rPr>
                <w:sz w:val="20"/>
                <w:szCs w:val="20"/>
                <w:color w:val="auto"/>
              </w:rPr>
            </w:pPr>
            <w:r>
              <w:rPr>
                <w:rFonts w:ascii="Calibri" w:cs="Calibri" w:eastAsia="Calibri" w:hAnsi="Calibri"/>
                <w:sz w:val="18"/>
                <w:szCs w:val="18"/>
                <w:color w:val="auto"/>
              </w:rPr>
              <w:t>41</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Less: interest</w:t>
            </w:r>
          </w:p>
        </w:tc>
        <w:tc>
          <w:tcPr>
            <w:tcW w:w="1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(445)</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20"/>
              <w:spacing w:after="0" w:line="215"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54"/>
        </w:trPr>
        <w:tc>
          <w:tcPr>
            <w:tcW w:w="6640" w:type="dxa"/>
            <w:vAlign w:val="bottom"/>
            <w:tcBorders>
              <w:bottom w:val="single" w:sz="8" w:color="CCEEFF"/>
            </w:tcBorders>
            <w:shd w:val="clear" w:color="auto" w:fill="CCEEFF"/>
          </w:tcPr>
          <w:p>
            <w:pPr>
              <w:ind w:left="220"/>
              <w:spacing w:after="0"/>
              <w:rPr>
                <w:sz w:val="20"/>
                <w:szCs w:val="20"/>
                <w:color w:val="auto"/>
              </w:rPr>
            </w:pPr>
            <w:r>
              <w:rPr>
                <w:rFonts w:ascii="Calibri" w:cs="Calibri" w:eastAsia="Calibri" w:hAnsi="Calibri"/>
                <w:sz w:val="18"/>
                <w:szCs w:val="18"/>
                <w:color w:val="auto"/>
              </w:rPr>
              <w:t>Present value of lease liabilites</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6"/>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gridSpan w:val="2"/>
            <w:shd w:val="clear" w:color="auto" w:fill="CCEEFF"/>
          </w:tcPr>
          <w:p>
            <w:pPr>
              <w:jc w:val="right"/>
              <w:ind w:right="60"/>
              <w:spacing w:after="0" w:line="215" w:lineRule="exact"/>
              <w:rPr>
                <w:sz w:val="20"/>
                <w:szCs w:val="20"/>
                <w:color w:val="auto"/>
              </w:rPr>
            </w:pPr>
            <w:r>
              <w:rPr>
                <w:rFonts w:ascii="Calibri" w:cs="Calibri" w:eastAsia="Calibri" w:hAnsi="Calibri"/>
                <w:sz w:val="18"/>
                <w:szCs w:val="18"/>
                <w:color w:val="auto"/>
              </w:rPr>
              <w:t>39</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Calibri" w:cs="Calibri" w:eastAsia="Calibri" w:hAnsi="Calibri"/>
                <w:sz w:val="18"/>
                <w:szCs w:val="18"/>
                <w:b w:val="1"/>
                <w:bCs w:val="1"/>
                <w:color w:val="auto"/>
              </w:rPr>
              <w:t>7. Goodwill and Intangible Assets</w:t>
            </w: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6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40" w:type="dxa"/>
            <w:vAlign w:val="bottom"/>
          </w:tcPr>
          <w:p>
            <w:pPr>
              <w:spacing w:after="0"/>
              <w:rPr>
                <w:sz w:val="20"/>
                <w:szCs w:val="20"/>
                <w:color w:val="auto"/>
              </w:rPr>
            </w:pPr>
            <w:r>
              <w:rPr>
                <w:rFonts w:ascii="Calibri" w:cs="Calibri" w:eastAsia="Calibri" w:hAnsi="Calibri"/>
                <w:sz w:val="18"/>
                <w:szCs w:val="18"/>
                <w:b w:val="1"/>
                <w:bCs w:val="1"/>
                <w:i w:val="1"/>
                <w:iCs w:val="1"/>
                <w:color w:val="auto"/>
              </w:rPr>
              <w:t>Goodwill</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3"/>
          </w:tcPr>
          <w:p>
            <w:pPr>
              <w:jc w:val="center"/>
              <w:ind w:right="300"/>
              <w:spacing w:after="0"/>
              <w:rPr>
                <w:sz w:val="20"/>
                <w:szCs w:val="20"/>
                <w:color w:val="auto"/>
              </w:rPr>
            </w:pPr>
            <w:r>
              <w:rPr>
                <w:rFonts w:ascii="Calibri" w:cs="Calibri" w:eastAsia="Calibri" w:hAnsi="Calibri"/>
                <w:sz w:val="14"/>
                <w:szCs w:val="14"/>
                <w:b w:val="1"/>
                <w:bCs w:val="1"/>
                <w:color w:val="auto"/>
              </w:rPr>
              <w:t>Semiconductor</w:t>
            </w:r>
          </w:p>
        </w:tc>
        <w:tc>
          <w:tcPr>
            <w:tcW w:w="1540" w:type="dxa"/>
            <w:vAlign w:val="bottom"/>
            <w:gridSpan w:val="6"/>
            <w:vMerge w:val="restart"/>
          </w:tcPr>
          <w:p>
            <w:pPr>
              <w:ind w:left="20"/>
              <w:spacing w:after="0"/>
              <w:rPr>
                <w:sz w:val="20"/>
                <w:szCs w:val="20"/>
                <w:color w:val="auto"/>
              </w:rPr>
            </w:pPr>
            <w:r>
              <w:rPr>
                <w:rFonts w:ascii="Calibri" w:cs="Calibri" w:eastAsia="Calibri" w:hAnsi="Calibri"/>
                <w:sz w:val="14"/>
                <w:szCs w:val="14"/>
                <w:b w:val="1"/>
                <w:bCs w:val="1"/>
                <w:color w:val="auto"/>
              </w:rPr>
              <w:t>Infrastructure Sofware</w:t>
            </w:r>
          </w:p>
        </w:tc>
        <w:tc>
          <w:tcPr>
            <w:tcW w:w="120" w:type="dxa"/>
            <w:vAlign w:val="bottom"/>
          </w:tcPr>
          <w:p>
            <w:pPr>
              <w:spacing w:after="0"/>
              <w:rPr>
                <w:sz w:val="24"/>
                <w:szCs w:val="24"/>
                <w:color w:val="auto"/>
              </w:rPr>
            </w:pPr>
          </w:p>
        </w:tc>
        <w:tc>
          <w:tcPr>
            <w:tcW w:w="1400" w:type="dxa"/>
            <w:vAlign w:val="bottom"/>
            <w:gridSpan w:val="2"/>
            <w:vMerge w:val="restart"/>
          </w:tcPr>
          <w:p>
            <w:pPr>
              <w:jc w:val="right"/>
              <w:ind w:right="66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70"/>
        </w:trPr>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center"/>
              <w:ind w:right="300"/>
              <w:spacing w:after="0"/>
              <w:rPr>
                <w:sz w:val="20"/>
                <w:szCs w:val="20"/>
                <w:color w:val="auto"/>
              </w:rPr>
            </w:pPr>
            <w:r>
              <w:rPr>
                <w:rFonts w:ascii="Calibri" w:cs="Calibri" w:eastAsia="Calibri" w:hAnsi="Calibri"/>
                <w:sz w:val="14"/>
                <w:szCs w:val="14"/>
                <w:b w:val="1"/>
                <w:bCs w:val="1"/>
                <w:color w:val="auto"/>
              </w:rPr>
              <w:t>Solutons</w:t>
            </w:r>
          </w:p>
        </w:tc>
        <w:tc>
          <w:tcPr>
            <w:tcW w:w="154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Calibri" w:cs="Calibri" w:eastAsia="Calibri" w:hAnsi="Calibri"/>
                <w:sz w:val="14"/>
                <w:szCs w:val="14"/>
                <w:b w:val="1"/>
                <w:bCs w:val="1"/>
                <w:color w:val="auto"/>
              </w:rPr>
              <w:t>(In millions)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6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gridSpan w:val="4"/>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Balance as of October 30, 2022</w:t>
            </w: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25,967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gridSpan w:val="4"/>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17,647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43,614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140"/>
              <w:spacing w:after="0" w:line="215" w:lineRule="exact"/>
              <w:rPr>
                <w:sz w:val="20"/>
                <w:szCs w:val="20"/>
                <w:color w:val="auto"/>
              </w:rPr>
            </w:pPr>
            <w:r>
              <w:rPr>
                <w:rFonts w:ascii="Calibri" w:cs="Calibri" w:eastAsia="Calibri" w:hAnsi="Calibri"/>
                <w:sz w:val="18"/>
                <w:szCs w:val="18"/>
                <w:color w:val="auto"/>
              </w:rPr>
              <w:t>Acquisitons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line="215" w:lineRule="exact"/>
              <w:rPr>
                <w:sz w:val="20"/>
                <w:szCs w:val="20"/>
                <w:color w:val="auto"/>
              </w:rPr>
            </w:pPr>
            <w:r>
              <w:rPr>
                <w:rFonts w:ascii="Calibri" w:cs="Calibri" w:eastAsia="Calibri" w:hAnsi="Calibri"/>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line="215" w:lineRule="exact"/>
              <w:rPr>
                <w:sz w:val="20"/>
                <w:szCs w:val="20"/>
                <w:color w:val="auto"/>
              </w:rPr>
            </w:pPr>
            <w:r>
              <w:rPr>
                <w:rFonts w:ascii="Calibri" w:cs="Calibri" w:eastAsia="Calibri" w:hAnsi="Calibri"/>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b w:val="1"/>
                <w:bCs w:val="1"/>
                <w:color w:val="auto"/>
              </w:rPr>
              <w:t>Balance as of October 29, 2023</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26,001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17,652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43,653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640" w:type="dxa"/>
            <w:vAlign w:val="bottom"/>
          </w:tcPr>
          <w:p>
            <w:pPr>
              <w:ind w:left="140"/>
              <w:spacing w:after="0" w:line="215" w:lineRule="exact"/>
              <w:rPr>
                <w:sz w:val="20"/>
                <w:szCs w:val="20"/>
                <w:color w:val="auto"/>
              </w:rPr>
            </w:pPr>
            <w:r>
              <w:rPr>
                <w:rFonts w:ascii="Calibri" w:cs="Calibri" w:eastAsia="Calibri" w:hAnsi="Calibri"/>
                <w:sz w:val="18"/>
                <w:szCs w:val="18"/>
                <w:color w:val="auto"/>
              </w:rPr>
              <w:t>Acquisiton of VMware</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1180" w:type="dxa"/>
            <w:vAlign w:val="bottom"/>
            <w:gridSpan w:val="4"/>
          </w:tcPr>
          <w:p>
            <w:pPr>
              <w:jc w:val="right"/>
              <w:spacing w:after="0" w:line="215" w:lineRule="exact"/>
              <w:rPr>
                <w:sz w:val="20"/>
                <w:szCs w:val="20"/>
                <w:color w:val="auto"/>
              </w:rPr>
            </w:pPr>
            <w:r>
              <w:rPr>
                <w:rFonts w:ascii="Calibri" w:cs="Calibri" w:eastAsia="Calibri" w:hAnsi="Calibri"/>
                <w:sz w:val="18"/>
                <w:szCs w:val="18"/>
                <w:color w:val="auto"/>
              </w:rPr>
              <w:t>54,206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54,206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Acquisiton of Seagate's SoC operatons</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14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Calibri" w:cs="Calibri" w:eastAsia="Calibri" w:hAnsi="Calibri"/>
                <w:sz w:val="18"/>
                <w:szCs w:val="18"/>
                <w:b w:val="1"/>
                <w:bCs w:val="1"/>
                <w:color w:val="auto"/>
              </w:rPr>
              <w:t>Balance as of November 3, 2024</w:t>
            </w:r>
          </w:p>
        </w:tc>
        <w:tc>
          <w:tcPr>
            <w:tcW w:w="1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tcBorders>
              <w:top w:val="single" w:sz="8" w:color="auto"/>
              <w:bottom w:val="single" w:sz="8" w:color="auto"/>
            </w:tcBorders>
            <w:gridSpan w:val="2"/>
          </w:tcPr>
          <w:p>
            <w:pPr>
              <w:jc w:val="right"/>
              <w:spacing w:after="0" w:line="215" w:lineRule="exact"/>
              <w:rPr>
                <w:sz w:val="20"/>
                <w:szCs w:val="20"/>
                <w:color w:val="auto"/>
              </w:rPr>
            </w:pPr>
            <w:r>
              <w:rPr>
                <w:rFonts w:ascii="Calibri" w:cs="Calibri" w:eastAsia="Calibri" w:hAnsi="Calibri"/>
                <w:sz w:val="18"/>
                <w:szCs w:val="18"/>
                <w:color w:val="auto"/>
              </w:rPr>
              <w:t>26,015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top w:val="single" w:sz="8" w:color="auto"/>
              <w:bottom w:val="single" w:sz="8" w:color="auto"/>
            </w:tcBorders>
            <w:gridSpan w:val="4"/>
          </w:tcPr>
          <w:p>
            <w:pPr>
              <w:jc w:val="right"/>
              <w:spacing w:after="0" w:line="215" w:lineRule="exact"/>
              <w:rPr>
                <w:sz w:val="20"/>
                <w:szCs w:val="20"/>
                <w:color w:val="auto"/>
              </w:rPr>
            </w:pPr>
            <w:r>
              <w:rPr>
                <w:rFonts w:ascii="Calibri" w:cs="Calibri" w:eastAsia="Calibri" w:hAnsi="Calibri"/>
                <w:sz w:val="18"/>
                <w:szCs w:val="18"/>
                <w:color w:val="auto"/>
              </w:rPr>
              <w:t>71,858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97,873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520" w:firstLine="405"/>
        <w:spacing w:after="0" w:line="235" w:lineRule="auto"/>
        <w:rPr>
          <w:sz w:val="20"/>
          <w:szCs w:val="20"/>
          <w:color w:val="auto"/>
        </w:rPr>
      </w:pPr>
      <w:r>
        <w:rPr>
          <w:rFonts w:ascii="Calibri" w:cs="Calibri" w:eastAsia="Calibri" w:hAnsi="Calibri"/>
          <w:sz w:val="18"/>
          <w:szCs w:val="18"/>
          <w:color w:val="auto"/>
        </w:rPr>
        <w:t>We completed three acquisitons in fscal year 2023, all of which qualifed as business combinatons. The consideraton for these acquisitons was primarily allocated to goodwill and intangible assets.</w:t>
      </w:r>
    </w:p>
    <w:p>
      <w:pPr>
        <w:spacing w:after="0" w:line="110" w:lineRule="exact"/>
        <w:rPr>
          <w:sz w:val="20"/>
          <w:szCs w:val="20"/>
          <w:color w:val="auto"/>
        </w:rPr>
      </w:pPr>
    </w:p>
    <w:p>
      <w:pPr>
        <w:ind w:right="100" w:firstLine="405"/>
        <w:spacing w:after="0" w:line="235" w:lineRule="auto"/>
        <w:rPr>
          <w:sz w:val="20"/>
          <w:szCs w:val="20"/>
          <w:color w:val="auto"/>
        </w:rPr>
      </w:pPr>
      <w:r>
        <w:rPr>
          <w:rFonts w:ascii="Calibri" w:cs="Calibri" w:eastAsia="Calibri" w:hAnsi="Calibri"/>
          <w:sz w:val="18"/>
          <w:szCs w:val="18"/>
          <w:color w:val="auto"/>
        </w:rPr>
        <w:t>During the fourth quarter of fscal years 2024, 2023 and 2022, we completed our annual impairment assessments and concluded that goodwill was not impaired in any of these years.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Intangible Assets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Gross Carrying</w:t>
            </w: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rPr>
              <w:t>Accumulated</w:t>
            </w:r>
          </w:p>
        </w:tc>
        <w:tc>
          <w:tcPr>
            <w:tcW w:w="260" w:type="dxa"/>
            <w:vAlign w:val="bottom"/>
          </w:tcPr>
          <w:p>
            <w:pPr>
              <w:spacing w:after="0"/>
              <w:rPr>
                <w:sz w:val="14"/>
                <w:szCs w:val="14"/>
                <w:color w:val="auto"/>
              </w:rPr>
            </w:pPr>
          </w:p>
        </w:tc>
        <w:tc>
          <w:tcPr>
            <w:tcW w:w="1160" w:type="dxa"/>
            <w:vAlign w:val="bottom"/>
          </w:tcPr>
          <w:p>
            <w:pPr>
              <w:jc w:val="right"/>
              <w:ind w:right="352"/>
              <w:spacing w:after="0"/>
              <w:rPr>
                <w:sz w:val="20"/>
                <w:szCs w:val="20"/>
                <w:color w:val="auto"/>
              </w:rPr>
            </w:pPr>
            <w:r>
              <w:rPr>
                <w:rFonts w:ascii="Calibri" w:cs="Calibri" w:eastAsia="Calibri" w:hAnsi="Calibri"/>
                <w:sz w:val="14"/>
                <w:szCs w:val="14"/>
                <w:b w:val="1"/>
                <w:bCs w:val="1"/>
                <w:color w:val="auto"/>
              </w:rPr>
              <w:t>Net Book</w:t>
            </w:r>
          </w:p>
        </w:tc>
        <w:tc>
          <w:tcPr>
            <w:tcW w:w="0" w:type="dxa"/>
            <w:vAlign w:val="bottom"/>
          </w:tcPr>
          <w:p>
            <w:pPr>
              <w:spacing w:after="0"/>
              <w:rPr>
                <w:sz w:val="1"/>
                <w:szCs w:val="1"/>
                <w:color w:val="auto"/>
              </w:rPr>
            </w:pPr>
          </w:p>
        </w:tc>
      </w:tr>
      <w:tr>
        <w:trPr>
          <w:trHeight w:val="170"/>
        </w:trPr>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Amount</w:t>
            </w: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rPr>
              <w:t>Amortzaton</w:t>
            </w:r>
          </w:p>
        </w:tc>
        <w:tc>
          <w:tcPr>
            <w:tcW w:w="260" w:type="dxa"/>
            <w:vAlign w:val="bottom"/>
          </w:tcPr>
          <w:p>
            <w:pPr>
              <w:spacing w:after="0"/>
              <w:rPr>
                <w:sz w:val="14"/>
                <w:szCs w:val="14"/>
                <w:color w:val="auto"/>
              </w:rPr>
            </w:pPr>
          </w:p>
        </w:tc>
        <w:tc>
          <w:tcPr>
            <w:tcW w:w="1160" w:type="dxa"/>
            <w:vAlign w:val="bottom"/>
          </w:tcPr>
          <w:p>
            <w:pPr>
              <w:jc w:val="right"/>
              <w:ind w:right="452"/>
              <w:spacing w:after="0"/>
              <w:rPr>
                <w:sz w:val="20"/>
                <w:szCs w:val="20"/>
                <w:color w:val="auto"/>
              </w:rPr>
            </w:pPr>
            <w:r>
              <w:rPr>
                <w:rFonts w:ascii="Calibri" w:cs="Calibri" w:eastAsia="Calibri" w:hAnsi="Calibri"/>
                <w:sz w:val="14"/>
                <w:szCs w:val="14"/>
                <w:b w:val="1"/>
                <w:bCs w:val="1"/>
                <w:color w:val="auto"/>
              </w:rPr>
              <w:t>Value</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rPr>
              <w:t>(In millions)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640" w:type="dxa"/>
            <w:vAlign w:val="bottom"/>
          </w:tcPr>
          <w:p>
            <w:pPr>
              <w:ind w:left="20"/>
              <w:spacing w:after="0"/>
              <w:rPr>
                <w:sz w:val="20"/>
                <w:szCs w:val="20"/>
                <w:color w:val="auto"/>
              </w:rPr>
            </w:pPr>
            <w:r>
              <w:rPr>
                <w:rFonts w:ascii="Calibri" w:cs="Calibri" w:eastAsia="Calibri" w:hAnsi="Calibri"/>
                <w:sz w:val="18"/>
                <w:szCs w:val="18"/>
                <w:b w:val="1"/>
                <w:bCs w:val="1"/>
                <w:color w:val="auto"/>
              </w:rPr>
              <w:t>As of November 3, 2024:</w:t>
            </w: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Purchased technology</w:t>
            </w:r>
          </w:p>
        </w:tc>
        <w:tc>
          <w:tcPr>
            <w:tcW w:w="20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35,467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(12,551)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22,916</w:t>
            </w:r>
          </w:p>
        </w:tc>
        <w:tc>
          <w:tcPr>
            <w:tcW w:w="0" w:type="dxa"/>
            <w:vAlign w:val="bottom"/>
          </w:tcPr>
          <w:p>
            <w:pPr>
              <w:spacing w:after="0"/>
              <w:rPr>
                <w:sz w:val="1"/>
                <w:szCs w:val="1"/>
                <w:color w:val="auto"/>
              </w:rPr>
            </w:pPr>
          </w:p>
        </w:tc>
      </w:tr>
      <w:tr>
        <w:trPr>
          <w:trHeight w:val="222"/>
        </w:trPr>
        <w:tc>
          <w:tcPr>
            <w:tcW w:w="6640" w:type="dxa"/>
            <w:vAlign w:val="bottom"/>
          </w:tcPr>
          <w:p>
            <w:pPr>
              <w:ind w:left="20"/>
              <w:spacing w:after="0" w:line="215" w:lineRule="exact"/>
              <w:rPr>
                <w:sz w:val="20"/>
                <w:szCs w:val="20"/>
                <w:color w:val="auto"/>
              </w:rPr>
            </w:pPr>
            <w:r>
              <w:rPr>
                <w:rFonts w:ascii="Calibri" w:cs="Calibri" w:eastAsia="Calibri" w:hAnsi="Calibri"/>
                <w:sz w:val="18"/>
                <w:szCs w:val="18"/>
                <w:color w:val="auto"/>
              </w:rPr>
              <w:t>Customer contracts and related relatonships</w:t>
            </w:r>
          </w:p>
        </w:tc>
        <w:tc>
          <w:tcPr>
            <w:tcW w:w="20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16,186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(2,271)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13,915</w:t>
            </w:r>
          </w:p>
        </w:tc>
        <w:tc>
          <w:tcPr>
            <w:tcW w:w="0" w:type="dxa"/>
            <w:vAlign w:val="bottom"/>
          </w:tcPr>
          <w:p>
            <w:pPr>
              <w:spacing w:after="0"/>
              <w:rPr>
                <w:sz w:val="1"/>
                <w:szCs w:val="1"/>
                <w:color w:val="auto"/>
              </w:rPr>
            </w:pPr>
          </w:p>
        </w:tc>
      </w:tr>
      <w:tr>
        <w:trPr>
          <w:trHeight w:val="237"/>
        </w:trPr>
        <w:tc>
          <w:tcPr>
            <w:tcW w:w="66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Trade names</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1,720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(369)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1,351</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61</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40"/>
              <w:spacing w:after="0" w:line="206" w:lineRule="exact"/>
              <w:rPr>
                <w:sz w:val="20"/>
                <w:szCs w:val="20"/>
                <w:color w:val="auto"/>
              </w:rPr>
            </w:pPr>
            <w:r>
              <w:rPr>
                <w:rFonts w:ascii="Calibri" w:cs="Calibri" w:eastAsia="Calibri" w:hAnsi="Calibri"/>
                <w:sz w:val="18"/>
                <w:szCs w:val="18"/>
                <w:color w:val="auto"/>
              </w:rPr>
              <w:t>Intangible assets subject to amortzaton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53,539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(15,296)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38,243</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line="215" w:lineRule="exact"/>
              <w:rPr>
                <w:sz w:val="20"/>
                <w:szCs w:val="20"/>
                <w:color w:val="auto"/>
              </w:rPr>
            </w:pPr>
            <w:r>
              <w:rPr>
                <w:rFonts w:ascii="Calibri" w:cs="Calibri" w:eastAsia="Calibri" w:hAnsi="Calibri"/>
                <w:sz w:val="18"/>
                <w:szCs w:val="18"/>
                <w:color w:val="auto"/>
              </w:rPr>
              <w:t>IPR&amp;D</w:t>
            </w:r>
          </w:p>
        </w:tc>
        <w:tc>
          <w:tcPr>
            <w:tcW w:w="20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2,340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98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2,340</w:t>
            </w:r>
          </w:p>
        </w:tc>
        <w:tc>
          <w:tcPr>
            <w:tcW w:w="0" w:type="dxa"/>
            <w:vAlign w:val="bottom"/>
          </w:tcPr>
          <w:p>
            <w:pPr>
              <w:spacing w:after="0"/>
              <w:rPr>
                <w:sz w:val="1"/>
                <w:szCs w:val="1"/>
                <w:color w:val="auto"/>
              </w:rPr>
            </w:pPr>
          </w:p>
        </w:tc>
      </w:tr>
      <w:tr>
        <w:trPr>
          <w:trHeight w:val="254"/>
        </w:trPr>
        <w:tc>
          <w:tcPr>
            <w:tcW w:w="66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55,879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(15,296)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40,583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Calibri" w:cs="Calibri" w:eastAsia="Calibri" w:hAnsi="Calibri"/>
                <w:sz w:val="18"/>
                <w:szCs w:val="18"/>
                <w:b w:val="1"/>
                <w:bCs w:val="1"/>
                <w:color w:val="auto"/>
              </w:rPr>
              <w:t>As of October 29, 2023:</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6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Purchased technology</w:t>
            </w:r>
          </w:p>
        </w:tc>
        <w:tc>
          <w:tcPr>
            <w:tcW w:w="20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12,938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(10,723)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2,215</w:t>
            </w:r>
          </w:p>
        </w:tc>
        <w:tc>
          <w:tcPr>
            <w:tcW w:w="0" w:type="dxa"/>
            <w:vAlign w:val="bottom"/>
          </w:tcPr>
          <w:p>
            <w:pPr>
              <w:spacing w:after="0"/>
              <w:rPr>
                <w:sz w:val="1"/>
                <w:szCs w:val="1"/>
                <w:color w:val="auto"/>
              </w:rPr>
            </w:pPr>
          </w:p>
        </w:tc>
      </w:tr>
      <w:tr>
        <w:trPr>
          <w:trHeight w:val="222"/>
        </w:trPr>
        <w:tc>
          <w:tcPr>
            <w:tcW w:w="6640" w:type="dxa"/>
            <w:vAlign w:val="bottom"/>
          </w:tcPr>
          <w:p>
            <w:pPr>
              <w:ind w:left="20"/>
              <w:spacing w:after="0" w:line="215" w:lineRule="exact"/>
              <w:rPr>
                <w:sz w:val="20"/>
                <w:szCs w:val="20"/>
                <w:color w:val="auto"/>
              </w:rPr>
            </w:pPr>
            <w:r>
              <w:rPr>
                <w:rFonts w:ascii="Calibri" w:cs="Calibri" w:eastAsia="Calibri" w:hAnsi="Calibri"/>
                <w:sz w:val="18"/>
                <w:szCs w:val="18"/>
                <w:color w:val="auto"/>
              </w:rPr>
              <w:t>Customer contracts and related relatonships</w:t>
            </w:r>
          </w:p>
        </w:tc>
        <w:tc>
          <w:tcPr>
            <w:tcW w:w="20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7,059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(5,753)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1,306</w:t>
            </w:r>
          </w:p>
        </w:tc>
        <w:tc>
          <w:tcPr>
            <w:tcW w:w="0" w:type="dxa"/>
            <w:vAlign w:val="bottom"/>
          </w:tcPr>
          <w:p>
            <w:pPr>
              <w:spacing w:after="0"/>
              <w:rPr>
                <w:sz w:val="1"/>
                <w:szCs w:val="1"/>
                <w:color w:val="auto"/>
              </w:rPr>
            </w:pPr>
          </w:p>
        </w:tc>
      </w:tr>
      <w:tr>
        <w:trPr>
          <w:trHeight w:val="237"/>
        </w:trPr>
        <w:tc>
          <w:tcPr>
            <w:tcW w:w="66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Trade names</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649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(388)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261</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75</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40"/>
              <w:spacing w:after="0" w:line="206" w:lineRule="exact"/>
              <w:rPr>
                <w:sz w:val="20"/>
                <w:szCs w:val="20"/>
                <w:color w:val="auto"/>
              </w:rPr>
            </w:pPr>
            <w:r>
              <w:rPr>
                <w:rFonts w:ascii="Calibri" w:cs="Calibri" w:eastAsia="Calibri" w:hAnsi="Calibri"/>
                <w:sz w:val="18"/>
                <w:szCs w:val="18"/>
                <w:color w:val="auto"/>
              </w:rPr>
              <w:t>Intangible assets subject to amortzaton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20,823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(16,966)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3,857</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line="215" w:lineRule="exact"/>
              <w:rPr>
                <w:sz w:val="20"/>
                <w:szCs w:val="20"/>
                <w:color w:val="auto"/>
              </w:rPr>
            </w:pPr>
            <w:r>
              <w:rPr>
                <w:rFonts w:ascii="Calibri" w:cs="Calibri" w:eastAsia="Calibri" w:hAnsi="Calibri"/>
                <w:sz w:val="18"/>
                <w:szCs w:val="18"/>
                <w:color w:val="auto"/>
              </w:rPr>
              <w:t>IPR&amp;D</w:t>
            </w:r>
          </w:p>
        </w:tc>
        <w:tc>
          <w:tcPr>
            <w:tcW w:w="20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98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0" w:type="dxa"/>
            <w:vAlign w:val="bottom"/>
          </w:tcPr>
          <w:p>
            <w:pPr>
              <w:spacing w:after="0"/>
              <w:rPr>
                <w:sz w:val="1"/>
                <w:szCs w:val="1"/>
                <w:color w:val="auto"/>
              </w:rPr>
            </w:pPr>
          </w:p>
        </w:tc>
      </w:tr>
      <w:tr>
        <w:trPr>
          <w:trHeight w:val="254"/>
        </w:trPr>
        <w:tc>
          <w:tcPr>
            <w:tcW w:w="66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20,833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(16,966)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3,867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340" w:firstLine="405"/>
        <w:spacing w:after="0" w:line="235" w:lineRule="auto"/>
        <w:rPr>
          <w:sz w:val="20"/>
          <w:szCs w:val="20"/>
          <w:color w:val="auto"/>
        </w:rPr>
      </w:pPr>
      <w:r>
        <w:rPr>
          <w:rFonts w:ascii="Calibri" w:cs="Calibri" w:eastAsia="Calibri" w:hAnsi="Calibri"/>
          <w:sz w:val="18"/>
          <w:szCs w:val="18"/>
          <w:color w:val="auto"/>
        </w:rPr>
        <w:t>Based on the amount of intangible assets subject to amortzaton at November 3, 2024, the expected amortzaton expense for each of the next fve fscal years and thereafer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2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Fiscal Year:</w:t>
            </w:r>
          </w:p>
        </w:tc>
        <w:tc>
          <w:tcPr>
            <w:tcW w:w="1420" w:type="dxa"/>
            <w:vAlign w:val="bottom"/>
            <w:gridSpan w:val="2"/>
          </w:tcPr>
          <w:p>
            <w:pPr>
              <w:ind w:left="40"/>
              <w:spacing w:after="0"/>
              <w:rPr>
                <w:sz w:val="20"/>
                <w:szCs w:val="20"/>
                <w:color w:val="auto"/>
              </w:rPr>
            </w:pPr>
            <w:r>
              <w:rPr>
                <w:rFonts w:ascii="Calibri" w:cs="Calibri" w:eastAsia="Calibri" w:hAnsi="Calibri"/>
                <w:sz w:val="14"/>
                <w:szCs w:val="14"/>
                <w:b w:val="1"/>
                <w:bCs w:val="1"/>
                <w:color w:val="auto"/>
              </w:rPr>
              <w:t>Expected Amortzaton</w:t>
            </w:r>
          </w:p>
        </w:tc>
        <w:tc>
          <w:tcPr>
            <w:tcW w:w="0" w:type="dxa"/>
            <w:vAlign w:val="bottom"/>
          </w:tcPr>
          <w:p>
            <w:pPr>
              <w:spacing w:after="0"/>
              <w:rPr>
                <w:sz w:val="1"/>
                <w:szCs w:val="1"/>
                <w:color w:val="auto"/>
              </w:rPr>
            </w:pPr>
          </w:p>
        </w:tc>
      </w:tr>
      <w:tr>
        <w:trPr>
          <w:trHeight w:val="193"/>
        </w:trPr>
        <w:tc>
          <w:tcPr>
            <w:tcW w:w="9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374"/>
              <w:spacing w:after="0"/>
              <w:rPr>
                <w:sz w:val="20"/>
                <w:szCs w:val="20"/>
                <w:color w:val="auto"/>
              </w:rPr>
            </w:pPr>
            <w:r>
              <w:rPr>
                <w:rFonts w:ascii="Calibri" w:cs="Calibri" w:eastAsia="Calibri" w:hAnsi="Calibri"/>
                <w:sz w:val="14"/>
                <w:szCs w:val="14"/>
                <w:b w:val="1"/>
                <w:bCs w:val="1"/>
                <w:color w:val="auto"/>
              </w:rPr>
              <w:t>Expense</w:t>
            </w:r>
          </w:p>
        </w:tc>
        <w:tc>
          <w:tcPr>
            <w:tcW w:w="0" w:type="dxa"/>
            <w:vAlign w:val="bottom"/>
          </w:tcPr>
          <w:p>
            <w:pPr>
              <w:spacing w:after="0"/>
              <w:rPr>
                <w:sz w:val="1"/>
                <w:szCs w:val="1"/>
                <w:color w:val="auto"/>
              </w:rPr>
            </w:pPr>
          </w:p>
        </w:tc>
      </w:tr>
      <w:tr>
        <w:trPr>
          <w:trHeight w:val="23"/>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274"/>
              <w:spacing w:after="0"/>
              <w:rPr>
                <w:sz w:val="20"/>
                <w:szCs w:val="20"/>
                <w:color w:val="auto"/>
              </w:rPr>
            </w:pPr>
            <w:r>
              <w:rPr>
                <w:rFonts w:ascii="Calibri" w:cs="Calibri" w:eastAsia="Calibri" w:hAnsi="Calibri"/>
                <w:sz w:val="14"/>
                <w:szCs w:val="14"/>
                <w:b w:val="1"/>
                <w:bCs w:val="1"/>
                <w:color w:val="auto"/>
              </w:rPr>
              <w:t>(In millions)</w:t>
            </w:r>
          </w:p>
        </w:tc>
        <w:tc>
          <w:tcPr>
            <w:tcW w:w="0" w:type="dxa"/>
            <w:vAlign w:val="bottom"/>
          </w:tcPr>
          <w:p>
            <w:pPr>
              <w:spacing w:after="0"/>
              <w:rPr>
                <w:sz w:val="1"/>
                <w:szCs w:val="1"/>
                <w:color w:val="auto"/>
              </w:rPr>
            </w:pPr>
          </w:p>
        </w:tc>
      </w:tr>
      <w:tr>
        <w:trPr>
          <w:trHeight w:val="47"/>
        </w:trPr>
        <w:tc>
          <w:tcPr>
            <w:tcW w:w="9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97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2025</w:t>
            </w:r>
          </w:p>
        </w:tc>
        <w:tc>
          <w:tcPr>
            <w:tcW w:w="2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8,055</w:t>
            </w:r>
          </w:p>
        </w:tc>
        <w:tc>
          <w:tcPr>
            <w:tcW w:w="0" w:type="dxa"/>
            <w:vAlign w:val="bottom"/>
          </w:tcPr>
          <w:p>
            <w:pPr>
              <w:spacing w:after="0"/>
              <w:rPr>
                <w:sz w:val="1"/>
                <w:szCs w:val="1"/>
                <w:color w:val="auto"/>
              </w:rPr>
            </w:pPr>
          </w:p>
        </w:tc>
      </w:tr>
      <w:tr>
        <w:trPr>
          <w:trHeight w:val="222"/>
        </w:trPr>
        <w:tc>
          <w:tcPr>
            <w:tcW w:w="9720" w:type="dxa"/>
            <w:vAlign w:val="bottom"/>
          </w:tcPr>
          <w:p>
            <w:pPr>
              <w:ind w:left="20"/>
              <w:spacing w:after="0" w:line="215" w:lineRule="exact"/>
              <w:rPr>
                <w:sz w:val="20"/>
                <w:szCs w:val="20"/>
                <w:color w:val="auto"/>
              </w:rPr>
            </w:pPr>
            <w:r>
              <w:rPr>
                <w:rFonts w:ascii="Calibri" w:cs="Calibri" w:eastAsia="Calibri" w:hAnsi="Calibri"/>
                <w:sz w:val="18"/>
                <w:szCs w:val="18"/>
                <w:color w:val="auto"/>
              </w:rPr>
              <w:t>2026</w:t>
            </w:r>
          </w:p>
        </w:tc>
        <w:tc>
          <w:tcPr>
            <w:tcW w:w="220" w:type="dxa"/>
            <w:vAlign w:val="bottom"/>
          </w:tcPr>
          <w:p>
            <w:pPr>
              <w:spacing w:after="0"/>
              <w:rPr>
                <w:sz w:val="19"/>
                <w:szCs w:val="19"/>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7,571</w:t>
            </w:r>
          </w:p>
        </w:tc>
        <w:tc>
          <w:tcPr>
            <w:tcW w:w="0" w:type="dxa"/>
            <w:vAlign w:val="bottom"/>
          </w:tcPr>
          <w:p>
            <w:pPr>
              <w:spacing w:after="0"/>
              <w:rPr>
                <w:sz w:val="1"/>
                <w:szCs w:val="1"/>
                <w:color w:val="auto"/>
              </w:rPr>
            </w:pPr>
          </w:p>
        </w:tc>
      </w:tr>
      <w:tr>
        <w:trPr>
          <w:trHeight w:val="237"/>
        </w:trPr>
        <w:tc>
          <w:tcPr>
            <w:tcW w:w="97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2027</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6,533</w:t>
            </w:r>
          </w:p>
        </w:tc>
        <w:tc>
          <w:tcPr>
            <w:tcW w:w="0" w:type="dxa"/>
            <w:vAlign w:val="bottom"/>
          </w:tcPr>
          <w:p>
            <w:pPr>
              <w:spacing w:after="0"/>
              <w:rPr>
                <w:sz w:val="1"/>
                <w:szCs w:val="1"/>
                <w:color w:val="auto"/>
              </w:rPr>
            </w:pPr>
          </w:p>
        </w:tc>
      </w:tr>
      <w:tr>
        <w:trPr>
          <w:trHeight w:val="222"/>
        </w:trPr>
        <w:tc>
          <w:tcPr>
            <w:tcW w:w="9720" w:type="dxa"/>
            <w:vAlign w:val="bottom"/>
          </w:tcPr>
          <w:p>
            <w:pPr>
              <w:ind w:left="20"/>
              <w:spacing w:after="0" w:line="215" w:lineRule="exact"/>
              <w:rPr>
                <w:sz w:val="20"/>
                <w:szCs w:val="20"/>
                <w:color w:val="auto"/>
              </w:rPr>
            </w:pPr>
            <w:r>
              <w:rPr>
                <w:rFonts w:ascii="Calibri" w:cs="Calibri" w:eastAsia="Calibri" w:hAnsi="Calibri"/>
                <w:sz w:val="18"/>
                <w:szCs w:val="18"/>
                <w:color w:val="auto"/>
              </w:rPr>
              <w:t>2028</w:t>
            </w:r>
          </w:p>
        </w:tc>
        <w:tc>
          <w:tcPr>
            <w:tcW w:w="220" w:type="dxa"/>
            <w:vAlign w:val="bottom"/>
          </w:tcPr>
          <w:p>
            <w:pPr>
              <w:spacing w:after="0"/>
              <w:rPr>
                <w:sz w:val="19"/>
                <w:szCs w:val="19"/>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5,443</w:t>
            </w:r>
          </w:p>
        </w:tc>
        <w:tc>
          <w:tcPr>
            <w:tcW w:w="0" w:type="dxa"/>
            <w:vAlign w:val="bottom"/>
          </w:tcPr>
          <w:p>
            <w:pPr>
              <w:spacing w:after="0"/>
              <w:rPr>
                <w:sz w:val="1"/>
                <w:szCs w:val="1"/>
                <w:color w:val="auto"/>
              </w:rPr>
            </w:pPr>
          </w:p>
        </w:tc>
      </w:tr>
      <w:tr>
        <w:trPr>
          <w:trHeight w:val="237"/>
        </w:trPr>
        <w:tc>
          <w:tcPr>
            <w:tcW w:w="97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2029</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4,356</w:t>
            </w:r>
          </w:p>
        </w:tc>
        <w:tc>
          <w:tcPr>
            <w:tcW w:w="0" w:type="dxa"/>
            <w:vAlign w:val="bottom"/>
          </w:tcPr>
          <w:p>
            <w:pPr>
              <w:spacing w:after="0"/>
              <w:rPr>
                <w:sz w:val="1"/>
                <w:szCs w:val="1"/>
                <w:color w:val="auto"/>
              </w:rPr>
            </w:pPr>
          </w:p>
        </w:tc>
      </w:tr>
      <w:tr>
        <w:trPr>
          <w:trHeight w:val="223"/>
        </w:trPr>
        <w:tc>
          <w:tcPr>
            <w:tcW w:w="972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Thereafer</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6,285</w:t>
            </w:r>
          </w:p>
        </w:tc>
        <w:tc>
          <w:tcPr>
            <w:tcW w:w="0" w:type="dxa"/>
            <w:vAlign w:val="bottom"/>
          </w:tcPr>
          <w:p>
            <w:pPr>
              <w:spacing w:after="0"/>
              <w:rPr>
                <w:sz w:val="1"/>
                <w:szCs w:val="1"/>
                <w:color w:val="auto"/>
              </w:rPr>
            </w:pPr>
          </w:p>
        </w:tc>
      </w:tr>
      <w:tr>
        <w:trPr>
          <w:trHeight w:val="254"/>
        </w:trPr>
        <w:tc>
          <w:tcPr>
            <w:tcW w:w="972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Total</w:t>
            </w:r>
          </w:p>
        </w:tc>
        <w:tc>
          <w:tcPr>
            <w:tcW w:w="22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38,243</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The weighted-average remaining amortzaton periods by intangible asset category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Amortzable intangible assets:</w:t>
            </w:r>
          </w:p>
        </w:tc>
        <w:tc>
          <w:tcPr>
            <w:tcW w:w="534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November 3,</w:t>
            </w:r>
          </w:p>
        </w:tc>
        <w:tc>
          <w:tcPr>
            <w:tcW w:w="0" w:type="dxa"/>
            <w:vAlign w:val="bottom"/>
          </w:tcPr>
          <w:p>
            <w:pPr>
              <w:spacing w:after="0"/>
              <w:rPr>
                <w:sz w:val="1"/>
                <w:szCs w:val="1"/>
                <w:color w:val="auto"/>
              </w:rPr>
            </w:pPr>
          </w:p>
        </w:tc>
      </w:tr>
      <w:tr>
        <w:trPr>
          <w:trHeight w:val="180"/>
        </w:trPr>
        <w:tc>
          <w:tcPr>
            <w:tcW w:w="4380" w:type="dxa"/>
            <w:vAlign w:val="bottom"/>
            <w:vMerge w:val="continue"/>
          </w:tcPr>
          <w:p>
            <w:pPr>
              <w:spacing w:after="0"/>
              <w:rPr>
                <w:sz w:val="15"/>
                <w:szCs w:val="15"/>
                <w:color w:val="auto"/>
              </w:rPr>
            </w:pPr>
          </w:p>
        </w:tc>
        <w:tc>
          <w:tcPr>
            <w:tcW w:w="6760" w:type="dxa"/>
            <w:vAlign w:val="bottom"/>
            <w:gridSpan w:val="2"/>
          </w:tcPr>
          <w:p>
            <w:pPr>
              <w:jc w:val="center"/>
              <w:ind w:left="5253"/>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w w:val="99"/>
              </w:rPr>
              <w:t>(In years)</w:t>
            </w:r>
          </w:p>
        </w:tc>
        <w:tc>
          <w:tcPr>
            <w:tcW w:w="0" w:type="dxa"/>
            <w:vAlign w:val="bottom"/>
          </w:tcPr>
          <w:p>
            <w:pPr>
              <w:spacing w:after="0"/>
              <w:rPr>
                <w:sz w:val="1"/>
                <w:szCs w:val="1"/>
                <w:color w:val="auto"/>
              </w:rPr>
            </w:pPr>
          </w:p>
        </w:tc>
      </w:tr>
      <w:tr>
        <w:trPr>
          <w:trHeight w:val="47"/>
        </w:trPr>
        <w:tc>
          <w:tcPr>
            <w:tcW w:w="4380" w:type="dxa"/>
            <w:vAlign w:val="bottom"/>
          </w:tcPr>
          <w:p>
            <w:pPr>
              <w:spacing w:after="0"/>
              <w:rPr>
                <w:sz w:val="4"/>
                <w:szCs w:val="4"/>
                <w:color w:val="auto"/>
              </w:rPr>
            </w:pPr>
          </w:p>
        </w:tc>
        <w:tc>
          <w:tcPr>
            <w:tcW w:w="53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Purchased technology</w:t>
            </w:r>
          </w:p>
        </w:tc>
        <w:tc>
          <w:tcPr>
            <w:tcW w:w="6760" w:type="dxa"/>
            <w:vAlign w:val="bottom"/>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80" w:type="dxa"/>
            <w:vAlign w:val="bottom"/>
          </w:tcPr>
          <w:p>
            <w:pPr>
              <w:ind w:left="20"/>
              <w:spacing w:after="0" w:line="215" w:lineRule="exact"/>
              <w:rPr>
                <w:sz w:val="20"/>
                <w:szCs w:val="20"/>
                <w:color w:val="auto"/>
              </w:rPr>
            </w:pPr>
            <w:r>
              <w:rPr>
                <w:rFonts w:ascii="Calibri" w:cs="Calibri" w:eastAsia="Calibri" w:hAnsi="Calibri"/>
                <w:sz w:val="18"/>
                <w:szCs w:val="18"/>
                <w:color w:val="auto"/>
              </w:rPr>
              <w:t>Customer contracts and related relatonships</w:t>
            </w:r>
          </w:p>
        </w:tc>
        <w:tc>
          <w:tcPr>
            <w:tcW w:w="67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Trade names</w:t>
            </w:r>
          </w:p>
        </w:tc>
        <w:tc>
          <w:tcPr>
            <w:tcW w:w="676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80" w:type="dxa"/>
            <w:vAlign w:val="bottom"/>
          </w:tcPr>
          <w:p>
            <w:pPr>
              <w:ind w:left="20"/>
              <w:spacing w:after="0" w:line="215" w:lineRule="exact"/>
              <w:rPr>
                <w:sz w:val="20"/>
                <w:szCs w:val="20"/>
                <w:color w:val="auto"/>
              </w:rPr>
            </w:pPr>
            <w:r>
              <w:rPr>
                <w:rFonts w:ascii="Calibri" w:cs="Calibri" w:eastAsia="Calibri" w:hAnsi="Calibri"/>
                <w:sz w:val="18"/>
                <w:szCs w:val="18"/>
                <w:color w:val="auto"/>
              </w:rPr>
              <w:t>Other</w:t>
            </w:r>
          </w:p>
        </w:tc>
        <w:tc>
          <w:tcPr>
            <w:tcW w:w="67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6"/>
        </w:trPr>
        <w:tc>
          <w:tcPr>
            <w:tcW w:w="4380" w:type="dxa"/>
            <w:vAlign w:val="bottom"/>
          </w:tcPr>
          <w:p>
            <w:pPr>
              <w:spacing w:after="0"/>
              <w:rPr>
                <w:sz w:val="24"/>
                <w:szCs w:val="24"/>
                <w:color w:val="auto"/>
              </w:rPr>
            </w:pPr>
          </w:p>
        </w:tc>
        <w:tc>
          <w:tcPr>
            <w:tcW w:w="5340" w:type="dxa"/>
            <w:vAlign w:val="bottom"/>
          </w:tcPr>
          <w:p>
            <w:pPr>
              <w:jc w:val="right"/>
              <w:ind w:right="3913"/>
              <w:spacing w:after="0"/>
              <w:rPr>
                <w:sz w:val="20"/>
                <w:szCs w:val="20"/>
                <w:color w:val="auto"/>
              </w:rPr>
            </w:pPr>
            <w:r>
              <w:rPr>
                <w:rFonts w:ascii="Calibri" w:cs="Calibri" w:eastAsia="Calibri" w:hAnsi="Calibri"/>
                <w:sz w:val="18"/>
                <w:szCs w:val="18"/>
                <w:color w:val="auto"/>
              </w:rPr>
              <w:t>72</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380" w:type="dxa"/>
            <w:vAlign w:val="bottom"/>
            <w:tcBorders>
              <w:bottom w:val="single" w:sz="8" w:color="9A9A9A"/>
            </w:tcBorders>
          </w:tcPr>
          <w:p>
            <w:pPr>
              <w:spacing w:after="0"/>
              <w:rPr>
                <w:sz w:val="12"/>
                <w:szCs w:val="12"/>
                <w:color w:val="auto"/>
              </w:rPr>
            </w:pPr>
          </w:p>
        </w:tc>
        <w:tc>
          <w:tcPr>
            <w:tcW w:w="53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8. Net Income Per Share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rPr>
              <w:t>Fiscal Year</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7"/>
        </w:trPr>
        <w:tc>
          <w:tcPr>
            <w:tcW w:w="674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63"/>
        </w:trPr>
        <w:tc>
          <w:tcPr>
            <w:tcW w:w="6740" w:type="dxa"/>
            <w:vAlign w:val="bottom"/>
          </w:tcPr>
          <w:p>
            <w:pPr>
              <w:spacing w:after="0"/>
              <w:rPr>
                <w:sz w:val="14"/>
                <w:szCs w:val="14"/>
                <w:color w:val="auto"/>
              </w:rPr>
            </w:pPr>
          </w:p>
        </w:tc>
        <w:tc>
          <w:tcPr>
            <w:tcW w:w="9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52"/>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471"/>
              <w:spacing w:after="0" w:line="164" w:lineRule="exact"/>
              <w:rPr>
                <w:sz w:val="20"/>
                <w:szCs w:val="20"/>
                <w:color w:val="auto"/>
              </w:rPr>
            </w:pPr>
            <w:r>
              <w:rPr>
                <w:rFonts w:ascii="Calibri" w:cs="Calibri" w:eastAsia="Calibri" w:hAnsi="Calibri"/>
                <w:sz w:val="14"/>
                <w:szCs w:val="14"/>
                <w:b w:val="1"/>
                <w:bCs w:val="1"/>
                <w:color w:val="auto"/>
              </w:rPr>
              <w:t>2022</w:t>
            </w:r>
          </w:p>
        </w:tc>
      </w:tr>
      <w:tr>
        <w:trPr>
          <w:trHeight w:val="33"/>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60" w:type="dxa"/>
            <w:vAlign w:val="bottom"/>
            <w:gridSpan w:val="6"/>
          </w:tcPr>
          <w:p>
            <w:pPr>
              <w:jc w:val="center"/>
              <w:ind w:left="51"/>
              <w:spacing w:after="0"/>
              <w:rPr>
                <w:sz w:val="20"/>
                <w:szCs w:val="20"/>
                <w:color w:val="auto"/>
              </w:rPr>
            </w:pPr>
            <w:r>
              <w:rPr>
                <w:rFonts w:ascii="Calibri" w:cs="Calibri" w:eastAsia="Calibri" w:hAnsi="Calibri"/>
                <w:sz w:val="14"/>
                <w:szCs w:val="14"/>
                <w:b w:val="1"/>
                <w:bCs w:val="1"/>
                <w:color w:val="auto"/>
              </w:rPr>
              <w:t>(In millions, except per share data)</w:t>
            </w:r>
          </w:p>
        </w:tc>
        <w:tc>
          <w:tcPr>
            <w:tcW w:w="1040" w:type="dxa"/>
            <w:vAlign w:val="bottom"/>
          </w:tcPr>
          <w:p>
            <w:pPr>
              <w:spacing w:after="0"/>
              <w:rPr>
                <w:sz w:val="16"/>
                <w:szCs w:val="16"/>
                <w:color w:val="auto"/>
              </w:rPr>
            </w:pPr>
          </w:p>
        </w:tc>
      </w:tr>
      <w:tr>
        <w:trPr>
          <w:trHeight w:val="253"/>
        </w:trPr>
        <w:tc>
          <w:tcPr>
            <w:tcW w:w="6740" w:type="dxa"/>
            <w:vAlign w:val="bottom"/>
          </w:tcPr>
          <w:p>
            <w:pPr>
              <w:ind w:left="20"/>
              <w:spacing w:after="0"/>
              <w:rPr>
                <w:sz w:val="20"/>
                <w:szCs w:val="20"/>
                <w:color w:val="auto"/>
              </w:rPr>
            </w:pPr>
            <w:r>
              <w:rPr>
                <w:rFonts w:ascii="Calibri" w:cs="Calibri" w:eastAsia="Calibri" w:hAnsi="Calibri"/>
                <w:sz w:val="18"/>
                <w:szCs w:val="18"/>
                <w:b w:val="1"/>
                <w:bCs w:val="1"/>
                <w:color w:val="auto"/>
              </w:rPr>
              <w:t>Numerator:</w:t>
            </w:r>
          </w:p>
        </w:tc>
        <w:tc>
          <w:tcPr>
            <w:tcW w:w="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67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Income from contnuing operatons</w:t>
            </w:r>
          </w:p>
        </w:tc>
        <w:tc>
          <w:tcPr>
            <w:tcW w:w="900" w:type="dxa"/>
            <w:vAlign w:val="bottom"/>
            <w:shd w:val="clear" w:color="auto" w:fill="CCEEFF"/>
          </w:tcPr>
          <w:p>
            <w:pPr>
              <w:jc w:val="right"/>
              <w:ind w:right="713"/>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6,168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14,082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11,495</w:t>
            </w:r>
          </w:p>
        </w:tc>
      </w:tr>
      <w:tr>
        <w:trPr>
          <w:trHeight w:val="223"/>
        </w:trPr>
        <w:tc>
          <w:tcPr>
            <w:tcW w:w="6740" w:type="dxa"/>
            <w:vAlign w:val="bottom"/>
          </w:tcPr>
          <w:p>
            <w:pPr>
              <w:ind w:left="20"/>
              <w:spacing w:after="0" w:line="215" w:lineRule="exact"/>
              <w:rPr>
                <w:sz w:val="20"/>
                <w:szCs w:val="20"/>
                <w:color w:val="auto"/>
              </w:rPr>
            </w:pPr>
            <w:r>
              <w:rPr>
                <w:rFonts w:ascii="Calibri" w:cs="Calibri" w:eastAsia="Calibri" w:hAnsi="Calibri"/>
                <w:sz w:val="18"/>
                <w:szCs w:val="18"/>
                <w:color w:val="auto"/>
              </w:rPr>
              <w:t>Dividends on preferred stock</w:t>
            </w:r>
          </w:p>
        </w:tc>
        <w:tc>
          <w:tcPr>
            <w:tcW w:w="900" w:type="dxa"/>
            <w:vAlign w:val="bottom"/>
          </w:tcPr>
          <w:p>
            <w:pPr>
              <w:spacing w:after="0"/>
              <w:rPr>
                <w:sz w:val="19"/>
                <w:szCs w:val="19"/>
                <w:color w:val="auto"/>
              </w:rPr>
            </w:pPr>
          </w:p>
        </w:tc>
        <w:tc>
          <w:tcPr>
            <w:tcW w:w="6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12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(272)</w:t>
            </w:r>
          </w:p>
        </w:tc>
      </w:tr>
      <w:tr>
        <w:trPr>
          <w:trHeight w:val="230"/>
        </w:trPr>
        <w:tc>
          <w:tcPr>
            <w:tcW w:w="6740" w:type="dxa"/>
            <w:vAlign w:val="bottom"/>
            <w:tcBorders>
              <w:top w:val="single" w:sz="8" w:color="CCEEFF"/>
            </w:tcBorders>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Income from contnuing operatons atributable to common stock</w:t>
            </w:r>
          </w:p>
        </w:tc>
        <w:tc>
          <w:tcPr>
            <w:tcW w:w="9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6,168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14,082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11,223</w:t>
            </w:r>
          </w:p>
        </w:tc>
      </w:tr>
      <w:tr>
        <w:trPr>
          <w:trHeight w:val="223"/>
        </w:trPr>
        <w:tc>
          <w:tcPr>
            <w:tcW w:w="6740" w:type="dxa"/>
            <w:vAlign w:val="bottom"/>
          </w:tcPr>
          <w:p>
            <w:pPr>
              <w:ind w:left="20"/>
              <w:spacing w:after="0" w:line="215" w:lineRule="exact"/>
              <w:rPr>
                <w:sz w:val="20"/>
                <w:szCs w:val="20"/>
                <w:color w:val="auto"/>
              </w:rPr>
            </w:pPr>
            <w:r>
              <w:rPr>
                <w:rFonts w:ascii="Calibri" w:cs="Calibri" w:eastAsia="Calibri" w:hAnsi="Calibri"/>
                <w:sz w:val="18"/>
                <w:szCs w:val="18"/>
                <w:color w:val="auto"/>
              </w:rPr>
              <w:t>Loss from discontnued operatons, net of income taxes, atributable to common stock</w:t>
            </w:r>
          </w:p>
        </w:tc>
        <w:tc>
          <w:tcPr>
            <w:tcW w:w="900" w:type="dxa"/>
            <w:vAlign w:val="bottom"/>
          </w:tcPr>
          <w:p>
            <w:pPr>
              <w:spacing w:after="0"/>
              <w:rPr>
                <w:sz w:val="19"/>
                <w:szCs w:val="19"/>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(273)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55"/>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Net income atributable to common stock</w:t>
            </w:r>
          </w:p>
        </w:tc>
        <w:tc>
          <w:tcPr>
            <w:tcW w:w="900" w:type="dxa"/>
            <w:vAlign w:val="bottom"/>
            <w:tcBorders>
              <w:top w:val="single" w:sz="8" w:color="auto"/>
              <w:bottom w:val="single" w:sz="8" w:color="auto"/>
            </w:tcBorders>
            <w:shd w:val="clear" w:color="auto" w:fill="CCEEFF"/>
          </w:tcPr>
          <w:p>
            <w:pPr>
              <w:jc w:val="right"/>
              <w:ind w:right="713"/>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5,895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14,082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11,223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67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Denominator:</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2"/>
        </w:trPr>
        <w:tc>
          <w:tcPr>
            <w:tcW w:w="674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Weighted-average shares outstanding - basic</w:t>
            </w:r>
          </w:p>
        </w:tc>
        <w:tc>
          <w:tcPr>
            <w:tcW w:w="900" w:type="dxa"/>
            <w:vAlign w:val="bottom"/>
          </w:tcPr>
          <w:p>
            <w:pPr>
              <w:spacing w:after="0"/>
              <w:rPr>
                <w:sz w:val="19"/>
                <w:szCs w:val="19"/>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4,624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4,149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4,089</w:t>
            </w:r>
          </w:p>
        </w:tc>
      </w:tr>
      <w:tr>
        <w:trPr>
          <w:trHeight w:val="230"/>
        </w:trPr>
        <w:tc>
          <w:tcPr>
            <w:tcW w:w="67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Dilutve efect of equity awards</w:t>
            </w:r>
          </w:p>
        </w:tc>
        <w:tc>
          <w:tcPr>
            <w:tcW w:w="9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154</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123</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143</w:t>
            </w:r>
          </w:p>
        </w:tc>
      </w:tr>
      <w:tr>
        <w:trPr>
          <w:trHeight w:val="230"/>
        </w:trPr>
        <w:tc>
          <w:tcPr>
            <w:tcW w:w="6740" w:type="dxa"/>
            <w:vAlign w:val="bottom"/>
          </w:tcPr>
          <w:p>
            <w:pPr>
              <w:ind w:left="20"/>
              <w:spacing w:after="0"/>
              <w:rPr>
                <w:sz w:val="20"/>
                <w:szCs w:val="20"/>
                <w:color w:val="auto"/>
              </w:rPr>
            </w:pPr>
            <w:r>
              <w:rPr>
                <w:rFonts w:ascii="Calibri" w:cs="Calibri" w:eastAsia="Calibri" w:hAnsi="Calibri"/>
                <w:sz w:val="18"/>
                <w:szCs w:val="18"/>
                <w:color w:val="auto"/>
              </w:rPr>
              <w:t>Weighted-average shares outstanding - diluted</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4,778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4,272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4,232</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2"/>
        </w:trPr>
        <w:tc>
          <w:tcPr>
            <w:tcW w:w="67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Basic income per share atributable to common stock:</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7"/>
        </w:trPr>
        <w:tc>
          <w:tcPr>
            <w:tcW w:w="67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Income per share from contnuing operatons</w:t>
            </w:r>
          </w:p>
        </w:tc>
        <w:tc>
          <w:tcPr>
            <w:tcW w:w="900" w:type="dxa"/>
            <w:vAlign w:val="bottom"/>
            <w:shd w:val="clear" w:color="auto" w:fill="CCEEFF"/>
          </w:tcPr>
          <w:p>
            <w:pPr>
              <w:jc w:val="right"/>
              <w:ind w:right="713"/>
              <w:spacing w:after="0"/>
              <w:rPr>
                <w:sz w:val="20"/>
                <w:szCs w:val="20"/>
                <w:color w:val="auto"/>
              </w:rPr>
            </w:pPr>
            <w:r>
              <w:rPr>
                <w:rFonts w:ascii="Calibri" w:cs="Calibri" w:eastAsia="Calibri" w:hAnsi="Calibri"/>
                <w:sz w:val="18"/>
                <w:szCs w:val="18"/>
                <w:color w:val="auto"/>
                <w:w w:val="87"/>
              </w:rPr>
              <w:t>$</w:t>
            </w:r>
          </w:p>
        </w:tc>
        <w:tc>
          <w:tcPr>
            <w:tcW w:w="5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2.74</w:t>
            </w:r>
          </w:p>
        </w:tc>
      </w:tr>
      <w:tr>
        <w:trPr>
          <w:trHeight w:val="223"/>
        </w:trPr>
        <w:tc>
          <w:tcPr>
            <w:tcW w:w="6740" w:type="dxa"/>
            <w:vAlign w:val="bottom"/>
          </w:tcPr>
          <w:p>
            <w:pPr>
              <w:ind w:left="20"/>
              <w:spacing w:after="0" w:line="215" w:lineRule="exact"/>
              <w:rPr>
                <w:sz w:val="20"/>
                <w:szCs w:val="20"/>
                <w:color w:val="auto"/>
              </w:rPr>
            </w:pPr>
            <w:r>
              <w:rPr>
                <w:rFonts w:ascii="Calibri" w:cs="Calibri" w:eastAsia="Calibri" w:hAnsi="Calibri"/>
                <w:sz w:val="18"/>
                <w:szCs w:val="18"/>
                <w:color w:val="auto"/>
              </w:rPr>
              <w:t>Loss per share from discontnued operatons</w:t>
            </w:r>
          </w:p>
        </w:tc>
        <w:tc>
          <w:tcPr>
            <w:tcW w:w="900" w:type="dxa"/>
            <w:vAlign w:val="bottom"/>
          </w:tcPr>
          <w:p>
            <w:pPr>
              <w:spacing w:after="0"/>
              <w:rPr>
                <w:sz w:val="19"/>
                <w:szCs w:val="19"/>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(0.06)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55"/>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Net income per share</w:t>
            </w:r>
          </w:p>
        </w:tc>
        <w:tc>
          <w:tcPr>
            <w:tcW w:w="900" w:type="dxa"/>
            <w:vAlign w:val="bottom"/>
            <w:tcBorders>
              <w:top w:val="single" w:sz="8" w:color="auto"/>
              <w:bottom w:val="single" w:sz="8" w:color="auto"/>
            </w:tcBorders>
            <w:shd w:val="clear" w:color="auto" w:fill="CCEEFF"/>
          </w:tcPr>
          <w:p>
            <w:pPr>
              <w:jc w:val="right"/>
              <w:ind w:right="713"/>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2.74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67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Diluted income per share atributable to common stock:</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2"/>
        </w:trPr>
        <w:tc>
          <w:tcPr>
            <w:tcW w:w="6740" w:type="dxa"/>
            <w:vAlign w:val="bottom"/>
          </w:tcPr>
          <w:p>
            <w:pPr>
              <w:ind w:left="20"/>
              <w:spacing w:after="0" w:line="215" w:lineRule="exact"/>
              <w:rPr>
                <w:sz w:val="20"/>
                <w:szCs w:val="20"/>
                <w:color w:val="auto"/>
              </w:rPr>
            </w:pPr>
            <w:r>
              <w:rPr>
                <w:rFonts w:ascii="Calibri" w:cs="Calibri" w:eastAsia="Calibri" w:hAnsi="Calibri"/>
                <w:sz w:val="18"/>
                <w:szCs w:val="18"/>
                <w:color w:val="auto"/>
              </w:rPr>
              <w:t>Income per share from contnuing operatons</w:t>
            </w:r>
          </w:p>
        </w:tc>
        <w:tc>
          <w:tcPr>
            <w:tcW w:w="900" w:type="dxa"/>
            <w:vAlign w:val="bottom"/>
          </w:tcPr>
          <w:p>
            <w:pPr>
              <w:jc w:val="right"/>
              <w:ind w:right="713"/>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1.29</w:t>
            </w:r>
          </w:p>
        </w:tc>
        <w:tc>
          <w:tcPr>
            <w:tcW w:w="100" w:type="dxa"/>
            <w:vAlign w:val="bottom"/>
          </w:tcPr>
          <w:p>
            <w:pPr>
              <w:spacing w:after="0"/>
              <w:rPr>
                <w:sz w:val="19"/>
                <w:szCs w:val="19"/>
                <w:color w:val="auto"/>
              </w:rPr>
            </w:pP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3.30</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2.65</w:t>
            </w:r>
          </w:p>
        </w:tc>
      </w:tr>
      <w:tr>
        <w:trPr>
          <w:trHeight w:val="230"/>
        </w:trPr>
        <w:tc>
          <w:tcPr>
            <w:tcW w:w="67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Loss per share from discontnued operatons</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(0.06)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30"/>
        </w:trPr>
        <w:tc>
          <w:tcPr>
            <w:tcW w:w="6740" w:type="dxa"/>
            <w:vAlign w:val="bottom"/>
          </w:tcPr>
          <w:p>
            <w:pPr>
              <w:ind w:left="20"/>
              <w:spacing w:after="0"/>
              <w:rPr>
                <w:sz w:val="20"/>
                <w:szCs w:val="20"/>
                <w:color w:val="auto"/>
              </w:rPr>
            </w:pPr>
            <w:r>
              <w:rPr>
                <w:rFonts w:ascii="Calibri" w:cs="Calibri" w:eastAsia="Calibri" w:hAnsi="Calibri"/>
                <w:sz w:val="18"/>
                <w:szCs w:val="18"/>
                <w:color w:val="auto"/>
              </w:rPr>
              <w:t>Net income per share</w:t>
            </w:r>
          </w:p>
        </w:tc>
        <w:tc>
          <w:tcPr>
            <w:tcW w:w="900" w:type="dxa"/>
            <w:vAlign w:val="bottom"/>
            <w:tcBorders>
              <w:top w:val="single" w:sz="8" w:color="auto"/>
              <w:bottom w:val="single" w:sz="8" w:color="auto"/>
            </w:tcBorders>
          </w:tcPr>
          <w:p>
            <w:pPr>
              <w:jc w:val="right"/>
              <w:ind w:right="713"/>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2.65</w:t>
            </w: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60" w:firstLine="405"/>
        <w:spacing w:after="0" w:line="254" w:lineRule="auto"/>
        <w:rPr>
          <w:sz w:val="20"/>
          <w:szCs w:val="20"/>
          <w:color w:val="auto"/>
        </w:rPr>
      </w:pPr>
      <w:r>
        <w:rPr>
          <w:rFonts w:ascii="Calibri" w:cs="Calibri" w:eastAsia="Calibri" w:hAnsi="Calibri"/>
          <w:sz w:val="17"/>
          <w:szCs w:val="17"/>
          <w:color w:val="auto"/>
        </w:rPr>
        <w:t>For fscal year 2022, diluted net income per share excluded the potentally dilutve efect of 104 million shares of common stock issuable upon the conversion of 8.00% Mandatory Convertble Preferred Stock, Series A, $0.001 par value per share (“Mandatory Convertble Preferred Stock”) as their efect was antdilutve. All shares of our Mandatory Convertble Preferred Stock were converted into shares of our common stock before the end of fscal year 2022.</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9. Retrement Plans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Defned Beneft Pension Plans</w:t>
      </w:r>
    </w:p>
    <w:p>
      <w:pPr>
        <w:spacing w:after="0" w:line="109" w:lineRule="exact"/>
        <w:rPr>
          <w:sz w:val="20"/>
          <w:szCs w:val="20"/>
          <w:color w:val="auto"/>
        </w:rPr>
      </w:pPr>
    </w:p>
    <w:p>
      <w:pPr>
        <w:ind w:right="80" w:firstLine="405"/>
        <w:spacing w:after="0" w:line="235" w:lineRule="auto"/>
        <w:rPr>
          <w:sz w:val="20"/>
          <w:szCs w:val="20"/>
          <w:color w:val="auto"/>
        </w:rPr>
      </w:pPr>
      <w:r>
        <w:rPr>
          <w:rFonts w:ascii="Calibri" w:cs="Calibri" w:eastAsia="Calibri" w:hAnsi="Calibri"/>
          <w:sz w:val="18"/>
          <w:szCs w:val="18"/>
          <w:color w:val="auto"/>
        </w:rPr>
        <w:t>The U.S. defned beneft pension plans primarily consist of a qualifed pension plan. Benefts of the qualifed pension plan are provided under an adjusted career-average-pay program, a cash-balance program or a dollar-per-month program. Beneft accruals under this plan were frozen in 2009. Partcipants in the adjusted career-average-pay program no longer earn service accruals. Partcipants in the cash-balance program no longer earn service accruals, but contnue to earn 4% interest per year on their cash-balance accounts. There are no actve partcipants under the dollar-per-month program. We also have a frozen non-qualifed supplemental pension plan in the United States that principally provides benefts based on compensaton in excess of amounts that can be considered under the qualifed pension plan.</w:t>
      </w:r>
    </w:p>
    <w:p>
      <w:pPr>
        <w:spacing w:after="0" w:line="113" w:lineRule="exact"/>
        <w:rPr>
          <w:sz w:val="20"/>
          <w:szCs w:val="20"/>
          <w:color w:val="auto"/>
        </w:rPr>
      </w:pPr>
    </w:p>
    <w:p>
      <w:pPr>
        <w:ind w:right="100" w:firstLine="405"/>
        <w:spacing w:after="0" w:line="235" w:lineRule="auto"/>
        <w:rPr>
          <w:sz w:val="20"/>
          <w:szCs w:val="20"/>
          <w:color w:val="auto"/>
        </w:rPr>
      </w:pPr>
      <w:r>
        <w:rPr>
          <w:rFonts w:ascii="Calibri" w:cs="Calibri" w:eastAsia="Calibri" w:hAnsi="Calibri"/>
          <w:sz w:val="18"/>
          <w:szCs w:val="18"/>
          <w:color w:val="auto"/>
        </w:rPr>
        <w:t>For certain non-U.S. countries, we also have defned beneft pension plans for eligible employees. Eligibility is generally determined based on the terms of our plans and local statutory requirements.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0"/>
        <w:spacing w:after="0"/>
        <w:rPr>
          <w:sz w:val="20"/>
          <w:szCs w:val="20"/>
          <w:color w:val="auto"/>
        </w:rPr>
      </w:pPr>
      <w:r>
        <w:rPr>
          <w:rFonts w:ascii="Calibri" w:cs="Calibri" w:eastAsia="Calibri" w:hAnsi="Calibri"/>
          <w:sz w:val="18"/>
          <w:szCs w:val="18"/>
          <w:b w:val="1"/>
          <w:bCs w:val="1"/>
          <w:i w:val="1"/>
          <w:iCs w:val="1"/>
          <w:color w:val="auto"/>
        </w:rPr>
        <w:t>Net Periodic Beneft Cost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Fiscal Year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47"/>
        </w:trPr>
        <w:tc>
          <w:tcPr>
            <w:tcW w:w="77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163"/>
        </w:trPr>
        <w:tc>
          <w:tcPr>
            <w:tcW w:w="770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6"/>
              <w:spacing w:after="0" w:line="164" w:lineRule="exact"/>
              <w:rPr>
                <w:sz w:val="20"/>
                <w:szCs w:val="20"/>
                <w:color w:val="auto"/>
              </w:rPr>
            </w:pPr>
            <w:r>
              <w:rPr>
                <w:rFonts w:ascii="Calibri" w:cs="Calibri" w:eastAsia="Calibri" w:hAnsi="Calibri"/>
                <w:sz w:val="14"/>
                <w:szCs w:val="14"/>
                <w:b w:val="1"/>
                <w:bCs w:val="1"/>
                <w:color w:val="auto"/>
              </w:rPr>
              <w:t>2023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13"/>
              <w:spacing w:after="0" w:line="164" w:lineRule="exact"/>
              <w:rPr>
                <w:sz w:val="20"/>
                <w:szCs w:val="20"/>
                <w:color w:val="auto"/>
              </w:rPr>
            </w:pPr>
            <w:r>
              <w:rPr>
                <w:rFonts w:ascii="Calibri" w:cs="Calibri" w:eastAsia="Calibri" w:hAnsi="Calibri"/>
                <w:sz w:val="14"/>
                <w:szCs w:val="14"/>
                <w:b w:val="1"/>
                <w:bCs w:val="1"/>
                <w:color w:val="auto"/>
              </w:rPr>
              <w:t>2022</w:t>
            </w:r>
          </w:p>
        </w:tc>
      </w:tr>
      <w:tr>
        <w:trPr>
          <w:trHeight w:val="33"/>
        </w:trPr>
        <w:tc>
          <w:tcPr>
            <w:tcW w:w="77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7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(In millions)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47"/>
        </w:trPr>
        <w:tc>
          <w:tcPr>
            <w:tcW w:w="7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29"/>
        </w:trPr>
        <w:tc>
          <w:tcPr>
            <w:tcW w:w="77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Service cost</w:t>
            </w:r>
          </w:p>
        </w:tc>
        <w:tc>
          <w:tcPr>
            <w:tcW w:w="760" w:type="dxa"/>
            <w:vAlign w:val="bottom"/>
            <w:shd w:val="clear" w:color="auto" w:fill="CCEEFF"/>
          </w:tcPr>
          <w:p>
            <w:pPr>
              <w:jc w:val="right"/>
              <w:ind w:right="555"/>
              <w:spacing w:after="0" w:line="215" w:lineRule="exact"/>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w:t>
            </w:r>
          </w:p>
        </w:tc>
      </w:tr>
      <w:tr>
        <w:trPr>
          <w:trHeight w:val="222"/>
        </w:trPr>
        <w:tc>
          <w:tcPr>
            <w:tcW w:w="770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cost</w:t>
            </w:r>
          </w:p>
        </w:tc>
        <w:tc>
          <w:tcPr>
            <w:tcW w:w="760" w:type="dxa"/>
            <w:vAlign w:val="bottom"/>
          </w:tcPr>
          <w:p>
            <w:pPr>
              <w:spacing w:after="0"/>
              <w:rPr>
                <w:sz w:val="19"/>
                <w:szCs w:val="19"/>
                <w:color w:val="auto"/>
              </w:rPr>
            </w:pP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39</w:t>
            </w:r>
          </w:p>
        </w:tc>
      </w:tr>
      <w:tr>
        <w:trPr>
          <w:trHeight w:val="237"/>
        </w:trPr>
        <w:tc>
          <w:tcPr>
            <w:tcW w:w="77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Expected return on plan assets</w:t>
            </w: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w:t>
            </w:r>
          </w:p>
        </w:tc>
      </w:tr>
      <w:tr>
        <w:trPr>
          <w:trHeight w:val="223"/>
        </w:trPr>
        <w:tc>
          <w:tcPr>
            <w:tcW w:w="7700" w:type="dxa"/>
            <w:vAlign w:val="bottom"/>
          </w:tcPr>
          <w:p>
            <w:pPr>
              <w:ind w:left="20"/>
              <w:spacing w:after="0" w:line="215" w:lineRule="exact"/>
              <w:rPr>
                <w:sz w:val="20"/>
                <w:szCs w:val="20"/>
                <w:color w:val="auto"/>
              </w:rPr>
            </w:pPr>
            <w:r>
              <w:rPr>
                <w:rFonts w:ascii="Calibri" w:cs="Calibri" w:eastAsia="Calibri" w:hAnsi="Calibri"/>
                <w:sz w:val="18"/>
                <w:szCs w:val="18"/>
                <w:color w:val="auto"/>
              </w:rPr>
              <w:t>Other</w:t>
            </w:r>
          </w:p>
        </w:tc>
        <w:tc>
          <w:tcPr>
            <w:tcW w:w="760" w:type="dxa"/>
            <w:vAlign w:val="bottom"/>
          </w:tcPr>
          <w:p>
            <w:pPr>
              <w:spacing w:after="0"/>
              <w:rPr>
                <w:sz w:val="19"/>
                <w:szCs w:val="19"/>
                <w:color w:val="auto"/>
              </w:rPr>
            </w:pP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r>
      <w:tr>
        <w:trPr>
          <w:trHeight w:val="254"/>
        </w:trPr>
        <w:tc>
          <w:tcPr>
            <w:tcW w:w="7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Net periodic beneft cost</w:t>
            </w:r>
          </w:p>
        </w:tc>
        <w:tc>
          <w:tcPr>
            <w:tcW w:w="760" w:type="dxa"/>
            <w:vAlign w:val="bottom"/>
            <w:tcBorders>
              <w:top w:val="single" w:sz="8" w:color="auto"/>
              <w:bottom w:val="single" w:sz="8" w:color="auto"/>
            </w:tcBorders>
            <w:shd w:val="clear" w:color="auto" w:fill="CCEEFF"/>
          </w:tcPr>
          <w:p>
            <w:pPr>
              <w:jc w:val="right"/>
              <w:ind w:right="555"/>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29"/>
        </w:trPr>
        <w:tc>
          <w:tcPr>
            <w:tcW w:w="77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Net actuarial (gain) loss</w:t>
            </w:r>
          </w:p>
        </w:tc>
        <w:tc>
          <w:tcPr>
            <w:tcW w:w="760" w:type="dxa"/>
            <w:vAlign w:val="bottom"/>
            <w:shd w:val="clear" w:color="auto" w:fill="CCEEFF"/>
          </w:tcPr>
          <w:p>
            <w:pPr>
              <w:jc w:val="right"/>
              <w:ind w:right="555"/>
              <w:spacing w:after="0" w:line="215" w:lineRule="exact"/>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w:t>
            </w:r>
          </w:p>
        </w:tc>
      </w:tr>
    </w:tbl>
    <w:p>
      <w:pPr>
        <w:spacing w:after="0" w:line="180" w:lineRule="exact"/>
        <w:rPr>
          <w:sz w:val="20"/>
          <w:szCs w:val="20"/>
          <w:color w:val="auto"/>
        </w:rPr>
      </w:pPr>
    </w:p>
    <w:p>
      <w:pPr>
        <w:ind w:right="520" w:firstLine="405"/>
        <w:spacing w:after="0" w:line="235" w:lineRule="auto"/>
        <w:rPr>
          <w:sz w:val="20"/>
          <w:szCs w:val="20"/>
          <w:color w:val="auto"/>
        </w:rPr>
      </w:pPr>
      <w:r>
        <w:rPr>
          <w:rFonts w:ascii="Calibri" w:cs="Calibri" w:eastAsia="Calibri" w:hAnsi="Calibri"/>
          <w:sz w:val="18"/>
          <w:szCs w:val="18"/>
          <w:color w:val="auto"/>
        </w:rPr>
        <w:t>The components of net periodic beneft cost other than the service cost are included in other income (expense), net. Service cost is recognized in operatng expenses.</w:t>
      </w:r>
    </w:p>
    <w:p>
      <w:pPr>
        <w:spacing w:after="0" w:line="105" w:lineRule="exact"/>
        <w:rPr>
          <w:sz w:val="20"/>
          <w:szCs w:val="20"/>
          <w:color w:val="auto"/>
        </w:rPr>
      </w:pPr>
    </w:p>
    <w:p>
      <w:pPr>
        <w:ind w:left="420"/>
        <w:spacing w:after="0"/>
        <w:rPr>
          <w:sz w:val="20"/>
          <w:szCs w:val="20"/>
          <w:color w:val="auto"/>
        </w:rPr>
      </w:pPr>
      <w:r>
        <w:rPr>
          <w:rFonts w:ascii="Calibri" w:cs="Calibri" w:eastAsia="Calibri" w:hAnsi="Calibri"/>
          <w:sz w:val="18"/>
          <w:szCs w:val="18"/>
          <w:b w:val="1"/>
          <w:bCs w:val="1"/>
          <w:i w:val="1"/>
          <w:iCs w:val="1"/>
          <w:color w:val="auto"/>
        </w:rPr>
        <w:t>Beneft Obligatons and Plan Assets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4"/>
          </w:tcPr>
          <w:p>
            <w:pPr>
              <w:jc w:val="right"/>
              <w:ind w:right="572"/>
              <w:spacing w:after="0"/>
              <w:rPr>
                <w:sz w:val="20"/>
                <w:szCs w:val="20"/>
                <w:color w:val="auto"/>
              </w:rPr>
            </w:pPr>
            <w:r>
              <w:rPr>
                <w:rFonts w:ascii="Calibri" w:cs="Calibri" w:eastAsia="Calibri" w:hAnsi="Calibri"/>
                <w:sz w:val="14"/>
                <w:szCs w:val="14"/>
                <w:b w:val="1"/>
                <w:bCs w:val="1"/>
                <w:color w:val="auto"/>
              </w:rPr>
              <w:t>Pension Benefts</w:t>
            </w:r>
          </w:p>
        </w:tc>
      </w:tr>
      <w:tr>
        <w:trPr>
          <w:trHeight w:val="47"/>
        </w:trPr>
        <w:tc>
          <w:tcPr>
            <w:tcW w:w="89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115"/>
        </w:trPr>
        <w:tc>
          <w:tcPr>
            <w:tcW w:w="8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ind w:left="20"/>
              <w:spacing w:after="0" w:line="115" w:lineRule="exact"/>
              <w:rPr>
                <w:sz w:val="20"/>
                <w:szCs w:val="20"/>
                <w:color w:val="auto"/>
              </w:rPr>
            </w:pPr>
            <w:r>
              <w:rPr>
                <w:rFonts w:ascii="Calibri" w:cs="Calibri" w:eastAsia="Calibri" w:hAnsi="Calibri"/>
                <w:sz w:val="12"/>
                <w:szCs w:val="12"/>
                <w:b w:val="1"/>
                <w:bCs w:val="1"/>
                <w:color w:val="auto"/>
              </w:rPr>
              <w:t>November 3,</w:t>
            </w:r>
          </w:p>
        </w:tc>
        <w:tc>
          <w:tcPr>
            <w:tcW w:w="140" w:type="dxa"/>
            <w:vAlign w:val="bottom"/>
          </w:tcPr>
          <w:p>
            <w:pPr>
              <w:spacing w:after="0"/>
              <w:rPr>
                <w:sz w:val="10"/>
                <w:szCs w:val="10"/>
                <w:color w:val="auto"/>
              </w:rPr>
            </w:pPr>
          </w:p>
        </w:tc>
        <w:tc>
          <w:tcPr>
            <w:tcW w:w="960" w:type="dxa"/>
            <w:vAlign w:val="bottom"/>
          </w:tcPr>
          <w:p>
            <w:pPr>
              <w:jc w:val="right"/>
              <w:ind w:right="112"/>
              <w:spacing w:after="0" w:line="115" w:lineRule="exact"/>
              <w:rPr>
                <w:sz w:val="20"/>
                <w:szCs w:val="20"/>
                <w:color w:val="auto"/>
              </w:rPr>
            </w:pPr>
            <w:r>
              <w:rPr>
                <w:rFonts w:ascii="Calibri" w:cs="Calibri" w:eastAsia="Calibri" w:hAnsi="Calibri"/>
                <w:sz w:val="12"/>
                <w:szCs w:val="12"/>
                <w:b w:val="1"/>
                <w:bCs w:val="1"/>
                <w:color w:val="auto"/>
              </w:rPr>
              <w:t>October 29,</w:t>
            </w:r>
          </w:p>
        </w:tc>
      </w:tr>
      <w:tr>
        <w:trPr>
          <w:trHeight w:val="170"/>
        </w:trPr>
        <w:tc>
          <w:tcPr>
            <w:tcW w:w="8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313"/>
              <w:spacing w:after="0"/>
              <w:rPr>
                <w:sz w:val="20"/>
                <w:szCs w:val="20"/>
                <w:color w:val="auto"/>
              </w:rPr>
            </w:pPr>
            <w:r>
              <w:rPr>
                <w:rFonts w:ascii="Calibri" w:cs="Calibri" w:eastAsia="Calibri" w:hAnsi="Calibri"/>
                <w:sz w:val="14"/>
                <w:szCs w:val="14"/>
                <w:b w:val="1"/>
                <w:bCs w:val="1"/>
                <w:color w:val="auto"/>
              </w:rPr>
              <w:t>2024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312"/>
              <w:spacing w:after="0"/>
              <w:rPr>
                <w:sz w:val="20"/>
                <w:szCs w:val="20"/>
                <w:color w:val="auto"/>
              </w:rPr>
            </w:pPr>
            <w:r>
              <w:rPr>
                <w:rFonts w:ascii="Calibri" w:cs="Calibri" w:eastAsia="Calibri" w:hAnsi="Calibri"/>
                <w:sz w:val="14"/>
                <w:szCs w:val="14"/>
                <w:b w:val="1"/>
                <w:bCs w:val="1"/>
                <w:color w:val="auto"/>
              </w:rPr>
              <w:t>2023</w:t>
            </w:r>
          </w:p>
        </w:tc>
      </w:tr>
      <w:tr>
        <w:trPr>
          <w:trHeight w:val="46"/>
        </w:trPr>
        <w:tc>
          <w:tcPr>
            <w:tcW w:w="89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r>
      <w:tr>
        <w:trPr>
          <w:trHeight w:val="189"/>
        </w:trPr>
        <w:tc>
          <w:tcPr>
            <w:tcW w:w="8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4"/>
          </w:tcPr>
          <w:p>
            <w:pPr>
              <w:jc w:val="right"/>
              <w:ind w:right="712"/>
              <w:spacing w:after="0"/>
              <w:rPr>
                <w:sz w:val="20"/>
                <w:szCs w:val="20"/>
                <w:color w:val="auto"/>
              </w:rPr>
            </w:pPr>
            <w:r>
              <w:rPr>
                <w:rFonts w:ascii="Calibri" w:cs="Calibri" w:eastAsia="Calibri" w:hAnsi="Calibri"/>
                <w:sz w:val="14"/>
                <w:szCs w:val="14"/>
                <w:b w:val="1"/>
                <w:bCs w:val="1"/>
                <w:color w:val="auto"/>
              </w:rPr>
              <w:t>(In millions)</w:t>
            </w:r>
          </w:p>
        </w:tc>
      </w:tr>
      <w:tr>
        <w:trPr>
          <w:trHeight w:val="253"/>
        </w:trPr>
        <w:tc>
          <w:tcPr>
            <w:tcW w:w="8920" w:type="dxa"/>
            <w:vAlign w:val="bottom"/>
          </w:tcPr>
          <w:p>
            <w:pPr>
              <w:ind w:left="20"/>
              <w:spacing w:after="0"/>
              <w:rPr>
                <w:sz w:val="20"/>
                <w:szCs w:val="20"/>
                <w:color w:val="auto"/>
              </w:rPr>
            </w:pPr>
            <w:r>
              <w:rPr>
                <w:rFonts w:ascii="Calibri" w:cs="Calibri" w:eastAsia="Calibri" w:hAnsi="Calibri"/>
                <w:sz w:val="18"/>
                <w:szCs w:val="18"/>
                <w:b w:val="1"/>
                <w:bCs w:val="1"/>
                <w:color w:val="auto"/>
              </w:rPr>
              <w:t>Change in plan assets:</w:t>
            </w: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8920" w:type="dxa"/>
            <w:vAlign w:val="bottom"/>
            <w:shd w:val="clear" w:color="auto" w:fill="CCEEFF"/>
          </w:tcPr>
          <w:p>
            <w:pPr>
              <w:ind w:left="140"/>
              <w:spacing w:after="0" w:line="215" w:lineRule="exact"/>
              <w:rPr>
                <w:sz w:val="20"/>
                <w:szCs w:val="20"/>
                <w:color w:val="auto"/>
              </w:rPr>
            </w:pPr>
            <w:r>
              <w:rPr>
                <w:rFonts w:ascii="Calibri" w:cs="Calibri" w:eastAsia="Calibri" w:hAnsi="Calibri"/>
                <w:sz w:val="18"/>
                <w:szCs w:val="18"/>
                <w:color w:val="auto"/>
              </w:rPr>
              <w:t>Fair value of plan assets — beginning of period</w:t>
            </w: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1,160</w:t>
            </w:r>
          </w:p>
        </w:tc>
      </w:tr>
      <w:tr>
        <w:trPr>
          <w:trHeight w:val="222"/>
        </w:trPr>
        <w:tc>
          <w:tcPr>
            <w:tcW w:w="8920" w:type="dxa"/>
            <w:vAlign w:val="bottom"/>
          </w:tcPr>
          <w:p>
            <w:pPr>
              <w:ind w:left="220"/>
              <w:spacing w:after="0" w:line="215" w:lineRule="exact"/>
              <w:rPr>
                <w:sz w:val="20"/>
                <w:szCs w:val="20"/>
                <w:color w:val="auto"/>
              </w:rPr>
            </w:pPr>
            <w:r>
              <w:rPr>
                <w:rFonts w:ascii="Calibri" w:cs="Calibri" w:eastAsia="Calibri" w:hAnsi="Calibri"/>
                <w:sz w:val="18"/>
                <w:szCs w:val="18"/>
                <w:color w:val="auto"/>
              </w:rPr>
              <w:t>Actual return on plan assets</w:t>
            </w:r>
          </w:p>
        </w:tc>
        <w:tc>
          <w:tcPr>
            <w:tcW w:w="14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19</w:t>
            </w:r>
          </w:p>
        </w:tc>
      </w:tr>
      <w:tr>
        <w:trPr>
          <w:trHeight w:val="237"/>
        </w:trPr>
        <w:tc>
          <w:tcPr>
            <w:tcW w:w="892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Employer contributons</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w:t>
            </w:r>
          </w:p>
        </w:tc>
      </w:tr>
      <w:tr>
        <w:trPr>
          <w:trHeight w:val="222"/>
        </w:trPr>
        <w:tc>
          <w:tcPr>
            <w:tcW w:w="8920" w:type="dxa"/>
            <w:vAlign w:val="bottom"/>
          </w:tcPr>
          <w:p>
            <w:pPr>
              <w:ind w:left="220"/>
              <w:spacing w:after="0" w:line="215" w:lineRule="exact"/>
              <w:rPr>
                <w:sz w:val="20"/>
                <w:szCs w:val="20"/>
                <w:color w:val="auto"/>
              </w:rPr>
            </w:pPr>
            <w:r>
              <w:rPr>
                <w:rFonts w:ascii="Calibri" w:cs="Calibri" w:eastAsia="Calibri" w:hAnsi="Calibri"/>
                <w:sz w:val="18"/>
                <w:szCs w:val="18"/>
                <w:color w:val="auto"/>
              </w:rPr>
              <w:t>Plan partcipants’ contributons</w:t>
            </w:r>
          </w:p>
        </w:tc>
        <w:tc>
          <w:tcPr>
            <w:tcW w:w="14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r>
      <w:tr>
        <w:trPr>
          <w:trHeight w:val="237"/>
        </w:trPr>
        <w:tc>
          <w:tcPr>
            <w:tcW w:w="892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Beneft payments</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(94)</w:t>
            </w:r>
          </w:p>
        </w:tc>
      </w:tr>
      <w:tr>
        <w:trPr>
          <w:trHeight w:val="222"/>
        </w:trPr>
        <w:tc>
          <w:tcPr>
            <w:tcW w:w="8920" w:type="dxa"/>
            <w:vAlign w:val="bottom"/>
          </w:tcPr>
          <w:p>
            <w:pPr>
              <w:ind w:left="220"/>
              <w:spacing w:after="0" w:line="215" w:lineRule="exact"/>
              <w:rPr>
                <w:sz w:val="20"/>
                <w:szCs w:val="20"/>
                <w:color w:val="auto"/>
              </w:rPr>
            </w:pPr>
            <w:r>
              <w:rPr>
                <w:rFonts w:ascii="Calibri" w:cs="Calibri" w:eastAsia="Calibri" w:hAnsi="Calibri"/>
                <w:sz w:val="18"/>
                <w:szCs w:val="18"/>
                <w:color w:val="auto"/>
              </w:rPr>
              <w:t>Plan assets acquired in VMware acquisiton</w:t>
            </w:r>
          </w:p>
        </w:tc>
        <w:tc>
          <w:tcPr>
            <w:tcW w:w="14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892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Foreign currency impact</w:t>
            </w: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w:t>
            </w:r>
          </w:p>
        </w:tc>
      </w:tr>
      <w:tr>
        <w:trPr>
          <w:trHeight w:val="217"/>
        </w:trPr>
        <w:tc>
          <w:tcPr>
            <w:tcW w:w="8920" w:type="dxa"/>
            <w:vAlign w:val="bottom"/>
            <w:tcBorders>
              <w:bottom w:val="single" w:sz="8" w:color="CCEEFF"/>
            </w:tcBorders>
          </w:tcPr>
          <w:p>
            <w:pPr>
              <w:ind w:left="140"/>
              <w:spacing w:after="0" w:line="199" w:lineRule="exact"/>
              <w:rPr>
                <w:sz w:val="20"/>
                <w:szCs w:val="20"/>
                <w:color w:val="auto"/>
              </w:rPr>
            </w:pPr>
            <w:r>
              <w:rPr>
                <w:rFonts w:ascii="Calibri" w:cs="Calibri" w:eastAsia="Calibri" w:hAnsi="Calibri"/>
                <w:sz w:val="18"/>
                <w:szCs w:val="18"/>
                <w:color w:val="auto"/>
              </w:rPr>
              <w:t>Fair value of plan assets — end of period</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1,158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1,105</w:t>
            </w:r>
          </w:p>
        </w:tc>
      </w:tr>
      <w:tr>
        <w:trPr>
          <w:trHeight w:val="209"/>
        </w:trPr>
        <w:tc>
          <w:tcPr>
            <w:tcW w:w="8920" w:type="dxa"/>
            <w:vAlign w:val="bottom"/>
            <w:tcBorders>
              <w:bottom w:val="single" w:sz="8" w:color="CCEEFF"/>
            </w:tcBorders>
            <w:shd w:val="clear" w:color="auto" w:fill="CCEEFF"/>
          </w:tcPr>
          <w:p>
            <w:pPr>
              <w:ind w:left="20"/>
              <w:spacing w:after="0" w:line="206" w:lineRule="exact"/>
              <w:rPr>
                <w:sz w:val="20"/>
                <w:szCs w:val="20"/>
                <w:color w:val="auto"/>
              </w:rPr>
            </w:pPr>
            <w:r>
              <w:rPr>
                <w:rFonts w:ascii="Calibri" w:cs="Calibri" w:eastAsia="Calibri" w:hAnsi="Calibri"/>
                <w:sz w:val="18"/>
                <w:szCs w:val="18"/>
                <w:b w:val="1"/>
                <w:bCs w:val="1"/>
                <w:color w:val="auto"/>
              </w:rPr>
              <w:t>Change in beneft obligatons:</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22"/>
        </w:trPr>
        <w:tc>
          <w:tcPr>
            <w:tcW w:w="8920" w:type="dxa"/>
            <w:vAlign w:val="bottom"/>
          </w:tcPr>
          <w:p>
            <w:pPr>
              <w:ind w:left="140"/>
              <w:spacing w:after="0" w:line="215" w:lineRule="exact"/>
              <w:rPr>
                <w:sz w:val="20"/>
                <w:szCs w:val="20"/>
                <w:color w:val="auto"/>
              </w:rPr>
            </w:pPr>
            <w:r>
              <w:rPr>
                <w:rFonts w:ascii="Calibri" w:cs="Calibri" w:eastAsia="Calibri" w:hAnsi="Calibri"/>
                <w:sz w:val="18"/>
                <w:szCs w:val="18"/>
                <w:color w:val="auto"/>
              </w:rPr>
              <w:t>Beneft obligatons — beginning of period</w:t>
            </w:r>
          </w:p>
        </w:tc>
        <w:tc>
          <w:tcPr>
            <w:tcW w:w="14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1,101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1,143</w:t>
            </w:r>
          </w:p>
        </w:tc>
      </w:tr>
      <w:tr>
        <w:trPr>
          <w:trHeight w:val="237"/>
        </w:trPr>
        <w:tc>
          <w:tcPr>
            <w:tcW w:w="892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Service cost</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w:t>
            </w:r>
          </w:p>
        </w:tc>
      </w:tr>
      <w:tr>
        <w:trPr>
          <w:trHeight w:val="222"/>
        </w:trPr>
        <w:tc>
          <w:tcPr>
            <w:tcW w:w="8920" w:type="dxa"/>
            <w:vAlign w:val="bottom"/>
          </w:tcPr>
          <w:p>
            <w:pPr>
              <w:ind w:left="220"/>
              <w:spacing w:after="0" w:line="215" w:lineRule="exact"/>
              <w:rPr>
                <w:sz w:val="20"/>
                <w:szCs w:val="20"/>
                <w:color w:val="auto"/>
              </w:rPr>
            </w:pPr>
            <w:r>
              <w:rPr>
                <w:rFonts w:ascii="Calibri" w:cs="Calibri" w:eastAsia="Calibri" w:hAnsi="Calibri"/>
                <w:sz w:val="18"/>
                <w:szCs w:val="18"/>
                <w:color w:val="auto"/>
              </w:rPr>
              <w:t>Interest cost</w:t>
            </w:r>
          </w:p>
        </w:tc>
        <w:tc>
          <w:tcPr>
            <w:tcW w:w="14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60</w:t>
            </w:r>
          </w:p>
        </w:tc>
      </w:tr>
      <w:tr>
        <w:trPr>
          <w:trHeight w:val="237"/>
        </w:trPr>
        <w:tc>
          <w:tcPr>
            <w:tcW w:w="892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Actuarial (gain) loss</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w:t>
            </w:r>
          </w:p>
        </w:tc>
      </w:tr>
      <w:tr>
        <w:trPr>
          <w:trHeight w:val="222"/>
        </w:trPr>
        <w:tc>
          <w:tcPr>
            <w:tcW w:w="8920" w:type="dxa"/>
            <w:vAlign w:val="bottom"/>
          </w:tcPr>
          <w:p>
            <w:pPr>
              <w:ind w:left="220"/>
              <w:spacing w:after="0" w:line="215" w:lineRule="exact"/>
              <w:rPr>
                <w:sz w:val="20"/>
                <w:szCs w:val="20"/>
                <w:color w:val="auto"/>
              </w:rPr>
            </w:pPr>
            <w:r>
              <w:rPr>
                <w:rFonts w:ascii="Calibri" w:cs="Calibri" w:eastAsia="Calibri" w:hAnsi="Calibri"/>
                <w:sz w:val="18"/>
                <w:szCs w:val="18"/>
                <w:color w:val="auto"/>
              </w:rPr>
              <w:t>Plan partcipants’ contributons</w:t>
            </w:r>
          </w:p>
        </w:tc>
        <w:tc>
          <w:tcPr>
            <w:tcW w:w="14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r>
      <w:tr>
        <w:trPr>
          <w:trHeight w:val="237"/>
        </w:trPr>
        <w:tc>
          <w:tcPr>
            <w:tcW w:w="892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Beneft payments</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(94)</w:t>
            </w:r>
          </w:p>
        </w:tc>
      </w:tr>
      <w:tr>
        <w:trPr>
          <w:trHeight w:val="222"/>
        </w:trPr>
        <w:tc>
          <w:tcPr>
            <w:tcW w:w="8920" w:type="dxa"/>
            <w:vAlign w:val="bottom"/>
          </w:tcPr>
          <w:p>
            <w:pPr>
              <w:ind w:left="220"/>
              <w:spacing w:after="0" w:line="215" w:lineRule="exact"/>
              <w:rPr>
                <w:sz w:val="20"/>
                <w:szCs w:val="20"/>
                <w:color w:val="auto"/>
              </w:rPr>
            </w:pPr>
            <w:r>
              <w:rPr>
                <w:rFonts w:ascii="Calibri" w:cs="Calibri" w:eastAsia="Calibri" w:hAnsi="Calibri"/>
                <w:sz w:val="18"/>
                <w:szCs w:val="18"/>
                <w:color w:val="auto"/>
              </w:rPr>
              <w:t>Curtailments</w:t>
            </w:r>
          </w:p>
        </w:tc>
        <w:tc>
          <w:tcPr>
            <w:tcW w:w="14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892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Beneft obligatons assumed in VMware acquisiton</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3"/>
        </w:trPr>
        <w:tc>
          <w:tcPr>
            <w:tcW w:w="8920" w:type="dxa"/>
            <w:vAlign w:val="bottom"/>
            <w:tcBorders>
              <w:bottom w:val="single" w:sz="8" w:color="CCEEFF"/>
            </w:tcBorders>
          </w:tcPr>
          <w:p>
            <w:pPr>
              <w:ind w:left="220"/>
              <w:spacing w:after="0" w:line="215" w:lineRule="exact"/>
              <w:rPr>
                <w:sz w:val="20"/>
                <w:szCs w:val="20"/>
                <w:color w:val="auto"/>
              </w:rPr>
            </w:pPr>
            <w:r>
              <w:rPr>
                <w:rFonts w:ascii="Calibri" w:cs="Calibri" w:eastAsia="Calibri" w:hAnsi="Calibri"/>
                <w:sz w:val="18"/>
                <w:szCs w:val="18"/>
                <w:color w:val="auto"/>
              </w:rPr>
              <w:t>Foreign currency impact</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w:t>
            </w:r>
          </w:p>
        </w:tc>
      </w:tr>
      <w:tr>
        <w:trPr>
          <w:trHeight w:val="223"/>
        </w:trPr>
        <w:tc>
          <w:tcPr>
            <w:tcW w:w="8920" w:type="dxa"/>
            <w:vAlign w:val="bottom"/>
            <w:shd w:val="clear" w:color="auto" w:fill="CCEEFF"/>
          </w:tcPr>
          <w:p>
            <w:pPr>
              <w:ind w:left="140"/>
              <w:spacing w:after="0" w:line="206" w:lineRule="exact"/>
              <w:rPr>
                <w:sz w:val="20"/>
                <w:szCs w:val="20"/>
                <w:color w:val="auto"/>
              </w:rPr>
            </w:pPr>
            <w:r>
              <w:rPr>
                <w:rFonts w:ascii="Calibri" w:cs="Calibri" w:eastAsia="Calibri" w:hAnsi="Calibri"/>
                <w:sz w:val="18"/>
                <w:szCs w:val="18"/>
                <w:color w:val="auto"/>
              </w:rPr>
              <w:t>Beneft obligatons — end of period</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1,194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1,101</w:t>
            </w:r>
          </w:p>
        </w:tc>
      </w:tr>
      <w:tr>
        <w:trPr>
          <w:trHeight w:val="94"/>
        </w:trPr>
        <w:tc>
          <w:tcPr>
            <w:tcW w:w="8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55"/>
        </w:trPr>
        <w:tc>
          <w:tcPr>
            <w:tcW w:w="8920" w:type="dxa"/>
            <w:vAlign w:val="bottom"/>
            <w:tcBorders>
              <w:bottom w:val="single" w:sz="8" w:color="CCEEFF"/>
            </w:tcBorders>
            <w:shd w:val="clear" w:color="auto" w:fill="CCEEFF"/>
          </w:tcPr>
          <w:p>
            <w:pPr>
              <w:ind w:left="20"/>
              <w:spacing w:after="0" w:line="230" w:lineRule="exact"/>
              <w:rPr>
                <w:sz w:val="20"/>
                <w:szCs w:val="20"/>
                <w:color w:val="auto"/>
              </w:rPr>
            </w:pPr>
            <w:r>
              <w:rPr>
                <w:rFonts w:ascii="Calibri" w:cs="Calibri" w:eastAsia="Calibri" w:hAnsi="Calibri"/>
                <w:sz w:val="18"/>
                <w:szCs w:val="18"/>
                <w:color w:val="auto"/>
              </w:rPr>
              <w:t xml:space="preserve">Overfunded (underfunded) status of beneft obligatons </w:t>
            </w:r>
            <w:r>
              <w:rPr>
                <w:rFonts w:ascii="Calibri" w:cs="Calibri" w:eastAsia="Calibri" w:hAnsi="Calibri"/>
                <w:sz w:val="23"/>
                <w:szCs w:val="23"/>
                <w:color w:val="auto"/>
                <w:vertAlign w:val="superscript"/>
              </w:rPr>
              <w:t>(a)</w:t>
            </w:r>
          </w:p>
        </w:tc>
        <w:tc>
          <w:tcPr>
            <w:tcW w:w="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8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30"/>
        </w:trPr>
        <w:tc>
          <w:tcPr>
            <w:tcW w:w="89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Actuarial losses and prior service costs recognized in accumulated other comprehensive loss, net of taxes</w:t>
            </w: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(108)</w:t>
            </w:r>
          </w:p>
        </w:tc>
      </w:tr>
      <w:tr>
        <w:trPr>
          <w:trHeight w:val="274"/>
        </w:trPr>
        <w:tc>
          <w:tcPr>
            <w:tcW w:w="8920" w:type="dxa"/>
            <w:vAlign w:val="bottom"/>
          </w:tcPr>
          <w:p>
            <w:pPr>
              <w:spacing w:after="0"/>
              <w:rPr>
                <w:sz w:val="20"/>
                <w:szCs w:val="20"/>
                <w:color w:val="auto"/>
              </w:rPr>
            </w:pPr>
            <w:r>
              <w:rPr>
                <w:rFonts w:ascii="Calibri" w:cs="Calibri" w:eastAsia="Calibri" w:hAnsi="Calibri"/>
                <w:sz w:val="18"/>
                <w:szCs w:val="18"/>
                <w:color w:val="auto"/>
              </w:rPr>
              <w:t>_______________________________</w:t>
            </w: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r>
    </w:tbl>
    <w:p>
      <w:pPr>
        <w:spacing w:after="0" w:line="109" w:lineRule="exact"/>
        <w:rPr>
          <w:sz w:val="20"/>
          <w:szCs w:val="20"/>
          <w:color w:val="auto"/>
        </w:rPr>
      </w:pPr>
    </w:p>
    <w:p>
      <w:pPr>
        <w:ind w:left="340" w:right="280" w:hanging="332"/>
        <w:spacing w:after="0" w:line="235" w:lineRule="auto"/>
        <w:tabs>
          <w:tab w:leader="none" w:pos="328" w:val="left"/>
        </w:tabs>
        <w:numPr>
          <w:ilvl w:val="0"/>
          <w:numId w:val="47"/>
        </w:numPr>
        <w:rPr>
          <w:rFonts w:ascii="Calibri" w:cs="Calibri" w:eastAsia="Calibri" w:hAnsi="Calibri"/>
          <w:sz w:val="18"/>
          <w:szCs w:val="18"/>
          <w:color w:val="auto"/>
        </w:rPr>
      </w:pPr>
      <w:r>
        <w:rPr>
          <w:rFonts w:ascii="Calibri" w:cs="Calibri" w:eastAsia="Calibri" w:hAnsi="Calibri"/>
          <w:sz w:val="18"/>
          <w:szCs w:val="18"/>
          <w:color w:val="auto"/>
        </w:rPr>
        <w:t>Substantally all amounts recognized on the consolidated balance sheets were recorded in other long-term assets and other long-term liabilites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6" w:name="page77"/>
    <w:bookmarkEnd w:id="7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0"/>
        <w:spacing w:after="0"/>
        <w:rPr>
          <w:sz w:val="20"/>
          <w:szCs w:val="20"/>
          <w:color w:val="auto"/>
        </w:rPr>
      </w:pPr>
      <w:r>
        <w:rPr>
          <w:rFonts w:ascii="Calibri" w:cs="Calibri" w:eastAsia="Calibri" w:hAnsi="Calibri"/>
          <w:sz w:val="18"/>
          <w:szCs w:val="18"/>
          <w:i w:val="1"/>
          <w:iCs w:val="1"/>
          <w:color w:val="auto"/>
        </w:rPr>
        <w:t>Plans with beneft obligatons less than plan assets: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November 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7"/>
              <w:spacing w:after="0"/>
              <w:rPr>
                <w:sz w:val="20"/>
                <w:szCs w:val="20"/>
                <w:color w:val="auto"/>
              </w:rPr>
            </w:pPr>
            <w:r>
              <w:rPr>
                <w:rFonts w:ascii="Calibri" w:cs="Calibri" w:eastAsia="Calibri" w:hAnsi="Calibri"/>
                <w:sz w:val="14"/>
                <w:szCs w:val="14"/>
                <w:b w:val="1"/>
                <w:bCs w:val="1"/>
                <w:color w:val="auto"/>
              </w:rPr>
              <w:t>October 29,</w:t>
            </w:r>
          </w:p>
        </w:tc>
      </w:tr>
      <w:tr>
        <w:trPr>
          <w:trHeight w:val="170"/>
        </w:trPr>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19"/>
              <w:spacing w:after="0"/>
              <w:rPr>
                <w:sz w:val="20"/>
                <w:szCs w:val="20"/>
                <w:color w:val="auto"/>
              </w:rPr>
            </w:pPr>
            <w:r>
              <w:rPr>
                <w:rFonts w:ascii="Calibri" w:cs="Calibri" w:eastAsia="Calibri" w:hAnsi="Calibri"/>
                <w:sz w:val="14"/>
                <w:szCs w:val="14"/>
                <w:b w:val="1"/>
                <w:bCs w:val="1"/>
                <w:color w:val="auto"/>
              </w:rPr>
              <w:t>2024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7"/>
              <w:spacing w:after="0"/>
              <w:rPr>
                <w:sz w:val="20"/>
                <w:szCs w:val="20"/>
                <w:color w:val="auto"/>
              </w:rPr>
            </w:pPr>
            <w:r>
              <w:rPr>
                <w:rFonts w:ascii="Calibri" w:cs="Calibri" w:eastAsia="Calibri" w:hAnsi="Calibri"/>
                <w:sz w:val="14"/>
                <w:szCs w:val="14"/>
                <w:b w:val="1"/>
                <w:bCs w:val="1"/>
                <w:color w:val="auto"/>
              </w:rPr>
              <w:t>2023</w:t>
            </w:r>
          </w:p>
        </w:tc>
      </w:tr>
      <w:tr>
        <w:trPr>
          <w:trHeight w:val="33"/>
        </w:trPr>
        <w:tc>
          <w:tcPr>
            <w:tcW w:w="8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r>
      <w:tr>
        <w:trPr>
          <w:trHeight w:val="190"/>
        </w:trPr>
        <w:tc>
          <w:tcPr>
            <w:tcW w:w="8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717"/>
              <w:spacing w:after="0"/>
              <w:rPr>
                <w:sz w:val="20"/>
                <w:szCs w:val="20"/>
                <w:color w:val="auto"/>
              </w:rPr>
            </w:pPr>
            <w:r>
              <w:rPr>
                <w:rFonts w:ascii="Calibri" w:cs="Calibri" w:eastAsia="Calibri" w:hAnsi="Calibri"/>
                <w:sz w:val="14"/>
                <w:szCs w:val="14"/>
                <w:b w:val="1"/>
                <w:bCs w:val="1"/>
                <w:color w:val="auto"/>
              </w:rPr>
              <w:t>(In millions)</w:t>
            </w:r>
          </w:p>
        </w:tc>
      </w:tr>
      <w:tr>
        <w:trPr>
          <w:trHeight w:val="47"/>
        </w:trPr>
        <w:tc>
          <w:tcPr>
            <w:tcW w:w="8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29"/>
        </w:trPr>
        <w:tc>
          <w:tcPr>
            <w:tcW w:w="8920" w:type="dxa"/>
            <w:vAlign w:val="bottom"/>
            <w:gridSpan w:val="2"/>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Projected beneft obligatons</w:t>
            </w: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1,064</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4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1,022</w:t>
            </w:r>
          </w:p>
        </w:tc>
      </w:tr>
      <w:tr>
        <w:trPr>
          <w:trHeight w:val="222"/>
        </w:trPr>
        <w:tc>
          <w:tcPr>
            <w:tcW w:w="892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Accumulated beneft obligatons</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1,063</w:t>
            </w:r>
          </w:p>
        </w:tc>
        <w:tc>
          <w:tcPr>
            <w:tcW w:w="20" w:type="dxa"/>
            <w:vAlign w:val="bottom"/>
          </w:tcPr>
          <w:p>
            <w:pPr>
              <w:spacing w:after="0"/>
              <w:rPr>
                <w:sz w:val="19"/>
                <w:szCs w:val="19"/>
                <w:color w:val="auto"/>
              </w:rPr>
            </w:pPr>
          </w:p>
        </w:tc>
        <w:tc>
          <w:tcPr>
            <w:tcW w:w="260" w:type="dxa"/>
            <w:vAlign w:val="bottom"/>
            <w:gridSpan w:val="3"/>
          </w:tcPr>
          <w:p>
            <w:pPr>
              <w:jc w:val="right"/>
              <w:ind w:right="4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1,022</w:t>
            </w:r>
          </w:p>
        </w:tc>
      </w:tr>
      <w:tr>
        <w:trPr>
          <w:trHeight w:val="237"/>
        </w:trPr>
        <w:tc>
          <w:tcPr>
            <w:tcW w:w="892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Fair value of plan assets</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1,118</w:t>
            </w: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40"/>
              <w:spacing w:after="0"/>
              <w:rPr>
                <w:sz w:val="20"/>
                <w:szCs w:val="20"/>
                <w:color w:val="auto"/>
              </w:rPr>
            </w:pPr>
            <w:r>
              <w:rPr>
                <w:rFonts w:ascii="Calibri" w:cs="Calibri" w:eastAsia="Calibri" w:hAnsi="Calibri"/>
                <w:sz w:val="18"/>
                <w:szCs w:val="18"/>
                <w:color w:val="auto"/>
              </w:rPr>
              <w:t>$</w:t>
            </w: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1,079</w:t>
            </w:r>
          </w:p>
        </w:tc>
      </w:tr>
      <w:tr>
        <w:trPr>
          <w:trHeight w:val="395"/>
        </w:trPr>
        <w:tc>
          <w:tcPr>
            <w:tcW w:w="8920" w:type="dxa"/>
            <w:vAlign w:val="bottom"/>
            <w:gridSpan w:val="2"/>
          </w:tcPr>
          <w:p>
            <w:pPr>
              <w:ind w:left="420"/>
              <w:spacing w:after="0"/>
              <w:rPr>
                <w:sz w:val="20"/>
                <w:szCs w:val="20"/>
                <w:color w:val="auto"/>
              </w:rPr>
            </w:pPr>
            <w:r>
              <w:rPr>
                <w:rFonts w:ascii="Calibri" w:cs="Calibri" w:eastAsia="Calibri" w:hAnsi="Calibri"/>
                <w:sz w:val="18"/>
                <w:szCs w:val="18"/>
                <w:i w:val="1"/>
                <w:iCs w:val="1"/>
                <w:color w:val="auto"/>
              </w:rPr>
              <w:t>Plans with beneft obligatons in excess of plan assets:</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0"/>
        </w:trPr>
        <w:tc>
          <w:tcPr>
            <w:tcW w:w="8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160"/>
              <w:spacing w:after="0"/>
              <w:rPr>
                <w:sz w:val="20"/>
                <w:szCs w:val="20"/>
                <w:color w:val="auto"/>
              </w:rPr>
            </w:pPr>
            <w:r>
              <w:rPr>
                <w:rFonts w:ascii="Calibri" w:cs="Calibri" w:eastAsia="Calibri" w:hAnsi="Calibri"/>
                <w:sz w:val="14"/>
                <w:szCs w:val="14"/>
                <w:b w:val="1"/>
                <w:bCs w:val="1"/>
                <w:color w:val="auto"/>
              </w:rPr>
              <w:t>November 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97"/>
              <w:spacing w:after="0"/>
              <w:rPr>
                <w:sz w:val="20"/>
                <w:szCs w:val="20"/>
                <w:color w:val="auto"/>
              </w:rPr>
            </w:pPr>
            <w:r>
              <w:rPr>
                <w:rFonts w:ascii="Calibri" w:cs="Calibri" w:eastAsia="Calibri" w:hAnsi="Calibri"/>
                <w:sz w:val="14"/>
                <w:szCs w:val="14"/>
                <w:b w:val="1"/>
                <w:bCs w:val="1"/>
                <w:color w:val="auto"/>
              </w:rPr>
              <w:t>October 29,</w:t>
            </w:r>
          </w:p>
        </w:tc>
      </w:tr>
      <w:tr>
        <w:trPr>
          <w:trHeight w:val="170"/>
        </w:trPr>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9"/>
              <w:spacing w:after="0"/>
              <w:rPr>
                <w:sz w:val="20"/>
                <w:szCs w:val="20"/>
                <w:color w:val="auto"/>
              </w:rPr>
            </w:pPr>
            <w:r>
              <w:rPr>
                <w:rFonts w:ascii="Calibri" w:cs="Calibri" w:eastAsia="Calibri" w:hAnsi="Calibri"/>
                <w:sz w:val="14"/>
                <w:szCs w:val="14"/>
                <w:b w:val="1"/>
                <w:bCs w:val="1"/>
                <w:color w:val="auto"/>
              </w:rPr>
              <w:t>2024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97"/>
              <w:spacing w:after="0"/>
              <w:rPr>
                <w:sz w:val="20"/>
                <w:szCs w:val="20"/>
                <w:color w:val="auto"/>
              </w:rPr>
            </w:pPr>
            <w:r>
              <w:rPr>
                <w:rFonts w:ascii="Calibri" w:cs="Calibri" w:eastAsia="Calibri" w:hAnsi="Calibri"/>
                <w:sz w:val="14"/>
                <w:szCs w:val="14"/>
                <w:b w:val="1"/>
                <w:bCs w:val="1"/>
                <w:color w:val="auto"/>
              </w:rPr>
              <w:t>2023</w:t>
            </w:r>
          </w:p>
        </w:tc>
      </w:tr>
      <w:tr>
        <w:trPr>
          <w:trHeight w:val="46"/>
        </w:trPr>
        <w:tc>
          <w:tcPr>
            <w:tcW w:w="89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gridSpan w:val="2"/>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r>
      <w:tr>
        <w:trPr>
          <w:trHeight w:val="190"/>
        </w:trPr>
        <w:tc>
          <w:tcPr>
            <w:tcW w:w="8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737"/>
              <w:spacing w:after="0"/>
              <w:rPr>
                <w:sz w:val="20"/>
                <w:szCs w:val="20"/>
                <w:color w:val="auto"/>
              </w:rPr>
            </w:pPr>
            <w:r>
              <w:rPr>
                <w:rFonts w:ascii="Calibri" w:cs="Calibri" w:eastAsia="Calibri" w:hAnsi="Calibri"/>
                <w:sz w:val="14"/>
                <w:szCs w:val="14"/>
                <w:b w:val="1"/>
                <w:bCs w:val="1"/>
                <w:color w:val="auto"/>
              </w:rPr>
              <w:t>(In millions)</w:t>
            </w:r>
          </w:p>
        </w:tc>
      </w:tr>
      <w:tr>
        <w:trPr>
          <w:trHeight w:val="47"/>
        </w:trPr>
        <w:tc>
          <w:tcPr>
            <w:tcW w:w="8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960" w:type="dxa"/>
            <w:vAlign w:val="bottom"/>
          </w:tcPr>
          <w:p>
            <w:pPr>
              <w:spacing w:after="0"/>
              <w:rPr>
                <w:sz w:val="4"/>
                <w:szCs w:val="4"/>
                <w:color w:val="auto"/>
              </w:rPr>
            </w:pPr>
          </w:p>
        </w:tc>
      </w:tr>
      <w:tr>
        <w:trPr>
          <w:trHeight w:val="229"/>
        </w:trPr>
        <w:tc>
          <w:tcPr>
            <w:tcW w:w="8920" w:type="dxa"/>
            <w:vAlign w:val="bottom"/>
            <w:gridSpan w:val="2"/>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Projected beneft obligatons</w:t>
            </w: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130</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79</w:t>
            </w:r>
          </w:p>
        </w:tc>
      </w:tr>
      <w:tr>
        <w:trPr>
          <w:trHeight w:val="222"/>
        </w:trPr>
        <w:tc>
          <w:tcPr>
            <w:tcW w:w="892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Accumulated beneft obligatons</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99</w:t>
            </w:r>
          </w:p>
        </w:tc>
        <w:tc>
          <w:tcPr>
            <w:tcW w:w="20" w:type="dxa"/>
            <w:vAlign w:val="bottom"/>
          </w:tcPr>
          <w:p>
            <w:pPr>
              <w:spacing w:after="0"/>
              <w:rPr>
                <w:sz w:val="19"/>
                <w:szCs w:val="19"/>
                <w:color w:val="auto"/>
              </w:rPr>
            </w:pPr>
          </w:p>
        </w:tc>
        <w:tc>
          <w:tcPr>
            <w:tcW w:w="260" w:type="dxa"/>
            <w:vAlign w:val="bottom"/>
            <w:gridSpan w:val="3"/>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64</w:t>
            </w:r>
          </w:p>
        </w:tc>
      </w:tr>
      <w:tr>
        <w:trPr>
          <w:trHeight w:val="237"/>
        </w:trPr>
        <w:tc>
          <w:tcPr>
            <w:tcW w:w="892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Fair value of plan assets</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w:t>
            </w: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60"/>
              <w:spacing w:after="0"/>
              <w:rPr>
                <w:sz w:val="20"/>
                <w:szCs w:val="20"/>
                <w:color w:val="auto"/>
              </w:rPr>
            </w:pPr>
            <w:r>
              <w:rPr>
                <w:rFonts w:ascii="Calibri" w:cs="Calibri" w:eastAsia="Calibri" w:hAnsi="Calibri"/>
                <w:sz w:val="18"/>
                <w:szCs w:val="18"/>
                <w:color w:val="auto"/>
              </w:rPr>
              <w:t>$</w:t>
            </w: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w:t>
            </w:r>
          </w:p>
        </w:tc>
      </w:tr>
    </w:tbl>
    <w:p>
      <w:pPr>
        <w:spacing w:after="0" w:line="167" w:lineRule="exact"/>
        <w:rPr>
          <w:sz w:val="20"/>
          <w:szCs w:val="20"/>
          <w:color w:val="auto"/>
        </w:rPr>
      </w:pPr>
    </w:p>
    <w:p>
      <w:pPr>
        <w:ind w:right="260" w:firstLine="405"/>
        <w:spacing w:after="0" w:line="235" w:lineRule="auto"/>
        <w:rPr>
          <w:sz w:val="20"/>
          <w:szCs w:val="20"/>
          <w:color w:val="auto"/>
        </w:rPr>
      </w:pPr>
      <w:r>
        <w:rPr>
          <w:rFonts w:ascii="Calibri" w:cs="Calibri" w:eastAsia="Calibri" w:hAnsi="Calibri"/>
          <w:sz w:val="18"/>
          <w:szCs w:val="18"/>
          <w:color w:val="auto"/>
        </w:rPr>
        <w:t>The fair value of pension plan assets as of November 3, 2024 and October 29, 2023 included $229 million and $204 million, respectvely, of assets for our non-U.S. pension plans.</w:t>
      </w:r>
    </w:p>
    <w:p>
      <w:pPr>
        <w:spacing w:after="0" w:line="110" w:lineRule="exact"/>
        <w:rPr>
          <w:sz w:val="20"/>
          <w:szCs w:val="20"/>
          <w:color w:val="auto"/>
        </w:rPr>
      </w:pPr>
    </w:p>
    <w:p>
      <w:pPr>
        <w:jc w:val="both"/>
        <w:ind w:right="300" w:firstLine="405"/>
        <w:spacing w:after="0" w:line="235" w:lineRule="auto"/>
        <w:rPr>
          <w:sz w:val="20"/>
          <w:szCs w:val="20"/>
          <w:color w:val="auto"/>
        </w:rPr>
      </w:pPr>
      <w:r>
        <w:rPr>
          <w:rFonts w:ascii="Calibri" w:cs="Calibri" w:eastAsia="Calibri" w:hAnsi="Calibri"/>
          <w:sz w:val="18"/>
          <w:szCs w:val="18"/>
          <w:color w:val="auto"/>
        </w:rPr>
        <w:t>The projected beneft obligatons as of November 3, 2024 and October 29, 2023 included $260 million and $202 million, respectvely, of obligatons related to our non-U.S. pension plans. The accumulated beneft obligatons as of November 3, 2024 and October 29, 2023 included $229 million and $188 million, respectvely, of obligatons related to our non-U.S. pension plans.</w:t>
      </w:r>
    </w:p>
    <w:p>
      <w:pPr>
        <w:spacing w:after="0" w:line="106" w:lineRule="exact"/>
        <w:rPr>
          <w:sz w:val="20"/>
          <w:szCs w:val="20"/>
          <w:color w:val="auto"/>
        </w:rPr>
      </w:pPr>
    </w:p>
    <w:p>
      <w:pPr>
        <w:ind w:left="420"/>
        <w:spacing w:after="0"/>
        <w:rPr>
          <w:sz w:val="20"/>
          <w:szCs w:val="20"/>
          <w:color w:val="auto"/>
        </w:rPr>
      </w:pPr>
      <w:r>
        <w:rPr>
          <w:rFonts w:ascii="Calibri" w:cs="Calibri" w:eastAsia="Calibri" w:hAnsi="Calibri"/>
          <w:sz w:val="18"/>
          <w:szCs w:val="18"/>
          <w:b w:val="1"/>
          <w:bCs w:val="1"/>
          <w:i w:val="1"/>
          <w:iCs w:val="1"/>
          <w:color w:val="auto"/>
        </w:rPr>
        <w:t>Expected Future Beneft Payments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14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Fiscal Years:</w:t>
            </w:r>
          </w:p>
        </w:tc>
        <w:tc>
          <w:tcPr>
            <w:tcW w:w="110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Expected Beneft</w:t>
            </w:r>
          </w:p>
        </w:tc>
        <w:tc>
          <w:tcPr>
            <w:tcW w:w="0" w:type="dxa"/>
            <w:vAlign w:val="bottom"/>
          </w:tcPr>
          <w:p>
            <w:pPr>
              <w:spacing w:after="0"/>
              <w:rPr>
                <w:sz w:val="1"/>
                <w:szCs w:val="1"/>
                <w:color w:val="auto"/>
              </w:rPr>
            </w:pPr>
          </w:p>
        </w:tc>
      </w:tr>
      <w:tr>
        <w:trPr>
          <w:trHeight w:val="180"/>
        </w:trPr>
        <w:tc>
          <w:tcPr>
            <w:tcW w:w="10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Calibri" w:cs="Calibri" w:eastAsia="Calibri" w:hAnsi="Calibri"/>
                <w:sz w:val="14"/>
                <w:szCs w:val="14"/>
                <w:b w:val="1"/>
                <w:bCs w:val="1"/>
                <w:color w:val="auto"/>
              </w:rPr>
              <w:t>Payments</w:t>
            </w:r>
          </w:p>
        </w:tc>
        <w:tc>
          <w:tcPr>
            <w:tcW w:w="0" w:type="dxa"/>
            <w:vAlign w:val="bottom"/>
          </w:tcPr>
          <w:p>
            <w:pPr>
              <w:spacing w:after="0"/>
              <w:rPr>
                <w:sz w:val="1"/>
                <w:szCs w:val="1"/>
                <w:color w:val="auto"/>
              </w:rPr>
            </w:pPr>
          </w:p>
        </w:tc>
      </w:tr>
      <w:tr>
        <w:trPr>
          <w:trHeight w:val="23"/>
        </w:trPr>
        <w:tc>
          <w:tcPr>
            <w:tcW w:w="10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0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5"/>
              <w:spacing w:after="0"/>
              <w:rPr>
                <w:sz w:val="20"/>
                <w:szCs w:val="20"/>
                <w:color w:val="auto"/>
              </w:rPr>
            </w:pPr>
            <w:r>
              <w:rPr>
                <w:rFonts w:ascii="Calibri" w:cs="Calibri" w:eastAsia="Calibri" w:hAnsi="Calibri"/>
                <w:sz w:val="14"/>
                <w:szCs w:val="14"/>
                <w:b w:val="1"/>
                <w:bCs w:val="1"/>
                <w:color w:val="auto"/>
              </w:rPr>
              <w:t>(In millions)</w:t>
            </w:r>
          </w:p>
        </w:tc>
        <w:tc>
          <w:tcPr>
            <w:tcW w:w="0" w:type="dxa"/>
            <w:vAlign w:val="bottom"/>
          </w:tcPr>
          <w:p>
            <w:pPr>
              <w:spacing w:after="0"/>
              <w:rPr>
                <w:sz w:val="1"/>
                <w:szCs w:val="1"/>
                <w:color w:val="auto"/>
              </w:rPr>
            </w:pPr>
          </w:p>
        </w:tc>
      </w:tr>
      <w:tr>
        <w:trPr>
          <w:trHeight w:val="47"/>
        </w:trPr>
        <w:tc>
          <w:tcPr>
            <w:tcW w:w="10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01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2025</w:t>
            </w: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99</w:t>
            </w:r>
          </w:p>
        </w:tc>
        <w:tc>
          <w:tcPr>
            <w:tcW w:w="0" w:type="dxa"/>
            <w:vAlign w:val="bottom"/>
          </w:tcPr>
          <w:p>
            <w:pPr>
              <w:spacing w:after="0"/>
              <w:rPr>
                <w:sz w:val="1"/>
                <w:szCs w:val="1"/>
                <w:color w:val="auto"/>
              </w:rPr>
            </w:pPr>
          </w:p>
        </w:tc>
      </w:tr>
      <w:tr>
        <w:trPr>
          <w:trHeight w:val="222"/>
        </w:trPr>
        <w:tc>
          <w:tcPr>
            <w:tcW w:w="10140" w:type="dxa"/>
            <w:vAlign w:val="bottom"/>
          </w:tcPr>
          <w:p>
            <w:pPr>
              <w:ind w:left="20"/>
              <w:spacing w:after="0" w:line="215" w:lineRule="exact"/>
              <w:rPr>
                <w:sz w:val="20"/>
                <w:szCs w:val="20"/>
                <w:color w:val="auto"/>
              </w:rPr>
            </w:pPr>
            <w:r>
              <w:rPr>
                <w:rFonts w:ascii="Calibri" w:cs="Calibri" w:eastAsia="Calibri" w:hAnsi="Calibri"/>
                <w:sz w:val="18"/>
                <w:szCs w:val="18"/>
                <w:color w:val="auto"/>
              </w:rPr>
              <w:t>2026</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98</w:t>
            </w:r>
          </w:p>
        </w:tc>
        <w:tc>
          <w:tcPr>
            <w:tcW w:w="0" w:type="dxa"/>
            <w:vAlign w:val="bottom"/>
          </w:tcPr>
          <w:p>
            <w:pPr>
              <w:spacing w:after="0"/>
              <w:rPr>
                <w:sz w:val="1"/>
                <w:szCs w:val="1"/>
                <w:color w:val="auto"/>
              </w:rPr>
            </w:pPr>
          </w:p>
        </w:tc>
      </w:tr>
      <w:tr>
        <w:trPr>
          <w:trHeight w:val="237"/>
        </w:trPr>
        <w:tc>
          <w:tcPr>
            <w:tcW w:w="101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2027</w:t>
            </w: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97</w:t>
            </w:r>
          </w:p>
        </w:tc>
        <w:tc>
          <w:tcPr>
            <w:tcW w:w="0" w:type="dxa"/>
            <w:vAlign w:val="bottom"/>
          </w:tcPr>
          <w:p>
            <w:pPr>
              <w:spacing w:after="0"/>
              <w:rPr>
                <w:sz w:val="1"/>
                <w:szCs w:val="1"/>
                <w:color w:val="auto"/>
              </w:rPr>
            </w:pPr>
          </w:p>
        </w:tc>
      </w:tr>
      <w:tr>
        <w:trPr>
          <w:trHeight w:val="222"/>
        </w:trPr>
        <w:tc>
          <w:tcPr>
            <w:tcW w:w="10140" w:type="dxa"/>
            <w:vAlign w:val="bottom"/>
          </w:tcPr>
          <w:p>
            <w:pPr>
              <w:ind w:left="20"/>
              <w:spacing w:after="0" w:line="215" w:lineRule="exact"/>
              <w:rPr>
                <w:sz w:val="20"/>
                <w:szCs w:val="20"/>
                <w:color w:val="auto"/>
              </w:rPr>
            </w:pPr>
            <w:r>
              <w:rPr>
                <w:rFonts w:ascii="Calibri" w:cs="Calibri" w:eastAsia="Calibri" w:hAnsi="Calibri"/>
                <w:sz w:val="18"/>
                <w:szCs w:val="18"/>
                <w:color w:val="auto"/>
              </w:rPr>
              <w:t>2028</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95</w:t>
            </w:r>
          </w:p>
        </w:tc>
        <w:tc>
          <w:tcPr>
            <w:tcW w:w="0" w:type="dxa"/>
            <w:vAlign w:val="bottom"/>
          </w:tcPr>
          <w:p>
            <w:pPr>
              <w:spacing w:after="0"/>
              <w:rPr>
                <w:sz w:val="1"/>
                <w:szCs w:val="1"/>
                <w:color w:val="auto"/>
              </w:rPr>
            </w:pPr>
          </w:p>
        </w:tc>
      </w:tr>
      <w:tr>
        <w:trPr>
          <w:trHeight w:val="237"/>
        </w:trPr>
        <w:tc>
          <w:tcPr>
            <w:tcW w:w="101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2029</w:t>
            </w: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95</w:t>
            </w:r>
          </w:p>
        </w:tc>
        <w:tc>
          <w:tcPr>
            <w:tcW w:w="0" w:type="dxa"/>
            <w:vAlign w:val="bottom"/>
          </w:tcPr>
          <w:p>
            <w:pPr>
              <w:spacing w:after="0"/>
              <w:rPr>
                <w:sz w:val="1"/>
                <w:szCs w:val="1"/>
                <w:color w:val="auto"/>
              </w:rPr>
            </w:pPr>
          </w:p>
        </w:tc>
      </w:tr>
      <w:tr>
        <w:trPr>
          <w:trHeight w:val="215"/>
        </w:trPr>
        <w:tc>
          <w:tcPr>
            <w:tcW w:w="10140" w:type="dxa"/>
            <w:vAlign w:val="bottom"/>
          </w:tcPr>
          <w:p>
            <w:pPr>
              <w:ind w:left="20"/>
              <w:spacing w:after="0" w:line="215" w:lineRule="exact"/>
              <w:rPr>
                <w:sz w:val="20"/>
                <w:szCs w:val="20"/>
                <w:color w:val="auto"/>
              </w:rPr>
            </w:pPr>
            <w:r>
              <w:rPr>
                <w:rFonts w:ascii="Calibri" w:cs="Calibri" w:eastAsia="Calibri" w:hAnsi="Calibri"/>
                <w:sz w:val="18"/>
                <w:szCs w:val="18"/>
                <w:color w:val="auto"/>
              </w:rPr>
              <w:t>2030-2034</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440</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420"/>
        <w:spacing w:after="0"/>
        <w:rPr>
          <w:sz w:val="20"/>
          <w:szCs w:val="20"/>
          <w:color w:val="auto"/>
        </w:rPr>
      </w:pPr>
      <w:r>
        <w:rPr>
          <w:rFonts w:ascii="Calibri" w:cs="Calibri" w:eastAsia="Calibri" w:hAnsi="Calibri"/>
          <w:sz w:val="18"/>
          <w:szCs w:val="18"/>
          <w:b w:val="1"/>
          <w:bCs w:val="1"/>
          <w:i w:val="1"/>
          <w:iCs w:val="1"/>
          <w:color w:val="auto"/>
        </w:rPr>
        <w:t>Investment Policy</w:t>
      </w:r>
    </w:p>
    <w:p>
      <w:pPr>
        <w:spacing w:after="0" w:line="109" w:lineRule="exact"/>
        <w:rPr>
          <w:sz w:val="20"/>
          <w:szCs w:val="20"/>
          <w:color w:val="auto"/>
        </w:rPr>
      </w:pPr>
    </w:p>
    <w:p>
      <w:pPr>
        <w:ind w:right="180" w:firstLine="405"/>
        <w:spacing w:after="0" w:line="235" w:lineRule="auto"/>
        <w:rPr>
          <w:sz w:val="20"/>
          <w:szCs w:val="20"/>
          <w:color w:val="auto"/>
        </w:rPr>
      </w:pPr>
      <w:r>
        <w:rPr>
          <w:rFonts w:ascii="Calibri" w:cs="Calibri" w:eastAsia="Calibri" w:hAnsi="Calibri"/>
          <w:sz w:val="18"/>
          <w:szCs w:val="18"/>
          <w:color w:val="auto"/>
        </w:rPr>
        <w:t>Plan assets of the U.S. qualifed pension plan, which represent substantally all of the plan assets, are generally invested in funds held by third-party fund managers. Our beneft plan investment commitee has set the investment strategy to fully match the liability. We direct the overall portolio allocaton and use a third-party investment consultant that has the discreton to structure portolios and select the investment managers within those allocaton parameters. Multple investment managers are utlized, including both actve and passive management approaches. The plan assets are invested using the liability-driven investment strategy intended to minimize market and interest rate risks, and those assets are periodically rebalanced toward asset allocaton targets.</w:t>
      </w:r>
    </w:p>
    <w:p>
      <w:pPr>
        <w:spacing w:after="0" w:line="113" w:lineRule="exact"/>
        <w:rPr>
          <w:sz w:val="20"/>
          <w:szCs w:val="20"/>
          <w:color w:val="auto"/>
        </w:rPr>
      </w:pPr>
    </w:p>
    <w:p>
      <w:pPr>
        <w:ind w:right="60" w:firstLine="405"/>
        <w:spacing w:after="0" w:line="235" w:lineRule="auto"/>
        <w:rPr>
          <w:sz w:val="20"/>
          <w:szCs w:val="20"/>
          <w:color w:val="auto"/>
        </w:rPr>
      </w:pPr>
      <w:r>
        <w:rPr>
          <w:rFonts w:ascii="Calibri" w:cs="Calibri" w:eastAsia="Calibri" w:hAnsi="Calibri"/>
          <w:sz w:val="18"/>
          <w:szCs w:val="18"/>
          <w:color w:val="auto"/>
        </w:rPr>
        <w:t>The target asset allocaton for the U.S. qualifed pension plan refects a risk/return profle that we believe is appropriate relatve to the liability structure and return goals for the plan. We periodically review the allocaton of plan assets relatve to alternatve allocaton models to evaluate the need for adjustments based on forecasted liabilites and plan liquidity needs. For both fscal years 2024 and 2023, 100% of the U.S. qualifed pension plan assets were allocated to fxed income, in line with the target allocaton. The fxed income allocaton is primarily directed toward long-term core bond investments, with smaller allocatons to Treasury Infaton-Protected Securites and high-yield bonds.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7" w:name="page78"/>
    <w:bookmarkEnd w:id="7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0"/>
        <w:spacing w:after="0"/>
        <w:rPr>
          <w:sz w:val="20"/>
          <w:szCs w:val="20"/>
          <w:color w:val="auto"/>
        </w:rPr>
      </w:pPr>
      <w:r>
        <w:rPr>
          <w:rFonts w:ascii="Calibri" w:cs="Calibri" w:eastAsia="Calibri" w:hAnsi="Calibri"/>
          <w:sz w:val="18"/>
          <w:szCs w:val="18"/>
          <w:b w:val="1"/>
          <w:bCs w:val="1"/>
          <w:i w:val="1"/>
          <w:iCs w:val="1"/>
          <w:color w:val="auto"/>
        </w:rPr>
        <w:t>Fair Value Measurement of Plan Assets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4"/>
          </w:tcPr>
          <w:p>
            <w:pPr>
              <w:jc w:val="center"/>
              <w:spacing w:after="0"/>
              <w:rPr>
                <w:sz w:val="20"/>
                <w:szCs w:val="20"/>
                <w:color w:val="auto"/>
              </w:rPr>
            </w:pPr>
            <w:r>
              <w:rPr>
                <w:rFonts w:ascii="Calibri" w:cs="Calibri" w:eastAsia="Calibri" w:hAnsi="Calibri"/>
                <w:sz w:val="14"/>
                <w:szCs w:val="14"/>
                <w:b w:val="1"/>
                <w:bCs w:val="1"/>
                <w:color w:val="auto"/>
              </w:rPr>
              <w:t>November 3, 2024</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420" w:type="dxa"/>
            <w:vAlign w:val="bottom"/>
            <w:tcBorders>
              <w:bottom w:val="single" w:sz="8" w:color="auto"/>
            </w:tcBorders>
            <w:gridSpan w:val="3"/>
          </w:tcPr>
          <w:p>
            <w:pPr>
              <w:spacing w:after="0"/>
              <w:rPr>
                <w:sz w:val="4"/>
                <w:szCs w:val="4"/>
                <w:color w:val="auto"/>
              </w:rPr>
            </w:pPr>
          </w:p>
        </w:tc>
        <w:tc>
          <w:tcPr>
            <w:tcW w:w="1080" w:type="dxa"/>
            <w:vAlign w:val="bottom"/>
            <w:tcBorders>
              <w:bottom w:val="single" w:sz="8" w:color="auto"/>
            </w:tcBorders>
            <w:gridSpan w:val="3"/>
          </w:tcPr>
          <w:p>
            <w:pPr>
              <w:spacing w:after="0"/>
              <w:rPr>
                <w:sz w:val="4"/>
                <w:szCs w:val="4"/>
                <w:color w:val="auto"/>
              </w:rPr>
            </w:pPr>
          </w:p>
        </w:tc>
        <w:tc>
          <w:tcPr>
            <w:tcW w:w="4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6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60" w:type="dxa"/>
            <w:vAlign w:val="bottom"/>
            <w:gridSpan w:val="10"/>
          </w:tcPr>
          <w:p>
            <w:pPr>
              <w:ind w:left="40"/>
              <w:spacing w:after="0" w:line="127" w:lineRule="exact"/>
              <w:rPr>
                <w:sz w:val="20"/>
                <w:szCs w:val="20"/>
                <w:color w:val="auto"/>
              </w:rPr>
            </w:pPr>
            <w:r>
              <w:rPr>
                <w:rFonts w:ascii="Calibri" w:cs="Calibri" w:eastAsia="Calibri" w:hAnsi="Calibri"/>
                <w:sz w:val="13"/>
                <w:szCs w:val="13"/>
                <w:b w:val="1"/>
                <w:bCs w:val="1"/>
                <w:color w:val="auto"/>
              </w:rPr>
              <w:t>Fair Value Measurements at Reportng Date</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Using</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restart"/>
          </w:tcPr>
          <w:p>
            <w:pPr>
              <w:jc w:val="right"/>
              <w:ind w:right="333"/>
              <w:spacing w:after="0"/>
              <w:rPr>
                <w:sz w:val="20"/>
                <w:szCs w:val="20"/>
                <w:color w:val="auto"/>
              </w:rPr>
            </w:pPr>
            <w:r>
              <w:rPr>
                <w:rFonts w:ascii="Calibri" w:cs="Calibri" w:eastAsia="Calibri" w:hAnsi="Calibri"/>
                <w:sz w:val="14"/>
                <w:szCs w:val="14"/>
                <w:b w:val="1"/>
                <w:bCs w:val="1"/>
                <w:color w:val="auto"/>
              </w:rPr>
              <w:t>Total</w:t>
            </w: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255"/>
              <w:spacing w:after="0" w:line="164" w:lineRule="exact"/>
              <w:rPr>
                <w:sz w:val="20"/>
                <w:szCs w:val="20"/>
                <w:color w:val="auto"/>
              </w:rPr>
            </w:pPr>
            <w:r>
              <w:rPr>
                <w:rFonts w:ascii="Calibri" w:cs="Calibri" w:eastAsia="Calibri" w:hAnsi="Calibri"/>
                <w:sz w:val="14"/>
                <w:szCs w:val="14"/>
                <w:b w:val="1"/>
                <w:bCs w:val="1"/>
                <w:color w:val="auto"/>
              </w:rPr>
              <w:t>Level 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00"/>
              <w:spacing w:after="0" w:line="164" w:lineRule="exact"/>
              <w:rPr>
                <w:sz w:val="20"/>
                <w:szCs w:val="20"/>
                <w:color w:val="auto"/>
              </w:rPr>
            </w:pPr>
            <w:r>
              <w:rPr>
                <w:rFonts w:ascii="Calibri" w:cs="Calibri" w:eastAsia="Calibri" w:hAnsi="Calibri"/>
                <w:sz w:val="14"/>
                <w:szCs w:val="14"/>
                <w:b w:val="1"/>
                <w:bCs w:val="1"/>
                <w:color w:val="auto"/>
                <w:w w:val="99"/>
              </w:rPr>
              <w:t>Level 2</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(In millions)</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740" w:type="dxa"/>
            <w:vAlign w:val="bottom"/>
          </w:tcPr>
          <w:p>
            <w:pPr>
              <w:ind w:left="20"/>
              <w:spacing w:after="0"/>
              <w:rPr>
                <w:sz w:val="20"/>
                <w:szCs w:val="20"/>
                <w:color w:val="auto"/>
              </w:rPr>
            </w:pPr>
            <w:r>
              <w:rPr>
                <w:rFonts w:ascii="Calibri" w:cs="Calibri" w:eastAsia="Calibri" w:hAnsi="Calibri"/>
                <w:sz w:val="18"/>
                <w:szCs w:val="18"/>
                <w:color w:val="auto"/>
              </w:rPr>
              <w:t>Cash equivalents</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17</w:t>
            </w:r>
          </w:p>
        </w:tc>
        <w:tc>
          <w:tcPr>
            <w:tcW w:w="20" w:type="dxa"/>
            <w:vAlign w:val="bottom"/>
          </w:tcPr>
          <w:p>
            <w:pPr>
              <w:spacing w:after="0"/>
              <w:rPr>
                <w:sz w:val="22"/>
                <w:szCs w:val="22"/>
                <w:color w:val="auto"/>
              </w:rPr>
            </w:pPr>
          </w:p>
        </w:tc>
        <w:tc>
          <w:tcPr>
            <w:tcW w:w="180" w:type="dxa"/>
            <w:vAlign w:val="bottom"/>
          </w:tcPr>
          <w:p>
            <w:pPr>
              <w:spacing w:after="0" w:line="143" w:lineRule="exact"/>
              <w:rPr>
                <w:sz w:val="20"/>
                <w:szCs w:val="20"/>
                <w:color w:val="auto"/>
              </w:rPr>
            </w:pPr>
            <w:r>
              <w:rPr>
                <w:rFonts w:ascii="Calibri" w:cs="Calibri" w:eastAsia="Calibri" w:hAnsi="Calibri"/>
                <w:sz w:val="12"/>
                <w:szCs w:val="12"/>
                <w:color w:val="auto"/>
              </w:rPr>
              <w:t>(a)</w:t>
            </w:r>
          </w:p>
        </w:tc>
        <w:tc>
          <w:tcPr>
            <w:tcW w:w="400" w:type="dxa"/>
            <w:vAlign w:val="bottom"/>
            <w:gridSpan w:val="3"/>
          </w:tcPr>
          <w:p>
            <w:pPr>
              <w:jc w:val="right"/>
              <w:ind w:right="8"/>
              <w:spacing w:after="0"/>
              <w:rPr>
                <w:sz w:val="20"/>
                <w:szCs w:val="20"/>
                <w:color w:val="auto"/>
              </w:rPr>
            </w:pPr>
            <w:r>
              <w:rPr>
                <w:rFonts w:ascii="Calibri" w:cs="Calibri" w:eastAsia="Calibri" w:hAnsi="Calibri"/>
                <w:sz w:val="18"/>
                <w:szCs w:val="18"/>
                <w:color w:val="auto"/>
              </w:rPr>
              <w:t>$</w:t>
            </w:r>
          </w:p>
        </w:tc>
        <w:tc>
          <w:tcPr>
            <w:tcW w:w="920" w:type="dxa"/>
            <w:vAlign w:val="bottom"/>
            <w:gridSpan w:val="2"/>
          </w:tcPr>
          <w:p>
            <w:pPr>
              <w:jc w:val="right"/>
              <w:ind w:right="80"/>
              <w:spacing w:after="0"/>
              <w:rPr>
                <w:sz w:val="20"/>
                <w:szCs w:val="20"/>
                <w:color w:val="auto"/>
              </w:rPr>
            </w:pPr>
            <w:r>
              <w:rPr>
                <w:rFonts w:ascii="Calibri" w:cs="Calibri" w:eastAsia="Calibri" w:hAnsi="Calibri"/>
                <w:sz w:val="18"/>
                <w:szCs w:val="18"/>
                <w:color w:val="auto"/>
              </w:rPr>
              <w:t>—</w:t>
            </w: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gridSpan w:val="2"/>
          </w:tcPr>
          <w:p>
            <w:pPr>
              <w:jc w:val="right"/>
              <w:ind w:right="140"/>
              <w:spacing w:after="0"/>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rPr>
                <w:sz w:val="20"/>
                <w:szCs w:val="20"/>
                <w:color w:val="auto"/>
              </w:rPr>
            </w:pPr>
            <w:r>
              <w:rPr>
                <w:rFonts w:ascii="Calibri" w:cs="Calibri" w:eastAsia="Calibri" w:hAnsi="Calibri"/>
                <w:sz w:val="18"/>
                <w:szCs w:val="18"/>
                <w:color w:val="auto"/>
              </w:rPr>
              <w:t>17</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Calibri" w:cs="Calibri" w:eastAsia="Calibri" w:hAnsi="Calibri"/>
                <w:sz w:val="18"/>
                <w:szCs w:val="18"/>
                <w:color w:val="auto"/>
              </w:rPr>
              <w:t>Equity securites: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vMerge w:val="restart"/>
          </w:tcPr>
          <w:p>
            <w:pPr>
              <w:spacing w:after="0"/>
              <w:rPr>
                <w:sz w:val="20"/>
                <w:szCs w:val="20"/>
                <w:color w:val="auto"/>
              </w:rPr>
            </w:pPr>
            <w:r>
              <w:rPr>
                <w:rFonts w:ascii="Calibri" w:cs="Calibri" w:eastAsia="Calibri" w:hAnsi="Calibri"/>
                <w:sz w:val="12"/>
                <w:szCs w:val="12"/>
                <w:color w:val="auto"/>
              </w:rPr>
              <w:t>(b)</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Calibri" w:cs="Calibri" w:eastAsia="Calibri" w:hAnsi="Calibri"/>
                <w:sz w:val="18"/>
                <w:szCs w:val="18"/>
                <w:color w:val="auto"/>
              </w:rPr>
              <w:t>Non-U.S. equity securites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83</w:t>
            </w:r>
          </w:p>
        </w:tc>
        <w:tc>
          <w:tcPr>
            <w:tcW w:w="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Calibri" w:cs="Calibri" w:eastAsia="Calibri" w:hAnsi="Calibri"/>
                <w:sz w:val="18"/>
                <w:szCs w:val="18"/>
                <w:color w:val="auto"/>
              </w:rPr>
              <w:t>—</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83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Calibri" w:cs="Calibri" w:eastAsia="Calibri" w:hAnsi="Calibri"/>
                <w:sz w:val="18"/>
                <w:szCs w:val="18"/>
                <w:color w:val="auto"/>
              </w:rPr>
              <w:t>Fixed-income securites: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gridSpan w:val="2"/>
            <w:vMerge w:val="restart"/>
          </w:tcPr>
          <w:p>
            <w:pPr>
              <w:spacing w:after="0"/>
              <w:rPr>
                <w:sz w:val="20"/>
                <w:szCs w:val="20"/>
                <w:color w:val="auto"/>
              </w:rPr>
            </w:pPr>
            <w:r>
              <w:rPr>
                <w:rFonts w:ascii="Calibri" w:cs="Calibri" w:eastAsia="Calibri" w:hAnsi="Calibri"/>
                <w:sz w:val="12"/>
                <w:szCs w:val="12"/>
                <w:color w:val="auto"/>
              </w:rPr>
              <w:t>(c)</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740" w:type="dxa"/>
            <w:vAlign w:val="bottom"/>
          </w:tcPr>
          <w:p>
            <w:pPr>
              <w:ind w:left="140"/>
              <w:spacing w:after="0" w:line="211" w:lineRule="exact"/>
              <w:rPr>
                <w:sz w:val="20"/>
                <w:szCs w:val="20"/>
                <w:color w:val="auto"/>
              </w:rPr>
            </w:pPr>
            <w:r>
              <w:rPr>
                <w:rFonts w:ascii="Calibri" w:cs="Calibri" w:eastAsia="Calibri" w:hAnsi="Calibri"/>
                <w:sz w:val="18"/>
                <w:szCs w:val="18"/>
                <w:color w:val="auto"/>
              </w:rPr>
              <w:t>U.S. treasuries</w:t>
            </w:r>
          </w:p>
        </w:tc>
        <w:tc>
          <w:tcPr>
            <w:tcW w:w="140" w:type="dxa"/>
            <w:vAlign w:val="bottom"/>
          </w:tcPr>
          <w:p>
            <w:pPr>
              <w:spacing w:after="0"/>
              <w:rPr>
                <w:sz w:val="18"/>
                <w:szCs w:val="18"/>
                <w:color w:val="auto"/>
              </w:rPr>
            </w:pPr>
          </w:p>
        </w:tc>
        <w:tc>
          <w:tcPr>
            <w:tcW w:w="940" w:type="dxa"/>
            <w:vAlign w:val="bottom"/>
          </w:tcPr>
          <w:p>
            <w:pPr>
              <w:jc w:val="right"/>
              <w:spacing w:after="0" w:line="211"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line="211" w:lineRule="exact"/>
              <w:rPr>
                <w:sz w:val="20"/>
                <w:szCs w:val="20"/>
                <w:color w:val="auto"/>
              </w:rPr>
            </w:pPr>
            <w:r>
              <w:rPr>
                <w:rFonts w:ascii="Calibri" w:cs="Calibri" w:eastAsia="Calibri" w:hAnsi="Calibri"/>
                <w:sz w:val="18"/>
                <w:szCs w:val="18"/>
                <w:color w:val="auto"/>
              </w:rPr>
              <w:t>184</w:t>
            </w:r>
          </w:p>
        </w:tc>
        <w:tc>
          <w:tcPr>
            <w:tcW w:w="2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line="211" w:lineRule="exact"/>
              <w:rPr>
                <w:sz w:val="20"/>
                <w:szCs w:val="20"/>
                <w:color w:val="auto"/>
              </w:rPr>
            </w:pPr>
            <w:r>
              <w:rPr>
                <w:rFonts w:ascii="Calibri" w:cs="Calibri" w:eastAsia="Calibri" w:hAnsi="Calibri"/>
                <w:sz w:val="18"/>
                <w:szCs w:val="18"/>
                <w:color w:val="auto"/>
              </w:rPr>
              <w:t>184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Calibri" w:cs="Calibri" w:eastAsia="Calibri" w:hAnsi="Calibri"/>
                <w:sz w:val="18"/>
                <w:szCs w:val="18"/>
                <w:color w:val="auto"/>
              </w:rPr>
              <w:t>Corporate bonds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715</w:t>
            </w:r>
          </w:p>
        </w:tc>
        <w:tc>
          <w:tcPr>
            <w:tcW w:w="20" w:type="dxa"/>
            <w:vAlign w:val="bottom"/>
          </w:tcPr>
          <w:p>
            <w:pPr>
              <w:spacing w:after="0"/>
              <w:rPr>
                <w:sz w:val="19"/>
                <w:szCs w:val="19"/>
                <w:color w:val="auto"/>
              </w:rPr>
            </w:pPr>
          </w:p>
        </w:tc>
        <w:tc>
          <w:tcPr>
            <w:tcW w:w="400" w:type="dxa"/>
            <w:vAlign w:val="bottom"/>
            <w:gridSpan w:val="2"/>
          </w:tcPr>
          <w:p>
            <w:pPr>
              <w:spacing w:after="0" w:line="138" w:lineRule="exact"/>
              <w:rPr>
                <w:sz w:val="20"/>
                <w:szCs w:val="20"/>
                <w:color w:val="auto"/>
              </w:rPr>
            </w:pPr>
            <w:r>
              <w:rPr>
                <w:rFonts w:ascii="Calibri" w:cs="Calibri" w:eastAsia="Calibri" w:hAnsi="Calibri"/>
                <w:sz w:val="12"/>
                <w:szCs w:val="12"/>
                <w:color w:val="auto"/>
              </w:rPr>
              <w:t>(c)</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715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Calibri" w:cs="Calibri" w:eastAsia="Calibri" w:hAnsi="Calibri"/>
                <w:sz w:val="18"/>
                <w:szCs w:val="18"/>
                <w:color w:val="auto"/>
              </w:rPr>
              <w:t>Municipal bonds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22</w:t>
            </w:r>
          </w:p>
        </w:tc>
        <w:tc>
          <w:tcPr>
            <w:tcW w:w="20" w:type="dxa"/>
            <w:vAlign w:val="bottom"/>
          </w:tcPr>
          <w:p>
            <w:pPr>
              <w:spacing w:after="0"/>
              <w:rPr>
                <w:sz w:val="19"/>
                <w:szCs w:val="19"/>
                <w:color w:val="auto"/>
              </w:rPr>
            </w:pPr>
          </w:p>
        </w:tc>
        <w:tc>
          <w:tcPr>
            <w:tcW w:w="400" w:type="dxa"/>
            <w:vAlign w:val="bottom"/>
            <w:gridSpan w:val="2"/>
          </w:tcPr>
          <w:p>
            <w:pPr>
              <w:spacing w:after="0" w:line="138" w:lineRule="exact"/>
              <w:rPr>
                <w:sz w:val="20"/>
                <w:szCs w:val="20"/>
                <w:color w:val="auto"/>
              </w:rPr>
            </w:pPr>
            <w:r>
              <w:rPr>
                <w:rFonts w:ascii="Calibri" w:cs="Calibri" w:eastAsia="Calibri" w:hAnsi="Calibri"/>
                <w:sz w:val="12"/>
                <w:szCs w:val="12"/>
                <w:color w:val="auto"/>
              </w:rPr>
              <w:t>(c)</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22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Calibri" w:cs="Calibri" w:eastAsia="Calibri" w:hAnsi="Calibri"/>
                <w:sz w:val="18"/>
                <w:szCs w:val="18"/>
                <w:color w:val="auto"/>
              </w:rPr>
              <w:t>Government bonds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14</w:t>
            </w:r>
          </w:p>
        </w:tc>
        <w:tc>
          <w:tcPr>
            <w:tcW w:w="20" w:type="dxa"/>
            <w:vAlign w:val="bottom"/>
          </w:tcPr>
          <w:p>
            <w:pPr>
              <w:spacing w:after="0"/>
              <w:rPr>
                <w:sz w:val="19"/>
                <w:szCs w:val="19"/>
                <w:color w:val="auto"/>
              </w:rPr>
            </w:pPr>
          </w:p>
        </w:tc>
        <w:tc>
          <w:tcPr>
            <w:tcW w:w="400" w:type="dxa"/>
            <w:vAlign w:val="bottom"/>
            <w:gridSpan w:val="2"/>
          </w:tcPr>
          <w:p>
            <w:pPr>
              <w:spacing w:after="0" w:line="138" w:lineRule="exact"/>
              <w:rPr>
                <w:sz w:val="20"/>
                <w:szCs w:val="20"/>
                <w:color w:val="auto"/>
              </w:rPr>
            </w:pPr>
            <w:r>
              <w:rPr>
                <w:rFonts w:ascii="Calibri" w:cs="Calibri" w:eastAsia="Calibri" w:hAnsi="Calibri"/>
                <w:sz w:val="12"/>
                <w:szCs w:val="12"/>
                <w:color w:val="auto"/>
              </w:rPr>
              <w:t>(c)</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40" w:type="dxa"/>
            <w:vAlign w:val="bottom"/>
          </w:tcPr>
          <w:p>
            <w:pPr>
              <w:ind w:left="140"/>
              <w:spacing w:after="0"/>
              <w:rPr>
                <w:sz w:val="20"/>
                <w:szCs w:val="20"/>
                <w:color w:val="auto"/>
              </w:rPr>
            </w:pPr>
            <w:r>
              <w:rPr>
                <w:rFonts w:ascii="Calibri" w:cs="Calibri" w:eastAsia="Calibri" w:hAnsi="Calibri"/>
                <w:sz w:val="18"/>
                <w:szCs w:val="18"/>
                <w:color w:val="auto"/>
              </w:rPr>
              <w:t>Asset-backed securites</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20" w:type="dxa"/>
            <w:vAlign w:val="bottom"/>
          </w:tcPr>
          <w:p>
            <w:pPr>
              <w:spacing w:after="0"/>
              <w:rPr>
                <w:sz w:val="21"/>
                <w:szCs w:val="21"/>
                <w:color w:val="auto"/>
              </w:rPr>
            </w:pPr>
          </w:p>
        </w:tc>
        <w:tc>
          <w:tcPr>
            <w:tcW w:w="400" w:type="dxa"/>
            <w:vAlign w:val="bottom"/>
            <w:gridSpan w:val="2"/>
          </w:tcPr>
          <w:p>
            <w:pPr>
              <w:spacing w:after="0" w:line="138" w:lineRule="exact"/>
              <w:rPr>
                <w:sz w:val="20"/>
                <w:szCs w:val="20"/>
                <w:color w:val="auto"/>
              </w:rPr>
            </w:pPr>
            <w:r>
              <w:rPr>
                <w:rFonts w:ascii="Calibri" w:cs="Calibri" w:eastAsia="Calibri" w:hAnsi="Calibri"/>
                <w:sz w:val="12"/>
                <w:szCs w:val="12"/>
                <w:color w:val="auto"/>
              </w:rPr>
              <w:t>(c)</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Calibri" w:cs="Calibri" w:eastAsia="Calibri" w:hAnsi="Calibri"/>
                <w:sz w:val="18"/>
                <w:szCs w:val="18"/>
                <w:color w:val="auto"/>
              </w:rPr>
              <w:t>Plan assets measured by fair value hierarchy</w:t>
            </w:r>
          </w:p>
        </w:tc>
        <w:tc>
          <w:tcPr>
            <w:tcW w:w="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936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1,036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Plan assets measured at net asset value</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5" w:lineRule="exact"/>
              <w:rPr>
                <w:sz w:val="20"/>
                <w:szCs w:val="20"/>
                <w:color w:val="auto"/>
              </w:rPr>
            </w:pPr>
            <w:r>
              <w:rPr>
                <w:rFonts w:ascii="Calibri" w:cs="Calibri" w:eastAsia="Calibri" w:hAnsi="Calibri"/>
                <w:sz w:val="18"/>
                <w:szCs w:val="18"/>
                <w:color w:val="auto"/>
              </w:rPr>
              <w:t>122</w:t>
            </w:r>
          </w:p>
        </w:tc>
        <w:tc>
          <w:tcPr>
            <w:tcW w:w="300" w:type="dxa"/>
            <w:vAlign w:val="bottom"/>
            <w:gridSpan w:val="2"/>
            <w:shd w:val="clear" w:color="auto" w:fill="CCEEFF"/>
          </w:tcPr>
          <w:p>
            <w:pPr>
              <w:ind w:left="20"/>
              <w:spacing w:after="0" w:line="118" w:lineRule="exact"/>
              <w:rPr>
                <w:sz w:val="20"/>
                <w:szCs w:val="20"/>
                <w:color w:val="auto"/>
              </w:rPr>
            </w:pPr>
            <w:r>
              <w:rPr>
                <w:rFonts w:ascii="Calibri" w:cs="Calibri" w:eastAsia="Calibri" w:hAnsi="Calibri"/>
                <w:sz w:val="12"/>
                <w:szCs w:val="12"/>
                <w:color w:val="auto"/>
              </w:rPr>
              <w:t>(d)</w:t>
            </w:r>
          </w:p>
        </w:tc>
        <w:tc>
          <w:tcPr>
            <w:tcW w:w="0" w:type="dxa"/>
            <w:vAlign w:val="bottom"/>
          </w:tcPr>
          <w:p>
            <w:pPr>
              <w:spacing w:after="0"/>
              <w:rPr>
                <w:sz w:val="1"/>
                <w:szCs w:val="1"/>
                <w:color w:val="auto"/>
              </w:rPr>
            </w:pPr>
          </w:p>
        </w:tc>
      </w:tr>
      <w:tr>
        <w:trPr>
          <w:trHeight w:val="196"/>
        </w:trPr>
        <w:tc>
          <w:tcPr>
            <w:tcW w:w="6740" w:type="dxa"/>
            <w:vAlign w:val="bottom"/>
          </w:tcPr>
          <w:p>
            <w:pPr>
              <w:ind w:left="20"/>
              <w:spacing w:after="0" w:line="196" w:lineRule="exact"/>
              <w:rPr>
                <w:sz w:val="20"/>
                <w:szCs w:val="20"/>
                <w:color w:val="auto"/>
              </w:rPr>
            </w:pPr>
            <w:r>
              <w:rPr>
                <w:rFonts w:ascii="Calibri" w:cs="Calibri" w:eastAsia="Calibri" w:hAnsi="Calibri"/>
                <w:sz w:val="18"/>
                <w:szCs w:val="18"/>
                <w:color w:val="auto"/>
              </w:rPr>
              <w:t>Total plan assets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jc w:val="right"/>
              <w:ind w:right="140"/>
              <w:spacing w:after="0" w:line="196" w:lineRule="exact"/>
              <w:rPr>
                <w:sz w:val="20"/>
                <w:szCs w:val="20"/>
                <w:color w:val="auto"/>
              </w:rPr>
            </w:pPr>
            <w:r>
              <w:rPr>
                <w:rFonts w:ascii="Calibri" w:cs="Calibri" w:eastAsia="Calibri" w:hAnsi="Calibri"/>
                <w:sz w:val="18"/>
                <w:szCs w:val="18"/>
                <w:color w:val="auto"/>
                <w:w w:val="87"/>
              </w:rPr>
              <w:t>$</w:t>
            </w:r>
          </w:p>
        </w:tc>
        <w:tc>
          <w:tcPr>
            <w:tcW w:w="860" w:type="dxa"/>
            <w:vAlign w:val="bottom"/>
            <w:tcBorders>
              <w:bottom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1,158</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vMerge w:val="restart"/>
          </w:tcPr>
          <w:p>
            <w:pPr>
              <w:jc w:val="center"/>
              <w:spacing w:after="0"/>
              <w:rPr>
                <w:sz w:val="20"/>
                <w:szCs w:val="20"/>
                <w:color w:val="auto"/>
              </w:rPr>
            </w:pPr>
            <w:r>
              <w:rPr>
                <w:rFonts w:ascii="Calibri" w:cs="Calibri" w:eastAsia="Calibri" w:hAnsi="Calibri"/>
                <w:sz w:val="14"/>
                <w:szCs w:val="14"/>
                <w:b w:val="1"/>
                <w:bCs w:val="1"/>
                <w:color w:val="auto"/>
              </w:rPr>
              <w:t>October 29, 2023</w:t>
            </w: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6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000" w:type="dxa"/>
            <w:vAlign w:val="bottom"/>
            <w:tcBorders>
              <w:bottom w:val="single" w:sz="8" w:color="auto"/>
            </w:tcBorders>
            <w:gridSpan w:val="11"/>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740" w:type="dxa"/>
            <w:vAlign w:val="bottom"/>
          </w:tcPr>
          <w:p>
            <w:pPr>
              <w:spacing w:after="0"/>
              <w:rPr>
                <w:sz w:val="14"/>
                <w:szCs w:val="14"/>
                <w:color w:val="auto"/>
              </w:rPr>
            </w:pPr>
          </w:p>
        </w:tc>
        <w:tc>
          <w:tcPr>
            <w:tcW w:w="3000" w:type="dxa"/>
            <w:vAlign w:val="bottom"/>
            <w:gridSpan w:val="11"/>
          </w:tcPr>
          <w:p>
            <w:pPr>
              <w:ind w:left="40"/>
              <w:spacing w:after="0" w:line="164" w:lineRule="exact"/>
              <w:rPr>
                <w:sz w:val="20"/>
                <w:szCs w:val="20"/>
                <w:color w:val="auto"/>
              </w:rPr>
            </w:pPr>
            <w:r>
              <w:rPr>
                <w:rFonts w:ascii="Calibri" w:cs="Calibri" w:eastAsia="Calibri" w:hAnsi="Calibri"/>
                <w:sz w:val="14"/>
                <w:szCs w:val="14"/>
                <w:b w:val="1"/>
                <w:bCs w:val="1"/>
                <w:color w:val="auto"/>
              </w:rPr>
              <w:t>Fair Value Measurements at Reportng Date Using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restart"/>
          </w:tcPr>
          <w:p>
            <w:pPr>
              <w:jc w:val="right"/>
              <w:ind w:right="293"/>
              <w:spacing w:after="0"/>
              <w:rPr>
                <w:sz w:val="20"/>
                <w:szCs w:val="20"/>
                <w:color w:val="auto"/>
              </w:rPr>
            </w:pPr>
            <w:r>
              <w:rPr>
                <w:rFonts w:ascii="Calibri" w:cs="Calibri" w:eastAsia="Calibri" w:hAnsi="Calibri"/>
                <w:sz w:val="14"/>
                <w:szCs w:val="14"/>
                <w:b w:val="1"/>
                <w:bCs w:val="1"/>
                <w:color w:val="auto"/>
              </w:rPr>
              <w:t>Total</w:t>
            </w: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235"/>
              <w:spacing w:after="0" w:line="164" w:lineRule="exact"/>
              <w:rPr>
                <w:sz w:val="20"/>
                <w:szCs w:val="20"/>
                <w:color w:val="auto"/>
              </w:rPr>
            </w:pPr>
            <w:r>
              <w:rPr>
                <w:rFonts w:ascii="Calibri" w:cs="Calibri" w:eastAsia="Calibri" w:hAnsi="Calibri"/>
                <w:sz w:val="14"/>
                <w:szCs w:val="14"/>
                <w:b w:val="1"/>
                <w:bCs w:val="1"/>
                <w:color w:val="auto"/>
              </w:rPr>
              <w:t>Level 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60"/>
              <w:spacing w:after="0" w:line="164" w:lineRule="exact"/>
              <w:rPr>
                <w:sz w:val="20"/>
                <w:szCs w:val="20"/>
                <w:color w:val="auto"/>
              </w:rPr>
            </w:pPr>
            <w:r>
              <w:rPr>
                <w:rFonts w:ascii="Calibri" w:cs="Calibri" w:eastAsia="Calibri" w:hAnsi="Calibri"/>
                <w:sz w:val="14"/>
                <w:szCs w:val="14"/>
                <w:b w:val="1"/>
                <w:bCs w:val="1"/>
                <w:color w:val="auto"/>
                <w:w w:val="99"/>
              </w:rPr>
              <w:t>Level 2</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Calibri" w:cs="Calibri" w:eastAsia="Calibri" w:hAnsi="Calibri"/>
                <w:sz w:val="14"/>
                <w:szCs w:val="14"/>
                <w:b w:val="1"/>
                <w:bCs w:val="1"/>
                <w:color w:val="auto"/>
              </w:rPr>
              <w:t>(In millions)</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-2635885</wp:posOffset>
            </wp:positionV>
            <wp:extent cx="707199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7199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-2344420</wp:posOffset>
            </wp:positionV>
            <wp:extent cx="7071995"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7199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-2052320</wp:posOffset>
            </wp:positionV>
            <wp:extent cx="7071995"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7199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-1761490</wp:posOffset>
            </wp:positionV>
            <wp:extent cx="707199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7199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-1470025</wp:posOffset>
            </wp:positionV>
            <wp:extent cx="707199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ectPr>
          <w:pgSz w:w="11900" w:h="16838" w:orient="portrait"/>
          <w:cols w:equalWidth="0" w:num="1">
            <w:col w:w="11140"/>
          </w:cols>
          <w:pgMar w:left="320" w:top="112" w:right="439" w:bottom="1440" w:gutter="0" w:footer="0" w:header="0"/>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40" w:type="dxa"/>
            <w:vAlign w:val="bottom"/>
          </w:tcPr>
          <w:p>
            <w:pPr>
              <w:ind w:left="20"/>
              <w:spacing w:after="0"/>
              <w:rPr>
                <w:sz w:val="20"/>
                <w:szCs w:val="20"/>
                <w:color w:val="auto"/>
              </w:rPr>
            </w:pPr>
            <w:r>
              <w:rPr>
                <w:rFonts w:ascii="Calibri" w:cs="Calibri" w:eastAsia="Calibri" w:hAnsi="Calibri"/>
                <w:sz w:val="18"/>
                <w:szCs w:val="18"/>
                <w:color w:val="auto"/>
              </w:rPr>
              <w:t>Cash equivalents</w:t>
            </w:r>
          </w:p>
        </w:tc>
        <w:tc>
          <w:tcPr>
            <w:tcW w:w="480" w:type="dxa"/>
            <w:vAlign w:val="bottom"/>
          </w:tcPr>
          <w:p>
            <w:pPr>
              <w:jc w:val="right"/>
              <w:ind w:right="270"/>
              <w:spacing w:after="0"/>
              <w:rPr>
                <w:sz w:val="20"/>
                <w:szCs w:val="20"/>
                <w:color w:val="auto"/>
              </w:rPr>
            </w:pPr>
            <w:r>
              <w:rPr>
                <w:rFonts w:ascii="Calibri" w:cs="Calibri" w:eastAsia="Calibri" w:hAnsi="Calibri"/>
                <w:sz w:val="18"/>
                <w:szCs w:val="18"/>
                <w:color w:val="auto"/>
              </w:rPr>
              <w:t>$</w:t>
            </w:r>
          </w:p>
        </w:tc>
        <w:tc>
          <w:tcPr>
            <w:tcW w:w="620" w:type="dxa"/>
            <w:vAlign w:val="bottom"/>
          </w:tcPr>
          <w:p>
            <w:pPr>
              <w:jc w:val="right"/>
              <w:spacing w:after="0"/>
              <w:rPr>
                <w:sz w:val="20"/>
                <w:szCs w:val="20"/>
                <w:color w:val="auto"/>
              </w:rPr>
            </w:pPr>
            <w:r>
              <w:rPr>
                <w:rFonts w:ascii="Calibri" w:cs="Calibri" w:eastAsia="Calibri" w:hAnsi="Calibri"/>
                <w:sz w:val="18"/>
                <w:szCs w:val="18"/>
                <w:color w:val="auto"/>
              </w:rPr>
              <w:t>16</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Calibri" w:cs="Calibri" w:eastAsia="Calibri" w:hAnsi="Calibri"/>
                <w:sz w:val="18"/>
                <w:szCs w:val="18"/>
                <w:color w:val="auto"/>
              </w:rPr>
              <w:t>Equity securites:</w:t>
            </w: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Calibri" w:cs="Calibri" w:eastAsia="Calibri" w:hAnsi="Calibri"/>
                <w:sz w:val="18"/>
                <w:szCs w:val="18"/>
                <w:color w:val="auto"/>
              </w:rPr>
              <w:t>Non-U.S. equity securites</w:t>
            </w: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Calibri" w:cs="Calibri" w:eastAsia="Calibri" w:hAnsi="Calibri"/>
                <w:sz w:val="18"/>
                <w:szCs w:val="18"/>
                <w:color w:val="auto"/>
              </w:rPr>
              <w:t>62</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Calibri" w:cs="Calibri" w:eastAsia="Calibri" w:hAnsi="Calibri"/>
                <w:sz w:val="18"/>
                <w:szCs w:val="18"/>
                <w:color w:val="auto"/>
              </w:rPr>
              <w:t>Fixed-income securites:</w:t>
            </w: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Calibri" w:cs="Calibri" w:eastAsia="Calibri" w:hAnsi="Calibri"/>
                <w:sz w:val="18"/>
                <w:szCs w:val="18"/>
                <w:color w:val="auto"/>
              </w:rPr>
              <w:t>U.S. treasuries</w:t>
            </w: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Calibri" w:cs="Calibri" w:eastAsia="Calibri" w:hAnsi="Calibri"/>
                <w:sz w:val="18"/>
                <w:szCs w:val="18"/>
                <w:color w:val="auto"/>
              </w:rPr>
              <w:t>Corporate bonds</w:t>
            </w: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Calibri" w:cs="Calibri" w:eastAsia="Calibri" w:hAnsi="Calibri"/>
                <w:sz w:val="18"/>
                <w:szCs w:val="18"/>
                <w:color w:val="auto"/>
              </w:rPr>
              <w:t>Municipal bonds</w:t>
            </w: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Calibri" w:cs="Calibri" w:eastAsia="Calibri" w:hAnsi="Calibri"/>
                <w:sz w:val="18"/>
                <w:szCs w:val="18"/>
                <w:color w:val="auto"/>
              </w:rPr>
              <w:t>Government bonds</w:t>
            </w: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Calibri" w:cs="Calibri" w:eastAsia="Calibri" w:hAnsi="Calibri"/>
                <w:sz w:val="18"/>
                <w:szCs w:val="18"/>
                <w:color w:val="auto"/>
              </w:rPr>
              <w:t>Asset-backed securites</w:t>
            </w: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Calibri" w:cs="Calibri" w:eastAsia="Calibri" w:hAnsi="Calibri"/>
                <w:sz w:val="18"/>
                <w:szCs w:val="18"/>
                <w:color w:val="auto"/>
              </w:rPr>
              <w:t>Total plan assets</w:t>
            </w:r>
          </w:p>
        </w:tc>
        <w:tc>
          <w:tcPr>
            <w:tcW w:w="480" w:type="dxa"/>
            <w:vAlign w:val="bottom"/>
            <w:tcBorders>
              <w:bottom w:val="single" w:sz="8" w:color="auto"/>
            </w:tcBorders>
          </w:tcPr>
          <w:p>
            <w:pPr>
              <w:jc w:val="right"/>
              <w:ind w:right="27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78</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Calibri" w:cs="Calibri" w:eastAsia="Calibri" w:hAnsi="Calibri"/>
                <w:sz w:val="18"/>
                <w:szCs w:val="18"/>
                <w:color w:val="auto"/>
              </w:rPr>
              <w:t>______________________________</w:t>
            </w: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7"/>
        </w:trPr>
        <w:tc>
          <w:tcPr>
            <w:tcW w:w="6740" w:type="dxa"/>
            <w:vAlign w:val="bottom"/>
            <w:vMerge w:val="continue"/>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-1673225</wp:posOffset>
            </wp:positionV>
            <wp:extent cx="708914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8914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-1381760</wp:posOffset>
            </wp:positionV>
            <wp:extent cx="708914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8914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-1090295</wp:posOffset>
            </wp:positionV>
            <wp:extent cx="708914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8914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-798830</wp:posOffset>
            </wp:positionV>
            <wp:extent cx="708914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8914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-507365</wp:posOffset>
            </wp:positionV>
            <wp:extent cx="708914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8914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1"/>
          <w:szCs w:val="11"/>
          <w:color w:val="auto"/>
        </w:rPr>
        <w:t>(a)</w:t>
      </w:r>
    </w:p>
    <w:p>
      <w:pPr>
        <w:spacing w:after="0" w:line="325" w:lineRule="exact"/>
        <w:rPr>
          <w:sz w:val="20"/>
          <w:szCs w:val="20"/>
          <w:color w:val="auto"/>
        </w:rPr>
      </w:pPr>
    </w:p>
    <w:p>
      <w:pPr>
        <w:spacing w:after="0"/>
        <w:rPr>
          <w:sz w:val="20"/>
          <w:szCs w:val="20"/>
          <w:color w:val="auto"/>
        </w:rPr>
      </w:pPr>
      <w:r>
        <w:rPr>
          <w:rFonts w:ascii="Calibri" w:cs="Calibri" w:eastAsia="Calibri" w:hAnsi="Calibri"/>
          <w:sz w:val="9"/>
          <w:szCs w:val="9"/>
          <w:color w:val="auto"/>
        </w:rPr>
        <w:t>(b)</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360" w:type="dxa"/>
            <w:vAlign w:val="bottom"/>
          </w:tcPr>
          <w:p>
            <w:pPr>
              <w:jc w:val="right"/>
              <w:ind w:right="170"/>
              <w:spacing w:after="0"/>
              <w:rPr>
                <w:sz w:val="20"/>
                <w:szCs w:val="20"/>
                <w:color w:val="auto"/>
              </w:rPr>
            </w:pPr>
            <w:r>
              <w:rPr>
                <w:rFonts w:ascii="Calibri" w:cs="Calibri" w:eastAsia="Calibri" w:hAnsi="Calibri"/>
                <w:sz w:val="18"/>
                <w:szCs w:val="18"/>
                <w:color w:val="auto"/>
                <w:w w:val="87"/>
              </w:rPr>
              <w:t>$</w:t>
            </w:r>
          </w:p>
        </w:tc>
        <w:tc>
          <w:tcPr>
            <w:tcW w:w="720" w:type="dxa"/>
            <w:vAlign w:val="bottom"/>
          </w:tcPr>
          <w:p>
            <w:pPr>
              <w:jc w:val="right"/>
              <w:spacing w:after="0"/>
              <w:rPr>
                <w:sz w:val="20"/>
                <w:szCs w:val="20"/>
                <w:color w:val="auto"/>
              </w:rPr>
            </w:pPr>
            <w:r>
              <w:rPr>
                <w:rFonts w:ascii="Calibri" w:cs="Calibri" w:eastAsia="Calibri" w:hAnsi="Calibri"/>
                <w:sz w:val="18"/>
                <w:szCs w:val="18"/>
                <w:color w:val="auto"/>
              </w:rPr>
              <w:t>—</w:t>
            </w:r>
          </w:p>
        </w:tc>
        <w:tc>
          <w:tcPr>
            <w:tcW w:w="800" w:type="dxa"/>
            <w:vAlign w:val="bottom"/>
            <w:gridSpan w:val="2"/>
          </w:tcPr>
          <w:p>
            <w:pPr>
              <w:ind w:left="440"/>
              <w:spacing w:after="0"/>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rPr>
                <w:sz w:val="20"/>
                <w:szCs w:val="20"/>
                <w:color w:val="auto"/>
              </w:rPr>
            </w:pPr>
            <w:r>
              <w:rPr>
                <w:rFonts w:ascii="Calibri" w:cs="Calibri" w:eastAsia="Calibri" w:hAnsi="Calibri"/>
                <w:sz w:val="18"/>
                <w:szCs w:val="18"/>
                <w:color w:val="auto"/>
              </w:rPr>
              <w:t>16</w:t>
            </w:r>
          </w:p>
        </w:tc>
      </w:tr>
      <w:tr>
        <w:trPr>
          <w:trHeight w:val="459"/>
        </w:trPr>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62</w:t>
            </w:r>
          </w:p>
        </w:tc>
      </w:tr>
      <w:tr>
        <w:trPr>
          <w:trHeight w:val="440"/>
        </w:trPr>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144</w:t>
            </w:r>
          </w:p>
        </w:tc>
        <w:tc>
          <w:tcPr>
            <w:tcW w:w="800" w:type="dxa"/>
            <w:vAlign w:val="bottom"/>
            <w:gridSpan w:val="2"/>
          </w:tcPr>
          <w:p>
            <w:pPr>
              <w:ind w:left="20"/>
              <w:spacing w:after="0"/>
              <w:rPr>
                <w:sz w:val="20"/>
                <w:szCs w:val="20"/>
                <w:color w:val="auto"/>
              </w:rPr>
            </w:pPr>
            <w:r>
              <w:rPr>
                <w:rFonts w:ascii="Calibri" w:cs="Calibri" w:eastAsia="Calibri" w:hAnsi="Calibri"/>
                <w:sz w:val="12"/>
                <w:szCs w:val="12"/>
                <w:color w:val="auto"/>
              </w:rPr>
              <w:t>(c)</w:t>
            </w:r>
          </w:p>
        </w:tc>
        <w:tc>
          <w:tcPr>
            <w:tcW w:w="720" w:type="dxa"/>
            <w:vAlign w:val="bottom"/>
          </w:tcPr>
          <w:p>
            <w:pPr>
              <w:jc w:val="right"/>
              <w:spacing w:after="0"/>
              <w:rPr>
                <w:sz w:val="20"/>
                <w:szCs w:val="20"/>
                <w:color w:val="auto"/>
              </w:rPr>
            </w:pPr>
            <w:r>
              <w:rPr>
                <w:rFonts w:ascii="Calibri" w:cs="Calibri" w:eastAsia="Calibri" w:hAnsi="Calibri"/>
                <w:sz w:val="18"/>
                <w:szCs w:val="18"/>
                <w:color w:val="auto"/>
              </w:rPr>
              <w:t>144</w:t>
            </w:r>
          </w:p>
        </w:tc>
      </w:tr>
      <w:tr>
        <w:trPr>
          <w:trHeight w:val="230"/>
        </w:trPr>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837</w:t>
            </w:r>
          </w:p>
        </w:tc>
        <w:tc>
          <w:tcPr>
            <w:tcW w:w="800" w:type="dxa"/>
            <w:vAlign w:val="bottom"/>
            <w:gridSpan w:val="2"/>
          </w:tcPr>
          <w:p>
            <w:pPr>
              <w:ind w:left="20"/>
              <w:spacing w:after="0" w:line="138" w:lineRule="exact"/>
              <w:rPr>
                <w:sz w:val="20"/>
                <w:szCs w:val="20"/>
                <w:color w:val="auto"/>
              </w:rPr>
            </w:pPr>
            <w:r>
              <w:rPr>
                <w:rFonts w:ascii="Calibri" w:cs="Calibri" w:eastAsia="Calibri" w:hAnsi="Calibri"/>
                <w:sz w:val="12"/>
                <w:szCs w:val="12"/>
                <w:color w:val="auto"/>
              </w:rPr>
              <w:t>(c)</w:t>
            </w:r>
          </w:p>
        </w:tc>
        <w:tc>
          <w:tcPr>
            <w:tcW w:w="720" w:type="dxa"/>
            <w:vAlign w:val="bottom"/>
          </w:tcPr>
          <w:p>
            <w:pPr>
              <w:jc w:val="right"/>
              <w:spacing w:after="0"/>
              <w:rPr>
                <w:sz w:val="20"/>
                <w:szCs w:val="20"/>
                <w:color w:val="auto"/>
              </w:rPr>
            </w:pPr>
            <w:r>
              <w:rPr>
                <w:rFonts w:ascii="Calibri" w:cs="Calibri" w:eastAsia="Calibri" w:hAnsi="Calibri"/>
                <w:sz w:val="18"/>
                <w:szCs w:val="18"/>
                <w:color w:val="auto"/>
              </w:rPr>
              <w:t>837</w:t>
            </w:r>
          </w:p>
        </w:tc>
      </w:tr>
      <w:tr>
        <w:trPr>
          <w:trHeight w:val="229"/>
        </w:trPr>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23</w:t>
            </w:r>
          </w:p>
        </w:tc>
        <w:tc>
          <w:tcPr>
            <w:tcW w:w="800" w:type="dxa"/>
            <w:vAlign w:val="bottom"/>
            <w:gridSpan w:val="2"/>
          </w:tcPr>
          <w:p>
            <w:pPr>
              <w:ind w:left="20"/>
              <w:spacing w:after="0" w:line="138" w:lineRule="exact"/>
              <w:rPr>
                <w:sz w:val="20"/>
                <w:szCs w:val="20"/>
                <w:color w:val="auto"/>
              </w:rPr>
            </w:pPr>
            <w:r>
              <w:rPr>
                <w:rFonts w:ascii="Calibri" w:cs="Calibri" w:eastAsia="Calibri" w:hAnsi="Calibri"/>
                <w:sz w:val="12"/>
                <w:szCs w:val="12"/>
                <w:color w:val="auto"/>
              </w:rPr>
              <w:t>(c)</w:t>
            </w:r>
          </w:p>
        </w:tc>
        <w:tc>
          <w:tcPr>
            <w:tcW w:w="720" w:type="dxa"/>
            <w:vAlign w:val="bottom"/>
          </w:tcPr>
          <w:p>
            <w:pPr>
              <w:jc w:val="right"/>
              <w:spacing w:after="0"/>
              <w:rPr>
                <w:sz w:val="20"/>
                <w:szCs w:val="20"/>
                <w:color w:val="auto"/>
              </w:rPr>
            </w:pPr>
            <w:r>
              <w:rPr>
                <w:rFonts w:ascii="Calibri" w:cs="Calibri" w:eastAsia="Calibri" w:hAnsi="Calibri"/>
                <w:sz w:val="18"/>
                <w:szCs w:val="18"/>
                <w:color w:val="auto"/>
              </w:rPr>
              <w:t>23</w:t>
            </w:r>
          </w:p>
        </w:tc>
      </w:tr>
      <w:tr>
        <w:trPr>
          <w:trHeight w:val="230"/>
        </w:trPr>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21</w:t>
            </w:r>
          </w:p>
        </w:tc>
        <w:tc>
          <w:tcPr>
            <w:tcW w:w="800" w:type="dxa"/>
            <w:vAlign w:val="bottom"/>
            <w:gridSpan w:val="2"/>
          </w:tcPr>
          <w:p>
            <w:pPr>
              <w:ind w:left="20"/>
              <w:spacing w:after="0" w:line="138" w:lineRule="exact"/>
              <w:rPr>
                <w:sz w:val="20"/>
                <w:szCs w:val="20"/>
                <w:color w:val="auto"/>
              </w:rPr>
            </w:pPr>
            <w:r>
              <w:rPr>
                <w:rFonts w:ascii="Calibri" w:cs="Calibri" w:eastAsia="Calibri" w:hAnsi="Calibri"/>
                <w:sz w:val="12"/>
                <w:szCs w:val="12"/>
                <w:color w:val="auto"/>
              </w:rPr>
              <w:t>(c)</w:t>
            </w:r>
          </w:p>
        </w:tc>
        <w:tc>
          <w:tcPr>
            <w:tcW w:w="720" w:type="dxa"/>
            <w:vAlign w:val="bottom"/>
          </w:tcPr>
          <w:p>
            <w:pPr>
              <w:jc w:val="right"/>
              <w:spacing w:after="0"/>
              <w:rPr>
                <w:sz w:val="20"/>
                <w:szCs w:val="20"/>
                <w:color w:val="auto"/>
              </w:rPr>
            </w:pPr>
            <w:r>
              <w:rPr>
                <w:rFonts w:ascii="Calibri" w:cs="Calibri" w:eastAsia="Calibri" w:hAnsi="Calibri"/>
                <w:sz w:val="18"/>
                <w:szCs w:val="18"/>
                <w:color w:val="auto"/>
              </w:rPr>
              <w:t>21</w:t>
            </w:r>
          </w:p>
        </w:tc>
      </w:tr>
      <w:tr>
        <w:trPr>
          <w:trHeight w:val="248"/>
        </w:trPr>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2</w:t>
            </w:r>
          </w:p>
        </w:tc>
        <w:tc>
          <w:tcPr>
            <w:tcW w:w="800" w:type="dxa"/>
            <w:vAlign w:val="bottom"/>
            <w:gridSpan w:val="2"/>
          </w:tcPr>
          <w:p>
            <w:pPr>
              <w:ind w:left="20"/>
              <w:spacing w:after="0" w:line="138" w:lineRule="exact"/>
              <w:rPr>
                <w:sz w:val="20"/>
                <w:szCs w:val="20"/>
                <w:color w:val="auto"/>
              </w:rPr>
            </w:pPr>
            <w:r>
              <w:rPr>
                <w:rFonts w:ascii="Calibri" w:cs="Calibri" w:eastAsia="Calibri" w:hAnsi="Calibri"/>
                <w:sz w:val="12"/>
                <w:szCs w:val="12"/>
                <w:color w:val="auto"/>
              </w:rPr>
              <w:t>(c)</w:t>
            </w:r>
          </w:p>
        </w:tc>
        <w:tc>
          <w:tcPr>
            <w:tcW w:w="720" w:type="dxa"/>
            <w:vAlign w:val="bottom"/>
          </w:tcPr>
          <w:p>
            <w:pPr>
              <w:jc w:val="right"/>
              <w:spacing w:after="0"/>
              <w:rPr>
                <w:sz w:val="20"/>
                <w:szCs w:val="20"/>
                <w:color w:val="auto"/>
              </w:rPr>
            </w:pPr>
            <w:r>
              <w:rPr>
                <w:rFonts w:ascii="Calibri" w:cs="Calibri" w:eastAsia="Calibri" w:hAnsi="Calibri"/>
                <w:sz w:val="18"/>
                <w:szCs w:val="18"/>
                <w:color w:val="auto"/>
              </w:rPr>
              <w:t>2</w:t>
            </w:r>
          </w:p>
        </w:tc>
      </w:tr>
      <w:tr>
        <w:trPr>
          <w:trHeight w:val="23"/>
        </w:trPr>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r>
      <w:tr>
        <w:trPr>
          <w:trHeight w:val="216"/>
        </w:trPr>
        <w:tc>
          <w:tcPr>
            <w:tcW w:w="360" w:type="dxa"/>
            <w:vAlign w:val="bottom"/>
            <w:tcBorders>
              <w:top w:val="single" w:sz="8" w:color="auto"/>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7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1,027</w:t>
            </w:r>
          </w:p>
        </w:tc>
        <w:tc>
          <w:tcPr>
            <w:tcW w:w="42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1,105</w:t>
            </w:r>
          </w:p>
        </w:tc>
      </w:tr>
      <w:tr>
        <w:trPr>
          <w:trHeight w:val="27"/>
        </w:trPr>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382" w:lineRule="exact"/>
        <w:rPr>
          <w:sz w:val="20"/>
          <w:szCs w:val="20"/>
          <w:color w:val="auto"/>
        </w:rPr>
      </w:pPr>
    </w:p>
    <w:p>
      <w:pPr>
        <w:sectPr>
          <w:pgSz w:w="11900" w:h="16838" w:orient="portrait"/>
          <w:cols w:equalWidth="0" w:num="3">
            <w:col w:w="7840" w:space="20"/>
            <w:col w:w="120" w:space="280"/>
            <w:col w:w="2880"/>
          </w:cols>
          <w:pgMar w:left="320" w:top="112" w:right="439" w:bottom="1440" w:gutter="0" w:footer="0" w:header="0"/>
          <w:type w:val="continuous"/>
        </w:sectPr>
      </w:pPr>
    </w:p>
    <w:p>
      <w:pPr>
        <w:ind w:left="340" w:right="140" w:hanging="332"/>
        <w:spacing w:after="0" w:line="235" w:lineRule="auto"/>
        <w:tabs>
          <w:tab w:leader="none" w:pos="328"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Cash equivalents primarily included short-term investment funds which consisted of short-term money market instruments that were valued based on quoted prices in actve markets.</w:t>
      </w:r>
    </w:p>
    <w:p>
      <w:pPr>
        <w:spacing w:after="0" w:line="104" w:lineRule="exact"/>
        <w:rPr>
          <w:rFonts w:ascii="Calibri" w:cs="Calibri" w:eastAsia="Calibri" w:hAnsi="Calibri"/>
          <w:sz w:val="18"/>
          <w:szCs w:val="18"/>
          <w:color w:val="auto"/>
        </w:rPr>
      </w:pPr>
    </w:p>
    <w:p>
      <w:pPr>
        <w:ind w:left="320" w:hanging="312"/>
        <w:spacing w:after="0"/>
        <w:tabs>
          <w:tab w:leader="none" w:pos="320"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These equity securites were valued based on quoted prices in actve markets.</w:t>
      </w:r>
    </w:p>
    <w:p>
      <w:pPr>
        <w:spacing w:after="0" w:line="109" w:lineRule="exact"/>
        <w:rPr>
          <w:rFonts w:ascii="Calibri" w:cs="Calibri" w:eastAsia="Calibri" w:hAnsi="Calibri"/>
          <w:sz w:val="18"/>
          <w:szCs w:val="18"/>
          <w:color w:val="auto"/>
        </w:rPr>
      </w:pPr>
    </w:p>
    <w:p>
      <w:pPr>
        <w:ind w:left="340" w:right="200" w:hanging="332"/>
        <w:spacing w:after="0" w:line="235" w:lineRule="auto"/>
        <w:tabs>
          <w:tab w:leader="none" w:pos="332"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These amounts consisted of investments that were traded less frequently than Level 1 securites and were valued using inputs that included quoted prices for similar assets in actve markets and inputs other than quoted prices that were observable for the assets, such as interest rates, yield curves, prepayment speeds, collateral performance, broker/dealer quotes and indices that were observable at commonly quoted intervals.</w:t>
      </w:r>
    </w:p>
    <w:p>
      <w:pPr>
        <w:spacing w:after="0" w:line="92" w:lineRule="exact"/>
        <w:rPr>
          <w:rFonts w:ascii="Calibri" w:cs="Calibri" w:eastAsia="Calibri" w:hAnsi="Calibri"/>
          <w:sz w:val="18"/>
          <w:szCs w:val="18"/>
          <w:color w:val="auto"/>
        </w:rPr>
      </w:pPr>
    </w:p>
    <w:p>
      <w:pPr>
        <w:ind w:left="320" w:hanging="312"/>
        <w:spacing w:after="0"/>
        <w:tabs>
          <w:tab w:leader="none" w:pos="320"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Plan assets measured at fair value using net asset value as a practcal expedient were excluded from the fair value hierarchy.</w:t>
      </w: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 w:right="439"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0"/>
        <w:spacing w:after="0"/>
        <w:rPr>
          <w:sz w:val="20"/>
          <w:szCs w:val="20"/>
          <w:color w:val="auto"/>
        </w:rPr>
      </w:pPr>
      <w:r>
        <w:rPr>
          <w:rFonts w:ascii="Calibri" w:cs="Calibri" w:eastAsia="Calibri" w:hAnsi="Calibri"/>
          <w:sz w:val="18"/>
          <w:szCs w:val="18"/>
          <w:b w:val="1"/>
          <w:bCs w:val="1"/>
          <w:i w:val="1"/>
          <w:iCs w:val="1"/>
          <w:color w:val="auto"/>
        </w:rPr>
        <w:t>Assumptons</w:t>
      </w:r>
    </w:p>
    <w:p>
      <w:pPr>
        <w:spacing w:after="0" w:line="109" w:lineRule="exact"/>
        <w:rPr>
          <w:sz w:val="20"/>
          <w:szCs w:val="20"/>
          <w:color w:val="auto"/>
        </w:rPr>
      </w:pPr>
    </w:p>
    <w:p>
      <w:pPr>
        <w:ind w:right="40" w:firstLine="405"/>
        <w:spacing w:after="0" w:line="235" w:lineRule="auto"/>
        <w:rPr>
          <w:sz w:val="20"/>
          <w:szCs w:val="20"/>
          <w:color w:val="auto"/>
        </w:rPr>
      </w:pPr>
      <w:r>
        <w:rPr>
          <w:rFonts w:ascii="Calibri" w:cs="Calibri" w:eastAsia="Calibri" w:hAnsi="Calibri"/>
          <w:sz w:val="18"/>
          <w:szCs w:val="18"/>
          <w:color w:val="auto"/>
        </w:rPr>
        <w:t>The assumptons used to determine the beneft obligatons and net periodic beneft cost for our defned beneft pension plans are presented in the table below. The expected long-term return on assets shown in the table below represents an estmate of long-term returns on investment portolios primarily consistng of combinatons of debt, equity and other investments, depending on the plan. The long-term rates of return are then weighted based on the asset classes in which the pension funds are invested. Discount rates refect the current rate at which defned beneft pension obligatons could be setled based on the measurement dates of the plans, which is October 31, the month end closest to our fscal year end. The range of assumptons refects the diferent economic environments within various countries.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3340" w:type="dxa"/>
            <w:vAlign w:val="bottom"/>
            <w:gridSpan w:val="5"/>
          </w:tcPr>
          <w:p>
            <w:pPr>
              <w:jc w:val="center"/>
              <w:ind w:right="120"/>
              <w:spacing w:after="0"/>
              <w:rPr>
                <w:sz w:val="20"/>
                <w:szCs w:val="20"/>
                <w:color w:val="auto"/>
              </w:rPr>
            </w:pPr>
            <w:r>
              <w:rPr>
                <w:rFonts w:ascii="Calibri" w:cs="Calibri" w:eastAsia="Calibri" w:hAnsi="Calibri"/>
                <w:sz w:val="14"/>
                <w:szCs w:val="14"/>
                <w:b w:val="1"/>
                <w:bCs w:val="1"/>
                <w:color w:val="auto"/>
              </w:rPr>
              <w:t>Assumptons for Beneft Obligatons</w:t>
            </w:r>
          </w:p>
        </w:tc>
        <w:tc>
          <w:tcPr>
            <w:tcW w:w="4500" w:type="dxa"/>
            <w:vAlign w:val="bottom"/>
            <w:gridSpan w:val="5"/>
          </w:tcPr>
          <w:p>
            <w:pPr>
              <w:jc w:val="center"/>
              <w:spacing w:after="0"/>
              <w:rPr>
                <w:sz w:val="20"/>
                <w:szCs w:val="20"/>
                <w:color w:val="auto"/>
              </w:rPr>
            </w:pPr>
            <w:r>
              <w:rPr>
                <w:rFonts w:ascii="Calibri" w:cs="Calibri" w:eastAsia="Calibri" w:hAnsi="Calibri"/>
                <w:sz w:val="14"/>
                <w:szCs w:val="14"/>
                <w:b w:val="1"/>
                <w:bCs w:val="1"/>
                <w:color w:val="auto"/>
              </w:rPr>
              <w:t>Assumptons for Net Periodic Beneft Cost</w:t>
            </w:r>
          </w:p>
        </w:tc>
        <w:tc>
          <w:tcPr>
            <w:tcW w:w="0" w:type="dxa"/>
            <w:vAlign w:val="bottom"/>
          </w:tcPr>
          <w:p>
            <w:pPr>
              <w:spacing w:after="0"/>
              <w:rPr>
                <w:sz w:val="1"/>
                <w:szCs w:val="1"/>
                <w:color w:val="auto"/>
              </w:rPr>
            </w:pPr>
          </w:p>
        </w:tc>
      </w:tr>
      <w:tr>
        <w:trPr>
          <w:trHeight w:val="170"/>
        </w:trPr>
        <w:tc>
          <w:tcPr>
            <w:tcW w:w="3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80" w:type="dxa"/>
            <w:vAlign w:val="bottom"/>
            <w:gridSpan w:val="4"/>
          </w:tcPr>
          <w:p>
            <w:pPr>
              <w:jc w:val="center"/>
              <w:ind w:right="1460"/>
              <w:spacing w:after="0"/>
              <w:rPr>
                <w:sz w:val="20"/>
                <w:szCs w:val="20"/>
                <w:color w:val="auto"/>
              </w:rPr>
            </w:pPr>
            <w:r>
              <w:rPr>
                <w:rFonts w:ascii="Calibri" w:cs="Calibri" w:eastAsia="Calibri" w:hAnsi="Calibri"/>
                <w:sz w:val="14"/>
                <w:szCs w:val="14"/>
                <w:b w:val="1"/>
                <w:bCs w:val="1"/>
                <w:color w:val="auto"/>
              </w:rPr>
              <w:t>as of</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Calibri" w:cs="Calibri" w:eastAsia="Calibri" w:hAnsi="Calibri"/>
                <w:sz w:val="14"/>
                <w:szCs w:val="14"/>
                <w:b w:val="1"/>
                <w:bCs w:val="1"/>
                <w:color w:val="auto"/>
              </w:rPr>
              <w:t>Fiscal Year</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00" w:type="dxa"/>
            <w:vAlign w:val="bottom"/>
          </w:tcPr>
          <w:p>
            <w:pPr>
              <w:spacing w:after="0"/>
              <w:rPr>
                <w:sz w:val="11"/>
                <w:szCs w:val="11"/>
                <w:color w:val="auto"/>
              </w:rPr>
            </w:pPr>
          </w:p>
        </w:tc>
        <w:tc>
          <w:tcPr>
            <w:tcW w:w="1360" w:type="dxa"/>
            <w:vAlign w:val="bottom"/>
          </w:tcPr>
          <w:p>
            <w:pPr>
              <w:jc w:val="center"/>
              <w:ind w:left="140"/>
              <w:spacing w:after="0" w:line="127" w:lineRule="exact"/>
              <w:rPr>
                <w:sz w:val="20"/>
                <w:szCs w:val="20"/>
                <w:color w:val="auto"/>
              </w:rPr>
            </w:pPr>
            <w:r>
              <w:rPr>
                <w:rFonts w:ascii="Calibri" w:cs="Calibri" w:eastAsia="Calibri" w:hAnsi="Calibri"/>
                <w:sz w:val="13"/>
                <w:szCs w:val="13"/>
                <w:b w:val="1"/>
                <w:bCs w:val="1"/>
                <w:color w:val="auto"/>
              </w:rPr>
              <w:t>November 3,</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27" w:lineRule="exact"/>
              <w:rPr>
                <w:sz w:val="20"/>
                <w:szCs w:val="20"/>
                <w:color w:val="auto"/>
              </w:rPr>
            </w:pPr>
            <w:r>
              <w:rPr>
                <w:rFonts w:ascii="Calibri" w:cs="Calibri" w:eastAsia="Calibri" w:hAnsi="Calibri"/>
                <w:sz w:val="13"/>
                <w:szCs w:val="13"/>
                <w:b w:val="1"/>
                <w:bCs w:val="1"/>
                <w:color w:val="auto"/>
              </w:rPr>
              <w:t>October 29,</w:t>
            </w:r>
          </w:p>
        </w:tc>
        <w:tc>
          <w:tcPr>
            <w:tcW w:w="120" w:type="dxa"/>
            <w:vAlign w:val="bottom"/>
            <w:vMerge w:val="continue"/>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rPr>
              <w:t>2022</w:t>
            </w:r>
          </w:p>
        </w:tc>
        <w:tc>
          <w:tcPr>
            <w:tcW w:w="0" w:type="dxa"/>
            <w:vAlign w:val="bottom"/>
          </w:tcPr>
          <w:p>
            <w:pPr>
              <w:spacing w:after="0"/>
              <w:rPr>
                <w:sz w:val="1"/>
                <w:szCs w:val="1"/>
                <w:color w:val="auto"/>
              </w:rPr>
            </w:pPr>
          </w:p>
        </w:tc>
      </w:tr>
      <w:tr>
        <w:trPr>
          <w:trHeight w:val="170"/>
        </w:trPr>
        <w:tc>
          <w:tcPr>
            <w:tcW w:w="3400" w:type="dxa"/>
            <w:vAlign w:val="bottom"/>
          </w:tcPr>
          <w:p>
            <w:pPr>
              <w:spacing w:after="0"/>
              <w:rPr>
                <w:sz w:val="14"/>
                <w:szCs w:val="14"/>
                <w:color w:val="auto"/>
              </w:rPr>
            </w:pPr>
          </w:p>
        </w:tc>
        <w:tc>
          <w:tcPr>
            <w:tcW w:w="1360" w:type="dxa"/>
            <w:vAlign w:val="bottom"/>
          </w:tcPr>
          <w:p>
            <w:pPr>
              <w:jc w:val="center"/>
              <w:ind w:left="140"/>
              <w:spacing w:after="0"/>
              <w:rPr>
                <w:sz w:val="20"/>
                <w:szCs w:val="20"/>
                <w:color w:val="auto"/>
              </w:rPr>
            </w:pPr>
            <w:r>
              <w:rPr>
                <w:rFonts w:ascii="Calibri" w:cs="Calibri" w:eastAsia="Calibri" w:hAnsi="Calibri"/>
                <w:sz w:val="14"/>
                <w:szCs w:val="14"/>
                <w:b w:val="1"/>
                <w:bCs w:val="1"/>
                <w:color w:val="auto"/>
              </w:rPr>
              <w:t>2024</w:t>
            </w:r>
          </w:p>
        </w:tc>
        <w:tc>
          <w:tcPr>
            <w:tcW w:w="1860" w:type="dxa"/>
            <w:vAlign w:val="bottom"/>
            <w:gridSpan w:val="3"/>
          </w:tcPr>
          <w:p>
            <w:pPr>
              <w:jc w:val="center"/>
              <w:ind w:left="242"/>
              <w:spacing w:after="0"/>
              <w:rPr>
                <w:sz w:val="20"/>
                <w:szCs w:val="20"/>
                <w:color w:val="auto"/>
              </w:rPr>
            </w:pPr>
            <w:r>
              <w:rPr>
                <w:rFonts w:ascii="Calibri" w:cs="Calibri" w:eastAsia="Calibri" w:hAnsi="Calibri"/>
                <w:sz w:val="14"/>
                <w:szCs w:val="14"/>
                <w:b w:val="1"/>
                <w:bCs w:val="1"/>
                <w:color w:val="auto"/>
              </w:rPr>
              <w:t>2023</w:t>
            </w:r>
          </w:p>
        </w:tc>
        <w:tc>
          <w:tcPr>
            <w:tcW w:w="1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4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140"/>
              <w:spacing w:after="0" w:line="199" w:lineRule="exact"/>
              <w:rPr>
                <w:sz w:val="20"/>
                <w:szCs w:val="20"/>
                <w:color w:val="auto"/>
              </w:rPr>
            </w:pPr>
            <w:r>
              <w:rPr>
                <w:rFonts w:ascii="Calibri" w:cs="Calibri" w:eastAsia="Calibri" w:hAnsi="Calibri"/>
                <w:sz w:val="18"/>
                <w:szCs w:val="18"/>
                <w:color w:val="auto"/>
              </w:rPr>
              <w:t>Discount rate</w:t>
            </w:r>
          </w:p>
        </w:tc>
        <w:tc>
          <w:tcPr>
            <w:tcW w:w="1360" w:type="dxa"/>
            <w:vAlign w:val="bottom"/>
            <w:shd w:val="clear" w:color="auto" w:fill="CCEEFF"/>
          </w:tcPr>
          <w:p>
            <w:pPr>
              <w:jc w:val="center"/>
              <w:ind w:left="140"/>
              <w:spacing w:after="0" w:line="215" w:lineRule="exact"/>
              <w:rPr>
                <w:sz w:val="20"/>
                <w:szCs w:val="20"/>
                <w:color w:val="auto"/>
              </w:rPr>
            </w:pPr>
            <w:r>
              <w:rPr>
                <w:rFonts w:ascii="Calibri" w:cs="Calibri" w:eastAsia="Calibri" w:hAnsi="Calibri"/>
                <w:sz w:val="18"/>
                <w:szCs w:val="18"/>
                <w:color w:val="auto"/>
                <w:w w:val="98"/>
              </w:rPr>
              <w:t>1.75%-6.75%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98"/>
              </w:rPr>
              <w:t>1.75%-7.00%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98"/>
              </w:rPr>
              <w:t>1.75%-7.10%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98"/>
              </w:rPr>
              <w:t>1.25%-7.25%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98"/>
              </w:rPr>
              <w:t>0.75%-6.50%</w:t>
            </w:r>
          </w:p>
        </w:tc>
        <w:tc>
          <w:tcPr>
            <w:tcW w:w="0" w:type="dxa"/>
            <w:vAlign w:val="bottom"/>
          </w:tcPr>
          <w:p>
            <w:pPr>
              <w:spacing w:after="0"/>
              <w:rPr>
                <w:sz w:val="1"/>
                <w:szCs w:val="1"/>
                <w:color w:val="auto"/>
              </w:rPr>
            </w:pPr>
          </w:p>
        </w:tc>
      </w:tr>
      <w:tr>
        <w:trPr>
          <w:trHeight w:val="222"/>
        </w:trPr>
        <w:tc>
          <w:tcPr>
            <w:tcW w:w="3400" w:type="dxa"/>
            <w:vAlign w:val="bottom"/>
          </w:tcPr>
          <w:p>
            <w:pPr>
              <w:ind w:left="140"/>
              <w:spacing w:after="0" w:line="215" w:lineRule="exact"/>
              <w:rPr>
                <w:sz w:val="20"/>
                <w:szCs w:val="20"/>
                <w:color w:val="auto"/>
              </w:rPr>
            </w:pPr>
            <w:r>
              <w:rPr>
                <w:rFonts w:ascii="Calibri" w:cs="Calibri" w:eastAsia="Calibri" w:hAnsi="Calibri"/>
                <w:sz w:val="18"/>
                <w:szCs w:val="18"/>
                <w:color w:val="auto"/>
              </w:rPr>
              <w:t>Average increase in compensaton levels</w:t>
            </w:r>
          </w:p>
        </w:tc>
        <w:tc>
          <w:tcPr>
            <w:tcW w:w="1360" w:type="dxa"/>
            <w:vAlign w:val="bottom"/>
          </w:tcPr>
          <w:p>
            <w:pPr>
              <w:jc w:val="center"/>
              <w:ind w:left="140"/>
              <w:spacing w:after="0" w:line="215" w:lineRule="exact"/>
              <w:rPr>
                <w:sz w:val="20"/>
                <w:szCs w:val="20"/>
                <w:color w:val="auto"/>
              </w:rPr>
            </w:pPr>
            <w:r>
              <w:rPr>
                <w:rFonts w:ascii="Calibri" w:cs="Calibri" w:eastAsia="Calibri" w:hAnsi="Calibri"/>
                <w:sz w:val="18"/>
                <w:szCs w:val="18"/>
                <w:color w:val="auto"/>
                <w:w w:val="98"/>
              </w:rPr>
              <w:t>2.00%-8.80%</w:t>
            </w:r>
          </w:p>
        </w:tc>
        <w:tc>
          <w:tcPr>
            <w:tcW w:w="1860" w:type="dxa"/>
            <w:vAlign w:val="bottom"/>
            <w:gridSpan w:val="3"/>
          </w:tcPr>
          <w:p>
            <w:pPr>
              <w:jc w:val="center"/>
              <w:ind w:left="242"/>
              <w:spacing w:after="0" w:line="215" w:lineRule="exact"/>
              <w:rPr>
                <w:sz w:val="20"/>
                <w:szCs w:val="20"/>
                <w:color w:val="auto"/>
              </w:rPr>
            </w:pPr>
            <w:r>
              <w:rPr>
                <w:rFonts w:ascii="Calibri" w:cs="Calibri" w:eastAsia="Calibri" w:hAnsi="Calibri"/>
                <w:sz w:val="18"/>
                <w:szCs w:val="18"/>
                <w:color w:val="auto"/>
                <w:w w:val="97"/>
              </w:rPr>
              <w:t>2.00%-10.00%</w:t>
            </w:r>
          </w:p>
        </w:tc>
        <w:tc>
          <w:tcPr>
            <w:tcW w:w="120" w:type="dxa"/>
            <w:vAlign w:val="bottom"/>
          </w:tcPr>
          <w:p>
            <w:pPr>
              <w:spacing w:after="0"/>
              <w:rPr>
                <w:sz w:val="19"/>
                <w:szCs w:val="19"/>
                <w:color w:val="auto"/>
              </w:rPr>
            </w:pPr>
          </w:p>
        </w:tc>
        <w:tc>
          <w:tcPr>
            <w:tcW w:w="142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2.00%-8.80%</w:t>
            </w:r>
          </w:p>
        </w:tc>
        <w:tc>
          <w:tcPr>
            <w:tcW w:w="100" w:type="dxa"/>
            <w:vAlign w:val="bottom"/>
          </w:tcPr>
          <w:p>
            <w:pPr>
              <w:spacing w:after="0"/>
              <w:rPr>
                <w:sz w:val="19"/>
                <w:szCs w:val="19"/>
                <w:color w:val="auto"/>
              </w:rPr>
            </w:pPr>
          </w:p>
        </w:tc>
        <w:tc>
          <w:tcPr>
            <w:tcW w:w="144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2.00%-10.00%</w:t>
            </w:r>
          </w:p>
        </w:tc>
        <w:tc>
          <w:tcPr>
            <w:tcW w:w="100" w:type="dxa"/>
            <w:vAlign w:val="bottom"/>
          </w:tcPr>
          <w:p>
            <w:pPr>
              <w:spacing w:after="0"/>
              <w:rPr>
                <w:sz w:val="19"/>
                <w:szCs w:val="19"/>
                <w:color w:val="auto"/>
              </w:rPr>
            </w:pPr>
          </w:p>
        </w:tc>
        <w:tc>
          <w:tcPr>
            <w:tcW w:w="144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2.00%-10.00%</w:t>
            </w:r>
          </w:p>
        </w:tc>
        <w:tc>
          <w:tcPr>
            <w:tcW w:w="0" w:type="dxa"/>
            <w:vAlign w:val="bottom"/>
          </w:tcPr>
          <w:p>
            <w:pPr>
              <w:spacing w:after="0"/>
              <w:rPr>
                <w:sz w:val="1"/>
                <w:szCs w:val="1"/>
                <w:color w:val="auto"/>
              </w:rPr>
            </w:pPr>
          </w:p>
        </w:tc>
      </w:tr>
      <w:tr>
        <w:trPr>
          <w:trHeight w:val="237"/>
        </w:trPr>
        <w:tc>
          <w:tcPr>
            <w:tcW w:w="340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Expected long-term return on assets</w:t>
            </w:r>
          </w:p>
        </w:tc>
        <w:tc>
          <w:tcPr>
            <w:tcW w:w="1360" w:type="dxa"/>
            <w:vAlign w:val="bottom"/>
            <w:shd w:val="clear" w:color="auto" w:fill="CCEEFF"/>
          </w:tcPr>
          <w:p>
            <w:pPr>
              <w:jc w:val="center"/>
              <w:ind w:left="120"/>
              <w:spacing w:after="0"/>
              <w:rPr>
                <w:sz w:val="20"/>
                <w:szCs w:val="20"/>
                <w:color w:val="auto"/>
              </w:rPr>
            </w:pPr>
            <w:r>
              <w:rPr>
                <w:rFonts w:ascii="Calibri" w:cs="Calibri" w:eastAsia="Calibri" w:hAnsi="Calibri"/>
                <w:sz w:val="18"/>
                <w:szCs w:val="18"/>
                <w:color w:val="auto"/>
                <w:w w:val="96"/>
              </w:rPr>
              <w:t>N/A</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40"/>
              <w:spacing w:after="0"/>
              <w:rPr>
                <w:sz w:val="20"/>
                <w:szCs w:val="20"/>
                <w:color w:val="auto"/>
              </w:rPr>
            </w:pPr>
            <w:r>
              <w:rPr>
                <w:rFonts w:ascii="Calibri" w:cs="Calibri" w:eastAsia="Calibri" w:hAnsi="Calibri"/>
                <w:sz w:val="18"/>
                <w:szCs w:val="18"/>
                <w:color w:val="auto"/>
                <w:w w:val="96"/>
              </w:rPr>
              <w:t>N/A</w:t>
            </w:r>
          </w:p>
        </w:tc>
        <w:tc>
          <w:tcPr>
            <w:tcW w:w="142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98"/>
              </w:rPr>
              <w:t>2.50%-7.25%</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98"/>
              </w:rPr>
              <w:t>2.50%-7.00%</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98"/>
              </w:rPr>
              <w:t>1.50%-7.25%</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Defned Contributon Plans</w:t>
      </w:r>
    </w:p>
    <w:p>
      <w:pPr>
        <w:spacing w:after="0" w:line="109" w:lineRule="exact"/>
        <w:rPr>
          <w:sz w:val="20"/>
          <w:szCs w:val="20"/>
          <w:color w:val="auto"/>
        </w:rPr>
      </w:pPr>
    </w:p>
    <w:p>
      <w:pPr>
        <w:jc w:val="both"/>
        <w:ind w:right="220" w:firstLine="405"/>
        <w:spacing w:after="0" w:line="235" w:lineRule="auto"/>
        <w:rPr>
          <w:sz w:val="20"/>
          <w:szCs w:val="20"/>
          <w:color w:val="auto"/>
        </w:rPr>
      </w:pPr>
      <w:r>
        <w:rPr>
          <w:rFonts w:ascii="Calibri" w:cs="Calibri" w:eastAsia="Calibri" w:hAnsi="Calibri"/>
          <w:sz w:val="18"/>
          <w:szCs w:val="18"/>
          <w:color w:val="auto"/>
        </w:rPr>
        <w:t>Our eligible U.S. employees partcipate in a company-sponsored 401(k) plan. Under the plan, we match employee contributons dollar for dollar up to 6% of their eligible earnings. All matching contributons vest immediately. During fscal years 2024, 2023 and 2022, we made contributons of $210 million, $100 million and $96 million, respectvely, to the 401(k) plan. The increase in fscal year 2024 was due to the VMware Merger.</w:t>
      </w:r>
    </w:p>
    <w:p>
      <w:pPr>
        <w:spacing w:after="0" w:line="106"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In additon, other eligible employees outside of the U.S. receive retrement benefts under various defned contributon retrement plans.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9" w:name="page80"/>
    <w:bookmarkEnd w:id="7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10. Borrowings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20" w:type="dxa"/>
            <w:vAlign w:val="bottom"/>
            <w:gridSpan w:val="3"/>
            <w:vMerge w:val="restart"/>
          </w:tcPr>
          <w:p>
            <w:pPr>
              <w:ind w:left="260"/>
              <w:spacing w:after="0"/>
              <w:rPr>
                <w:sz w:val="20"/>
                <w:szCs w:val="20"/>
                <w:color w:val="auto"/>
              </w:rPr>
            </w:pPr>
            <w:r>
              <w:rPr>
                <w:rFonts w:ascii="Calibri" w:cs="Calibri" w:eastAsia="Calibri" w:hAnsi="Calibri"/>
                <w:sz w:val="14"/>
                <w:szCs w:val="14"/>
                <w:b w:val="1"/>
                <w:bCs w:val="1"/>
                <w:color w:val="auto"/>
              </w:rPr>
              <w:t>Efectve Interest Rate</w:t>
            </w:r>
          </w:p>
        </w:tc>
        <w:tc>
          <w:tcPr>
            <w:tcW w:w="1680" w:type="dxa"/>
            <w:vAlign w:val="bottom"/>
            <w:gridSpan w:val="2"/>
          </w:tcPr>
          <w:p>
            <w:pPr>
              <w:ind w:left="320"/>
              <w:spacing w:after="0"/>
              <w:rPr>
                <w:sz w:val="20"/>
                <w:szCs w:val="20"/>
                <w:color w:val="auto"/>
              </w:rPr>
            </w:pPr>
            <w:r>
              <w:rPr>
                <w:rFonts w:ascii="Calibri" w:cs="Calibri" w:eastAsia="Calibri" w:hAnsi="Calibri"/>
                <w:sz w:val="14"/>
                <w:szCs w:val="14"/>
                <w:b w:val="1"/>
                <w:bCs w:val="1"/>
                <w:color w:val="auto"/>
              </w:rPr>
              <w:t>November 3,</w:t>
            </w:r>
          </w:p>
        </w:tc>
        <w:tc>
          <w:tcPr>
            <w:tcW w:w="320" w:type="dxa"/>
            <w:vAlign w:val="bottom"/>
          </w:tcPr>
          <w:p>
            <w:pPr>
              <w:spacing w:after="0"/>
              <w:rPr>
                <w:sz w:val="14"/>
                <w:szCs w:val="14"/>
                <w:color w:val="auto"/>
              </w:rPr>
            </w:pPr>
          </w:p>
        </w:tc>
        <w:tc>
          <w:tcPr>
            <w:tcW w:w="1420" w:type="dxa"/>
            <w:vAlign w:val="bottom"/>
          </w:tcPr>
          <w:p>
            <w:pPr>
              <w:jc w:val="right"/>
              <w:ind w:right="431"/>
              <w:spacing w:after="0"/>
              <w:rPr>
                <w:sz w:val="20"/>
                <w:szCs w:val="20"/>
                <w:color w:val="auto"/>
              </w:rPr>
            </w:pPr>
            <w:r>
              <w:rPr>
                <w:rFonts w:ascii="Calibri" w:cs="Calibri" w:eastAsia="Calibri" w:hAnsi="Calibri"/>
                <w:sz w:val="14"/>
                <w:szCs w:val="14"/>
                <w:b w:val="1"/>
                <w:bCs w:val="1"/>
                <w:color w:val="auto"/>
              </w:rPr>
              <w:t>October 29,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20" w:type="dxa"/>
            <w:vAlign w:val="bottom"/>
            <w:gridSpan w:val="3"/>
            <w:vMerge w:val="continue"/>
          </w:tcPr>
          <w:p>
            <w:pPr>
              <w:spacing w:after="0"/>
              <w:rPr>
                <w:sz w:val="14"/>
                <w:szCs w:val="14"/>
                <w:color w:val="auto"/>
              </w:rPr>
            </w:pPr>
          </w:p>
        </w:tc>
        <w:tc>
          <w:tcPr>
            <w:tcW w:w="1580" w:type="dxa"/>
            <w:vAlign w:val="bottom"/>
          </w:tcPr>
          <w:p>
            <w:pPr>
              <w:jc w:val="right"/>
              <w:ind w:right="652"/>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jc w:val="right"/>
              <w:ind w:right="631"/>
              <w:spacing w:after="0"/>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Calibri" w:cs="Calibri" w:eastAsia="Calibri" w:hAnsi="Calibri"/>
                <w:sz w:val="14"/>
                <w:szCs w:val="14"/>
                <w:b w:val="1"/>
                <w:bCs w:val="1"/>
                <w:color w:val="auto"/>
              </w:rPr>
              <w:t>(Dollars in millions)</w:t>
            </w: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740" w:type="dxa"/>
            <w:vAlign w:val="bottom"/>
            <w:tcBorders>
              <w:bottom w:val="single" w:sz="8" w:color="auto"/>
            </w:tcBorders>
            <w:gridSpan w:val="7"/>
            <w:shd w:val="clear" w:color="auto" w:fill="CCEEFF"/>
          </w:tcPr>
          <w:p>
            <w:pPr>
              <w:spacing w:after="0" w:line="175" w:lineRule="exact"/>
              <w:rPr>
                <w:sz w:val="20"/>
                <w:szCs w:val="20"/>
                <w:color w:val="auto"/>
              </w:rPr>
            </w:pPr>
            <w:r>
              <w:rPr>
                <w:rFonts w:ascii="Calibri" w:cs="Calibri" w:eastAsia="Calibri" w:hAnsi="Calibri"/>
                <w:sz w:val="18"/>
                <w:szCs w:val="18"/>
                <w:color w:val="auto"/>
                <w:w w:val="98"/>
              </w:rPr>
              <w:t>October 2024 Senior Notes - fxed rate</w:t>
            </w:r>
          </w:p>
        </w:tc>
        <w:tc>
          <w:tcPr>
            <w:tcW w:w="1820" w:type="dxa"/>
            <w:vAlign w:val="bottom"/>
            <w:tcBorders>
              <w:bottom w:val="single" w:sz="8" w:color="CCEEFF"/>
            </w:tcBorders>
            <w:gridSpan w:val="2"/>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9"/>
          </w:tcPr>
          <w:p>
            <w:pPr>
              <w:ind w:left="120"/>
              <w:spacing w:after="0" w:line="215" w:lineRule="exact"/>
              <w:rPr>
                <w:sz w:val="20"/>
                <w:szCs w:val="20"/>
                <w:color w:val="auto"/>
              </w:rPr>
            </w:pPr>
            <w:r>
              <w:rPr>
                <w:rFonts w:ascii="Calibri" w:cs="Calibri" w:eastAsia="Calibri" w:hAnsi="Calibri"/>
                <w:sz w:val="18"/>
                <w:szCs w:val="18"/>
                <w:color w:val="auto"/>
              </w:rPr>
              <w:t>4.150% notes due February 2028</w:t>
            </w:r>
          </w:p>
        </w:tc>
        <w:tc>
          <w:tcPr>
            <w:tcW w:w="3240" w:type="dxa"/>
            <w:vAlign w:val="bottom"/>
            <w:gridSpan w:val="4"/>
          </w:tcPr>
          <w:p>
            <w:pPr>
              <w:ind w:left="2460"/>
              <w:spacing w:after="0" w:line="215" w:lineRule="exact"/>
              <w:rPr>
                <w:sz w:val="20"/>
                <w:szCs w:val="20"/>
                <w:color w:val="auto"/>
              </w:rPr>
            </w:pPr>
            <w:r>
              <w:rPr>
                <w:rFonts w:ascii="Calibri" w:cs="Calibri" w:eastAsia="Calibri" w:hAnsi="Calibri"/>
                <w:sz w:val="18"/>
                <w:szCs w:val="18"/>
                <w:color w:val="auto"/>
              </w:rPr>
              <w:t>4.36 %  $</w:t>
            </w: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875</w:t>
            </w:r>
          </w:p>
        </w:tc>
        <w:tc>
          <w:tcPr>
            <w:tcW w:w="100" w:type="dxa"/>
            <w:vAlign w:val="bottom"/>
          </w:tcPr>
          <w:p>
            <w:pPr>
              <w:spacing w:after="0"/>
              <w:rPr>
                <w:sz w:val="19"/>
                <w:szCs w:val="19"/>
                <w:color w:val="auto"/>
              </w:rPr>
            </w:pP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560" w:type="dxa"/>
            <w:vAlign w:val="bottom"/>
            <w:gridSpan w:val="9"/>
            <w:shd w:val="clear" w:color="auto" w:fill="CCEEFF"/>
          </w:tcPr>
          <w:p>
            <w:pPr>
              <w:ind w:left="120"/>
              <w:spacing w:after="0"/>
              <w:rPr>
                <w:sz w:val="20"/>
                <w:szCs w:val="20"/>
                <w:color w:val="auto"/>
              </w:rPr>
            </w:pPr>
            <w:r>
              <w:rPr>
                <w:rFonts w:ascii="Calibri" w:cs="Calibri" w:eastAsia="Calibri" w:hAnsi="Calibri"/>
                <w:sz w:val="18"/>
                <w:szCs w:val="18"/>
                <w:color w:val="auto"/>
              </w:rPr>
              <w:t>4.350% notes due February 2030</w:t>
            </w:r>
          </w:p>
        </w:tc>
        <w:tc>
          <w:tcPr>
            <w:tcW w:w="2960" w:type="dxa"/>
            <w:vAlign w:val="bottom"/>
            <w:gridSpan w:val="2"/>
            <w:shd w:val="clear" w:color="auto" w:fill="CCEEFF"/>
          </w:tcPr>
          <w:p>
            <w:pPr>
              <w:ind w:left="2460"/>
              <w:spacing w:after="0"/>
              <w:rPr>
                <w:sz w:val="20"/>
                <w:szCs w:val="20"/>
                <w:color w:val="auto"/>
              </w:rPr>
            </w:pPr>
            <w:r>
              <w:rPr>
                <w:rFonts w:ascii="Calibri" w:cs="Calibri" w:eastAsia="Calibri" w:hAnsi="Calibri"/>
                <w:sz w:val="18"/>
                <w:szCs w:val="18"/>
                <w:color w:val="auto"/>
                <w:w w:val="98"/>
              </w:rPr>
              <w:t>4.51 %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9"/>
          </w:tcPr>
          <w:p>
            <w:pPr>
              <w:ind w:left="120"/>
              <w:spacing w:after="0" w:line="215" w:lineRule="exact"/>
              <w:rPr>
                <w:sz w:val="20"/>
                <w:szCs w:val="20"/>
                <w:color w:val="auto"/>
              </w:rPr>
            </w:pPr>
            <w:r>
              <w:rPr>
                <w:rFonts w:ascii="Calibri" w:cs="Calibri" w:eastAsia="Calibri" w:hAnsi="Calibri"/>
                <w:sz w:val="18"/>
                <w:szCs w:val="18"/>
                <w:color w:val="auto"/>
              </w:rPr>
              <w:t>4.550% notes due February 2032</w:t>
            </w:r>
          </w:p>
        </w:tc>
        <w:tc>
          <w:tcPr>
            <w:tcW w:w="2960" w:type="dxa"/>
            <w:vAlign w:val="bottom"/>
            <w:gridSpan w:val="2"/>
          </w:tcPr>
          <w:p>
            <w:pPr>
              <w:ind w:left="2460"/>
              <w:spacing w:after="0" w:line="215" w:lineRule="exact"/>
              <w:rPr>
                <w:sz w:val="20"/>
                <w:szCs w:val="20"/>
                <w:color w:val="auto"/>
              </w:rPr>
            </w:pPr>
            <w:r>
              <w:rPr>
                <w:rFonts w:ascii="Calibri" w:cs="Calibri" w:eastAsia="Calibri" w:hAnsi="Calibri"/>
                <w:sz w:val="18"/>
                <w:szCs w:val="18"/>
                <w:color w:val="auto"/>
                <w:w w:val="98"/>
              </w:rPr>
              <w:t>4.70 %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875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560" w:type="dxa"/>
            <w:vAlign w:val="bottom"/>
            <w:gridSpan w:val="9"/>
            <w:shd w:val="clear" w:color="auto" w:fill="CCEEFF"/>
          </w:tcPr>
          <w:p>
            <w:pPr>
              <w:ind w:left="120"/>
              <w:spacing w:after="0"/>
              <w:rPr>
                <w:sz w:val="20"/>
                <w:szCs w:val="20"/>
                <w:color w:val="auto"/>
              </w:rPr>
            </w:pPr>
            <w:r>
              <w:rPr>
                <w:rFonts w:ascii="Calibri" w:cs="Calibri" w:eastAsia="Calibri" w:hAnsi="Calibri"/>
                <w:sz w:val="18"/>
                <w:szCs w:val="18"/>
                <w:color w:val="auto"/>
              </w:rPr>
              <w:t>4.800% notes due October 2034</w:t>
            </w:r>
          </w:p>
        </w:tc>
        <w:tc>
          <w:tcPr>
            <w:tcW w:w="2960" w:type="dxa"/>
            <w:vAlign w:val="bottom"/>
            <w:gridSpan w:val="2"/>
            <w:shd w:val="clear" w:color="auto" w:fill="CCEEFF"/>
          </w:tcPr>
          <w:p>
            <w:pPr>
              <w:ind w:left="2460"/>
              <w:spacing w:after="0"/>
              <w:rPr>
                <w:sz w:val="20"/>
                <w:szCs w:val="20"/>
                <w:color w:val="auto"/>
              </w:rPr>
            </w:pPr>
            <w:r>
              <w:rPr>
                <w:rFonts w:ascii="Calibri" w:cs="Calibri" w:eastAsia="Calibri" w:hAnsi="Calibri"/>
                <w:sz w:val="18"/>
                <w:szCs w:val="18"/>
                <w:color w:val="auto"/>
                <w:w w:val="98"/>
              </w:rPr>
              <w:t>4.38 %</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1,750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5,000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60" w:type="dxa"/>
            <w:vAlign w:val="bottom"/>
            <w:gridSpan w:val="9"/>
            <w:shd w:val="clear" w:color="auto" w:fill="CCEEFF"/>
          </w:tcPr>
          <w:p>
            <w:pPr>
              <w:spacing w:after="0" w:line="162" w:lineRule="exact"/>
              <w:rPr>
                <w:sz w:val="20"/>
                <w:szCs w:val="20"/>
                <w:color w:val="auto"/>
              </w:rPr>
            </w:pPr>
            <w:r>
              <w:rPr>
                <w:rFonts w:ascii="Calibri" w:cs="Calibri" w:eastAsia="Calibri" w:hAnsi="Calibri"/>
                <w:sz w:val="17"/>
                <w:szCs w:val="17"/>
                <w:color w:val="auto"/>
              </w:rPr>
              <w:t>July 2024 Senior Notes - fxed rate</w:t>
            </w:r>
          </w:p>
        </w:tc>
        <w:tc>
          <w:tcPr>
            <w:tcW w:w="1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CCEEFF"/>
            </w:tcBorders>
          </w:tcPr>
          <w:p>
            <w:pPr>
              <w:spacing w:after="0"/>
              <w:rPr>
                <w:sz w:val="19"/>
                <w:szCs w:val="19"/>
                <w:color w:val="auto"/>
              </w:rPr>
            </w:pPr>
          </w:p>
        </w:tc>
        <w:tc>
          <w:tcPr>
            <w:tcW w:w="2420" w:type="dxa"/>
            <w:vAlign w:val="bottom"/>
            <w:tcBorders>
              <w:top w:val="single" w:sz="8" w:color="auto"/>
            </w:tcBorders>
            <w:gridSpan w:val="2"/>
          </w:tcPr>
          <w:p>
            <w:pPr>
              <w:ind w:left="120"/>
              <w:spacing w:after="0" w:line="215" w:lineRule="exact"/>
              <w:rPr>
                <w:sz w:val="20"/>
                <w:szCs w:val="20"/>
                <w:color w:val="auto"/>
              </w:rPr>
            </w:pPr>
            <w:r>
              <w:rPr>
                <w:rFonts w:ascii="Calibri" w:cs="Calibri" w:eastAsia="Calibri" w:hAnsi="Calibri"/>
                <w:sz w:val="18"/>
                <w:szCs w:val="18"/>
                <w:color w:val="auto"/>
              </w:rPr>
              <w:t>5.050% notes due July 2027</w:t>
            </w:r>
          </w:p>
        </w:tc>
        <w:tc>
          <w:tcPr>
            <w:tcW w:w="2140" w:type="dxa"/>
            <w:vAlign w:val="bottom"/>
            <w:tcBorders>
              <w:top w:val="single" w:sz="8" w:color="CCEEFF"/>
            </w:tcBorders>
            <w:gridSpan w:val="7"/>
          </w:tcPr>
          <w:p>
            <w:pPr>
              <w:spacing w:after="0"/>
              <w:rPr>
                <w:sz w:val="19"/>
                <w:szCs w:val="19"/>
                <w:color w:val="auto"/>
              </w:rPr>
            </w:pPr>
          </w:p>
        </w:tc>
        <w:tc>
          <w:tcPr>
            <w:tcW w:w="2960" w:type="dxa"/>
            <w:vAlign w:val="bottom"/>
            <w:tcBorders>
              <w:top w:val="single" w:sz="8" w:color="CCEEFF"/>
            </w:tcBorders>
            <w:gridSpan w:val="2"/>
          </w:tcPr>
          <w:p>
            <w:pPr>
              <w:ind w:left="2460"/>
              <w:spacing w:after="0" w:line="215" w:lineRule="exact"/>
              <w:rPr>
                <w:sz w:val="20"/>
                <w:szCs w:val="20"/>
                <w:color w:val="auto"/>
              </w:rPr>
            </w:pPr>
            <w:r>
              <w:rPr>
                <w:rFonts w:ascii="Calibri" w:cs="Calibri" w:eastAsia="Calibri" w:hAnsi="Calibri"/>
                <w:sz w:val="18"/>
                <w:szCs w:val="18"/>
                <w:color w:val="auto"/>
                <w:w w:val="98"/>
              </w:rPr>
              <w:t>5.27 %</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1,250</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560" w:type="dxa"/>
            <w:vAlign w:val="bottom"/>
            <w:gridSpan w:val="9"/>
            <w:shd w:val="clear" w:color="auto" w:fill="CCEEFF"/>
          </w:tcPr>
          <w:p>
            <w:pPr>
              <w:ind w:left="120"/>
              <w:spacing w:after="0"/>
              <w:rPr>
                <w:sz w:val="20"/>
                <w:szCs w:val="20"/>
                <w:color w:val="auto"/>
              </w:rPr>
            </w:pPr>
            <w:r>
              <w:rPr>
                <w:rFonts w:ascii="Calibri" w:cs="Calibri" w:eastAsia="Calibri" w:hAnsi="Calibri"/>
                <w:sz w:val="18"/>
                <w:szCs w:val="18"/>
                <w:color w:val="auto"/>
              </w:rPr>
              <w:t>5.050% notes due July 2029</w:t>
            </w:r>
          </w:p>
        </w:tc>
        <w:tc>
          <w:tcPr>
            <w:tcW w:w="2960" w:type="dxa"/>
            <w:vAlign w:val="bottom"/>
            <w:gridSpan w:val="2"/>
            <w:shd w:val="clear" w:color="auto" w:fill="CCEEFF"/>
          </w:tcPr>
          <w:p>
            <w:pPr>
              <w:ind w:left="2460"/>
              <w:spacing w:after="0"/>
              <w:rPr>
                <w:sz w:val="20"/>
                <w:szCs w:val="20"/>
                <w:color w:val="auto"/>
              </w:rPr>
            </w:pPr>
            <w:r>
              <w:rPr>
                <w:rFonts w:ascii="Calibri" w:cs="Calibri" w:eastAsia="Calibri" w:hAnsi="Calibri"/>
                <w:sz w:val="18"/>
                <w:szCs w:val="18"/>
                <w:color w:val="auto"/>
                <w:w w:val="98"/>
              </w:rPr>
              <w:t>5.23 %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2,250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9"/>
          </w:tcPr>
          <w:p>
            <w:pPr>
              <w:ind w:left="120"/>
              <w:spacing w:after="0" w:line="215" w:lineRule="exact"/>
              <w:rPr>
                <w:sz w:val="20"/>
                <w:szCs w:val="20"/>
                <w:color w:val="auto"/>
              </w:rPr>
            </w:pPr>
            <w:r>
              <w:rPr>
                <w:rFonts w:ascii="Calibri" w:cs="Calibri" w:eastAsia="Calibri" w:hAnsi="Calibri"/>
                <w:sz w:val="18"/>
                <w:szCs w:val="18"/>
                <w:color w:val="auto"/>
              </w:rPr>
              <w:t>5.150% notes due November 2031</w:t>
            </w:r>
          </w:p>
        </w:tc>
        <w:tc>
          <w:tcPr>
            <w:tcW w:w="2960" w:type="dxa"/>
            <w:vAlign w:val="bottom"/>
            <w:tcBorders>
              <w:bottom w:val="single" w:sz="8" w:color="CCEEFF"/>
            </w:tcBorders>
            <w:gridSpan w:val="2"/>
          </w:tcPr>
          <w:p>
            <w:pPr>
              <w:ind w:left="2460"/>
              <w:spacing w:after="0" w:line="215" w:lineRule="exact"/>
              <w:rPr>
                <w:sz w:val="20"/>
                <w:szCs w:val="20"/>
                <w:color w:val="auto"/>
              </w:rPr>
            </w:pPr>
            <w:r>
              <w:rPr>
                <w:rFonts w:ascii="Calibri" w:cs="Calibri" w:eastAsia="Calibri" w:hAnsi="Calibri"/>
                <w:sz w:val="18"/>
                <w:szCs w:val="18"/>
                <w:color w:val="auto"/>
                <w:w w:val="98"/>
              </w:rPr>
              <w:t>5.30 %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5,000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60" w:type="dxa"/>
            <w:vAlign w:val="bottom"/>
            <w:gridSpan w:val="9"/>
          </w:tcPr>
          <w:p>
            <w:pPr>
              <w:spacing w:after="0" w:line="156" w:lineRule="exact"/>
              <w:rPr>
                <w:sz w:val="20"/>
                <w:szCs w:val="20"/>
                <w:color w:val="auto"/>
              </w:rPr>
            </w:pPr>
            <w:r>
              <w:rPr>
                <w:rFonts w:ascii="Calibri" w:cs="Calibri" w:eastAsia="Calibri" w:hAnsi="Calibri"/>
                <w:sz w:val="16"/>
                <w:szCs w:val="16"/>
                <w:color w:val="auto"/>
              </w:rPr>
              <w:t>2023 Term Loans - foatng rate</w:t>
            </w:r>
          </w:p>
        </w:tc>
        <w:tc>
          <w:tcPr>
            <w:tcW w:w="1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9"/>
            <w:shd w:val="clear" w:color="auto" w:fill="CCEEFF"/>
          </w:tcPr>
          <w:p>
            <w:pPr>
              <w:ind w:left="120"/>
              <w:spacing w:after="0" w:line="215" w:lineRule="exact"/>
              <w:rPr>
                <w:sz w:val="20"/>
                <w:szCs w:val="20"/>
                <w:color w:val="auto"/>
              </w:rPr>
            </w:pPr>
            <w:r>
              <w:rPr>
                <w:rFonts w:ascii="Calibri" w:cs="Calibri" w:eastAsia="Calibri" w:hAnsi="Calibri"/>
                <w:sz w:val="18"/>
                <w:szCs w:val="18"/>
                <w:color w:val="auto"/>
              </w:rPr>
              <w:t>SOFR plus 1.125% term loan due November 2026</w:t>
            </w:r>
          </w:p>
        </w:tc>
        <w:tc>
          <w:tcPr>
            <w:tcW w:w="2960" w:type="dxa"/>
            <w:vAlign w:val="bottom"/>
            <w:gridSpan w:val="2"/>
            <w:shd w:val="clear" w:color="auto" w:fill="CCEEFF"/>
          </w:tcPr>
          <w:p>
            <w:pPr>
              <w:ind w:left="2460"/>
              <w:spacing w:after="0" w:line="215" w:lineRule="exact"/>
              <w:rPr>
                <w:sz w:val="20"/>
                <w:szCs w:val="20"/>
                <w:color w:val="auto"/>
              </w:rPr>
            </w:pPr>
            <w:r>
              <w:rPr>
                <w:rFonts w:ascii="Calibri" w:cs="Calibri" w:eastAsia="Calibri" w:hAnsi="Calibri"/>
                <w:sz w:val="18"/>
                <w:szCs w:val="18"/>
                <w:color w:val="auto"/>
                <w:w w:val="98"/>
              </w:rPr>
              <w:t>6.23 %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5,595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9"/>
          </w:tcPr>
          <w:p>
            <w:pPr>
              <w:ind w:left="120"/>
              <w:spacing w:after="0" w:line="215" w:lineRule="exact"/>
              <w:rPr>
                <w:sz w:val="20"/>
                <w:szCs w:val="20"/>
                <w:color w:val="auto"/>
              </w:rPr>
            </w:pPr>
            <w:r>
              <w:rPr>
                <w:rFonts w:ascii="Calibri" w:cs="Calibri" w:eastAsia="Calibri" w:hAnsi="Calibri"/>
                <w:sz w:val="18"/>
                <w:szCs w:val="18"/>
                <w:color w:val="auto"/>
              </w:rPr>
              <w:t>SOFR plus 1.375% term loan due November 2028</w:t>
            </w:r>
          </w:p>
        </w:tc>
        <w:tc>
          <w:tcPr>
            <w:tcW w:w="2960" w:type="dxa"/>
            <w:vAlign w:val="bottom"/>
            <w:tcBorders>
              <w:bottom w:val="single" w:sz="8" w:color="CCEEFF"/>
            </w:tcBorders>
            <w:gridSpan w:val="2"/>
          </w:tcPr>
          <w:p>
            <w:pPr>
              <w:ind w:left="2460"/>
              <w:spacing w:after="0" w:line="215" w:lineRule="exact"/>
              <w:rPr>
                <w:sz w:val="20"/>
                <w:szCs w:val="20"/>
                <w:color w:val="auto"/>
              </w:rPr>
            </w:pPr>
            <w:r>
              <w:rPr>
                <w:rFonts w:ascii="Calibri" w:cs="Calibri" w:eastAsia="Calibri" w:hAnsi="Calibri"/>
                <w:sz w:val="18"/>
                <w:szCs w:val="18"/>
                <w:color w:val="auto"/>
                <w:w w:val="98"/>
              </w:rPr>
              <w:t>6.31 %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8,000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13,595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60" w:type="dxa"/>
            <w:vAlign w:val="bottom"/>
            <w:gridSpan w:val="9"/>
          </w:tcPr>
          <w:p>
            <w:pPr>
              <w:spacing w:after="0" w:line="156" w:lineRule="exact"/>
              <w:rPr>
                <w:sz w:val="20"/>
                <w:szCs w:val="20"/>
                <w:color w:val="auto"/>
              </w:rPr>
            </w:pPr>
            <w:r>
              <w:rPr>
                <w:rFonts w:ascii="Calibri" w:cs="Calibri" w:eastAsia="Calibri" w:hAnsi="Calibri"/>
                <w:sz w:val="16"/>
                <w:szCs w:val="16"/>
                <w:color w:val="auto"/>
              </w:rPr>
              <w:t>April 2022 Senior Notes - fxed rate</w:t>
            </w:r>
          </w:p>
        </w:tc>
        <w:tc>
          <w:tcPr>
            <w:tcW w:w="1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9"/>
            <w:shd w:val="clear" w:color="auto" w:fill="CCEEFF"/>
          </w:tcPr>
          <w:p>
            <w:pPr>
              <w:ind w:left="120"/>
              <w:spacing w:after="0" w:line="215" w:lineRule="exact"/>
              <w:rPr>
                <w:sz w:val="20"/>
                <w:szCs w:val="20"/>
                <w:color w:val="auto"/>
              </w:rPr>
            </w:pPr>
            <w:r>
              <w:rPr>
                <w:rFonts w:ascii="Calibri" w:cs="Calibri" w:eastAsia="Calibri" w:hAnsi="Calibri"/>
                <w:sz w:val="18"/>
                <w:szCs w:val="18"/>
                <w:color w:val="auto"/>
              </w:rPr>
              <w:t>4.000% notes due April 2029</w:t>
            </w:r>
          </w:p>
        </w:tc>
        <w:tc>
          <w:tcPr>
            <w:tcW w:w="2960" w:type="dxa"/>
            <w:vAlign w:val="bottom"/>
            <w:gridSpan w:val="2"/>
            <w:shd w:val="clear" w:color="auto" w:fill="CCEEFF"/>
          </w:tcPr>
          <w:p>
            <w:pPr>
              <w:ind w:left="2460"/>
              <w:spacing w:after="0" w:line="215" w:lineRule="exact"/>
              <w:rPr>
                <w:sz w:val="20"/>
                <w:szCs w:val="20"/>
                <w:color w:val="auto"/>
              </w:rPr>
            </w:pPr>
            <w:r>
              <w:rPr>
                <w:rFonts w:ascii="Calibri" w:cs="Calibri" w:eastAsia="Calibri" w:hAnsi="Calibri"/>
                <w:sz w:val="18"/>
                <w:szCs w:val="18"/>
                <w:color w:val="auto"/>
                <w:w w:val="98"/>
              </w:rPr>
              <w:t>4.17 %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9"/>
          </w:tcPr>
          <w:p>
            <w:pPr>
              <w:ind w:left="120"/>
              <w:spacing w:after="0" w:line="215" w:lineRule="exact"/>
              <w:rPr>
                <w:sz w:val="20"/>
                <w:szCs w:val="20"/>
                <w:color w:val="auto"/>
              </w:rPr>
            </w:pPr>
            <w:r>
              <w:rPr>
                <w:rFonts w:ascii="Calibri" w:cs="Calibri" w:eastAsia="Calibri" w:hAnsi="Calibri"/>
                <w:sz w:val="18"/>
                <w:szCs w:val="18"/>
                <w:color w:val="auto"/>
              </w:rPr>
              <w:t>4.150% notes due April 2032</w:t>
            </w:r>
          </w:p>
        </w:tc>
        <w:tc>
          <w:tcPr>
            <w:tcW w:w="2960" w:type="dxa"/>
            <w:vAlign w:val="bottom"/>
            <w:gridSpan w:val="2"/>
          </w:tcPr>
          <w:p>
            <w:pPr>
              <w:ind w:left="2460"/>
              <w:spacing w:after="0" w:line="215" w:lineRule="exact"/>
              <w:rPr>
                <w:sz w:val="20"/>
                <w:szCs w:val="20"/>
                <w:color w:val="auto"/>
              </w:rPr>
            </w:pPr>
            <w:r>
              <w:rPr>
                <w:rFonts w:ascii="Calibri" w:cs="Calibri" w:eastAsia="Calibri" w:hAnsi="Calibri"/>
                <w:sz w:val="18"/>
                <w:szCs w:val="18"/>
                <w:color w:val="auto"/>
                <w:w w:val="98"/>
              </w:rPr>
              <w:t>4.30 %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1,200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1,200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560" w:type="dxa"/>
            <w:vAlign w:val="bottom"/>
            <w:gridSpan w:val="9"/>
            <w:shd w:val="clear" w:color="auto" w:fill="CCEEFF"/>
          </w:tcPr>
          <w:p>
            <w:pPr>
              <w:ind w:left="120"/>
              <w:spacing w:after="0"/>
              <w:rPr>
                <w:sz w:val="20"/>
                <w:szCs w:val="20"/>
                <w:color w:val="auto"/>
              </w:rPr>
            </w:pPr>
            <w:r>
              <w:rPr>
                <w:rFonts w:ascii="Calibri" w:cs="Calibri" w:eastAsia="Calibri" w:hAnsi="Calibri"/>
                <w:sz w:val="18"/>
                <w:szCs w:val="18"/>
                <w:color w:val="auto"/>
              </w:rPr>
              <w:t>4.926% notes due May 2037</w:t>
            </w:r>
          </w:p>
        </w:tc>
        <w:tc>
          <w:tcPr>
            <w:tcW w:w="2960" w:type="dxa"/>
            <w:vAlign w:val="bottom"/>
            <w:gridSpan w:val="2"/>
            <w:shd w:val="clear" w:color="auto" w:fill="CCEEFF"/>
          </w:tcPr>
          <w:p>
            <w:pPr>
              <w:ind w:left="2460"/>
              <w:spacing w:after="0"/>
              <w:rPr>
                <w:sz w:val="20"/>
                <w:szCs w:val="20"/>
                <w:color w:val="auto"/>
              </w:rPr>
            </w:pPr>
            <w:r>
              <w:rPr>
                <w:rFonts w:ascii="Calibri" w:cs="Calibri" w:eastAsia="Calibri" w:hAnsi="Calibri"/>
                <w:sz w:val="18"/>
                <w:szCs w:val="18"/>
                <w:color w:val="auto"/>
                <w:w w:val="98"/>
              </w:rPr>
              <w:t>5.33 %</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2,500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2,500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4,450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4,450</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60" w:type="dxa"/>
            <w:vAlign w:val="bottom"/>
            <w:gridSpan w:val="9"/>
            <w:shd w:val="clear" w:color="auto" w:fill="CCEEFF"/>
          </w:tcPr>
          <w:p>
            <w:pPr>
              <w:spacing w:after="0" w:line="162" w:lineRule="exact"/>
              <w:rPr>
                <w:sz w:val="20"/>
                <w:szCs w:val="20"/>
                <w:color w:val="auto"/>
              </w:rPr>
            </w:pPr>
            <w:r>
              <w:rPr>
                <w:rFonts w:ascii="Calibri" w:cs="Calibri" w:eastAsia="Calibri" w:hAnsi="Calibri"/>
                <w:sz w:val="17"/>
                <w:szCs w:val="17"/>
                <w:color w:val="auto"/>
              </w:rPr>
              <w:t>September 2021 Senior Notes - fxed rate</w:t>
            </w:r>
          </w:p>
        </w:tc>
        <w:tc>
          <w:tcPr>
            <w:tcW w:w="1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CCEEFF"/>
            </w:tcBorders>
          </w:tcPr>
          <w:p>
            <w:pPr>
              <w:spacing w:after="0"/>
              <w:rPr>
                <w:sz w:val="19"/>
                <w:szCs w:val="19"/>
                <w:color w:val="auto"/>
              </w:rPr>
            </w:pPr>
          </w:p>
        </w:tc>
        <w:tc>
          <w:tcPr>
            <w:tcW w:w="2940" w:type="dxa"/>
            <w:vAlign w:val="bottom"/>
            <w:tcBorders>
              <w:top w:val="single" w:sz="8" w:color="auto"/>
            </w:tcBorders>
            <w:gridSpan w:val="8"/>
          </w:tcPr>
          <w:p>
            <w:pPr>
              <w:ind w:left="120"/>
              <w:spacing w:after="0" w:line="215" w:lineRule="exact"/>
              <w:rPr>
                <w:sz w:val="20"/>
                <w:szCs w:val="20"/>
                <w:color w:val="auto"/>
              </w:rPr>
            </w:pPr>
            <w:r>
              <w:rPr>
                <w:rFonts w:ascii="Calibri" w:cs="Calibri" w:eastAsia="Calibri" w:hAnsi="Calibri"/>
                <w:sz w:val="18"/>
                <w:szCs w:val="18"/>
                <w:color w:val="auto"/>
              </w:rPr>
              <w:t>3.137% notes due November 2035</w:t>
            </w:r>
          </w:p>
        </w:tc>
        <w:tc>
          <w:tcPr>
            <w:tcW w:w="1620" w:type="dxa"/>
            <w:vAlign w:val="bottom"/>
            <w:tcBorders>
              <w:top w:val="single" w:sz="8" w:color="CCEEFF"/>
            </w:tcBorders>
          </w:tcPr>
          <w:p>
            <w:pPr>
              <w:spacing w:after="0"/>
              <w:rPr>
                <w:sz w:val="19"/>
                <w:szCs w:val="19"/>
                <w:color w:val="auto"/>
              </w:rPr>
            </w:pPr>
          </w:p>
        </w:tc>
        <w:tc>
          <w:tcPr>
            <w:tcW w:w="2960" w:type="dxa"/>
            <w:vAlign w:val="bottom"/>
            <w:tcBorders>
              <w:top w:val="single" w:sz="8" w:color="CCEEFF"/>
            </w:tcBorders>
            <w:gridSpan w:val="2"/>
          </w:tcPr>
          <w:p>
            <w:pPr>
              <w:ind w:left="2460"/>
              <w:spacing w:after="0" w:line="215" w:lineRule="exact"/>
              <w:rPr>
                <w:sz w:val="20"/>
                <w:szCs w:val="20"/>
                <w:color w:val="auto"/>
              </w:rPr>
            </w:pPr>
            <w:r>
              <w:rPr>
                <w:rFonts w:ascii="Calibri" w:cs="Calibri" w:eastAsia="Calibri" w:hAnsi="Calibri"/>
                <w:sz w:val="18"/>
                <w:szCs w:val="18"/>
                <w:color w:val="auto"/>
                <w:w w:val="98"/>
              </w:rPr>
              <w:t>4.23 %</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3,250</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3,250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560" w:type="dxa"/>
            <w:vAlign w:val="bottom"/>
            <w:gridSpan w:val="9"/>
            <w:shd w:val="clear" w:color="auto" w:fill="CCEEFF"/>
          </w:tcPr>
          <w:p>
            <w:pPr>
              <w:ind w:left="120"/>
              <w:spacing w:after="0"/>
              <w:rPr>
                <w:sz w:val="20"/>
                <w:szCs w:val="20"/>
                <w:color w:val="auto"/>
              </w:rPr>
            </w:pPr>
            <w:r>
              <w:rPr>
                <w:rFonts w:ascii="Calibri" w:cs="Calibri" w:eastAsia="Calibri" w:hAnsi="Calibri"/>
                <w:sz w:val="18"/>
                <w:szCs w:val="18"/>
                <w:color w:val="auto"/>
              </w:rPr>
              <w:t>3.187% notes due November 2036</w:t>
            </w:r>
          </w:p>
        </w:tc>
        <w:tc>
          <w:tcPr>
            <w:tcW w:w="2960" w:type="dxa"/>
            <w:vAlign w:val="bottom"/>
            <w:gridSpan w:val="2"/>
            <w:shd w:val="clear" w:color="auto" w:fill="CCEEFF"/>
          </w:tcPr>
          <w:p>
            <w:pPr>
              <w:ind w:left="2460"/>
              <w:spacing w:after="0"/>
              <w:rPr>
                <w:sz w:val="20"/>
                <w:szCs w:val="20"/>
                <w:color w:val="auto"/>
              </w:rPr>
            </w:pPr>
            <w:r>
              <w:rPr>
                <w:rFonts w:ascii="Calibri" w:cs="Calibri" w:eastAsia="Calibri" w:hAnsi="Calibri"/>
                <w:sz w:val="18"/>
                <w:szCs w:val="18"/>
                <w:color w:val="auto"/>
                <w:w w:val="98"/>
              </w:rPr>
              <w:t>4.79 %</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2,750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2,750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6,000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6,000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auto"/>
            </w:tcBorders>
            <w:gridSpan w:val="5"/>
            <w:shd w:val="clear" w:color="auto" w:fill="CCEEFF"/>
          </w:tcPr>
          <w:p>
            <w:pPr>
              <w:spacing w:after="0" w:line="162" w:lineRule="exact"/>
              <w:rPr>
                <w:sz w:val="20"/>
                <w:szCs w:val="20"/>
                <w:color w:val="auto"/>
              </w:rPr>
            </w:pPr>
            <w:r>
              <w:rPr>
                <w:rFonts w:ascii="Calibri" w:cs="Calibri" w:eastAsia="Calibri" w:hAnsi="Calibri"/>
                <w:sz w:val="17"/>
                <w:szCs w:val="17"/>
                <w:color w:val="auto"/>
              </w:rPr>
              <w:t>March 2021 Senior Notes - fxed rate</w:t>
            </w:r>
          </w:p>
        </w:tc>
        <w:tc>
          <w:tcPr>
            <w:tcW w:w="194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9"/>
          </w:tcPr>
          <w:p>
            <w:pPr>
              <w:ind w:left="120"/>
              <w:spacing w:after="0" w:line="215" w:lineRule="exact"/>
              <w:rPr>
                <w:sz w:val="20"/>
                <w:szCs w:val="20"/>
                <w:color w:val="auto"/>
              </w:rPr>
            </w:pPr>
            <w:r>
              <w:rPr>
                <w:rFonts w:ascii="Calibri" w:cs="Calibri" w:eastAsia="Calibri" w:hAnsi="Calibri"/>
                <w:sz w:val="18"/>
                <w:szCs w:val="18"/>
                <w:color w:val="auto"/>
              </w:rPr>
              <w:t>3.419% notes due April 2033</w:t>
            </w:r>
          </w:p>
        </w:tc>
        <w:tc>
          <w:tcPr>
            <w:tcW w:w="2960" w:type="dxa"/>
            <w:vAlign w:val="bottom"/>
            <w:gridSpan w:val="2"/>
          </w:tcPr>
          <w:p>
            <w:pPr>
              <w:ind w:left="2460"/>
              <w:spacing w:after="0" w:line="215" w:lineRule="exact"/>
              <w:rPr>
                <w:sz w:val="20"/>
                <w:szCs w:val="20"/>
                <w:color w:val="auto"/>
              </w:rPr>
            </w:pPr>
            <w:r>
              <w:rPr>
                <w:rFonts w:ascii="Calibri" w:cs="Calibri" w:eastAsia="Calibri" w:hAnsi="Calibri"/>
                <w:sz w:val="18"/>
                <w:szCs w:val="18"/>
                <w:color w:val="auto"/>
                <w:w w:val="98"/>
              </w:rPr>
              <w:t>4.66 %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2,250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2,250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560" w:type="dxa"/>
            <w:vAlign w:val="bottom"/>
            <w:gridSpan w:val="9"/>
            <w:shd w:val="clear" w:color="auto" w:fill="CCEEFF"/>
          </w:tcPr>
          <w:p>
            <w:pPr>
              <w:ind w:left="120"/>
              <w:spacing w:after="0"/>
              <w:rPr>
                <w:sz w:val="20"/>
                <w:szCs w:val="20"/>
                <w:color w:val="auto"/>
              </w:rPr>
            </w:pPr>
            <w:r>
              <w:rPr>
                <w:rFonts w:ascii="Calibri" w:cs="Calibri" w:eastAsia="Calibri" w:hAnsi="Calibri"/>
                <w:sz w:val="18"/>
                <w:szCs w:val="18"/>
                <w:color w:val="auto"/>
              </w:rPr>
              <w:t>3.469% notes due April 2034</w:t>
            </w:r>
          </w:p>
        </w:tc>
        <w:tc>
          <w:tcPr>
            <w:tcW w:w="2960" w:type="dxa"/>
            <w:vAlign w:val="bottom"/>
            <w:gridSpan w:val="2"/>
            <w:shd w:val="clear" w:color="auto" w:fill="CCEEFF"/>
          </w:tcPr>
          <w:p>
            <w:pPr>
              <w:ind w:left="2460"/>
              <w:spacing w:after="0"/>
              <w:rPr>
                <w:sz w:val="20"/>
                <w:szCs w:val="20"/>
                <w:color w:val="auto"/>
              </w:rPr>
            </w:pPr>
            <w:r>
              <w:rPr>
                <w:rFonts w:ascii="Calibri" w:cs="Calibri" w:eastAsia="Calibri" w:hAnsi="Calibri"/>
                <w:sz w:val="18"/>
                <w:szCs w:val="18"/>
                <w:color w:val="auto"/>
                <w:w w:val="98"/>
              </w:rPr>
              <w:t>4.63 %</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3,250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3,250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5,500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5,500</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60" w:type="dxa"/>
            <w:vAlign w:val="bottom"/>
            <w:gridSpan w:val="9"/>
            <w:shd w:val="clear" w:color="auto" w:fill="CCEEFF"/>
          </w:tcPr>
          <w:p>
            <w:pPr>
              <w:spacing w:after="0" w:line="162" w:lineRule="exact"/>
              <w:rPr>
                <w:sz w:val="20"/>
                <w:szCs w:val="20"/>
                <w:color w:val="auto"/>
              </w:rPr>
            </w:pPr>
            <w:r>
              <w:rPr>
                <w:rFonts w:ascii="Calibri" w:cs="Calibri" w:eastAsia="Calibri" w:hAnsi="Calibri"/>
                <w:sz w:val="17"/>
                <w:szCs w:val="17"/>
                <w:color w:val="auto"/>
              </w:rPr>
              <w:t>January 2021 Senior Notes - fxed rate</w:t>
            </w:r>
          </w:p>
        </w:tc>
        <w:tc>
          <w:tcPr>
            <w:tcW w:w="1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CCEEFF"/>
            </w:tcBorders>
          </w:tcPr>
          <w:p>
            <w:pPr>
              <w:spacing w:after="0"/>
              <w:rPr>
                <w:sz w:val="19"/>
                <w:szCs w:val="19"/>
                <w:color w:val="auto"/>
              </w:rPr>
            </w:pPr>
          </w:p>
        </w:tc>
        <w:tc>
          <w:tcPr>
            <w:tcW w:w="2700" w:type="dxa"/>
            <w:vAlign w:val="bottom"/>
            <w:tcBorders>
              <w:top w:val="single" w:sz="8" w:color="auto"/>
            </w:tcBorders>
            <w:gridSpan w:val="6"/>
          </w:tcPr>
          <w:p>
            <w:pPr>
              <w:ind w:left="120"/>
              <w:spacing w:after="0" w:line="215" w:lineRule="exact"/>
              <w:rPr>
                <w:sz w:val="20"/>
                <w:szCs w:val="20"/>
                <w:color w:val="auto"/>
              </w:rPr>
            </w:pPr>
            <w:r>
              <w:rPr>
                <w:rFonts w:ascii="Calibri" w:cs="Calibri" w:eastAsia="Calibri" w:hAnsi="Calibri"/>
                <w:sz w:val="18"/>
                <w:szCs w:val="18"/>
                <w:color w:val="auto"/>
              </w:rPr>
              <w:t>1.950% notes due February 2028</w:t>
            </w:r>
          </w:p>
        </w:tc>
        <w:tc>
          <w:tcPr>
            <w:tcW w:w="1860" w:type="dxa"/>
            <w:vAlign w:val="bottom"/>
            <w:tcBorders>
              <w:top w:val="single" w:sz="8" w:color="CCEEFF"/>
            </w:tcBorders>
            <w:gridSpan w:val="3"/>
          </w:tcPr>
          <w:p>
            <w:pPr>
              <w:spacing w:after="0"/>
              <w:rPr>
                <w:sz w:val="19"/>
                <w:szCs w:val="19"/>
                <w:color w:val="auto"/>
              </w:rPr>
            </w:pPr>
          </w:p>
        </w:tc>
        <w:tc>
          <w:tcPr>
            <w:tcW w:w="2960" w:type="dxa"/>
            <w:vAlign w:val="bottom"/>
            <w:tcBorders>
              <w:top w:val="single" w:sz="8" w:color="CCEEFF"/>
            </w:tcBorders>
            <w:gridSpan w:val="2"/>
          </w:tcPr>
          <w:p>
            <w:pPr>
              <w:ind w:left="2460"/>
              <w:spacing w:after="0" w:line="215" w:lineRule="exact"/>
              <w:rPr>
                <w:sz w:val="20"/>
                <w:szCs w:val="20"/>
                <w:color w:val="auto"/>
              </w:rPr>
            </w:pPr>
            <w:r>
              <w:rPr>
                <w:rFonts w:ascii="Calibri" w:cs="Calibri" w:eastAsia="Calibri" w:hAnsi="Calibri"/>
                <w:sz w:val="18"/>
                <w:szCs w:val="18"/>
                <w:color w:val="auto"/>
                <w:w w:val="98"/>
              </w:rPr>
              <w:t>2.10 %</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750</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750</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560" w:type="dxa"/>
            <w:vAlign w:val="bottom"/>
            <w:gridSpan w:val="9"/>
            <w:shd w:val="clear" w:color="auto" w:fill="CCEEFF"/>
          </w:tcPr>
          <w:p>
            <w:pPr>
              <w:ind w:left="120"/>
              <w:spacing w:after="0"/>
              <w:rPr>
                <w:sz w:val="20"/>
                <w:szCs w:val="20"/>
                <w:color w:val="auto"/>
              </w:rPr>
            </w:pPr>
            <w:r>
              <w:rPr>
                <w:rFonts w:ascii="Calibri" w:cs="Calibri" w:eastAsia="Calibri" w:hAnsi="Calibri"/>
                <w:sz w:val="18"/>
                <w:szCs w:val="18"/>
                <w:color w:val="auto"/>
              </w:rPr>
              <w:t>2.450% notes due February 2031</w:t>
            </w:r>
          </w:p>
        </w:tc>
        <w:tc>
          <w:tcPr>
            <w:tcW w:w="2960" w:type="dxa"/>
            <w:vAlign w:val="bottom"/>
            <w:gridSpan w:val="2"/>
            <w:shd w:val="clear" w:color="auto" w:fill="CCEEFF"/>
          </w:tcPr>
          <w:p>
            <w:pPr>
              <w:ind w:left="2460"/>
              <w:spacing w:after="0"/>
              <w:rPr>
                <w:sz w:val="20"/>
                <w:szCs w:val="20"/>
                <w:color w:val="auto"/>
              </w:rPr>
            </w:pPr>
            <w:r>
              <w:rPr>
                <w:rFonts w:ascii="Calibri" w:cs="Calibri" w:eastAsia="Calibri" w:hAnsi="Calibri"/>
                <w:sz w:val="18"/>
                <w:szCs w:val="18"/>
                <w:color w:val="auto"/>
                <w:w w:val="98"/>
              </w:rPr>
              <w:t>2.56 %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2,750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9"/>
          </w:tcPr>
          <w:p>
            <w:pPr>
              <w:ind w:left="120"/>
              <w:spacing w:after="0" w:line="215" w:lineRule="exact"/>
              <w:rPr>
                <w:sz w:val="20"/>
                <w:szCs w:val="20"/>
                <w:color w:val="auto"/>
              </w:rPr>
            </w:pPr>
            <w:r>
              <w:rPr>
                <w:rFonts w:ascii="Calibri" w:cs="Calibri" w:eastAsia="Calibri" w:hAnsi="Calibri"/>
                <w:sz w:val="18"/>
                <w:szCs w:val="18"/>
                <w:color w:val="auto"/>
              </w:rPr>
              <w:t>2.600% notes due February 2033</w:t>
            </w:r>
          </w:p>
        </w:tc>
        <w:tc>
          <w:tcPr>
            <w:tcW w:w="2960" w:type="dxa"/>
            <w:vAlign w:val="bottom"/>
            <w:gridSpan w:val="2"/>
          </w:tcPr>
          <w:p>
            <w:pPr>
              <w:ind w:left="2460"/>
              <w:spacing w:after="0" w:line="215" w:lineRule="exact"/>
              <w:rPr>
                <w:sz w:val="20"/>
                <w:szCs w:val="20"/>
                <w:color w:val="auto"/>
              </w:rPr>
            </w:pPr>
            <w:r>
              <w:rPr>
                <w:rFonts w:ascii="Calibri" w:cs="Calibri" w:eastAsia="Calibri" w:hAnsi="Calibri"/>
                <w:sz w:val="18"/>
                <w:szCs w:val="18"/>
                <w:color w:val="auto"/>
                <w:w w:val="98"/>
              </w:rPr>
              <w:t>2.70 %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1,750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1,750</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560" w:type="dxa"/>
            <w:vAlign w:val="bottom"/>
            <w:gridSpan w:val="9"/>
            <w:shd w:val="clear" w:color="auto" w:fill="CCEEFF"/>
          </w:tcPr>
          <w:p>
            <w:pPr>
              <w:ind w:left="120"/>
              <w:spacing w:after="0"/>
              <w:rPr>
                <w:sz w:val="20"/>
                <w:szCs w:val="20"/>
                <w:color w:val="auto"/>
              </w:rPr>
            </w:pPr>
            <w:r>
              <w:rPr>
                <w:rFonts w:ascii="Calibri" w:cs="Calibri" w:eastAsia="Calibri" w:hAnsi="Calibri"/>
                <w:sz w:val="18"/>
                <w:szCs w:val="18"/>
                <w:color w:val="auto"/>
              </w:rPr>
              <w:t>3.500% notes due February 2041</w:t>
            </w:r>
          </w:p>
        </w:tc>
        <w:tc>
          <w:tcPr>
            <w:tcW w:w="2960" w:type="dxa"/>
            <w:vAlign w:val="bottom"/>
            <w:gridSpan w:val="2"/>
            <w:shd w:val="clear" w:color="auto" w:fill="CCEEFF"/>
          </w:tcPr>
          <w:p>
            <w:pPr>
              <w:ind w:left="2460"/>
              <w:spacing w:after="0"/>
              <w:rPr>
                <w:sz w:val="20"/>
                <w:szCs w:val="20"/>
                <w:color w:val="auto"/>
              </w:rPr>
            </w:pPr>
            <w:r>
              <w:rPr>
                <w:rFonts w:ascii="Calibri" w:cs="Calibri" w:eastAsia="Calibri" w:hAnsi="Calibri"/>
                <w:sz w:val="18"/>
                <w:szCs w:val="18"/>
                <w:color w:val="auto"/>
                <w:w w:val="98"/>
              </w:rPr>
              <w:t>3.60 %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3,000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3,000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9"/>
          </w:tcPr>
          <w:p>
            <w:pPr>
              <w:ind w:left="120"/>
              <w:spacing w:after="0" w:line="215" w:lineRule="exact"/>
              <w:rPr>
                <w:sz w:val="20"/>
                <w:szCs w:val="20"/>
                <w:color w:val="auto"/>
              </w:rPr>
            </w:pPr>
            <w:r>
              <w:rPr>
                <w:rFonts w:ascii="Calibri" w:cs="Calibri" w:eastAsia="Calibri" w:hAnsi="Calibri"/>
                <w:sz w:val="18"/>
                <w:szCs w:val="18"/>
                <w:color w:val="auto"/>
              </w:rPr>
              <w:t>3.750% notes due February 2051</w:t>
            </w:r>
          </w:p>
        </w:tc>
        <w:tc>
          <w:tcPr>
            <w:tcW w:w="2960" w:type="dxa"/>
            <w:vAlign w:val="bottom"/>
            <w:tcBorders>
              <w:bottom w:val="single" w:sz="8" w:color="CCEEFF"/>
            </w:tcBorders>
            <w:gridSpan w:val="2"/>
          </w:tcPr>
          <w:p>
            <w:pPr>
              <w:ind w:left="2460"/>
              <w:spacing w:after="0" w:line="215" w:lineRule="exact"/>
              <w:rPr>
                <w:sz w:val="20"/>
                <w:szCs w:val="20"/>
                <w:color w:val="auto"/>
              </w:rPr>
            </w:pPr>
            <w:r>
              <w:rPr>
                <w:rFonts w:ascii="Calibri" w:cs="Calibri" w:eastAsia="Calibri" w:hAnsi="Calibri"/>
                <w:sz w:val="18"/>
                <w:szCs w:val="18"/>
                <w:color w:val="auto"/>
                <w:w w:val="98"/>
              </w:rPr>
              <w:t>3.84 %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10,000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10,000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60" w:type="dxa"/>
            <w:vAlign w:val="bottom"/>
            <w:gridSpan w:val="9"/>
          </w:tcPr>
          <w:p>
            <w:pPr>
              <w:spacing w:after="0" w:line="156" w:lineRule="exact"/>
              <w:rPr>
                <w:sz w:val="20"/>
                <w:szCs w:val="20"/>
                <w:color w:val="auto"/>
              </w:rPr>
            </w:pPr>
            <w:r>
              <w:rPr>
                <w:rFonts w:ascii="Calibri" w:cs="Calibri" w:eastAsia="Calibri" w:hAnsi="Calibri"/>
                <w:sz w:val="16"/>
                <w:szCs w:val="16"/>
                <w:color w:val="auto"/>
              </w:rPr>
              <w:t>June 2020 Senior Notes - fxed rate</w:t>
            </w:r>
          </w:p>
        </w:tc>
        <w:tc>
          <w:tcPr>
            <w:tcW w:w="1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9"/>
            <w:shd w:val="clear" w:color="auto" w:fill="CCEEFF"/>
          </w:tcPr>
          <w:p>
            <w:pPr>
              <w:ind w:left="120"/>
              <w:spacing w:after="0" w:line="215" w:lineRule="exact"/>
              <w:rPr>
                <w:sz w:val="20"/>
                <w:szCs w:val="20"/>
                <w:color w:val="auto"/>
              </w:rPr>
            </w:pPr>
            <w:r>
              <w:rPr>
                <w:rFonts w:ascii="Calibri" w:cs="Calibri" w:eastAsia="Calibri" w:hAnsi="Calibri"/>
                <w:sz w:val="18"/>
                <w:szCs w:val="18"/>
                <w:color w:val="auto"/>
              </w:rPr>
              <w:t>3.459% notes due September 2026</w:t>
            </w:r>
          </w:p>
        </w:tc>
        <w:tc>
          <w:tcPr>
            <w:tcW w:w="2960" w:type="dxa"/>
            <w:vAlign w:val="bottom"/>
            <w:gridSpan w:val="2"/>
            <w:shd w:val="clear" w:color="auto" w:fill="CCEEFF"/>
          </w:tcPr>
          <w:p>
            <w:pPr>
              <w:ind w:left="2460"/>
              <w:spacing w:after="0" w:line="215" w:lineRule="exact"/>
              <w:rPr>
                <w:sz w:val="20"/>
                <w:szCs w:val="20"/>
                <w:color w:val="auto"/>
              </w:rPr>
            </w:pPr>
            <w:r>
              <w:rPr>
                <w:rFonts w:ascii="Calibri" w:cs="Calibri" w:eastAsia="Calibri" w:hAnsi="Calibri"/>
                <w:sz w:val="18"/>
                <w:szCs w:val="18"/>
                <w:color w:val="auto"/>
                <w:w w:val="98"/>
              </w:rPr>
              <w:t>4.19 %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752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9"/>
          </w:tcPr>
          <w:p>
            <w:pPr>
              <w:ind w:left="120"/>
              <w:spacing w:after="0" w:line="215" w:lineRule="exact"/>
              <w:rPr>
                <w:sz w:val="20"/>
                <w:szCs w:val="20"/>
                <w:color w:val="auto"/>
              </w:rPr>
            </w:pPr>
            <w:r>
              <w:rPr>
                <w:rFonts w:ascii="Calibri" w:cs="Calibri" w:eastAsia="Calibri" w:hAnsi="Calibri"/>
                <w:sz w:val="18"/>
                <w:szCs w:val="18"/>
                <w:color w:val="auto"/>
              </w:rPr>
              <w:t>4.110% notes due September 2028</w:t>
            </w:r>
          </w:p>
        </w:tc>
        <w:tc>
          <w:tcPr>
            <w:tcW w:w="2960" w:type="dxa"/>
            <w:vAlign w:val="bottom"/>
            <w:tcBorders>
              <w:bottom w:val="single" w:sz="8" w:color="CCEEFF"/>
            </w:tcBorders>
            <w:gridSpan w:val="2"/>
          </w:tcPr>
          <w:p>
            <w:pPr>
              <w:ind w:left="2460"/>
              <w:spacing w:after="0" w:line="215" w:lineRule="exact"/>
              <w:rPr>
                <w:sz w:val="20"/>
                <w:szCs w:val="20"/>
                <w:color w:val="auto"/>
              </w:rPr>
            </w:pPr>
            <w:r>
              <w:rPr>
                <w:rFonts w:ascii="Calibri" w:cs="Calibri" w:eastAsia="Calibri" w:hAnsi="Calibri"/>
                <w:sz w:val="18"/>
                <w:szCs w:val="18"/>
                <w:color w:val="auto"/>
                <w:w w:val="98"/>
              </w:rPr>
              <w:t>5.02 %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1,118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1,870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gridSpan w:val="9"/>
          </w:tcPr>
          <w:p>
            <w:pPr>
              <w:spacing w:after="0" w:line="156" w:lineRule="exact"/>
              <w:rPr>
                <w:sz w:val="20"/>
                <w:szCs w:val="20"/>
                <w:color w:val="auto"/>
              </w:rPr>
            </w:pPr>
            <w:r>
              <w:rPr>
                <w:rFonts w:ascii="Calibri" w:cs="Calibri" w:eastAsia="Calibri" w:hAnsi="Calibri"/>
                <w:sz w:val="16"/>
                <w:szCs w:val="16"/>
                <w:color w:val="auto"/>
              </w:rPr>
              <w:t>May 2020 Senior Notes - fxed rate</w:t>
            </w:r>
          </w:p>
        </w:tc>
        <w:tc>
          <w:tcPr>
            <w:tcW w:w="1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9"/>
            <w:shd w:val="clear" w:color="auto" w:fill="CCEEFF"/>
          </w:tcPr>
          <w:p>
            <w:pPr>
              <w:ind w:left="120"/>
              <w:spacing w:after="0" w:line="215" w:lineRule="exact"/>
              <w:rPr>
                <w:sz w:val="20"/>
                <w:szCs w:val="20"/>
                <w:color w:val="auto"/>
              </w:rPr>
            </w:pPr>
            <w:r>
              <w:rPr>
                <w:rFonts w:ascii="Calibri" w:cs="Calibri" w:eastAsia="Calibri" w:hAnsi="Calibri"/>
                <w:sz w:val="18"/>
                <w:szCs w:val="18"/>
                <w:color w:val="auto"/>
              </w:rPr>
              <w:t>2.250% notes due November 2023</w:t>
            </w:r>
          </w:p>
        </w:tc>
        <w:tc>
          <w:tcPr>
            <w:tcW w:w="2960" w:type="dxa"/>
            <w:vAlign w:val="bottom"/>
            <w:gridSpan w:val="2"/>
            <w:shd w:val="clear" w:color="auto" w:fill="CCEEFF"/>
          </w:tcPr>
          <w:p>
            <w:pPr>
              <w:ind w:left="2460"/>
              <w:spacing w:after="0" w:line="215" w:lineRule="exact"/>
              <w:rPr>
                <w:sz w:val="20"/>
                <w:szCs w:val="20"/>
                <w:color w:val="auto"/>
              </w:rPr>
            </w:pPr>
            <w:r>
              <w:rPr>
                <w:rFonts w:ascii="Calibri" w:cs="Calibri" w:eastAsia="Calibri" w:hAnsi="Calibri"/>
                <w:sz w:val="18"/>
                <w:szCs w:val="18"/>
                <w:color w:val="auto"/>
                <w:w w:val="98"/>
              </w:rPr>
              <w:t>2.40 %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gridSpan w:val="9"/>
          </w:tcPr>
          <w:p>
            <w:pPr>
              <w:ind w:left="120"/>
              <w:spacing w:after="0" w:line="215" w:lineRule="exact"/>
              <w:rPr>
                <w:sz w:val="20"/>
                <w:szCs w:val="20"/>
                <w:color w:val="auto"/>
              </w:rPr>
            </w:pPr>
            <w:r>
              <w:rPr>
                <w:rFonts w:ascii="Calibri" w:cs="Calibri" w:eastAsia="Calibri" w:hAnsi="Calibri"/>
                <w:sz w:val="18"/>
                <w:szCs w:val="18"/>
                <w:color w:val="auto"/>
              </w:rPr>
              <w:t>3.150% notes due November 2025</w:t>
            </w:r>
          </w:p>
        </w:tc>
        <w:tc>
          <w:tcPr>
            <w:tcW w:w="2960" w:type="dxa"/>
            <w:vAlign w:val="bottom"/>
            <w:gridSpan w:val="2"/>
          </w:tcPr>
          <w:p>
            <w:pPr>
              <w:ind w:left="2460"/>
              <w:spacing w:after="0" w:line="215" w:lineRule="exact"/>
              <w:rPr>
                <w:sz w:val="20"/>
                <w:szCs w:val="20"/>
                <w:color w:val="auto"/>
              </w:rPr>
            </w:pPr>
            <w:r>
              <w:rPr>
                <w:rFonts w:ascii="Calibri" w:cs="Calibri" w:eastAsia="Calibri" w:hAnsi="Calibri"/>
                <w:sz w:val="18"/>
                <w:szCs w:val="18"/>
                <w:color w:val="auto"/>
                <w:w w:val="98"/>
              </w:rPr>
              <w:t>3.29 %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900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900</w:t>
            </w:r>
          </w:p>
        </w:tc>
        <w:tc>
          <w:tcPr>
            <w:tcW w:w="0" w:type="dxa"/>
            <w:vAlign w:val="bottom"/>
          </w:tcPr>
          <w:p>
            <w:pPr>
              <w:spacing w:after="0"/>
              <w:rPr>
                <w:sz w:val="1"/>
                <w:szCs w:val="1"/>
                <w:color w:val="auto"/>
              </w:rPr>
            </w:pPr>
          </w:p>
        </w:tc>
      </w:tr>
      <w:tr>
        <w:trPr>
          <w:trHeight w:val="855"/>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960" w:type="dxa"/>
            <w:vAlign w:val="bottom"/>
            <w:gridSpan w:val="2"/>
          </w:tcPr>
          <w:p>
            <w:pPr>
              <w:jc w:val="right"/>
              <w:ind w:right="1748"/>
              <w:spacing w:after="0"/>
              <w:rPr>
                <w:sz w:val="20"/>
                <w:szCs w:val="20"/>
                <w:color w:val="auto"/>
              </w:rPr>
            </w:pPr>
            <w:r>
              <w:rPr>
                <w:rFonts w:ascii="Calibri" w:cs="Calibri" w:eastAsia="Calibri" w:hAnsi="Calibri"/>
                <w:sz w:val="18"/>
                <w:szCs w:val="18"/>
                <w:color w:val="auto"/>
              </w:rPr>
              <w:t>78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Borders>
              <w:bottom w:val="single" w:sz="8" w:color="9A9A9A"/>
            </w:tcBorders>
          </w:tcPr>
          <w:p>
            <w:pPr>
              <w:spacing w:after="0"/>
              <w:rPr>
                <w:sz w:val="12"/>
                <w:szCs w:val="12"/>
                <w:color w:val="auto"/>
              </w:rPr>
            </w:pPr>
          </w:p>
        </w:tc>
        <w:tc>
          <w:tcPr>
            <w:tcW w:w="22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8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0" w:name="page81"/>
    <w:bookmarkEnd w:id="8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60" w:type="dxa"/>
            <w:vAlign w:val="bottom"/>
            <w:gridSpan w:val="2"/>
            <w:vMerge w:val="restart"/>
          </w:tcPr>
          <w:p>
            <w:pPr>
              <w:ind w:left="280"/>
              <w:spacing w:after="0"/>
              <w:rPr>
                <w:sz w:val="20"/>
                <w:szCs w:val="20"/>
                <w:color w:val="auto"/>
              </w:rPr>
            </w:pPr>
            <w:r>
              <w:rPr>
                <w:rFonts w:ascii="Calibri" w:cs="Calibri" w:eastAsia="Calibri" w:hAnsi="Calibri"/>
                <w:sz w:val="14"/>
                <w:szCs w:val="14"/>
                <w:b w:val="1"/>
                <w:bCs w:val="1"/>
                <w:color w:val="auto"/>
              </w:rPr>
              <w:t>Efectve Interest Rate</w:t>
            </w:r>
          </w:p>
        </w:tc>
        <w:tc>
          <w:tcPr>
            <w:tcW w:w="180" w:type="dxa"/>
            <w:vAlign w:val="bottom"/>
          </w:tcPr>
          <w:p>
            <w:pPr>
              <w:spacing w:after="0"/>
              <w:rPr>
                <w:sz w:val="14"/>
                <w:szCs w:val="14"/>
                <w:color w:val="auto"/>
              </w:rPr>
            </w:pPr>
          </w:p>
        </w:tc>
        <w:tc>
          <w:tcPr>
            <w:tcW w:w="1660" w:type="dxa"/>
            <w:vAlign w:val="bottom"/>
            <w:gridSpan w:val="2"/>
          </w:tcPr>
          <w:p>
            <w:pPr>
              <w:ind w:left="300"/>
              <w:spacing w:after="0"/>
              <w:rPr>
                <w:sz w:val="20"/>
                <w:szCs w:val="20"/>
                <w:color w:val="auto"/>
              </w:rPr>
            </w:pPr>
            <w:r>
              <w:rPr>
                <w:rFonts w:ascii="Calibri" w:cs="Calibri" w:eastAsia="Calibri" w:hAnsi="Calibri"/>
                <w:sz w:val="14"/>
                <w:szCs w:val="14"/>
                <w:b w:val="1"/>
                <w:bCs w:val="1"/>
                <w:color w:val="auto"/>
              </w:rPr>
              <w:t>November 3,</w:t>
            </w:r>
          </w:p>
        </w:tc>
        <w:tc>
          <w:tcPr>
            <w:tcW w:w="320" w:type="dxa"/>
            <w:vAlign w:val="bottom"/>
          </w:tcPr>
          <w:p>
            <w:pPr>
              <w:spacing w:after="0"/>
              <w:rPr>
                <w:sz w:val="14"/>
                <w:szCs w:val="14"/>
                <w:color w:val="auto"/>
              </w:rPr>
            </w:pPr>
          </w:p>
        </w:tc>
        <w:tc>
          <w:tcPr>
            <w:tcW w:w="1420" w:type="dxa"/>
            <w:vAlign w:val="bottom"/>
          </w:tcPr>
          <w:p>
            <w:pPr>
              <w:jc w:val="right"/>
              <w:ind w:right="435"/>
              <w:spacing w:after="0"/>
              <w:rPr>
                <w:sz w:val="20"/>
                <w:szCs w:val="20"/>
                <w:color w:val="auto"/>
              </w:rPr>
            </w:pPr>
            <w:r>
              <w:rPr>
                <w:rFonts w:ascii="Calibri" w:cs="Calibri" w:eastAsia="Calibri" w:hAnsi="Calibri"/>
                <w:sz w:val="14"/>
                <w:szCs w:val="14"/>
                <w:b w:val="1"/>
                <w:bCs w:val="1"/>
                <w:color w:val="auto"/>
              </w:rPr>
              <w:t>October 29,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right"/>
              <w:ind w:right="632"/>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jc w:val="right"/>
              <w:ind w:right="635"/>
              <w:spacing w:after="0"/>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60"/>
              <w:spacing w:after="0"/>
              <w:rPr>
                <w:sz w:val="20"/>
                <w:szCs w:val="20"/>
                <w:color w:val="auto"/>
              </w:rPr>
            </w:pPr>
            <w:r>
              <w:rPr>
                <w:rFonts w:ascii="Calibri" w:cs="Calibri" w:eastAsia="Calibri" w:hAnsi="Calibri"/>
                <w:sz w:val="14"/>
                <w:szCs w:val="14"/>
                <w:b w:val="1"/>
                <w:bCs w:val="1"/>
                <w:color w:val="auto"/>
              </w:rPr>
              <w:t>(Dollars in millions)</w:t>
            </w: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6"/>
            <w:shd w:val="clear" w:color="auto" w:fill="CCEEFF"/>
          </w:tcPr>
          <w:p>
            <w:pPr>
              <w:ind w:left="120"/>
              <w:spacing w:after="0" w:line="215" w:lineRule="exact"/>
              <w:rPr>
                <w:sz w:val="20"/>
                <w:szCs w:val="20"/>
                <w:color w:val="auto"/>
              </w:rPr>
            </w:pPr>
            <w:r>
              <w:rPr>
                <w:rFonts w:ascii="Calibri" w:cs="Calibri" w:eastAsia="Calibri" w:hAnsi="Calibri"/>
                <w:sz w:val="18"/>
                <w:szCs w:val="18"/>
                <w:color w:val="auto"/>
              </w:rPr>
              <w:t>4.150% notes due November 2030</w:t>
            </w:r>
          </w:p>
        </w:tc>
        <w:tc>
          <w:tcPr>
            <w:tcW w:w="2900" w:type="dxa"/>
            <w:vAlign w:val="bottom"/>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4.27 %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1,856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6"/>
          </w:tcPr>
          <w:p>
            <w:pPr>
              <w:ind w:left="120"/>
              <w:spacing w:after="0" w:line="215" w:lineRule="exact"/>
              <w:rPr>
                <w:sz w:val="20"/>
                <w:szCs w:val="20"/>
                <w:color w:val="auto"/>
              </w:rPr>
            </w:pPr>
            <w:r>
              <w:rPr>
                <w:rFonts w:ascii="Calibri" w:cs="Calibri" w:eastAsia="Calibri" w:hAnsi="Calibri"/>
                <w:sz w:val="18"/>
                <w:szCs w:val="18"/>
                <w:color w:val="auto"/>
              </w:rPr>
              <w:t>4.300% notes due November 2032</w:t>
            </w:r>
          </w:p>
        </w:tc>
        <w:tc>
          <w:tcPr>
            <w:tcW w:w="2900" w:type="dxa"/>
            <w:vAlign w:val="bottom"/>
            <w:tcBorders>
              <w:bottom w:val="single" w:sz="8" w:color="CCEEFF"/>
            </w:tcBorders>
            <w:gridSpan w:val="2"/>
          </w:tcPr>
          <w:p>
            <w:pPr>
              <w:jc w:val="right"/>
              <w:spacing w:after="0" w:line="215" w:lineRule="exact"/>
              <w:rPr>
                <w:sz w:val="20"/>
                <w:szCs w:val="20"/>
                <w:color w:val="auto"/>
              </w:rPr>
            </w:pPr>
            <w:r>
              <w:rPr>
                <w:rFonts w:ascii="Calibri" w:cs="Calibri" w:eastAsia="Calibri" w:hAnsi="Calibri"/>
                <w:sz w:val="18"/>
                <w:szCs w:val="18"/>
                <w:color w:val="auto"/>
              </w:rPr>
              <w:t>4.39 %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4,756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4,861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gridSpan w:val="6"/>
          </w:tcPr>
          <w:p>
            <w:pPr>
              <w:spacing w:after="0" w:line="156" w:lineRule="exact"/>
              <w:rPr>
                <w:sz w:val="20"/>
                <w:szCs w:val="20"/>
                <w:color w:val="auto"/>
              </w:rPr>
            </w:pPr>
            <w:r>
              <w:rPr>
                <w:rFonts w:ascii="Calibri" w:cs="Calibri" w:eastAsia="Calibri" w:hAnsi="Calibri"/>
                <w:sz w:val="16"/>
                <w:szCs w:val="16"/>
                <w:color w:val="auto"/>
              </w:rPr>
              <w:t>April 2020 Senior Notes - fxed rate</w:t>
            </w:r>
          </w:p>
        </w:tc>
        <w:tc>
          <w:tcPr>
            <w:tcW w:w="10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6"/>
            <w:shd w:val="clear" w:color="auto" w:fill="CCEEFF"/>
          </w:tcPr>
          <w:p>
            <w:pPr>
              <w:ind w:left="120"/>
              <w:spacing w:after="0" w:line="215" w:lineRule="exact"/>
              <w:rPr>
                <w:sz w:val="20"/>
                <w:szCs w:val="20"/>
                <w:color w:val="auto"/>
              </w:rPr>
            </w:pPr>
            <w:r>
              <w:rPr>
                <w:rFonts w:ascii="Calibri" w:cs="Calibri" w:eastAsia="Calibri" w:hAnsi="Calibri"/>
                <w:sz w:val="18"/>
                <w:szCs w:val="18"/>
                <w:color w:val="auto"/>
              </w:rPr>
              <w:t>5.000% notes due April 2030</w:t>
            </w:r>
          </w:p>
        </w:tc>
        <w:tc>
          <w:tcPr>
            <w:tcW w:w="2900" w:type="dxa"/>
            <w:vAlign w:val="bottom"/>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5.18 %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606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640" w:type="dxa"/>
            <w:vAlign w:val="bottom"/>
            <w:gridSpan w:val="6"/>
            <w:shd w:val="clear" w:color="auto" w:fill="CCEEFF"/>
          </w:tcPr>
          <w:p>
            <w:pPr>
              <w:spacing w:after="0" w:line="175" w:lineRule="exact"/>
              <w:rPr>
                <w:sz w:val="20"/>
                <w:szCs w:val="20"/>
                <w:color w:val="auto"/>
              </w:rPr>
            </w:pPr>
            <w:r>
              <w:rPr>
                <w:rFonts w:ascii="Calibri" w:cs="Calibri" w:eastAsia="Calibri" w:hAnsi="Calibri"/>
                <w:sz w:val="18"/>
                <w:szCs w:val="18"/>
                <w:color w:val="auto"/>
              </w:rPr>
              <w:t>April 2019 Senior Notes - fxed rate</w:t>
            </w:r>
          </w:p>
        </w:tc>
        <w:tc>
          <w:tcPr>
            <w:tcW w:w="10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CCEEFF"/>
            </w:tcBorders>
          </w:tcPr>
          <w:p>
            <w:pPr>
              <w:spacing w:after="0"/>
              <w:rPr>
                <w:sz w:val="19"/>
                <w:szCs w:val="19"/>
                <w:color w:val="auto"/>
              </w:rPr>
            </w:pPr>
          </w:p>
        </w:tc>
        <w:tc>
          <w:tcPr>
            <w:tcW w:w="2480" w:type="dxa"/>
            <w:vAlign w:val="bottom"/>
            <w:tcBorders>
              <w:top w:val="single" w:sz="8" w:color="auto"/>
            </w:tcBorders>
            <w:gridSpan w:val="3"/>
          </w:tcPr>
          <w:p>
            <w:pPr>
              <w:ind w:left="120"/>
              <w:spacing w:after="0" w:line="215" w:lineRule="exact"/>
              <w:rPr>
                <w:sz w:val="20"/>
                <w:szCs w:val="20"/>
                <w:color w:val="auto"/>
              </w:rPr>
            </w:pPr>
            <w:r>
              <w:rPr>
                <w:rFonts w:ascii="Calibri" w:cs="Calibri" w:eastAsia="Calibri" w:hAnsi="Calibri"/>
                <w:sz w:val="18"/>
                <w:szCs w:val="18"/>
                <w:color w:val="auto"/>
                <w:w w:val="99"/>
              </w:rPr>
              <w:t>3.625% notes due October 2024</w:t>
            </w:r>
          </w:p>
        </w:tc>
        <w:tc>
          <w:tcPr>
            <w:tcW w:w="2160" w:type="dxa"/>
            <w:vAlign w:val="bottom"/>
            <w:tcBorders>
              <w:top w:val="single" w:sz="8" w:color="CCEEFF"/>
            </w:tcBorders>
            <w:gridSpan w:val="3"/>
          </w:tcPr>
          <w:p>
            <w:pPr>
              <w:spacing w:after="0"/>
              <w:rPr>
                <w:sz w:val="19"/>
                <w:szCs w:val="19"/>
                <w:color w:val="auto"/>
              </w:rPr>
            </w:pPr>
          </w:p>
        </w:tc>
        <w:tc>
          <w:tcPr>
            <w:tcW w:w="2900" w:type="dxa"/>
            <w:vAlign w:val="bottom"/>
            <w:tcBorders>
              <w:top w:val="single" w:sz="8" w:color="CCEEFF"/>
            </w:tcBorders>
            <w:gridSpan w:val="2"/>
          </w:tcPr>
          <w:p>
            <w:pPr>
              <w:jc w:val="right"/>
              <w:spacing w:after="0" w:line="215" w:lineRule="exact"/>
              <w:rPr>
                <w:sz w:val="20"/>
                <w:szCs w:val="20"/>
                <w:color w:val="auto"/>
              </w:rPr>
            </w:pPr>
            <w:r>
              <w:rPr>
                <w:rFonts w:ascii="Calibri" w:cs="Calibri" w:eastAsia="Calibri" w:hAnsi="Calibri"/>
                <w:sz w:val="18"/>
                <w:szCs w:val="18"/>
                <w:color w:val="auto"/>
              </w:rPr>
              <w:t>3.98 %</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622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640" w:type="dxa"/>
            <w:vAlign w:val="bottom"/>
            <w:gridSpan w:val="6"/>
            <w:shd w:val="clear" w:color="auto" w:fill="CCEEFF"/>
          </w:tcPr>
          <w:p>
            <w:pPr>
              <w:ind w:left="120"/>
              <w:spacing w:after="0"/>
              <w:rPr>
                <w:sz w:val="20"/>
                <w:szCs w:val="20"/>
                <w:color w:val="auto"/>
              </w:rPr>
            </w:pPr>
            <w:r>
              <w:rPr>
                <w:rFonts w:ascii="Calibri" w:cs="Calibri" w:eastAsia="Calibri" w:hAnsi="Calibri"/>
                <w:sz w:val="18"/>
                <w:szCs w:val="18"/>
                <w:color w:val="auto"/>
              </w:rPr>
              <w:t>4.750% notes due April 2029</w:t>
            </w:r>
          </w:p>
        </w:tc>
        <w:tc>
          <w:tcPr>
            <w:tcW w:w="290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4.95 %</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1,655</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1,655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2,277</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auto"/>
            </w:tcBorders>
            <w:shd w:val="clear" w:color="auto" w:fill="CCEEFF"/>
          </w:tcPr>
          <w:p>
            <w:pPr>
              <w:spacing w:after="0" w:line="162" w:lineRule="exact"/>
              <w:rPr>
                <w:sz w:val="20"/>
                <w:szCs w:val="20"/>
                <w:color w:val="auto"/>
              </w:rPr>
            </w:pPr>
            <w:r>
              <w:rPr>
                <w:rFonts w:ascii="Calibri" w:cs="Calibri" w:eastAsia="Calibri" w:hAnsi="Calibri"/>
                <w:sz w:val="17"/>
                <w:szCs w:val="17"/>
                <w:color w:val="auto"/>
              </w:rPr>
              <w:t>2017 Senior Notes - fxed rate</w:t>
            </w:r>
          </w:p>
        </w:tc>
        <w:tc>
          <w:tcPr>
            <w:tcW w:w="2520" w:type="dxa"/>
            <w:vAlign w:val="bottom"/>
            <w:tcBorders>
              <w:bottom w:val="single" w:sz="8" w:color="CCEEFF"/>
            </w:tcBorders>
            <w:gridSpan w:val="5"/>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6"/>
          </w:tcPr>
          <w:p>
            <w:pPr>
              <w:ind w:left="120"/>
              <w:spacing w:after="0" w:line="215" w:lineRule="exact"/>
              <w:rPr>
                <w:sz w:val="20"/>
                <w:szCs w:val="20"/>
                <w:color w:val="auto"/>
              </w:rPr>
            </w:pPr>
            <w:r>
              <w:rPr>
                <w:rFonts w:ascii="Calibri" w:cs="Calibri" w:eastAsia="Calibri" w:hAnsi="Calibri"/>
                <w:sz w:val="18"/>
                <w:szCs w:val="18"/>
                <w:color w:val="auto"/>
              </w:rPr>
              <w:t>3.625% notes due January 2024</w:t>
            </w:r>
          </w:p>
        </w:tc>
        <w:tc>
          <w:tcPr>
            <w:tcW w:w="29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3.74 %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Pr>
          <w:p>
            <w:pPr>
              <w:spacing w:after="0"/>
              <w:rPr>
                <w:sz w:val="19"/>
                <w:szCs w:val="19"/>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829</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640" w:type="dxa"/>
            <w:vAlign w:val="bottom"/>
            <w:gridSpan w:val="6"/>
            <w:shd w:val="clear" w:color="auto" w:fill="CCEEFF"/>
          </w:tcPr>
          <w:p>
            <w:pPr>
              <w:ind w:left="120"/>
              <w:spacing w:after="0"/>
              <w:rPr>
                <w:sz w:val="20"/>
                <w:szCs w:val="20"/>
                <w:color w:val="auto"/>
              </w:rPr>
            </w:pPr>
            <w:r>
              <w:rPr>
                <w:rFonts w:ascii="Calibri" w:cs="Calibri" w:eastAsia="Calibri" w:hAnsi="Calibri"/>
                <w:sz w:val="18"/>
                <w:szCs w:val="18"/>
                <w:color w:val="auto"/>
              </w:rPr>
              <w:t>3.125% notes due January 2025</w:t>
            </w:r>
          </w:p>
        </w:tc>
        <w:tc>
          <w:tcPr>
            <w:tcW w:w="290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3.23 %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495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6"/>
          </w:tcPr>
          <w:p>
            <w:pPr>
              <w:ind w:left="120"/>
              <w:spacing w:after="0" w:line="215" w:lineRule="exact"/>
              <w:rPr>
                <w:sz w:val="20"/>
                <w:szCs w:val="20"/>
                <w:color w:val="auto"/>
              </w:rPr>
            </w:pPr>
            <w:r>
              <w:rPr>
                <w:rFonts w:ascii="Calibri" w:cs="Calibri" w:eastAsia="Calibri" w:hAnsi="Calibri"/>
                <w:sz w:val="18"/>
                <w:szCs w:val="18"/>
                <w:color w:val="auto"/>
              </w:rPr>
              <w:t>3.875% notes due January 2027</w:t>
            </w:r>
          </w:p>
        </w:tc>
        <w:tc>
          <w:tcPr>
            <w:tcW w:w="29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4.02 %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line="215" w:lineRule="exact"/>
              <w:rPr>
                <w:sz w:val="20"/>
                <w:szCs w:val="20"/>
                <w:color w:val="auto"/>
              </w:rPr>
            </w:pPr>
            <w:r>
              <w:rPr>
                <w:rFonts w:ascii="Calibri" w:cs="Calibri" w:eastAsia="Calibri" w:hAnsi="Calibri"/>
                <w:sz w:val="18"/>
                <w:szCs w:val="18"/>
                <w:color w:val="auto"/>
              </w:rPr>
              <w:t>2,922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2,922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640" w:type="dxa"/>
            <w:vAlign w:val="bottom"/>
            <w:gridSpan w:val="6"/>
            <w:shd w:val="clear" w:color="auto" w:fill="CCEEFF"/>
          </w:tcPr>
          <w:p>
            <w:pPr>
              <w:ind w:left="120"/>
              <w:spacing w:after="0"/>
              <w:rPr>
                <w:sz w:val="20"/>
                <w:szCs w:val="20"/>
                <w:color w:val="auto"/>
              </w:rPr>
            </w:pPr>
            <w:r>
              <w:rPr>
                <w:rFonts w:ascii="Calibri" w:cs="Calibri" w:eastAsia="Calibri" w:hAnsi="Calibri"/>
                <w:sz w:val="18"/>
                <w:szCs w:val="18"/>
                <w:color w:val="auto"/>
              </w:rPr>
              <w:t>3.500% notes due January 2028</w:t>
            </w:r>
          </w:p>
        </w:tc>
        <w:tc>
          <w:tcPr>
            <w:tcW w:w="290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3.60 %</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777</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777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4,194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5,023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auto"/>
            </w:tcBorders>
            <w:gridSpan w:val="5"/>
            <w:shd w:val="clear" w:color="auto" w:fill="CCEEFF"/>
          </w:tcPr>
          <w:p>
            <w:pPr>
              <w:spacing w:after="0" w:line="162" w:lineRule="exact"/>
              <w:rPr>
                <w:sz w:val="20"/>
                <w:szCs w:val="20"/>
                <w:color w:val="auto"/>
              </w:rPr>
            </w:pPr>
            <w:r>
              <w:rPr>
                <w:rFonts w:ascii="Calibri" w:cs="Calibri" w:eastAsia="Calibri" w:hAnsi="Calibri"/>
                <w:sz w:val="17"/>
                <w:szCs w:val="17"/>
                <w:color w:val="auto"/>
              </w:rPr>
              <w:t>Assumed VMware Senior Notes - fxed rate</w:t>
            </w:r>
          </w:p>
        </w:tc>
        <w:tc>
          <w:tcPr>
            <w:tcW w:w="15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6"/>
          </w:tcPr>
          <w:p>
            <w:pPr>
              <w:ind w:left="120"/>
              <w:spacing w:after="0" w:line="215" w:lineRule="exact"/>
              <w:rPr>
                <w:sz w:val="20"/>
                <w:szCs w:val="20"/>
                <w:color w:val="auto"/>
              </w:rPr>
            </w:pPr>
            <w:r>
              <w:rPr>
                <w:rFonts w:ascii="Calibri" w:cs="Calibri" w:eastAsia="Calibri" w:hAnsi="Calibri"/>
                <w:sz w:val="18"/>
                <w:szCs w:val="18"/>
                <w:color w:val="auto"/>
              </w:rPr>
              <w:t>4.500% notes due May 2025</w:t>
            </w:r>
          </w:p>
        </w:tc>
        <w:tc>
          <w:tcPr>
            <w:tcW w:w="29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5.81 %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line="215" w:lineRule="exact"/>
              <w:rPr>
                <w:sz w:val="20"/>
                <w:szCs w:val="20"/>
                <w:color w:val="auto"/>
              </w:rPr>
            </w:pPr>
            <w:r>
              <w:rPr>
                <w:rFonts w:ascii="Calibri" w:cs="Calibri" w:eastAsia="Calibri" w:hAnsi="Calibri"/>
                <w:sz w:val="18"/>
                <w:szCs w:val="18"/>
                <w:color w:val="auto"/>
              </w:rPr>
              <w:t>750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640" w:type="dxa"/>
            <w:vAlign w:val="bottom"/>
            <w:gridSpan w:val="6"/>
            <w:shd w:val="clear" w:color="auto" w:fill="CCEEFF"/>
          </w:tcPr>
          <w:p>
            <w:pPr>
              <w:ind w:left="120"/>
              <w:spacing w:after="0"/>
              <w:rPr>
                <w:sz w:val="20"/>
                <w:szCs w:val="20"/>
                <w:color w:val="auto"/>
              </w:rPr>
            </w:pPr>
            <w:r>
              <w:rPr>
                <w:rFonts w:ascii="Calibri" w:cs="Calibri" w:eastAsia="Calibri" w:hAnsi="Calibri"/>
                <w:sz w:val="18"/>
                <w:szCs w:val="18"/>
                <w:color w:val="auto"/>
              </w:rPr>
              <w:t>1.400% notes due August 2026</w:t>
            </w:r>
          </w:p>
        </w:tc>
        <w:tc>
          <w:tcPr>
            <w:tcW w:w="290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5.60 %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6"/>
          </w:tcPr>
          <w:p>
            <w:pPr>
              <w:ind w:left="120"/>
              <w:spacing w:after="0" w:line="215" w:lineRule="exact"/>
              <w:rPr>
                <w:sz w:val="20"/>
                <w:szCs w:val="20"/>
                <w:color w:val="auto"/>
              </w:rPr>
            </w:pPr>
            <w:r>
              <w:rPr>
                <w:rFonts w:ascii="Calibri" w:cs="Calibri" w:eastAsia="Calibri" w:hAnsi="Calibri"/>
                <w:sz w:val="18"/>
                <w:szCs w:val="18"/>
                <w:color w:val="auto"/>
              </w:rPr>
              <w:t>4.650% notes due May 2027</w:t>
            </w:r>
          </w:p>
        </w:tc>
        <w:tc>
          <w:tcPr>
            <w:tcW w:w="29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5.60 %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line="215" w:lineRule="exact"/>
              <w:rPr>
                <w:sz w:val="20"/>
                <w:szCs w:val="20"/>
                <w:color w:val="auto"/>
              </w:rPr>
            </w:pPr>
            <w:r>
              <w:rPr>
                <w:rFonts w:ascii="Calibri" w:cs="Calibri" w:eastAsia="Calibri" w:hAnsi="Calibri"/>
                <w:sz w:val="18"/>
                <w:szCs w:val="18"/>
                <w:color w:val="auto"/>
              </w:rPr>
              <w:t>500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640" w:type="dxa"/>
            <w:vAlign w:val="bottom"/>
            <w:gridSpan w:val="6"/>
            <w:shd w:val="clear" w:color="auto" w:fill="CCEEFF"/>
          </w:tcPr>
          <w:p>
            <w:pPr>
              <w:ind w:left="120"/>
              <w:spacing w:after="0"/>
              <w:rPr>
                <w:sz w:val="20"/>
                <w:szCs w:val="20"/>
                <w:color w:val="auto"/>
              </w:rPr>
            </w:pPr>
            <w:r>
              <w:rPr>
                <w:rFonts w:ascii="Calibri" w:cs="Calibri" w:eastAsia="Calibri" w:hAnsi="Calibri"/>
                <w:sz w:val="18"/>
                <w:szCs w:val="18"/>
                <w:color w:val="auto"/>
              </w:rPr>
              <w:t>3.900% notes due August 2027</w:t>
            </w:r>
          </w:p>
        </w:tc>
        <w:tc>
          <w:tcPr>
            <w:tcW w:w="290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5.50 %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1,250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6"/>
          </w:tcPr>
          <w:p>
            <w:pPr>
              <w:ind w:left="120"/>
              <w:spacing w:after="0" w:line="215" w:lineRule="exact"/>
              <w:rPr>
                <w:sz w:val="20"/>
                <w:szCs w:val="20"/>
                <w:color w:val="auto"/>
              </w:rPr>
            </w:pPr>
            <w:r>
              <w:rPr>
                <w:rFonts w:ascii="Calibri" w:cs="Calibri" w:eastAsia="Calibri" w:hAnsi="Calibri"/>
                <w:sz w:val="18"/>
                <w:szCs w:val="18"/>
                <w:color w:val="auto"/>
              </w:rPr>
              <w:t>1.800% notes due August 2028</w:t>
            </w:r>
          </w:p>
        </w:tc>
        <w:tc>
          <w:tcPr>
            <w:tcW w:w="29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5.44 %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line="215" w:lineRule="exact"/>
              <w:rPr>
                <w:sz w:val="20"/>
                <w:szCs w:val="20"/>
                <w:color w:val="auto"/>
              </w:rPr>
            </w:pPr>
            <w:r>
              <w:rPr>
                <w:rFonts w:ascii="Calibri" w:cs="Calibri" w:eastAsia="Calibri" w:hAnsi="Calibri"/>
                <w:sz w:val="18"/>
                <w:szCs w:val="18"/>
                <w:color w:val="auto"/>
              </w:rPr>
              <w:t>750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640" w:type="dxa"/>
            <w:vAlign w:val="bottom"/>
            <w:gridSpan w:val="6"/>
            <w:shd w:val="clear" w:color="auto" w:fill="CCEEFF"/>
          </w:tcPr>
          <w:p>
            <w:pPr>
              <w:ind w:left="120"/>
              <w:spacing w:after="0"/>
              <w:rPr>
                <w:sz w:val="20"/>
                <w:szCs w:val="20"/>
                <w:color w:val="auto"/>
              </w:rPr>
            </w:pPr>
            <w:r>
              <w:rPr>
                <w:rFonts w:ascii="Calibri" w:cs="Calibri" w:eastAsia="Calibri" w:hAnsi="Calibri"/>
                <w:sz w:val="18"/>
                <w:szCs w:val="18"/>
                <w:color w:val="auto"/>
              </w:rPr>
              <w:t>4.700% notes due May 2030</w:t>
            </w:r>
          </w:p>
        </w:tc>
        <w:tc>
          <w:tcPr>
            <w:tcW w:w="290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5.75 %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750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6"/>
          </w:tcPr>
          <w:p>
            <w:pPr>
              <w:ind w:left="120"/>
              <w:spacing w:after="0" w:line="215" w:lineRule="exact"/>
              <w:rPr>
                <w:sz w:val="20"/>
                <w:szCs w:val="20"/>
                <w:color w:val="auto"/>
              </w:rPr>
            </w:pPr>
            <w:r>
              <w:rPr>
                <w:rFonts w:ascii="Calibri" w:cs="Calibri" w:eastAsia="Calibri" w:hAnsi="Calibri"/>
                <w:sz w:val="18"/>
                <w:szCs w:val="18"/>
                <w:color w:val="auto"/>
              </w:rPr>
              <w:t>2.200% notes due August 2031</w:t>
            </w:r>
          </w:p>
        </w:tc>
        <w:tc>
          <w:tcPr>
            <w:tcW w:w="2900" w:type="dxa"/>
            <w:vAlign w:val="bottom"/>
            <w:tcBorders>
              <w:bottom w:val="single" w:sz="8" w:color="CCEEFF"/>
            </w:tcBorders>
            <w:gridSpan w:val="2"/>
          </w:tcPr>
          <w:p>
            <w:pPr>
              <w:jc w:val="right"/>
              <w:spacing w:after="0" w:line="215" w:lineRule="exact"/>
              <w:rPr>
                <w:sz w:val="20"/>
                <w:szCs w:val="20"/>
                <w:color w:val="auto"/>
              </w:rPr>
            </w:pPr>
            <w:r>
              <w:rPr>
                <w:rFonts w:ascii="Calibri" w:cs="Calibri" w:eastAsia="Calibri" w:hAnsi="Calibri"/>
                <w:sz w:val="18"/>
                <w:szCs w:val="18"/>
                <w:color w:val="auto"/>
              </w:rPr>
              <w:t>5.74 %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7,000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40" w:type="dxa"/>
            <w:vAlign w:val="bottom"/>
            <w:gridSpan w:val="6"/>
          </w:tcPr>
          <w:p>
            <w:pPr>
              <w:spacing w:after="0" w:line="156" w:lineRule="exact"/>
              <w:rPr>
                <w:sz w:val="20"/>
                <w:szCs w:val="20"/>
                <w:color w:val="auto"/>
              </w:rPr>
            </w:pPr>
            <w:r>
              <w:rPr>
                <w:rFonts w:ascii="Calibri" w:cs="Calibri" w:eastAsia="Calibri" w:hAnsi="Calibri"/>
                <w:sz w:val="16"/>
                <w:szCs w:val="16"/>
                <w:color w:val="auto"/>
              </w:rPr>
              <w:t>Assumed CA Senior Notes - fxed rate</w:t>
            </w:r>
          </w:p>
        </w:tc>
        <w:tc>
          <w:tcPr>
            <w:tcW w:w="10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6"/>
            <w:shd w:val="clear" w:color="auto" w:fill="CCEEFF"/>
          </w:tcPr>
          <w:p>
            <w:pPr>
              <w:ind w:left="120"/>
              <w:spacing w:after="0" w:line="215" w:lineRule="exact"/>
              <w:rPr>
                <w:sz w:val="20"/>
                <w:szCs w:val="20"/>
                <w:color w:val="auto"/>
              </w:rPr>
            </w:pPr>
            <w:r>
              <w:rPr>
                <w:rFonts w:ascii="Calibri" w:cs="Calibri" w:eastAsia="Calibri" w:hAnsi="Calibri"/>
                <w:sz w:val="18"/>
                <w:szCs w:val="18"/>
                <w:color w:val="auto"/>
              </w:rPr>
              <w:t>4.700% notes due March 2027</w:t>
            </w:r>
          </w:p>
        </w:tc>
        <w:tc>
          <w:tcPr>
            <w:tcW w:w="2900" w:type="dxa"/>
            <w:vAlign w:val="bottom"/>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5.15 %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40" w:type="dxa"/>
            <w:vAlign w:val="bottom"/>
            <w:gridSpan w:val="6"/>
            <w:shd w:val="clear" w:color="auto" w:fill="CCEEFF"/>
          </w:tcPr>
          <w:p>
            <w:pPr>
              <w:spacing w:after="0" w:line="175" w:lineRule="exact"/>
              <w:rPr>
                <w:sz w:val="20"/>
                <w:szCs w:val="20"/>
                <w:color w:val="auto"/>
              </w:rPr>
            </w:pPr>
            <w:r>
              <w:rPr>
                <w:rFonts w:ascii="Calibri" w:cs="Calibri" w:eastAsia="Calibri" w:hAnsi="Calibri"/>
                <w:sz w:val="18"/>
                <w:szCs w:val="18"/>
                <w:color w:val="auto"/>
              </w:rPr>
              <w:t>Other senior notes - fxed rate</w:t>
            </w:r>
          </w:p>
        </w:tc>
        <w:tc>
          <w:tcPr>
            <w:tcW w:w="10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6"/>
          </w:tcPr>
          <w:p>
            <w:pPr>
              <w:ind w:left="120"/>
              <w:spacing w:after="0" w:line="215" w:lineRule="exact"/>
              <w:rPr>
                <w:sz w:val="20"/>
                <w:szCs w:val="20"/>
                <w:color w:val="auto"/>
              </w:rPr>
            </w:pPr>
            <w:r>
              <w:rPr>
                <w:rFonts w:ascii="Calibri" w:cs="Calibri" w:eastAsia="Calibri" w:hAnsi="Calibri"/>
                <w:sz w:val="18"/>
                <w:szCs w:val="18"/>
                <w:color w:val="auto"/>
              </w:rPr>
              <w:t>3.500% notes due August 2024</w:t>
            </w:r>
          </w:p>
        </w:tc>
        <w:tc>
          <w:tcPr>
            <w:tcW w:w="29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3.55 %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Pr>
          <w:p>
            <w:pPr>
              <w:spacing w:after="0"/>
              <w:rPr>
                <w:sz w:val="19"/>
                <w:szCs w:val="19"/>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640" w:type="dxa"/>
            <w:vAlign w:val="bottom"/>
            <w:gridSpan w:val="6"/>
            <w:shd w:val="clear" w:color="auto" w:fill="CCEEFF"/>
          </w:tcPr>
          <w:p>
            <w:pPr>
              <w:ind w:left="120"/>
              <w:spacing w:after="0"/>
              <w:rPr>
                <w:sz w:val="20"/>
                <w:szCs w:val="20"/>
                <w:color w:val="auto"/>
              </w:rPr>
            </w:pPr>
            <w:r>
              <w:rPr>
                <w:rFonts w:ascii="Calibri" w:cs="Calibri" w:eastAsia="Calibri" w:hAnsi="Calibri"/>
                <w:sz w:val="18"/>
                <w:szCs w:val="18"/>
                <w:color w:val="auto"/>
              </w:rPr>
              <w:t>4.500% notes due August 2034</w:t>
            </w:r>
          </w:p>
        </w:tc>
        <w:tc>
          <w:tcPr>
            <w:tcW w:w="290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4.55 %</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6"/>
          </w:tcPr>
          <w:p>
            <w:pPr>
              <w:ind w:left="200"/>
              <w:spacing w:after="0"/>
              <w:rPr>
                <w:sz w:val="20"/>
                <w:szCs w:val="20"/>
                <w:color w:val="auto"/>
              </w:rPr>
            </w:pPr>
            <w:r>
              <w:rPr>
                <w:rFonts w:ascii="Calibri" w:cs="Calibri" w:eastAsia="Calibri" w:hAnsi="Calibri"/>
                <w:sz w:val="18"/>
                <w:szCs w:val="18"/>
                <w:color w:val="auto"/>
              </w:rPr>
              <w:t>Total principal amount outstanding</w:t>
            </w:r>
          </w:p>
        </w:tc>
        <w:tc>
          <w:tcPr>
            <w:tcW w:w="10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69,847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40,815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6"/>
          </w:tcPr>
          <w:p>
            <w:pPr>
              <w:spacing w:after="0" w:line="215" w:lineRule="exact"/>
              <w:rPr>
                <w:sz w:val="20"/>
                <w:szCs w:val="20"/>
                <w:color w:val="auto"/>
              </w:rPr>
            </w:pPr>
            <w:r>
              <w:rPr>
                <w:rFonts w:ascii="Calibri" w:cs="Calibri" w:eastAsia="Calibri" w:hAnsi="Calibri"/>
                <w:sz w:val="18"/>
                <w:szCs w:val="18"/>
                <w:color w:val="auto"/>
              </w:rPr>
              <w:t>Current porton of principal amount outstanding</w:t>
            </w:r>
          </w:p>
        </w:tc>
        <w:tc>
          <w:tcPr>
            <w:tcW w:w="10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560" w:type="dxa"/>
            <w:vAlign w:val="bottom"/>
          </w:tcPr>
          <w:p>
            <w:pPr>
              <w:jc w:val="right"/>
              <w:spacing w:after="0" w:line="215" w:lineRule="exact"/>
              <w:rPr>
                <w:sz w:val="20"/>
                <w:szCs w:val="20"/>
                <w:color w:val="auto"/>
              </w:rPr>
            </w:pPr>
            <w:r>
              <w:rPr>
                <w:rFonts w:ascii="Calibri" w:cs="Calibri" w:eastAsia="Calibri" w:hAnsi="Calibri"/>
                <w:sz w:val="18"/>
                <w:szCs w:val="18"/>
                <w:color w:val="auto"/>
              </w:rPr>
              <w:t>1,245</w:t>
            </w:r>
          </w:p>
        </w:tc>
        <w:tc>
          <w:tcPr>
            <w:tcW w:w="100" w:type="dxa"/>
            <w:vAlign w:val="bottom"/>
          </w:tcPr>
          <w:p>
            <w:pPr>
              <w:spacing w:after="0"/>
              <w:rPr>
                <w:sz w:val="19"/>
                <w:szCs w:val="19"/>
                <w:color w:val="auto"/>
              </w:rPr>
            </w:pP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1,563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640" w:type="dxa"/>
            <w:vAlign w:val="bottom"/>
            <w:gridSpan w:val="6"/>
            <w:shd w:val="clear" w:color="auto" w:fill="CCEEFF"/>
          </w:tcPr>
          <w:p>
            <w:pPr>
              <w:spacing w:after="0"/>
              <w:rPr>
                <w:sz w:val="20"/>
                <w:szCs w:val="20"/>
                <w:color w:val="auto"/>
              </w:rPr>
            </w:pPr>
            <w:r>
              <w:rPr>
                <w:rFonts w:ascii="Calibri" w:cs="Calibri" w:eastAsia="Calibri" w:hAnsi="Calibri"/>
                <w:sz w:val="18"/>
                <w:szCs w:val="18"/>
                <w:color w:val="auto"/>
              </w:rPr>
              <w:t>Short-term fnance lease liabilites</w:t>
            </w:r>
          </w:p>
        </w:tc>
        <w:tc>
          <w:tcPr>
            <w:tcW w:w="10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26</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6"/>
          </w:tcPr>
          <w:p>
            <w:pPr>
              <w:ind w:left="120"/>
              <w:spacing w:after="0"/>
              <w:rPr>
                <w:sz w:val="20"/>
                <w:szCs w:val="20"/>
                <w:color w:val="auto"/>
              </w:rPr>
            </w:pPr>
            <w:r>
              <w:rPr>
                <w:rFonts w:ascii="Calibri" w:cs="Calibri" w:eastAsia="Calibri" w:hAnsi="Calibri"/>
                <w:sz w:val="18"/>
                <w:szCs w:val="18"/>
                <w:color w:val="auto"/>
              </w:rPr>
              <w:t>Total current porton of long-term debt</w:t>
            </w:r>
          </w:p>
        </w:tc>
        <w:tc>
          <w:tcPr>
            <w:tcW w:w="10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1,271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1,608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6"/>
          </w:tcPr>
          <w:p>
            <w:pPr>
              <w:spacing w:after="0" w:line="215" w:lineRule="exact"/>
              <w:rPr>
                <w:sz w:val="20"/>
                <w:szCs w:val="20"/>
                <w:color w:val="auto"/>
              </w:rPr>
            </w:pPr>
            <w:r>
              <w:rPr>
                <w:rFonts w:ascii="Calibri" w:cs="Calibri" w:eastAsia="Calibri" w:hAnsi="Calibri"/>
                <w:sz w:val="18"/>
                <w:szCs w:val="18"/>
                <w:color w:val="auto"/>
              </w:rPr>
              <w:t>Non-current porton of principal amount outstanding</w:t>
            </w:r>
          </w:p>
        </w:tc>
        <w:tc>
          <w:tcPr>
            <w:tcW w:w="10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560" w:type="dxa"/>
            <w:vAlign w:val="bottom"/>
          </w:tcPr>
          <w:p>
            <w:pPr>
              <w:jc w:val="right"/>
              <w:spacing w:after="0" w:line="215" w:lineRule="exact"/>
              <w:rPr>
                <w:sz w:val="20"/>
                <w:szCs w:val="20"/>
                <w:color w:val="auto"/>
              </w:rPr>
            </w:pPr>
            <w:r>
              <w:rPr>
                <w:rFonts w:ascii="Calibri" w:cs="Calibri" w:eastAsia="Calibri" w:hAnsi="Calibri"/>
                <w:sz w:val="18"/>
                <w:szCs w:val="18"/>
                <w:color w:val="auto"/>
              </w:rPr>
              <w:t>68,602</w:t>
            </w:r>
          </w:p>
        </w:tc>
        <w:tc>
          <w:tcPr>
            <w:tcW w:w="100" w:type="dxa"/>
            <w:vAlign w:val="bottom"/>
          </w:tcPr>
          <w:p>
            <w:pPr>
              <w:spacing w:after="0"/>
              <w:rPr>
                <w:sz w:val="19"/>
                <w:szCs w:val="19"/>
                <w:color w:val="auto"/>
              </w:rPr>
            </w:pP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39,252</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640" w:type="dxa"/>
            <w:vAlign w:val="bottom"/>
            <w:gridSpan w:val="6"/>
            <w:shd w:val="clear" w:color="auto" w:fill="CCEEFF"/>
          </w:tcPr>
          <w:p>
            <w:pPr>
              <w:spacing w:after="0"/>
              <w:rPr>
                <w:sz w:val="20"/>
                <w:szCs w:val="20"/>
                <w:color w:val="auto"/>
              </w:rPr>
            </w:pPr>
            <w:r>
              <w:rPr>
                <w:rFonts w:ascii="Calibri" w:cs="Calibri" w:eastAsia="Calibri" w:hAnsi="Calibri"/>
                <w:sz w:val="18"/>
                <w:szCs w:val="18"/>
                <w:color w:val="auto"/>
              </w:rPr>
              <w:t>Long-term fnance lease liabilites</w:t>
            </w:r>
          </w:p>
        </w:tc>
        <w:tc>
          <w:tcPr>
            <w:tcW w:w="10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6"/>
          </w:tcPr>
          <w:p>
            <w:pPr>
              <w:spacing w:after="0" w:line="215" w:lineRule="exact"/>
              <w:rPr>
                <w:sz w:val="20"/>
                <w:szCs w:val="20"/>
                <w:color w:val="auto"/>
              </w:rPr>
            </w:pPr>
            <w:r>
              <w:rPr>
                <w:rFonts w:ascii="Calibri" w:cs="Calibri" w:eastAsia="Calibri" w:hAnsi="Calibri"/>
                <w:sz w:val="18"/>
                <w:szCs w:val="18"/>
                <w:color w:val="auto"/>
              </w:rPr>
              <w:t>Unamortzed discount and issuance costs</w:t>
            </w:r>
          </w:p>
        </w:tc>
        <w:tc>
          <w:tcPr>
            <w:tcW w:w="104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(1,635)</w:t>
            </w: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6"/>
            <w:shd w:val="clear" w:color="auto" w:fill="CCEEFF"/>
          </w:tcPr>
          <w:p>
            <w:pPr>
              <w:ind w:left="120"/>
              <w:spacing w:after="0"/>
              <w:rPr>
                <w:sz w:val="20"/>
                <w:szCs w:val="20"/>
                <w:color w:val="auto"/>
              </w:rPr>
            </w:pPr>
            <w:r>
              <w:rPr>
                <w:rFonts w:ascii="Calibri" w:cs="Calibri" w:eastAsia="Calibri" w:hAnsi="Calibri"/>
                <w:sz w:val="18"/>
                <w:szCs w:val="18"/>
                <w:color w:val="auto"/>
              </w:rPr>
              <w:t>Total long-term debt</w:t>
            </w:r>
          </w:p>
        </w:tc>
        <w:tc>
          <w:tcPr>
            <w:tcW w:w="10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5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66,295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37,621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gridSpan w:val="2"/>
            <w:vMerge w:val="restart"/>
          </w:tcPr>
          <w:p>
            <w:pPr>
              <w:jc w:val="right"/>
              <w:ind w:right="1768"/>
              <w:spacing w:after="0"/>
              <w:rPr>
                <w:sz w:val="20"/>
                <w:szCs w:val="20"/>
                <w:color w:val="auto"/>
              </w:rPr>
            </w:pPr>
            <w:r>
              <w:rPr>
                <w:rFonts w:ascii="Calibri" w:cs="Calibri" w:eastAsia="Calibri" w:hAnsi="Calibri"/>
                <w:sz w:val="18"/>
                <w:szCs w:val="18"/>
                <w:color w:val="auto"/>
              </w:rPr>
              <w:t>79</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9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Borders>
              <w:bottom w:val="single" w:sz="8" w:color="9A9A9A"/>
            </w:tcBorders>
          </w:tcPr>
          <w:p>
            <w:pPr>
              <w:spacing w:after="0"/>
              <w:rPr>
                <w:sz w:val="12"/>
                <w:szCs w:val="12"/>
                <w:color w:val="auto"/>
              </w:rPr>
            </w:pPr>
          </w:p>
        </w:tc>
        <w:tc>
          <w:tcPr>
            <w:tcW w:w="21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1" w:name="page82"/>
    <w:bookmarkEnd w:id="8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firstLine="405"/>
        <w:spacing w:after="0" w:line="254" w:lineRule="auto"/>
        <w:rPr>
          <w:sz w:val="20"/>
          <w:szCs w:val="20"/>
          <w:color w:val="auto"/>
        </w:rPr>
      </w:pPr>
      <w:r>
        <w:rPr>
          <w:rFonts w:ascii="Calibri" w:cs="Calibri" w:eastAsia="Calibri" w:hAnsi="Calibri"/>
          <w:sz w:val="17"/>
          <w:szCs w:val="17"/>
          <w:color w:val="auto"/>
        </w:rPr>
        <w:t>The senior notes and term loans are recorded net of discount and issuance costs, which are amortzed to interest expense over the respectve terms of such instruments. The efectve interest rates are calculated based on contractual interest, discount and issuance costs and, if applicable, reclassifcaton of the cumulatve gain from derivatves. See Note 2. "Summary of Signifcant Accountng Policies" for additonal informaton for derivatve instruments.</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Senior Notes</w:t>
      </w:r>
    </w:p>
    <w:p>
      <w:pPr>
        <w:spacing w:after="0" w:line="104"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We issued senior unsecured notes for an aggregate principal amount of $5,000 million in October 2024 and $5,000 million in July 2024.</w:t>
      </w:r>
    </w:p>
    <w:p>
      <w:pPr>
        <w:spacing w:after="0" w:line="109" w:lineRule="exact"/>
        <w:rPr>
          <w:sz w:val="20"/>
          <w:szCs w:val="20"/>
          <w:color w:val="auto"/>
        </w:rPr>
      </w:pPr>
    </w:p>
    <w:p>
      <w:pPr>
        <w:ind w:right="400" w:firstLine="405"/>
        <w:spacing w:after="0" w:line="235" w:lineRule="auto"/>
        <w:rPr>
          <w:sz w:val="20"/>
          <w:szCs w:val="20"/>
          <w:color w:val="auto"/>
        </w:rPr>
      </w:pPr>
      <w:r>
        <w:rPr>
          <w:rFonts w:ascii="Calibri" w:cs="Calibri" w:eastAsia="Calibri" w:hAnsi="Calibri"/>
          <w:sz w:val="18"/>
          <w:szCs w:val="18"/>
          <w:color w:val="auto"/>
        </w:rPr>
        <w:t>In connecton with the VMware Merger, we assumed $8,250 million of VMware’s outstanding senior unsecured notes. We repaid $1,250 million of 1.000% notes upon maturity in August 2024.</w:t>
      </w:r>
    </w:p>
    <w:p>
      <w:pPr>
        <w:spacing w:after="0" w:line="110"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color w:val="auto"/>
        </w:rPr>
        <w:t>We may redeem or purchase, in whole or in part, any of our senior notes prior to their respectve maturites, subject to a specifed make-whole premium determined in accordance with the indentures governing the respectve notes, plus accrued and unpaid interest. In the event of a change in control, note holders will have the right to require us to repurchase their notes at a price equal to 101% of the principal amount of such notes, plus accrued and unpaid interest.</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2023 Term Loans</w:t>
      </w:r>
    </w:p>
    <w:p>
      <w:pPr>
        <w:spacing w:after="0" w:line="109" w:lineRule="exact"/>
        <w:rPr>
          <w:sz w:val="20"/>
          <w:szCs w:val="20"/>
          <w:color w:val="auto"/>
        </w:rPr>
      </w:pPr>
    </w:p>
    <w:p>
      <w:pPr>
        <w:ind w:right="320" w:firstLine="405"/>
        <w:spacing w:after="0" w:line="235" w:lineRule="auto"/>
        <w:rPr>
          <w:sz w:val="20"/>
          <w:szCs w:val="20"/>
          <w:color w:val="auto"/>
        </w:rPr>
      </w:pPr>
      <w:r>
        <w:rPr>
          <w:rFonts w:ascii="Calibri" w:cs="Calibri" w:eastAsia="Calibri" w:hAnsi="Calibri"/>
          <w:sz w:val="18"/>
          <w:szCs w:val="18"/>
          <w:color w:val="auto"/>
        </w:rPr>
        <w:t>On August 15, 2023, we entered into a credit agreement (the “2023 Credit Agreement”), which provided us with the ability to borrow term loans in connecton with the VMware Merger. Upon completon of the VMware Merger, we entered an $11,195 million unsecured term A-2 facility (the "Term A-2 Loan”), an $11,195 million unsecured term A-3 facility (the “Term A-3 Loan”), and an $8,000 million unsecured term A-5 facility (the “Term A-5 Loan”, collectvely, the “2023 Term Loans”).</w:t>
      </w:r>
    </w:p>
    <w:p>
      <w:pPr>
        <w:spacing w:after="0" w:line="111"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During fscal year 2024, we repaid $11,195 million of our Term A-2 Loan using the net proceeds from the senior notes issued in July 2024 and the sale of the EUC business, as well as cash on hand. We also repaid $5,600 million of our Term A-3 Loan using the net proceeds from the senior notes issued in October 2024 and cash on hand. As a result of these repayments, we wrote of unamortzed discount and issuance costs of $157 million, which were included in interest expense in the consolidated statement of operatons.</w:t>
      </w:r>
    </w:p>
    <w:p>
      <w:pPr>
        <w:spacing w:after="0" w:line="111" w:lineRule="exact"/>
        <w:rPr>
          <w:sz w:val="20"/>
          <w:szCs w:val="20"/>
          <w:color w:val="auto"/>
        </w:rPr>
      </w:pPr>
    </w:p>
    <w:p>
      <w:pPr>
        <w:ind w:right="200" w:firstLine="405"/>
        <w:spacing w:after="0" w:line="235" w:lineRule="auto"/>
        <w:rPr>
          <w:sz w:val="20"/>
          <w:szCs w:val="20"/>
          <w:color w:val="auto"/>
        </w:rPr>
      </w:pPr>
      <w:r>
        <w:rPr>
          <w:rFonts w:ascii="Calibri" w:cs="Calibri" w:eastAsia="Calibri" w:hAnsi="Calibri"/>
          <w:sz w:val="18"/>
          <w:szCs w:val="18"/>
          <w:color w:val="auto"/>
        </w:rPr>
        <w:t>The 2023 Term Loans bear interest, payable monthly or every three months at our electon, at foatng interest rates ted to the Secured Overnight Financing Rate (“SOFR”). The Term A-3 Loan and Term A-5 Loan will mature and be payable on the third or ffh anniversary, respectvely, of the date of the VMware Merger. Subject to the terms of the 2023 Credit Agreement, we are permited to voluntarily make prepayments of the term loans without penalty. Our obligatons under the 2023 Credit Agreement are unsecured and are not guaranteed by any of our subsidiaries.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2021 Credit Agreement</w:t>
      </w:r>
    </w:p>
    <w:p>
      <w:pPr>
        <w:spacing w:after="0" w:line="109"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In January 2021, we entered into a credit agreement (the “2021 Credit Agreement”), which provides for a fve-year $7.5 billion unsecured revolving credit facility, of which $500 million is available for the issuance of mult-currency leters of credit. The issuance of leters of credit and certain other instruments would reduce the aggregate amount otherwise available under the revolving credit facility for revolving loans. Subject to the terms of the 2021 Credit Agreement, we are permited to borrow, repay and reborrow revolving loans at any tme prior to the earlier of (a) January 19, 2026 and (b) the date of terminaton in whole of the revolving lenders’ commitments under the 2021 Credit Agreement. We had no borrowings outstanding under the revolving credit facility at either November 3, 2024 or October 29, 2023.</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Commercial Paper</w:t>
      </w:r>
    </w:p>
    <w:p>
      <w:pPr>
        <w:spacing w:after="0" w:line="109" w:lineRule="exact"/>
        <w:rPr>
          <w:sz w:val="20"/>
          <w:szCs w:val="20"/>
          <w:color w:val="auto"/>
        </w:rPr>
      </w:pPr>
    </w:p>
    <w:p>
      <w:pPr>
        <w:ind w:right="40" w:firstLine="159"/>
        <w:spacing w:after="0" w:line="235" w:lineRule="auto"/>
        <w:rPr>
          <w:sz w:val="20"/>
          <w:szCs w:val="20"/>
          <w:color w:val="auto"/>
        </w:rPr>
      </w:pPr>
      <w:r>
        <w:rPr>
          <w:rFonts w:ascii="Calibri" w:cs="Calibri" w:eastAsia="Calibri" w:hAnsi="Calibri"/>
          <w:sz w:val="18"/>
          <w:szCs w:val="18"/>
          <w:color w:val="auto"/>
        </w:rPr>
        <w:t>We have a commercial paper program pursuant to which we may issue unsecured commercial paper notes (“Commercial Paper”) in principal amount of up to $2 billion outstanding at any tme with maturites of up to 397 days from the date of issue. Commercial Paper is sold under customary terms in the commercial paper market and may be issued at a discount from par or, alternatvely, may be sold at par and bear interest at rates dictated by market conditons at the tme of their issuance. The discount associated with the Commercial Paper is amortzed to interest expense over its term. Outstanding Commercial Paper reduces the amount that would otherwise be available to borrow for general corporate purposes under our revolving credit facility. We had no Commercial Paper outstanding at either November 3, 2024 or October 29, 2023.</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Fair Value of Debt</w:t>
      </w:r>
    </w:p>
    <w:p>
      <w:pPr>
        <w:spacing w:after="0" w:line="109" w:lineRule="exact"/>
        <w:rPr>
          <w:sz w:val="20"/>
          <w:szCs w:val="20"/>
          <w:color w:val="auto"/>
        </w:rPr>
      </w:pPr>
    </w:p>
    <w:p>
      <w:pPr>
        <w:ind w:right="240" w:firstLine="405"/>
        <w:spacing w:after="0" w:line="235" w:lineRule="auto"/>
        <w:rPr>
          <w:sz w:val="20"/>
          <w:szCs w:val="20"/>
          <w:color w:val="auto"/>
        </w:rPr>
      </w:pPr>
      <w:r>
        <w:rPr>
          <w:rFonts w:ascii="Calibri" w:cs="Calibri" w:eastAsia="Calibri" w:hAnsi="Calibri"/>
          <w:sz w:val="18"/>
          <w:szCs w:val="18"/>
          <w:color w:val="auto"/>
        </w:rPr>
        <w:t>As of November 3, 2024, the estmated aggregate fair value of our debt was $65,022 million. The fair value of our senior notes was determined using quoted prices from less actve markets. The carrying value of the 2023 Term Loans approximates their fair value as the 2023 Term Loans are carried at a market observable interest rate that resets periodically. All of our debt obligatons are categorized as Level 2 instruments.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82" w:name="page83"/>
    <w:bookmarkEnd w:id="8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Future Principal Payments of Debt</w:t>
      </w:r>
    </w:p>
    <w:p>
      <w:pPr>
        <w:spacing w:after="0" w:line="104"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The future scheduled principal payments of debt as of November 3, 2024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8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Fiscal Year:</w:t>
            </w:r>
          </w:p>
        </w:tc>
        <w:tc>
          <w:tcPr>
            <w:tcW w:w="160" w:type="dxa"/>
            <w:vAlign w:val="bottom"/>
          </w:tcPr>
          <w:p>
            <w:pPr>
              <w:spacing w:after="0"/>
              <w:rPr>
                <w:sz w:val="14"/>
                <w:szCs w:val="14"/>
                <w:color w:val="auto"/>
              </w:rPr>
            </w:pPr>
          </w:p>
        </w:tc>
        <w:tc>
          <w:tcPr>
            <w:tcW w:w="1840" w:type="dxa"/>
            <w:vAlign w:val="bottom"/>
          </w:tcPr>
          <w:p>
            <w:pPr>
              <w:jc w:val="center"/>
              <w:ind w:right="55"/>
              <w:spacing w:after="0"/>
              <w:rPr>
                <w:sz w:val="20"/>
                <w:szCs w:val="20"/>
                <w:color w:val="auto"/>
              </w:rPr>
            </w:pPr>
            <w:r>
              <w:rPr>
                <w:rFonts w:ascii="Calibri" w:cs="Calibri" w:eastAsia="Calibri" w:hAnsi="Calibri"/>
                <w:sz w:val="14"/>
                <w:szCs w:val="14"/>
                <w:b w:val="1"/>
                <w:bCs w:val="1"/>
                <w:color w:val="auto"/>
              </w:rPr>
              <w:t>Future Scheduled Principal</w:t>
            </w:r>
          </w:p>
        </w:tc>
        <w:tc>
          <w:tcPr>
            <w:tcW w:w="0" w:type="dxa"/>
            <w:vAlign w:val="bottom"/>
          </w:tcPr>
          <w:p>
            <w:pPr>
              <w:spacing w:after="0"/>
              <w:rPr>
                <w:sz w:val="1"/>
                <w:szCs w:val="1"/>
                <w:color w:val="auto"/>
              </w:rPr>
            </w:pPr>
          </w:p>
        </w:tc>
      </w:tr>
      <w:tr>
        <w:trPr>
          <w:trHeight w:val="180"/>
        </w:trPr>
        <w:tc>
          <w:tcPr>
            <w:tcW w:w="9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tcPr>
          <w:p>
            <w:pPr>
              <w:jc w:val="center"/>
              <w:ind w:right="55"/>
              <w:spacing w:after="0"/>
              <w:rPr>
                <w:sz w:val="20"/>
                <w:szCs w:val="20"/>
                <w:color w:val="auto"/>
              </w:rPr>
            </w:pPr>
            <w:r>
              <w:rPr>
                <w:rFonts w:ascii="Calibri" w:cs="Calibri" w:eastAsia="Calibri" w:hAnsi="Calibri"/>
                <w:sz w:val="14"/>
                <w:szCs w:val="14"/>
                <w:b w:val="1"/>
                <w:bCs w:val="1"/>
                <w:color w:val="auto"/>
              </w:rPr>
              <w:t>Payments</w:t>
            </w:r>
          </w:p>
        </w:tc>
        <w:tc>
          <w:tcPr>
            <w:tcW w:w="0" w:type="dxa"/>
            <w:vAlign w:val="bottom"/>
          </w:tcPr>
          <w:p>
            <w:pPr>
              <w:spacing w:after="0"/>
              <w:rPr>
                <w:sz w:val="1"/>
                <w:szCs w:val="1"/>
                <w:color w:val="auto"/>
              </w:rPr>
            </w:pPr>
          </w:p>
        </w:tc>
      </w:tr>
      <w:tr>
        <w:trPr>
          <w:trHeight w:val="23"/>
        </w:trPr>
        <w:tc>
          <w:tcPr>
            <w:tcW w:w="9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9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tcPr>
          <w:p>
            <w:pPr>
              <w:jc w:val="center"/>
              <w:ind w:right="55"/>
              <w:spacing w:after="0" w:line="164" w:lineRule="exact"/>
              <w:rPr>
                <w:sz w:val="20"/>
                <w:szCs w:val="20"/>
                <w:color w:val="auto"/>
              </w:rPr>
            </w:pPr>
            <w:r>
              <w:rPr>
                <w:rFonts w:ascii="Calibri" w:cs="Calibri" w:eastAsia="Calibri" w:hAnsi="Calibri"/>
                <w:sz w:val="14"/>
                <w:szCs w:val="14"/>
                <w:b w:val="1"/>
                <w:bCs w:val="1"/>
                <w:color w:val="auto"/>
              </w:rPr>
              <w:t>(In millions)</w:t>
            </w:r>
          </w:p>
        </w:tc>
        <w:tc>
          <w:tcPr>
            <w:tcW w:w="0" w:type="dxa"/>
            <w:vAlign w:val="bottom"/>
          </w:tcPr>
          <w:p>
            <w:pPr>
              <w:spacing w:after="0"/>
              <w:rPr>
                <w:sz w:val="1"/>
                <w:szCs w:val="1"/>
                <w:color w:val="auto"/>
              </w:rPr>
            </w:pPr>
          </w:p>
        </w:tc>
      </w:tr>
      <w:tr>
        <w:trPr>
          <w:trHeight w:val="33"/>
        </w:trPr>
        <w:tc>
          <w:tcPr>
            <w:tcW w:w="9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1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2025</w:t>
            </w: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1,245</w:t>
            </w:r>
          </w:p>
        </w:tc>
        <w:tc>
          <w:tcPr>
            <w:tcW w:w="0" w:type="dxa"/>
            <w:vAlign w:val="bottom"/>
          </w:tcPr>
          <w:p>
            <w:pPr>
              <w:spacing w:after="0"/>
              <w:rPr>
                <w:sz w:val="1"/>
                <w:szCs w:val="1"/>
                <w:color w:val="auto"/>
              </w:rPr>
            </w:pPr>
          </w:p>
        </w:tc>
      </w:tr>
      <w:tr>
        <w:trPr>
          <w:trHeight w:val="222"/>
        </w:trPr>
        <w:tc>
          <w:tcPr>
            <w:tcW w:w="9180" w:type="dxa"/>
            <w:vAlign w:val="bottom"/>
          </w:tcPr>
          <w:p>
            <w:pPr>
              <w:ind w:left="20"/>
              <w:spacing w:after="0" w:line="215" w:lineRule="exact"/>
              <w:rPr>
                <w:sz w:val="20"/>
                <w:szCs w:val="20"/>
                <w:color w:val="auto"/>
              </w:rPr>
            </w:pPr>
            <w:r>
              <w:rPr>
                <w:rFonts w:ascii="Calibri" w:cs="Calibri" w:eastAsia="Calibri" w:hAnsi="Calibri"/>
                <w:sz w:val="18"/>
                <w:szCs w:val="18"/>
                <w:color w:val="auto"/>
              </w:rPr>
              <w:t>2026</w:t>
            </w:r>
          </w:p>
        </w:tc>
        <w:tc>
          <w:tcPr>
            <w:tcW w:w="160" w:type="dxa"/>
            <w:vAlign w:val="bottom"/>
          </w:tcPr>
          <w:p>
            <w:pPr>
              <w:spacing w:after="0"/>
              <w:rPr>
                <w:sz w:val="19"/>
                <w:szCs w:val="19"/>
                <w:color w:val="auto"/>
              </w:rPr>
            </w:pPr>
          </w:p>
        </w:tc>
        <w:tc>
          <w:tcPr>
            <w:tcW w:w="1840" w:type="dxa"/>
            <w:vAlign w:val="bottom"/>
          </w:tcPr>
          <w:p>
            <w:pPr>
              <w:jc w:val="right"/>
              <w:spacing w:after="0" w:line="215" w:lineRule="exact"/>
              <w:rPr>
                <w:sz w:val="20"/>
                <w:szCs w:val="20"/>
                <w:color w:val="auto"/>
              </w:rPr>
            </w:pPr>
            <w:r>
              <w:rPr>
                <w:rFonts w:ascii="Calibri" w:cs="Calibri" w:eastAsia="Calibri" w:hAnsi="Calibri"/>
                <w:sz w:val="18"/>
                <w:szCs w:val="18"/>
                <w:color w:val="auto"/>
              </w:rPr>
              <w:t>3,152</w:t>
            </w:r>
          </w:p>
        </w:tc>
        <w:tc>
          <w:tcPr>
            <w:tcW w:w="0" w:type="dxa"/>
            <w:vAlign w:val="bottom"/>
          </w:tcPr>
          <w:p>
            <w:pPr>
              <w:spacing w:after="0"/>
              <w:rPr>
                <w:sz w:val="1"/>
                <w:szCs w:val="1"/>
                <w:color w:val="auto"/>
              </w:rPr>
            </w:pPr>
          </w:p>
        </w:tc>
      </w:tr>
      <w:tr>
        <w:trPr>
          <w:trHeight w:val="237"/>
        </w:trPr>
        <w:tc>
          <w:tcPr>
            <w:tcW w:w="91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2027</w:t>
            </w:r>
          </w:p>
        </w:tc>
        <w:tc>
          <w:tcPr>
            <w:tcW w:w="16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11,732</w:t>
            </w:r>
          </w:p>
        </w:tc>
        <w:tc>
          <w:tcPr>
            <w:tcW w:w="0" w:type="dxa"/>
            <w:vAlign w:val="bottom"/>
          </w:tcPr>
          <w:p>
            <w:pPr>
              <w:spacing w:after="0"/>
              <w:rPr>
                <w:sz w:val="1"/>
                <w:szCs w:val="1"/>
                <w:color w:val="auto"/>
              </w:rPr>
            </w:pPr>
          </w:p>
        </w:tc>
      </w:tr>
      <w:tr>
        <w:trPr>
          <w:trHeight w:val="222"/>
        </w:trPr>
        <w:tc>
          <w:tcPr>
            <w:tcW w:w="9180" w:type="dxa"/>
            <w:vAlign w:val="bottom"/>
          </w:tcPr>
          <w:p>
            <w:pPr>
              <w:ind w:left="20"/>
              <w:spacing w:after="0" w:line="215" w:lineRule="exact"/>
              <w:rPr>
                <w:sz w:val="20"/>
                <w:szCs w:val="20"/>
                <w:color w:val="auto"/>
              </w:rPr>
            </w:pPr>
            <w:r>
              <w:rPr>
                <w:rFonts w:ascii="Calibri" w:cs="Calibri" w:eastAsia="Calibri" w:hAnsi="Calibri"/>
                <w:sz w:val="18"/>
                <w:szCs w:val="18"/>
                <w:color w:val="auto"/>
              </w:rPr>
              <w:t>2028</w:t>
            </w:r>
          </w:p>
        </w:tc>
        <w:tc>
          <w:tcPr>
            <w:tcW w:w="160" w:type="dxa"/>
            <w:vAlign w:val="bottom"/>
          </w:tcPr>
          <w:p>
            <w:pPr>
              <w:spacing w:after="0"/>
              <w:rPr>
                <w:sz w:val="19"/>
                <w:szCs w:val="19"/>
                <w:color w:val="auto"/>
              </w:rPr>
            </w:pPr>
          </w:p>
        </w:tc>
        <w:tc>
          <w:tcPr>
            <w:tcW w:w="1840" w:type="dxa"/>
            <w:vAlign w:val="bottom"/>
          </w:tcPr>
          <w:p>
            <w:pPr>
              <w:jc w:val="right"/>
              <w:spacing w:after="0" w:line="215" w:lineRule="exact"/>
              <w:rPr>
                <w:sz w:val="20"/>
                <w:szCs w:val="20"/>
                <w:color w:val="auto"/>
              </w:rPr>
            </w:pPr>
            <w:r>
              <w:rPr>
                <w:rFonts w:ascii="Calibri" w:cs="Calibri" w:eastAsia="Calibri" w:hAnsi="Calibri"/>
                <w:sz w:val="18"/>
                <w:szCs w:val="18"/>
                <w:color w:val="auto"/>
              </w:rPr>
              <w:t>4,270</w:t>
            </w:r>
          </w:p>
        </w:tc>
        <w:tc>
          <w:tcPr>
            <w:tcW w:w="0" w:type="dxa"/>
            <w:vAlign w:val="bottom"/>
          </w:tcPr>
          <w:p>
            <w:pPr>
              <w:spacing w:after="0"/>
              <w:rPr>
                <w:sz w:val="1"/>
                <w:szCs w:val="1"/>
                <w:color w:val="auto"/>
              </w:rPr>
            </w:pPr>
          </w:p>
        </w:tc>
      </w:tr>
      <w:tr>
        <w:trPr>
          <w:trHeight w:val="237"/>
        </w:trPr>
        <w:tc>
          <w:tcPr>
            <w:tcW w:w="91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2029</w:t>
            </w:r>
          </w:p>
        </w:tc>
        <w:tc>
          <w:tcPr>
            <w:tcW w:w="16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12,655</w:t>
            </w:r>
          </w:p>
        </w:tc>
        <w:tc>
          <w:tcPr>
            <w:tcW w:w="0" w:type="dxa"/>
            <w:vAlign w:val="bottom"/>
          </w:tcPr>
          <w:p>
            <w:pPr>
              <w:spacing w:after="0"/>
              <w:rPr>
                <w:sz w:val="1"/>
                <w:szCs w:val="1"/>
                <w:color w:val="auto"/>
              </w:rPr>
            </w:pPr>
          </w:p>
        </w:tc>
      </w:tr>
      <w:tr>
        <w:trPr>
          <w:trHeight w:val="223"/>
        </w:trPr>
        <w:tc>
          <w:tcPr>
            <w:tcW w:w="91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Thereafer</w:t>
            </w: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36,793</w:t>
            </w:r>
          </w:p>
        </w:tc>
        <w:tc>
          <w:tcPr>
            <w:tcW w:w="0" w:type="dxa"/>
            <w:vAlign w:val="bottom"/>
          </w:tcPr>
          <w:p>
            <w:pPr>
              <w:spacing w:after="0"/>
              <w:rPr>
                <w:sz w:val="1"/>
                <w:szCs w:val="1"/>
                <w:color w:val="auto"/>
              </w:rPr>
            </w:pPr>
          </w:p>
        </w:tc>
      </w:tr>
      <w:tr>
        <w:trPr>
          <w:trHeight w:val="254"/>
        </w:trPr>
        <w:tc>
          <w:tcPr>
            <w:tcW w:w="918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Total</w:t>
            </w:r>
          </w:p>
        </w:tc>
        <w:tc>
          <w:tcPr>
            <w:tcW w:w="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8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69,847</w:t>
            </w:r>
          </w:p>
        </w:tc>
        <w:tc>
          <w:tcPr>
            <w:tcW w:w="0" w:type="dxa"/>
            <w:vAlign w:val="bottom"/>
          </w:tcPr>
          <w:p>
            <w:pPr>
              <w:spacing w:after="0"/>
              <w:rPr>
                <w:sz w:val="1"/>
                <w:szCs w:val="1"/>
                <w:color w:val="auto"/>
              </w:rPr>
            </w:pP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As of November 3, 2024 and October 29, 2023, we were in compliance with all debt covenants.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11. Stockholders’ Equity</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 Split</w:t>
      </w:r>
    </w:p>
    <w:p>
      <w:pPr>
        <w:spacing w:after="0" w:line="109" w:lineRule="exact"/>
        <w:rPr>
          <w:sz w:val="20"/>
          <w:szCs w:val="20"/>
          <w:color w:val="auto"/>
        </w:rPr>
      </w:pPr>
    </w:p>
    <w:p>
      <w:pPr>
        <w:ind w:right="300" w:firstLine="405"/>
        <w:spacing w:after="0" w:line="235" w:lineRule="auto"/>
        <w:rPr>
          <w:sz w:val="20"/>
          <w:szCs w:val="20"/>
          <w:color w:val="auto"/>
        </w:rPr>
      </w:pPr>
      <w:r>
        <w:rPr>
          <w:rFonts w:ascii="Calibri" w:cs="Calibri" w:eastAsia="Calibri" w:hAnsi="Calibri"/>
          <w:sz w:val="18"/>
          <w:szCs w:val="18"/>
          <w:color w:val="auto"/>
        </w:rPr>
        <w:t>On July 12, 2024, we completed a ten-for-one forward stock split of our common stock, proportonately increasing the number of shares of our authorized common stock from 2.9 billion to 29 billion without changing the par value of $0.001 per share. All share, equity award and per share amounts and related stockholders’ equity balances presented herein have been retroactvely adjusted, where applicable, to refect the stock split.</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Dividends Declared and Paid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rPr>
              <w:t>Fiscal Year</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7"/>
        </w:trPr>
        <w:tc>
          <w:tcPr>
            <w:tcW w:w="674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63"/>
        </w:trPr>
        <w:tc>
          <w:tcPr>
            <w:tcW w:w="6740" w:type="dxa"/>
            <w:vAlign w:val="bottom"/>
          </w:tcPr>
          <w:p>
            <w:pPr>
              <w:spacing w:after="0"/>
              <w:rPr>
                <w:sz w:val="14"/>
                <w:szCs w:val="14"/>
                <w:color w:val="auto"/>
              </w:rPr>
            </w:pPr>
          </w:p>
        </w:tc>
        <w:tc>
          <w:tcPr>
            <w:tcW w:w="9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56"/>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474"/>
              <w:spacing w:after="0" w:line="164" w:lineRule="exact"/>
              <w:rPr>
                <w:sz w:val="20"/>
                <w:szCs w:val="20"/>
                <w:color w:val="auto"/>
              </w:rPr>
            </w:pPr>
            <w:r>
              <w:rPr>
                <w:rFonts w:ascii="Calibri" w:cs="Calibri" w:eastAsia="Calibri" w:hAnsi="Calibri"/>
                <w:sz w:val="14"/>
                <w:szCs w:val="14"/>
                <w:b w:val="1"/>
                <w:bCs w:val="1"/>
                <w:color w:val="auto"/>
              </w:rPr>
              <w:t>2022</w:t>
            </w:r>
          </w:p>
        </w:tc>
      </w:tr>
      <w:tr>
        <w:trPr>
          <w:trHeight w:val="33"/>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60" w:type="dxa"/>
            <w:vAlign w:val="bottom"/>
            <w:gridSpan w:val="6"/>
          </w:tcPr>
          <w:p>
            <w:pPr>
              <w:jc w:val="center"/>
              <w:ind w:left="54"/>
              <w:spacing w:after="0"/>
              <w:rPr>
                <w:sz w:val="20"/>
                <w:szCs w:val="20"/>
                <w:color w:val="auto"/>
              </w:rPr>
            </w:pPr>
            <w:r>
              <w:rPr>
                <w:rFonts w:ascii="Calibri" w:cs="Calibri" w:eastAsia="Calibri" w:hAnsi="Calibri"/>
                <w:sz w:val="14"/>
                <w:szCs w:val="14"/>
                <w:b w:val="1"/>
                <w:bCs w:val="1"/>
                <w:color w:val="auto"/>
              </w:rPr>
              <w:t>(In millions, except per share data)</w:t>
            </w:r>
          </w:p>
        </w:tc>
        <w:tc>
          <w:tcPr>
            <w:tcW w:w="1040" w:type="dxa"/>
            <w:vAlign w:val="bottom"/>
          </w:tcPr>
          <w:p>
            <w:pPr>
              <w:spacing w:after="0"/>
              <w:rPr>
                <w:sz w:val="16"/>
                <w:szCs w:val="16"/>
                <w:color w:val="auto"/>
              </w:rPr>
            </w:pPr>
          </w:p>
        </w:tc>
      </w:tr>
      <w:tr>
        <w:trPr>
          <w:trHeight w:val="47"/>
        </w:trPr>
        <w:tc>
          <w:tcPr>
            <w:tcW w:w="6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29"/>
        </w:trPr>
        <w:tc>
          <w:tcPr>
            <w:tcW w:w="67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Dividends per share to common stockholders</w:t>
            </w:r>
          </w:p>
        </w:tc>
        <w:tc>
          <w:tcPr>
            <w:tcW w:w="900" w:type="dxa"/>
            <w:vAlign w:val="bottom"/>
            <w:shd w:val="clear" w:color="auto" w:fill="CCEEFF"/>
          </w:tcPr>
          <w:p>
            <w:pPr>
              <w:jc w:val="right"/>
              <w:ind w:right="714"/>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1.640</w:t>
            </w:r>
          </w:p>
        </w:tc>
      </w:tr>
      <w:tr>
        <w:trPr>
          <w:trHeight w:val="222"/>
        </w:trPr>
        <w:tc>
          <w:tcPr>
            <w:tcW w:w="6740" w:type="dxa"/>
            <w:vAlign w:val="bottom"/>
          </w:tcPr>
          <w:p>
            <w:pPr>
              <w:ind w:left="20"/>
              <w:spacing w:after="0" w:line="215" w:lineRule="exact"/>
              <w:rPr>
                <w:sz w:val="20"/>
                <w:szCs w:val="20"/>
                <w:color w:val="auto"/>
              </w:rPr>
            </w:pPr>
            <w:r>
              <w:rPr>
                <w:rFonts w:ascii="Calibri" w:cs="Calibri" w:eastAsia="Calibri" w:hAnsi="Calibri"/>
                <w:sz w:val="18"/>
                <w:szCs w:val="18"/>
                <w:color w:val="auto"/>
              </w:rPr>
              <w:t>Dividends to common stockholders</w:t>
            </w:r>
          </w:p>
        </w:tc>
        <w:tc>
          <w:tcPr>
            <w:tcW w:w="900" w:type="dxa"/>
            <w:vAlign w:val="bottom"/>
          </w:tcPr>
          <w:p>
            <w:pPr>
              <w:jc w:val="right"/>
              <w:ind w:right="714"/>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9,814</w:t>
            </w:r>
          </w:p>
        </w:tc>
        <w:tc>
          <w:tcPr>
            <w:tcW w:w="100" w:type="dxa"/>
            <w:vAlign w:val="bottom"/>
          </w:tcPr>
          <w:p>
            <w:pPr>
              <w:spacing w:after="0"/>
              <w:rPr>
                <w:sz w:val="19"/>
                <w:szCs w:val="19"/>
                <w:color w:val="auto"/>
              </w:rPr>
            </w:pP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7,645</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6,733</w:t>
            </w:r>
          </w:p>
        </w:tc>
      </w:tr>
      <w:tr>
        <w:trPr>
          <w:trHeight w:val="237"/>
        </w:trPr>
        <w:tc>
          <w:tcPr>
            <w:tcW w:w="67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Dividends per share to preferred stockholders</w:t>
            </w:r>
          </w:p>
        </w:tc>
        <w:tc>
          <w:tcPr>
            <w:tcW w:w="900" w:type="dxa"/>
            <w:vAlign w:val="bottom"/>
            <w:shd w:val="clear" w:color="auto" w:fill="CCEEFF"/>
          </w:tcPr>
          <w:p>
            <w:pPr>
              <w:jc w:val="right"/>
              <w:ind w:right="714"/>
              <w:spacing w:after="0"/>
              <w:rPr>
                <w:sz w:val="20"/>
                <w:szCs w:val="20"/>
                <w:color w:val="auto"/>
              </w:rPr>
            </w:pPr>
            <w:r>
              <w:rPr>
                <w:rFonts w:ascii="Calibri" w:cs="Calibri" w:eastAsia="Calibri" w:hAnsi="Calibri"/>
                <w:sz w:val="18"/>
                <w:szCs w:val="18"/>
                <w:color w:val="auto"/>
                <w:w w:val="87"/>
              </w:rPr>
              <w:t>$</w:t>
            </w:r>
          </w:p>
        </w:tc>
        <w:tc>
          <w:tcPr>
            <w:tcW w:w="62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80.00</w:t>
            </w:r>
          </w:p>
        </w:tc>
      </w:tr>
      <w:tr>
        <w:trPr>
          <w:trHeight w:val="215"/>
        </w:trPr>
        <w:tc>
          <w:tcPr>
            <w:tcW w:w="6740" w:type="dxa"/>
            <w:vAlign w:val="bottom"/>
          </w:tcPr>
          <w:p>
            <w:pPr>
              <w:ind w:left="20"/>
              <w:spacing w:after="0" w:line="215" w:lineRule="exact"/>
              <w:rPr>
                <w:sz w:val="20"/>
                <w:szCs w:val="20"/>
                <w:color w:val="auto"/>
              </w:rPr>
            </w:pPr>
            <w:r>
              <w:rPr>
                <w:rFonts w:ascii="Calibri" w:cs="Calibri" w:eastAsia="Calibri" w:hAnsi="Calibri"/>
                <w:sz w:val="18"/>
                <w:szCs w:val="18"/>
                <w:color w:val="auto"/>
              </w:rPr>
              <w:t>Dividends to preferred stockholders</w:t>
            </w:r>
          </w:p>
        </w:tc>
        <w:tc>
          <w:tcPr>
            <w:tcW w:w="900" w:type="dxa"/>
            <w:vAlign w:val="bottom"/>
          </w:tcPr>
          <w:p>
            <w:pPr>
              <w:jc w:val="right"/>
              <w:ind w:right="714"/>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299</w:t>
            </w:r>
          </w:p>
        </w:tc>
      </w:tr>
    </w:tbl>
    <w:p>
      <w:pPr>
        <w:spacing w:after="0" w:line="181" w:lineRule="exact"/>
        <w:rPr>
          <w:sz w:val="20"/>
          <w:szCs w:val="20"/>
          <w:color w:val="auto"/>
        </w:rPr>
      </w:pPr>
    </w:p>
    <w:p>
      <w:pPr>
        <w:ind w:right="280" w:firstLine="405"/>
        <w:spacing w:after="0" w:line="235" w:lineRule="auto"/>
        <w:rPr>
          <w:sz w:val="20"/>
          <w:szCs w:val="20"/>
          <w:color w:val="auto"/>
        </w:rPr>
      </w:pPr>
      <w:r>
        <w:rPr>
          <w:rFonts w:ascii="Calibri" w:cs="Calibri" w:eastAsia="Calibri" w:hAnsi="Calibri"/>
          <w:sz w:val="18"/>
          <w:szCs w:val="18"/>
          <w:color w:val="auto"/>
        </w:rPr>
        <w:t>On September 30, 2019, we completed an ofering of approximately 4 million shares of Mandatory Convertble Preferred Stock, which generated net proceeds of approximately $3,679 million and would automatcally convert into shares of our common stock on September 30, 2022.</w:t>
      </w:r>
    </w:p>
    <w:p>
      <w:pPr>
        <w:spacing w:after="0" w:line="110" w:lineRule="exact"/>
        <w:rPr>
          <w:sz w:val="20"/>
          <w:szCs w:val="20"/>
          <w:color w:val="auto"/>
        </w:rPr>
      </w:pPr>
    </w:p>
    <w:p>
      <w:pPr>
        <w:ind w:right="120" w:firstLine="405"/>
        <w:spacing w:after="0" w:line="235" w:lineRule="auto"/>
        <w:rPr>
          <w:sz w:val="20"/>
          <w:szCs w:val="20"/>
          <w:color w:val="auto"/>
        </w:rPr>
      </w:pPr>
      <w:r>
        <w:rPr>
          <w:rFonts w:ascii="Calibri" w:cs="Calibri" w:eastAsia="Calibri" w:hAnsi="Calibri"/>
          <w:sz w:val="18"/>
          <w:szCs w:val="18"/>
          <w:color w:val="auto"/>
        </w:rPr>
        <w:t>The holders of Mandatory Convertble Preferred Stock were enttled to receive, when, as and if declared by our Board of Directors, or an authorized commitee thereof, out of funds legally available for payment, cumulatve dividends at the annual rate of 8.00% of the liquidaton preference of $1,000 per share (equivalent to $80 annually per share), payable in cash or, subject to certain limitatons, by delivery of shares of our common stock or any combinaton of cash and shares of our common stock, at our electon.</w:t>
      </w:r>
    </w:p>
    <w:p>
      <w:pPr>
        <w:spacing w:after="0" w:line="111"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color w:val="auto"/>
        </w:rPr>
        <w:t>During fscal year 2022, outstanding shares of our Mandatory Convertble Preferred Stock converted into an aggregate of approximately 116 million shares of our common stock at conversion rates ranging between 30.894 and 31.149 common shares per share of Mandatory Convertble Preferred Stock. We paid cash in lieu of fractonal shares of common stock upon conversion.</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 Repurchase Programs</w:t>
      </w:r>
    </w:p>
    <w:p>
      <w:pPr>
        <w:spacing w:after="0" w:line="109" w:lineRule="exact"/>
        <w:rPr>
          <w:sz w:val="20"/>
          <w:szCs w:val="20"/>
          <w:color w:val="auto"/>
        </w:rPr>
      </w:pPr>
    </w:p>
    <w:p>
      <w:pPr>
        <w:ind w:right="260" w:firstLine="405"/>
        <w:spacing w:after="0" w:line="235" w:lineRule="auto"/>
        <w:rPr>
          <w:sz w:val="20"/>
          <w:szCs w:val="20"/>
          <w:color w:val="auto"/>
        </w:rPr>
      </w:pPr>
      <w:r>
        <w:rPr>
          <w:rFonts w:ascii="Calibri" w:cs="Calibri" w:eastAsia="Calibri" w:hAnsi="Calibri"/>
          <w:sz w:val="18"/>
          <w:szCs w:val="18"/>
          <w:color w:val="auto"/>
        </w:rPr>
        <w:t>In December 2021, our Board of Directors authorized a stock repurchase program to repurchase up to $10 billion of our common stock from tme to tme through December 31, 2022, which was subsequently extended to December 31, 2023. In May 2022, our Board of Directors authorized another stock repurchase program to repurchase up to an additonal $10 billion of our common stock from tme to tme through December 31, 2023. During fscal years 2024, 2023 and 2022, we repurchased and retred approximately 67 million, 91 million and 117 million shares of our common stock for $7,176 million, $5,824 million and $7,000 million, respectvely. All $20 billion of the authorized amount under these stock repurchase programs was utlized prior to expiraton on December 31, 2023.</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3" w:name="page84"/>
    <w:bookmarkEnd w:id="8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Equity Incentve Award Plans</w:t>
      </w:r>
    </w:p>
    <w:p>
      <w:pPr>
        <w:spacing w:after="0" w:line="104" w:lineRule="exact"/>
        <w:rPr>
          <w:sz w:val="20"/>
          <w:szCs w:val="20"/>
          <w:color w:val="auto"/>
        </w:rPr>
      </w:pPr>
    </w:p>
    <w:p>
      <w:pPr>
        <w:ind w:left="420"/>
        <w:spacing w:after="0"/>
        <w:rPr>
          <w:sz w:val="20"/>
          <w:szCs w:val="20"/>
          <w:color w:val="auto"/>
        </w:rPr>
      </w:pPr>
      <w:r>
        <w:rPr>
          <w:rFonts w:ascii="Calibri" w:cs="Calibri" w:eastAsia="Calibri" w:hAnsi="Calibri"/>
          <w:sz w:val="18"/>
          <w:szCs w:val="18"/>
          <w:b w:val="1"/>
          <w:bCs w:val="1"/>
          <w:i w:val="1"/>
          <w:iCs w:val="1"/>
          <w:color w:val="auto"/>
        </w:rPr>
        <w:t>2012 Plan</w:t>
      </w:r>
    </w:p>
    <w:p>
      <w:pPr>
        <w:spacing w:after="0" w:line="109" w:lineRule="exact"/>
        <w:rPr>
          <w:sz w:val="20"/>
          <w:szCs w:val="20"/>
          <w:color w:val="auto"/>
        </w:rPr>
      </w:pPr>
    </w:p>
    <w:p>
      <w:pPr>
        <w:ind w:right="40" w:firstLine="405"/>
        <w:spacing w:after="0" w:line="235" w:lineRule="auto"/>
        <w:rPr>
          <w:sz w:val="20"/>
          <w:szCs w:val="20"/>
          <w:color w:val="auto"/>
        </w:rPr>
      </w:pPr>
      <w:r>
        <w:rPr>
          <w:rFonts w:ascii="Calibri" w:cs="Calibri" w:eastAsia="Calibri" w:hAnsi="Calibri"/>
          <w:sz w:val="18"/>
          <w:szCs w:val="18"/>
          <w:color w:val="auto"/>
        </w:rPr>
        <w:t>In connecton with the acquisiton of Broadcom Corporaton, we assumed its 2012 stock incentve plan and outstanding unvested RSUs that were held by its employees. During the second quarter of fscal year 2021, our stockholders approved the amendment and restatement of the Broadcom Corporaton 2012 stock incentve plan, now called the Broadcom Inc. 2012 Stock Incentve Plan (the “2012 Plan”). Under the 2012 Plan, we may grant stock optons and stock appreciaton rights with an exercise price that is no less than the fair market value on the date of grant, restricted stock awards, and RSUs to employees. No partcipant may be granted such awards for more than an aggregate of 40 million shares in any fscal year. Equity awards granted generally vest over four years. The 2012 Plan reduced the number of shares available for new equity award grants to 200 million shares and removed the annual share replenishment provision provided under the Broadcom Corporaton 2012 stock incentve plan. During the second quarter of fscal year 2023, our stockholders approved the amendment and restatement of the 2012 Plan to increase the number of shares of common stock authorized for issuance by 250 million shares. Awards cancelled or forfeited and shares withheld to satsfy tax withholding obligatons become available for future issuance. As of November 3, 2024, 364 million shares remained available for issuance under the 2012 Plan.</w:t>
      </w:r>
    </w:p>
    <w:p>
      <w:pPr>
        <w:spacing w:after="0" w:line="116"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We may grant market-based RSUs with both a service conditon and a market conditon as part of our equity compensaton programs. The market-based RSUs generally vest over four years, subject to satsfacton of market conditons. During fscal years 2024, 2023 and 2022, we granted market-based RSUs under which grantees may receive the number of shares ranging from 0% to 300% of the original grant on a stock split adjusted basis at vestng based upon the total stockholder return (“TSR”) on our common stock on an absolute basis and as compared to the TSR of an index group of companies. During fscal year 2023, we also granted market-based RSUs vestng over fve years, subject to satsfacton of stock price performance milestones.</w:t>
      </w:r>
    </w:p>
    <w:p>
      <w:pPr>
        <w:spacing w:after="0" w:line="107" w:lineRule="exact"/>
        <w:rPr>
          <w:sz w:val="20"/>
          <w:szCs w:val="20"/>
          <w:color w:val="auto"/>
        </w:rPr>
      </w:pPr>
    </w:p>
    <w:p>
      <w:pPr>
        <w:ind w:left="420"/>
        <w:spacing w:after="0"/>
        <w:rPr>
          <w:sz w:val="20"/>
          <w:szCs w:val="20"/>
          <w:color w:val="auto"/>
        </w:rPr>
      </w:pPr>
      <w:r>
        <w:rPr>
          <w:rFonts w:ascii="Calibri" w:cs="Calibri" w:eastAsia="Calibri" w:hAnsi="Calibri"/>
          <w:sz w:val="18"/>
          <w:szCs w:val="18"/>
          <w:b w:val="1"/>
          <w:bCs w:val="1"/>
          <w:i w:val="1"/>
          <w:iCs w:val="1"/>
          <w:color w:val="auto"/>
        </w:rPr>
        <w:t>2007 Plan</w:t>
      </w:r>
    </w:p>
    <w:p>
      <w:pPr>
        <w:spacing w:after="0" w:line="109" w:lineRule="exact"/>
        <w:rPr>
          <w:sz w:val="20"/>
          <w:szCs w:val="20"/>
          <w:color w:val="auto"/>
        </w:rPr>
      </w:pPr>
    </w:p>
    <w:p>
      <w:pPr>
        <w:ind w:right="40" w:firstLine="405"/>
        <w:spacing w:after="0" w:line="235" w:lineRule="auto"/>
        <w:rPr>
          <w:sz w:val="20"/>
          <w:szCs w:val="20"/>
          <w:color w:val="auto"/>
        </w:rPr>
      </w:pPr>
      <w:r>
        <w:rPr>
          <w:rFonts w:ascii="Calibri" w:cs="Calibri" w:eastAsia="Calibri" w:hAnsi="Calibri"/>
          <w:sz w:val="18"/>
          <w:szCs w:val="18"/>
          <w:color w:val="auto"/>
        </w:rPr>
        <w:t>In connecton with the VMware Merger, we assumed the VMware, Inc. Amended and Restated 2007 Equity and Incentve Plan (the “2007 Plan”) and outstanding unvested RSU awards and PSU awards originally granted by VMware under the 2007 Plan that were held by contnuing employees. These assumed awards were converted into approximately 46 million Broadcom RSU awards and will vest in accordance with their original terms, generally over four years. Under the 2007 Plan, we may grant stock optons and stock appreciaton rights with an exercise price that is no less than the fair market value on the date of grant, restricted stock, RSUs, and other stock-based or cash-based awards to employees. Equity awards granted under the 2007 Plan following the VMware Merger are expected to be on similar terms and consistent with similar grants made pursuant to the 2012 Plan. Awards cancelled or forfeited and shares withheld to satsfy tax withholding obligatons become available for future issuance. As of November 3, 2024, 62 million shares remained available for issuance under the 2007 Plan.</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Employee Stock Purchase Plan</w:t>
      </w:r>
    </w:p>
    <w:p>
      <w:pPr>
        <w:spacing w:after="0" w:line="109" w:lineRule="exact"/>
        <w:rPr>
          <w:sz w:val="20"/>
          <w:szCs w:val="20"/>
          <w:color w:val="auto"/>
        </w:rPr>
      </w:pPr>
    </w:p>
    <w:p>
      <w:pPr>
        <w:ind w:right="100" w:firstLine="405"/>
        <w:spacing w:after="0" w:line="235" w:lineRule="auto"/>
        <w:rPr>
          <w:sz w:val="20"/>
          <w:szCs w:val="20"/>
          <w:color w:val="auto"/>
        </w:rPr>
      </w:pPr>
      <w:r>
        <w:rPr>
          <w:rFonts w:ascii="Calibri" w:cs="Calibri" w:eastAsia="Calibri" w:hAnsi="Calibri"/>
          <w:sz w:val="18"/>
          <w:szCs w:val="18"/>
          <w:color w:val="auto"/>
        </w:rPr>
        <w:t>The ESPP provides eligible employees with the opportunity to acquire an ownership interest in us through periodic payroll deductons, based on a 6-month look-back period, at a price equal to the lesser of 85% of the fair market value of our common stock at either the beginning or the end of the relevant ofering period. The ESPP is structured as a qualifed employee stock purchase plan under Secton 423 of the Internal Revenue Code of 1986. However, the ESPP is not intended to be a qualifed pension, proft sharing or stock bonus plan under Secton 401(a) of the Internal Revenue Code of 1986 and is not subject to the provisions of the Employee Retrement Income Security Act of 1974.</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4" w:name="page85"/>
    <w:bookmarkEnd w:id="8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Stock-Based Compensaton Expense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Fiscal Year</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47"/>
        </w:trPr>
        <w:tc>
          <w:tcPr>
            <w:tcW w:w="674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63"/>
        </w:trPr>
        <w:tc>
          <w:tcPr>
            <w:tcW w:w="6740" w:type="dxa"/>
            <w:vAlign w:val="bottom"/>
          </w:tcPr>
          <w:p>
            <w:pPr>
              <w:spacing w:after="0"/>
              <w:rPr>
                <w:sz w:val="14"/>
                <w:szCs w:val="14"/>
                <w:color w:val="auto"/>
              </w:rPr>
            </w:pPr>
          </w:p>
        </w:tc>
        <w:tc>
          <w:tcPr>
            <w:tcW w:w="9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35"/>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2"/>
              <w:spacing w:after="0" w:line="164" w:lineRule="exact"/>
              <w:rPr>
                <w:sz w:val="20"/>
                <w:szCs w:val="20"/>
                <w:color w:val="auto"/>
              </w:rPr>
            </w:pPr>
            <w:r>
              <w:rPr>
                <w:rFonts w:ascii="Calibri" w:cs="Calibri" w:eastAsia="Calibri" w:hAnsi="Calibri"/>
                <w:sz w:val="14"/>
                <w:szCs w:val="14"/>
                <w:b w:val="1"/>
                <w:bCs w:val="1"/>
                <w:color w:val="auto"/>
              </w:rPr>
              <w:t>2022</w:t>
            </w:r>
          </w:p>
        </w:tc>
      </w:tr>
      <w:tr>
        <w:trPr>
          <w:trHeight w:val="33"/>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47"/>
        </w:trPr>
        <w:tc>
          <w:tcPr>
            <w:tcW w:w="6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9"/>
        </w:trPr>
        <w:tc>
          <w:tcPr>
            <w:tcW w:w="67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Cost of products sold</w:t>
            </w:r>
          </w:p>
        </w:tc>
        <w:tc>
          <w:tcPr>
            <w:tcW w:w="900" w:type="dxa"/>
            <w:vAlign w:val="bottom"/>
            <w:shd w:val="clear" w:color="auto" w:fill="CCEEFF"/>
          </w:tcPr>
          <w:p>
            <w:pPr>
              <w:jc w:val="right"/>
              <w:ind w:right="714"/>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65</w:t>
            </w:r>
          </w:p>
        </w:tc>
      </w:tr>
      <w:tr>
        <w:trPr>
          <w:trHeight w:val="222"/>
        </w:trPr>
        <w:tc>
          <w:tcPr>
            <w:tcW w:w="6740" w:type="dxa"/>
            <w:vAlign w:val="bottom"/>
          </w:tcPr>
          <w:p>
            <w:pPr>
              <w:ind w:left="20"/>
              <w:spacing w:after="0" w:line="215" w:lineRule="exact"/>
              <w:rPr>
                <w:sz w:val="20"/>
                <w:szCs w:val="20"/>
                <w:color w:val="auto"/>
              </w:rPr>
            </w:pPr>
            <w:r>
              <w:rPr>
                <w:rFonts w:ascii="Calibri" w:cs="Calibri" w:eastAsia="Calibri" w:hAnsi="Calibri"/>
                <w:sz w:val="18"/>
                <w:szCs w:val="18"/>
                <w:color w:val="auto"/>
              </w:rPr>
              <w:t>Cost of subscriptons and services</w:t>
            </w:r>
          </w:p>
        </w:tc>
        <w:tc>
          <w:tcPr>
            <w:tcW w:w="900" w:type="dxa"/>
            <w:vAlign w:val="bottom"/>
          </w:tcPr>
          <w:p>
            <w:pPr>
              <w:spacing w:after="0"/>
              <w:rPr>
                <w:sz w:val="19"/>
                <w:szCs w:val="19"/>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545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82</w:t>
            </w:r>
          </w:p>
        </w:tc>
      </w:tr>
      <w:tr>
        <w:trPr>
          <w:trHeight w:val="237"/>
        </w:trPr>
        <w:tc>
          <w:tcPr>
            <w:tcW w:w="67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Research and development</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3,460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1,513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1,048</w:t>
            </w:r>
          </w:p>
        </w:tc>
      </w:tr>
      <w:tr>
        <w:trPr>
          <w:trHeight w:val="223"/>
        </w:trPr>
        <w:tc>
          <w:tcPr>
            <w:tcW w:w="674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Selling, general and administratve</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338</w:t>
            </w:r>
          </w:p>
        </w:tc>
      </w:tr>
      <w:tr>
        <w:trPr>
          <w:trHeight w:val="255"/>
        </w:trPr>
        <w:tc>
          <w:tcPr>
            <w:tcW w:w="6740" w:type="dxa"/>
            <w:vAlign w:val="bottom"/>
            <w:tcBorders>
              <w:bottom w:val="single" w:sz="8" w:color="CCEEFF"/>
            </w:tcBorders>
            <w:shd w:val="clear" w:color="auto" w:fill="CCEEFF"/>
          </w:tcPr>
          <w:p>
            <w:pPr>
              <w:ind w:left="140"/>
              <w:spacing w:after="0" w:line="230" w:lineRule="exact"/>
              <w:rPr>
                <w:sz w:val="20"/>
                <w:szCs w:val="20"/>
                <w:color w:val="auto"/>
              </w:rPr>
            </w:pPr>
            <w:r>
              <w:rPr>
                <w:rFonts w:ascii="Calibri" w:cs="Calibri" w:eastAsia="Calibri" w:hAnsi="Calibri"/>
                <w:sz w:val="18"/>
                <w:szCs w:val="18"/>
                <w:color w:val="auto"/>
              </w:rPr>
              <w:t>Total stock-based compensaton expense</w:t>
            </w:r>
            <w:r>
              <w:rPr>
                <w:rFonts w:ascii="Calibri" w:cs="Calibri" w:eastAsia="Calibri" w:hAnsi="Calibri"/>
                <w:sz w:val="23"/>
                <w:szCs w:val="23"/>
                <w:color w:val="auto"/>
                <w:vertAlign w:val="superscript"/>
              </w:rPr>
              <w:t>(a)</w:t>
            </w:r>
          </w:p>
        </w:tc>
        <w:tc>
          <w:tcPr>
            <w:tcW w:w="900" w:type="dxa"/>
            <w:vAlign w:val="bottom"/>
            <w:tcBorders>
              <w:bottom w:val="single" w:sz="8" w:color="auto"/>
            </w:tcBorders>
            <w:shd w:val="clear" w:color="auto" w:fill="CCEEFF"/>
          </w:tcPr>
          <w:p>
            <w:pPr>
              <w:jc w:val="right"/>
              <w:ind w:right="714"/>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5,670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1,533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Estmated income tax benefts for stock-based compensaton</w:t>
            </w:r>
          </w:p>
        </w:tc>
        <w:tc>
          <w:tcPr>
            <w:tcW w:w="900" w:type="dxa"/>
            <w:vAlign w:val="bottom"/>
            <w:shd w:val="clear" w:color="auto" w:fill="CCEEFF"/>
          </w:tcPr>
          <w:p>
            <w:pPr>
              <w:jc w:val="right"/>
              <w:ind w:right="714"/>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255</w:t>
            </w:r>
          </w:p>
        </w:tc>
      </w:tr>
      <w:tr>
        <w:trPr>
          <w:trHeight w:val="215"/>
        </w:trPr>
        <w:tc>
          <w:tcPr>
            <w:tcW w:w="6740" w:type="dxa"/>
            <w:vAlign w:val="bottom"/>
          </w:tcPr>
          <w:p>
            <w:pPr>
              <w:ind w:left="20"/>
              <w:spacing w:after="0" w:line="215" w:lineRule="exact"/>
              <w:rPr>
                <w:sz w:val="20"/>
                <w:szCs w:val="20"/>
                <w:color w:val="auto"/>
              </w:rPr>
            </w:pPr>
            <w:r>
              <w:rPr>
                <w:rFonts w:ascii="Calibri" w:cs="Calibri" w:eastAsia="Calibri" w:hAnsi="Calibri"/>
                <w:sz w:val="18"/>
                <w:szCs w:val="18"/>
                <w:color w:val="auto"/>
              </w:rPr>
              <w:t>Excess income tax benefts for stock-based awards exercised or released</w:t>
            </w:r>
          </w:p>
        </w:tc>
        <w:tc>
          <w:tcPr>
            <w:tcW w:w="900" w:type="dxa"/>
            <w:vAlign w:val="bottom"/>
          </w:tcPr>
          <w:p>
            <w:pPr>
              <w:jc w:val="right"/>
              <w:ind w:right="714"/>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1,296</w:t>
            </w:r>
          </w:p>
        </w:tc>
        <w:tc>
          <w:tcPr>
            <w:tcW w:w="100" w:type="dxa"/>
            <w:vAlign w:val="bottom"/>
          </w:tcPr>
          <w:p>
            <w:pPr>
              <w:spacing w:after="0"/>
              <w:rPr>
                <w:sz w:val="18"/>
                <w:szCs w:val="18"/>
                <w:color w:val="auto"/>
              </w:rPr>
            </w:pPr>
          </w:p>
        </w:tc>
        <w:tc>
          <w:tcPr>
            <w:tcW w:w="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507</w:t>
            </w:r>
          </w:p>
        </w:tc>
        <w:tc>
          <w:tcPr>
            <w:tcW w:w="100" w:type="dxa"/>
            <w:vAlign w:val="bottom"/>
          </w:tcPr>
          <w:p>
            <w:pPr>
              <w:spacing w:after="0"/>
              <w:rPr>
                <w:sz w:val="18"/>
                <w:szCs w:val="18"/>
                <w:color w:val="auto"/>
              </w:rPr>
            </w:pP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375</w:t>
            </w:r>
          </w:p>
        </w:tc>
      </w:tr>
    </w:tbl>
    <w:p>
      <w:pPr>
        <w:spacing w:after="0" w:line="82" w:lineRule="exact"/>
        <w:rPr>
          <w:sz w:val="20"/>
          <w:szCs w:val="20"/>
          <w:color w:val="auto"/>
        </w:rPr>
      </w:pPr>
    </w:p>
    <w:p>
      <w:pPr>
        <w:spacing w:after="0"/>
        <w:rPr>
          <w:sz w:val="20"/>
          <w:szCs w:val="20"/>
          <w:color w:val="auto"/>
        </w:rPr>
      </w:pPr>
      <w:r>
        <w:rPr>
          <w:rFonts w:ascii="Calibri" w:cs="Calibri" w:eastAsia="Calibri" w:hAnsi="Calibri"/>
          <w:sz w:val="18"/>
          <w:szCs w:val="18"/>
          <w:color w:val="auto"/>
        </w:rPr>
        <w:t>_____________________________</w:t>
      </w:r>
    </w:p>
    <w:p>
      <w:pPr>
        <w:spacing w:after="0" w:line="109" w:lineRule="exact"/>
        <w:rPr>
          <w:sz w:val="20"/>
          <w:szCs w:val="20"/>
          <w:color w:val="auto"/>
        </w:rPr>
      </w:pPr>
    </w:p>
    <w:p>
      <w:pPr>
        <w:ind w:right="340" w:firstLine="8"/>
        <w:spacing w:after="0" w:line="235" w:lineRule="auto"/>
        <w:tabs>
          <w:tab w:leader="none" w:pos="230"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Does not include stock-based compensaton expense related to discontnued operatons recognized during fscal year 2024, which was included in loss from discontnued operatons, net of income taxes in our consolidated statement of operatons.</w:t>
      </w:r>
    </w:p>
    <w:p>
      <w:pPr>
        <w:spacing w:after="0" w:line="110" w:lineRule="exact"/>
        <w:rPr>
          <w:sz w:val="20"/>
          <w:szCs w:val="20"/>
          <w:color w:val="auto"/>
        </w:rPr>
      </w:pPr>
    </w:p>
    <w:p>
      <w:pPr>
        <w:ind w:left="420" w:right="100"/>
        <w:spacing w:after="0" w:line="312" w:lineRule="auto"/>
        <w:rPr>
          <w:sz w:val="20"/>
          <w:szCs w:val="20"/>
          <w:color w:val="auto"/>
        </w:rPr>
      </w:pPr>
      <w:r>
        <w:rPr>
          <w:rFonts w:ascii="Calibri" w:cs="Calibri" w:eastAsia="Calibri" w:hAnsi="Calibri"/>
          <w:sz w:val="17"/>
          <w:szCs w:val="17"/>
          <w:color w:val="auto"/>
        </w:rPr>
        <w:t>Fiscal year 2024 stock-based compensaton expense included $1,613 million related to equity awards assumed in connecton with the VMware Merger. During the frst quarter of fscal year 2019, the Compensaton Commitee of our Board of Directors approved a broad-based program of mult-year</w:t>
      </w:r>
    </w:p>
    <w:p>
      <w:pPr>
        <w:ind w:right="20"/>
        <w:spacing w:after="0" w:line="235" w:lineRule="auto"/>
        <w:rPr>
          <w:sz w:val="20"/>
          <w:szCs w:val="20"/>
          <w:color w:val="auto"/>
        </w:rPr>
      </w:pPr>
      <w:r>
        <w:rPr>
          <w:rFonts w:ascii="Calibri" w:cs="Calibri" w:eastAsia="Calibri" w:hAnsi="Calibri"/>
          <w:sz w:val="18"/>
          <w:szCs w:val="18"/>
          <w:color w:val="auto"/>
        </w:rPr>
        <w:t>equity grants of tme- and market-based RSUs (the “Mult-Year Equity Awards”) in lieu of our annual employee equity awards historically granted on March 15 of each year. Each Mult-Year Equity Award vests on the same basis as four annual grants made March 15 of each year, beginning in fscal year 2019, with successive four-year vestng periods. Stock-based compensaton expense related to the Mult-Year Equity Awards was $356 million, $596 million and $794 million for fscal years 2024, 2023 and 2022, respectvely.</w:t>
      </w:r>
    </w:p>
    <w:p>
      <w:pPr>
        <w:spacing w:after="0" w:line="111" w:lineRule="exact"/>
        <w:rPr>
          <w:sz w:val="20"/>
          <w:szCs w:val="20"/>
          <w:color w:val="auto"/>
        </w:rPr>
      </w:pPr>
    </w:p>
    <w:p>
      <w:pPr>
        <w:ind w:right="200" w:firstLine="405"/>
        <w:spacing w:after="0" w:line="235" w:lineRule="auto"/>
        <w:rPr>
          <w:sz w:val="20"/>
          <w:szCs w:val="20"/>
          <w:color w:val="auto"/>
        </w:rPr>
      </w:pPr>
      <w:r>
        <w:rPr>
          <w:rFonts w:ascii="Calibri" w:cs="Calibri" w:eastAsia="Calibri" w:hAnsi="Calibri"/>
          <w:sz w:val="18"/>
          <w:szCs w:val="18"/>
          <w:color w:val="auto"/>
        </w:rPr>
        <w:t>As of November 3, 2024, the total unrecognized compensaton cost related to unvested stock-based awards was $11,259 million, which is expected to be recognized over the remaining weighted-average service period of 3.0 years.</w:t>
      </w:r>
    </w:p>
    <w:p>
      <w:pPr>
        <w:spacing w:after="0" w:line="110" w:lineRule="exact"/>
        <w:rPr>
          <w:sz w:val="20"/>
          <w:szCs w:val="20"/>
          <w:color w:val="auto"/>
        </w:rPr>
      </w:pPr>
    </w:p>
    <w:p>
      <w:pPr>
        <w:ind w:right="300" w:firstLine="405"/>
        <w:spacing w:after="0" w:line="235" w:lineRule="auto"/>
        <w:rPr>
          <w:sz w:val="20"/>
          <w:szCs w:val="20"/>
          <w:color w:val="auto"/>
        </w:rPr>
      </w:pPr>
      <w:r>
        <w:rPr>
          <w:rFonts w:ascii="Calibri" w:cs="Calibri" w:eastAsia="Calibri" w:hAnsi="Calibri"/>
          <w:sz w:val="18"/>
          <w:szCs w:val="18"/>
          <w:color w:val="auto"/>
        </w:rPr>
        <w:t>The following table summarizes the weighted-average assumptons utlized to calculate the fair value of market-based awards granted in the periods presented:</w:t>
      </w:r>
    </w:p>
    <w:p>
      <w:pPr>
        <w:spacing w:after="0" w:line="144" w:lineRule="exact"/>
        <w:rPr>
          <w:sz w:val="20"/>
          <w:szCs w:val="20"/>
          <w:color w:val="auto"/>
        </w:rPr>
      </w:pPr>
    </w:p>
    <w:p>
      <w:pPr>
        <w:ind w:left="8560"/>
        <w:spacing w:after="0"/>
        <w:rPr>
          <w:sz w:val="20"/>
          <w:szCs w:val="20"/>
          <w:color w:val="auto"/>
        </w:rPr>
      </w:pPr>
      <w:r>
        <w:rPr>
          <w:rFonts w:ascii="Calibri" w:cs="Calibri" w:eastAsia="Calibri" w:hAnsi="Calibri"/>
          <w:sz w:val="14"/>
          <w:szCs w:val="14"/>
          <w:b w:val="1"/>
          <w:bCs w:val="1"/>
          <w:color w:val="auto"/>
        </w:rPr>
        <w:t>Fiscal Year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8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2024</w:t>
            </w:r>
          </w:p>
        </w:tc>
        <w:tc>
          <w:tcPr>
            <w:tcW w:w="1620" w:type="dxa"/>
            <w:vAlign w:val="bottom"/>
            <w:tcBorders>
              <w:top w:val="single" w:sz="8" w:color="auto"/>
            </w:tcBorders>
            <w:gridSpan w:val="3"/>
          </w:tcPr>
          <w:p>
            <w:pPr>
              <w:jc w:val="right"/>
              <w:ind w:right="40"/>
              <w:spacing w:after="0"/>
              <w:rPr>
                <w:sz w:val="20"/>
                <w:szCs w:val="20"/>
                <w:color w:val="auto"/>
              </w:rPr>
            </w:pPr>
            <w:r>
              <w:rPr>
                <w:rFonts w:ascii="Calibri" w:cs="Calibri" w:eastAsia="Calibri" w:hAnsi="Calibri"/>
                <w:sz w:val="14"/>
                <w:szCs w:val="14"/>
                <w:b w:val="1"/>
                <w:bCs w:val="1"/>
                <w:color w:val="auto"/>
              </w:rPr>
              <w:t>2023</w:t>
            </w: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514"/>
              <w:spacing w:after="0"/>
              <w:rPr>
                <w:sz w:val="20"/>
                <w:szCs w:val="20"/>
                <w:color w:val="auto"/>
              </w:rPr>
            </w:pPr>
            <w:r>
              <w:rPr>
                <w:rFonts w:ascii="Calibri" w:cs="Calibri" w:eastAsia="Calibri" w:hAnsi="Calibri"/>
                <w:sz w:val="14"/>
                <w:szCs w:val="14"/>
                <w:b w:val="1"/>
                <w:bCs w:val="1"/>
                <w:color w:val="auto"/>
              </w:rPr>
              <w:t>2022</w:t>
            </w:r>
          </w:p>
        </w:tc>
      </w:tr>
      <w:tr>
        <w:trPr>
          <w:trHeight w:val="33"/>
        </w:trPr>
        <w:tc>
          <w:tcPr>
            <w:tcW w:w="64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648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Risk-free interest rate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4.2 %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1.4 %</w:t>
            </w:r>
          </w:p>
        </w:tc>
      </w:tr>
      <w:tr>
        <w:trPr>
          <w:trHeight w:val="222"/>
        </w:trPr>
        <w:tc>
          <w:tcPr>
            <w:tcW w:w="744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Dividend yield</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1.7 %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3.3 %</w:t>
            </w:r>
          </w:p>
        </w:tc>
        <w:tc>
          <w:tcPr>
            <w:tcW w:w="100" w:type="dxa"/>
            <w:vAlign w:val="bottom"/>
          </w:tcPr>
          <w:p>
            <w:pPr>
              <w:spacing w:after="0"/>
              <w:rPr>
                <w:sz w:val="19"/>
                <w:szCs w:val="19"/>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color w:val="auto"/>
              </w:rPr>
              <w:t>2.7 %</w:t>
            </w:r>
          </w:p>
        </w:tc>
      </w:tr>
      <w:tr>
        <w:trPr>
          <w:trHeight w:val="237"/>
        </w:trPr>
        <w:tc>
          <w:tcPr>
            <w:tcW w:w="744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Volatlity</w:t>
            </w: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32.0 %</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32.8 %</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37.1 %</w:t>
            </w:r>
          </w:p>
        </w:tc>
      </w:tr>
      <w:tr>
        <w:trPr>
          <w:trHeight w:val="215"/>
        </w:trPr>
        <w:tc>
          <w:tcPr>
            <w:tcW w:w="744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Expected term (in years)</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3.6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4.8</w:t>
            </w:r>
          </w:p>
        </w:tc>
        <w:tc>
          <w:tcPr>
            <w:tcW w:w="100" w:type="dxa"/>
            <w:vAlign w:val="bottom"/>
          </w:tcPr>
          <w:p>
            <w:pPr>
              <w:spacing w:after="0"/>
              <w:rPr>
                <w:sz w:val="18"/>
                <w:szCs w:val="18"/>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color w:val="auto"/>
              </w:rPr>
              <w:t>3.4</w:t>
            </w:r>
          </w:p>
        </w:tc>
      </w:tr>
    </w:tbl>
    <w:p>
      <w:pPr>
        <w:spacing w:after="0" w:line="181" w:lineRule="exact"/>
        <w:rPr>
          <w:sz w:val="20"/>
          <w:szCs w:val="20"/>
          <w:color w:val="auto"/>
        </w:rPr>
      </w:pPr>
    </w:p>
    <w:p>
      <w:pPr>
        <w:ind w:right="140" w:firstLine="405"/>
        <w:spacing w:after="0" w:line="235" w:lineRule="auto"/>
        <w:rPr>
          <w:sz w:val="20"/>
          <w:szCs w:val="20"/>
          <w:color w:val="auto"/>
        </w:rPr>
      </w:pPr>
      <w:r>
        <w:rPr>
          <w:rFonts w:ascii="Calibri" w:cs="Calibri" w:eastAsia="Calibri" w:hAnsi="Calibri"/>
          <w:sz w:val="18"/>
          <w:szCs w:val="18"/>
          <w:color w:val="auto"/>
        </w:rPr>
        <w:t>The risk-free interest rate was derived from the average U.S. Treasury Strips rate, which approximated the rate in efect appropriate for the term at the tme of grant.</w:t>
      </w:r>
    </w:p>
    <w:p>
      <w:pPr>
        <w:spacing w:after="0" w:line="105"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The dividend yield was based on the historical and expected dividend payouts as of the respectve award grant dates.</w:t>
      </w:r>
    </w:p>
    <w:p>
      <w:pPr>
        <w:spacing w:after="0" w:line="109" w:lineRule="exact"/>
        <w:rPr>
          <w:sz w:val="20"/>
          <w:szCs w:val="20"/>
          <w:color w:val="auto"/>
        </w:rPr>
      </w:pPr>
    </w:p>
    <w:p>
      <w:pPr>
        <w:ind w:right="120" w:firstLine="405"/>
        <w:spacing w:after="0" w:line="235" w:lineRule="auto"/>
        <w:rPr>
          <w:sz w:val="20"/>
          <w:szCs w:val="20"/>
          <w:color w:val="auto"/>
        </w:rPr>
      </w:pPr>
      <w:r>
        <w:rPr>
          <w:rFonts w:ascii="Calibri" w:cs="Calibri" w:eastAsia="Calibri" w:hAnsi="Calibri"/>
          <w:sz w:val="18"/>
          <w:szCs w:val="18"/>
          <w:color w:val="auto"/>
        </w:rPr>
        <w:t>The volatlity was based on our own historical stock price volatlity over the period commensurate with the expected life of the awards and the implied volatlity of a 180-day call opton on our own common stock measured at a specifc date.</w:t>
      </w:r>
    </w:p>
    <w:p>
      <w:pPr>
        <w:spacing w:after="0" w:line="105"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The expected term was commensurate with the awards’ contractual terms.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5" w:name="page86"/>
    <w:bookmarkEnd w:id="8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Restricted Stock Unit Awards</w:t>
      </w:r>
    </w:p>
    <w:p>
      <w:pPr>
        <w:spacing w:after="0" w:line="104"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A summary of tme- and market-based RSU actvity was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ind w:right="154"/>
              <w:spacing w:after="0"/>
              <w:rPr>
                <w:sz w:val="20"/>
                <w:szCs w:val="20"/>
                <w:color w:val="auto"/>
              </w:rPr>
            </w:pPr>
            <w:r>
              <w:rPr>
                <w:rFonts w:ascii="Calibri" w:cs="Calibri" w:eastAsia="Calibri" w:hAnsi="Calibri"/>
                <w:sz w:val="14"/>
                <w:szCs w:val="14"/>
                <w:b w:val="1"/>
                <w:bCs w:val="1"/>
                <w:color w:val="auto"/>
              </w:rPr>
              <w:t>Weighted-Average</w:t>
            </w:r>
          </w:p>
        </w:tc>
      </w:tr>
      <w:tr>
        <w:trPr>
          <w:trHeight w:val="136"/>
        </w:trPr>
        <w:tc>
          <w:tcPr>
            <w:tcW w:w="76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jc w:val="center"/>
              <w:ind w:right="134"/>
              <w:spacing w:after="0" w:line="136" w:lineRule="exact"/>
              <w:rPr>
                <w:sz w:val="20"/>
                <w:szCs w:val="20"/>
                <w:color w:val="auto"/>
              </w:rPr>
            </w:pPr>
            <w:r>
              <w:rPr>
                <w:rFonts w:ascii="Calibri" w:cs="Calibri" w:eastAsia="Calibri" w:hAnsi="Calibri"/>
                <w:sz w:val="14"/>
                <w:szCs w:val="14"/>
                <w:b w:val="1"/>
                <w:bCs w:val="1"/>
                <w:color w:val="auto"/>
                <w:w w:val="99"/>
              </w:rPr>
              <w:t>Grant Date</w:t>
            </w:r>
          </w:p>
        </w:tc>
      </w:tr>
      <w:tr>
        <w:trPr>
          <w:trHeight w:val="148"/>
        </w:trPr>
        <w:tc>
          <w:tcPr>
            <w:tcW w:w="7600" w:type="dxa"/>
            <w:vAlign w:val="bottom"/>
          </w:tcPr>
          <w:p>
            <w:pPr>
              <w:spacing w:after="0"/>
              <w:rPr>
                <w:sz w:val="12"/>
                <w:szCs w:val="12"/>
                <w:color w:val="auto"/>
              </w:rPr>
            </w:pPr>
          </w:p>
        </w:tc>
        <w:tc>
          <w:tcPr>
            <w:tcW w:w="1760" w:type="dxa"/>
            <w:vAlign w:val="bottom"/>
          </w:tcPr>
          <w:p>
            <w:pPr>
              <w:jc w:val="right"/>
              <w:ind w:right="293"/>
              <w:spacing w:after="0" w:line="149" w:lineRule="exact"/>
              <w:rPr>
                <w:sz w:val="20"/>
                <w:szCs w:val="20"/>
                <w:color w:val="auto"/>
              </w:rPr>
            </w:pPr>
            <w:r>
              <w:rPr>
                <w:rFonts w:ascii="Calibri" w:cs="Calibri" w:eastAsia="Calibri" w:hAnsi="Calibri"/>
                <w:sz w:val="14"/>
                <w:szCs w:val="14"/>
                <w:b w:val="1"/>
                <w:bCs w:val="1"/>
                <w:color w:val="auto"/>
              </w:rPr>
              <w:t>Number of RSUs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ind w:right="154"/>
              <w:spacing w:after="0" w:line="149" w:lineRule="exact"/>
              <w:rPr>
                <w:sz w:val="20"/>
                <w:szCs w:val="20"/>
                <w:color w:val="auto"/>
              </w:rPr>
            </w:pPr>
            <w:r>
              <w:rPr>
                <w:rFonts w:ascii="Calibri" w:cs="Calibri" w:eastAsia="Calibri" w:hAnsi="Calibri"/>
                <w:sz w:val="14"/>
                <w:szCs w:val="14"/>
                <w:b w:val="1"/>
                <w:bCs w:val="1"/>
                <w:color w:val="auto"/>
                <w:w w:val="99"/>
              </w:rPr>
              <w:t>Fair Value</w:t>
            </w:r>
          </w:p>
        </w:tc>
      </w:tr>
      <w:tr>
        <w:trPr>
          <w:trHeight w:val="183"/>
        </w:trPr>
        <w:tc>
          <w:tcPr>
            <w:tcW w:w="7600" w:type="dxa"/>
            <w:vAlign w:val="bottom"/>
          </w:tcPr>
          <w:p>
            <w:pPr>
              <w:spacing w:after="0"/>
              <w:rPr>
                <w:sz w:val="15"/>
                <w:szCs w:val="15"/>
                <w:color w:val="auto"/>
              </w:rPr>
            </w:pPr>
          </w:p>
        </w:tc>
        <w:tc>
          <w:tcPr>
            <w:tcW w:w="1760" w:type="dxa"/>
            <w:vAlign w:val="bottom"/>
          </w:tcPr>
          <w:p>
            <w:pPr>
              <w:jc w:val="right"/>
              <w:ind w:right="413"/>
              <w:spacing w:after="0"/>
              <w:rPr>
                <w:sz w:val="20"/>
                <w:szCs w:val="20"/>
                <w:color w:val="auto"/>
              </w:rPr>
            </w:pPr>
            <w:r>
              <w:rPr>
                <w:rFonts w:ascii="Calibri" w:cs="Calibri" w:eastAsia="Calibri" w:hAnsi="Calibri"/>
                <w:sz w:val="14"/>
                <w:szCs w:val="14"/>
                <w:b w:val="1"/>
                <w:bCs w:val="1"/>
                <w:color w:val="auto"/>
              </w:rPr>
              <w:t>Outstanding</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center"/>
              <w:ind w:right="134"/>
              <w:spacing w:after="0"/>
              <w:rPr>
                <w:sz w:val="20"/>
                <w:szCs w:val="20"/>
                <w:color w:val="auto"/>
              </w:rPr>
            </w:pPr>
            <w:r>
              <w:rPr>
                <w:rFonts w:ascii="Calibri" w:cs="Calibri" w:eastAsia="Calibri" w:hAnsi="Calibri"/>
                <w:sz w:val="14"/>
                <w:szCs w:val="14"/>
                <w:b w:val="1"/>
                <w:bCs w:val="1"/>
                <w:color w:val="auto"/>
              </w:rPr>
              <w:t>Per Share</w:t>
            </w:r>
          </w:p>
        </w:tc>
      </w:tr>
      <w:tr>
        <w:trPr>
          <w:trHeight w:val="33"/>
        </w:trPr>
        <w:tc>
          <w:tcPr>
            <w:tcW w:w="76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r>
      <w:tr>
        <w:trPr>
          <w:trHeight w:val="189"/>
        </w:trPr>
        <w:tc>
          <w:tcPr>
            <w:tcW w:w="7600" w:type="dxa"/>
            <w:vAlign w:val="bottom"/>
          </w:tcPr>
          <w:p>
            <w:pPr>
              <w:spacing w:after="0"/>
              <w:rPr>
                <w:sz w:val="16"/>
                <w:szCs w:val="16"/>
                <w:color w:val="auto"/>
              </w:rPr>
            </w:pPr>
          </w:p>
        </w:tc>
        <w:tc>
          <w:tcPr>
            <w:tcW w:w="3640" w:type="dxa"/>
            <w:vAlign w:val="bottom"/>
            <w:gridSpan w:val="4"/>
          </w:tcPr>
          <w:p>
            <w:pPr>
              <w:jc w:val="right"/>
              <w:ind w:right="694"/>
              <w:spacing w:after="0"/>
              <w:rPr>
                <w:sz w:val="20"/>
                <w:szCs w:val="20"/>
                <w:color w:val="auto"/>
              </w:rPr>
            </w:pPr>
            <w:r>
              <w:rPr>
                <w:rFonts w:ascii="Calibri" w:cs="Calibri" w:eastAsia="Calibri" w:hAnsi="Calibri"/>
                <w:sz w:val="14"/>
                <w:szCs w:val="14"/>
                <w:b w:val="1"/>
                <w:bCs w:val="1"/>
                <w:color w:val="auto"/>
              </w:rPr>
              <w:t>(In millions, except per share data)</w:t>
            </w:r>
          </w:p>
        </w:tc>
      </w:tr>
      <w:tr>
        <w:trPr>
          <w:trHeight w:val="47"/>
        </w:trPr>
        <w:tc>
          <w:tcPr>
            <w:tcW w:w="7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29"/>
        </w:trPr>
        <w:tc>
          <w:tcPr>
            <w:tcW w:w="76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Balance as of October 31, 2021</w:t>
            </w:r>
          </w:p>
        </w:tc>
        <w:tc>
          <w:tcPr>
            <w:tcW w:w="17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234</w:t>
            </w:r>
          </w:p>
        </w:tc>
        <w:tc>
          <w:tcPr>
            <w:tcW w:w="340" w:type="dxa"/>
            <w:vAlign w:val="bottom"/>
            <w:gridSpan w:val="2"/>
            <w:shd w:val="clear" w:color="auto" w:fill="CCEEFF"/>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5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20.04</w:t>
            </w:r>
          </w:p>
        </w:tc>
      </w:tr>
      <w:tr>
        <w:trPr>
          <w:trHeight w:val="222"/>
        </w:trPr>
        <w:tc>
          <w:tcPr>
            <w:tcW w:w="7600" w:type="dxa"/>
            <w:vAlign w:val="bottom"/>
          </w:tcPr>
          <w:p>
            <w:pPr>
              <w:ind w:left="140"/>
              <w:spacing w:after="0" w:line="215" w:lineRule="exact"/>
              <w:rPr>
                <w:sz w:val="20"/>
                <w:szCs w:val="20"/>
                <w:color w:val="auto"/>
              </w:rPr>
            </w:pPr>
            <w:r>
              <w:rPr>
                <w:rFonts w:ascii="Calibri" w:cs="Calibri" w:eastAsia="Calibri" w:hAnsi="Calibri"/>
                <w:sz w:val="18"/>
                <w:szCs w:val="18"/>
                <w:color w:val="auto"/>
              </w:rPr>
              <w:t>Granted</w:t>
            </w:r>
          </w:p>
        </w:tc>
        <w:tc>
          <w:tcPr>
            <w:tcW w:w="1760" w:type="dxa"/>
            <w:vAlign w:val="bottom"/>
          </w:tcPr>
          <w:p>
            <w:pPr>
              <w:jc w:val="right"/>
              <w:spacing w:after="0" w:line="215" w:lineRule="exact"/>
              <w:rPr>
                <w:sz w:val="20"/>
                <w:szCs w:val="20"/>
                <w:color w:val="auto"/>
              </w:rPr>
            </w:pPr>
            <w:r>
              <w:rPr>
                <w:rFonts w:ascii="Calibri" w:cs="Calibri" w:eastAsia="Calibri" w:hAnsi="Calibri"/>
                <w:sz w:val="18"/>
                <w:szCs w:val="18"/>
                <w:color w:val="auto"/>
              </w:rPr>
              <w:t>27</w:t>
            </w:r>
          </w:p>
        </w:tc>
        <w:tc>
          <w:tcPr>
            <w:tcW w:w="3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540" w:type="dxa"/>
            <w:vAlign w:val="bottom"/>
          </w:tcPr>
          <w:p>
            <w:pPr>
              <w:jc w:val="right"/>
              <w:spacing w:after="0" w:line="215" w:lineRule="exact"/>
              <w:rPr>
                <w:sz w:val="20"/>
                <w:szCs w:val="20"/>
                <w:color w:val="auto"/>
              </w:rPr>
            </w:pPr>
            <w:r>
              <w:rPr>
                <w:rFonts w:ascii="Calibri" w:cs="Calibri" w:eastAsia="Calibri" w:hAnsi="Calibri"/>
                <w:sz w:val="18"/>
                <w:szCs w:val="18"/>
                <w:color w:val="auto"/>
              </w:rPr>
              <w:t>52.77</w:t>
            </w:r>
          </w:p>
        </w:tc>
      </w:tr>
      <w:tr>
        <w:trPr>
          <w:trHeight w:val="237"/>
        </w:trPr>
        <w:tc>
          <w:tcPr>
            <w:tcW w:w="760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Vested</w:t>
            </w:r>
          </w:p>
        </w:tc>
        <w:tc>
          <w:tcPr>
            <w:tcW w:w="17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(74)</w:t>
            </w:r>
          </w:p>
        </w:tc>
        <w:tc>
          <w:tcPr>
            <w:tcW w:w="340" w:type="dxa"/>
            <w:vAlign w:val="bottom"/>
            <w:gridSpan w:val="2"/>
            <w:shd w:val="clear" w:color="auto" w:fill="CCEEFF"/>
          </w:tcPr>
          <w:p>
            <w:pPr>
              <w:jc w:val="right"/>
              <w:ind w:right="120"/>
              <w:spacing w:after="0"/>
              <w:rPr>
                <w:sz w:val="20"/>
                <w:szCs w:val="20"/>
                <w:color w:val="auto"/>
              </w:rPr>
            </w:pPr>
            <w:r>
              <w:rPr>
                <w:rFonts w:ascii="Calibri" w:cs="Calibri" w:eastAsia="Calibri" w:hAnsi="Calibri"/>
                <w:sz w:val="18"/>
                <w:szCs w:val="18"/>
                <w:color w:val="auto"/>
              </w:rPr>
              <w:t>$</w:t>
            </w:r>
          </w:p>
        </w:tc>
        <w:tc>
          <w:tcPr>
            <w:tcW w:w="15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22.55</w:t>
            </w:r>
          </w:p>
        </w:tc>
      </w:tr>
      <w:tr>
        <w:trPr>
          <w:trHeight w:val="223"/>
        </w:trPr>
        <w:tc>
          <w:tcPr>
            <w:tcW w:w="7600" w:type="dxa"/>
            <w:vAlign w:val="bottom"/>
            <w:tcBorders>
              <w:bottom w:val="single" w:sz="8" w:color="CCEEFF"/>
            </w:tcBorders>
          </w:tcPr>
          <w:p>
            <w:pPr>
              <w:ind w:left="140"/>
              <w:spacing w:after="0" w:line="215" w:lineRule="exact"/>
              <w:rPr>
                <w:sz w:val="20"/>
                <w:szCs w:val="20"/>
                <w:color w:val="auto"/>
              </w:rPr>
            </w:pPr>
            <w:r>
              <w:rPr>
                <w:rFonts w:ascii="Calibri" w:cs="Calibri" w:eastAsia="Calibri" w:hAnsi="Calibri"/>
                <w:sz w:val="18"/>
                <w:szCs w:val="18"/>
                <w:color w:val="auto"/>
              </w:rPr>
              <w:t>Forfeited</w:t>
            </w:r>
          </w:p>
        </w:tc>
        <w:tc>
          <w:tcPr>
            <w:tcW w:w="17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w:t>
            </w:r>
          </w:p>
        </w:tc>
        <w:tc>
          <w:tcPr>
            <w:tcW w:w="340" w:type="dxa"/>
            <w:vAlign w:val="bottom"/>
            <w:tcBorders>
              <w:bottom w:val="single" w:sz="8" w:color="CCEEFF"/>
            </w:tcBorders>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540" w:type="dxa"/>
            <w:vAlign w:val="bottom"/>
            <w:tcBorders>
              <w:bottom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24.28</w:t>
            </w:r>
          </w:p>
        </w:tc>
      </w:tr>
      <w:tr>
        <w:trPr>
          <w:trHeight w:val="230"/>
        </w:trPr>
        <w:tc>
          <w:tcPr>
            <w:tcW w:w="760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Balance as of October 30, 2022</w:t>
            </w:r>
          </w:p>
        </w:tc>
        <w:tc>
          <w:tcPr>
            <w:tcW w:w="17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175</w:t>
            </w:r>
          </w:p>
        </w:tc>
        <w:tc>
          <w:tcPr>
            <w:tcW w:w="340" w:type="dxa"/>
            <w:vAlign w:val="bottom"/>
            <w:gridSpan w:val="2"/>
            <w:shd w:val="clear" w:color="auto" w:fill="CCEEFF"/>
          </w:tcPr>
          <w:p>
            <w:pPr>
              <w:jc w:val="right"/>
              <w:ind w:right="120"/>
              <w:spacing w:after="0" w:line="206" w:lineRule="exact"/>
              <w:rPr>
                <w:sz w:val="20"/>
                <w:szCs w:val="20"/>
                <w:color w:val="auto"/>
              </w:rPr>
            </w:pPr>
            <w:r>
              <w:rPr>
                <w:rFonts w:ascii="Calibri" w:cs="Calibri" w:eastAsia="Calibri" w:hAnsi="Calibri"/>
                <w:sz w:val="18"/>
                <w:szCs w:val="18"/>
                <w:color w:val="auto"/>
              </w:rPr>
              <w:t>$</w:t>
            </w:r>
          </w:p>
        </w:tc>
        <w:tc>
          <w:tcPr>
            <w:tcW w:w="1540" w:type="dxa"/>
            <w:vAlign w:val="bottom"/>
            <w:shd w:val="clear" w:color="auto" w:fill="CCEEFF"/>
          </w:tcPr>
          <w:p>
            <w:pPr>
              <w:jc w:val="right"/>
              <w:spacing w:after="0" w:line="206" w:lineRule="exact"/>
              <w:rPr>
                <w:sz w:val="20"/>
                <w:szCs w:val="20"/>
                <w:color w:val="auto"/>
              </w:rPr>
            </w:pPr>
            <w:r>
              <w:rPr>
                <w:rFonts w:ascii="Calibri" w:cs="Calibri" w:eastAsia="Calibri" w:hAnsi="Calibri"/>
                <w:sz w:val="18"/>
                <w:szCs w:val="18"/>
                <w:color w:val="auto"/>
              </w:rPr>
              <w:t>23.85</w:t>
            </w:r>
          </w:p>
        </w:tc>
      </w:tr>
      <w:tr>
        <w:trPr>
          <w:trHeight w:val="222"/>
        </w:trPr>
        <w:tc>
          <w:tcPr>
            <w:tcW w:w="7600" w:type="dxa"/>
            <w:vAlign w:val="bottom"/>
          </w:tcPr>
          <w:p>
            <w:pPr>
              <w:ind w:left="140"/>
              <w:spacing w:after="0" w:line="215" w:lineRule="exact"/>
              <w:rPr>
                <w:sz w:val="20"/>
                <w:szCs w:val="20"/>
                <w:color w:val="auto"/>
              </w:rPr>
            </w:pPr>
            <w:r>
              <w:rPr>
                <w:rFonts w:ascii="Calibri" w:cs="Calibri" w:eastAsia="Calibri" w:hAnsi="Calibri"/>
                <w:sz w:val="18"/>
                <w:szCs w:val="18"/>
                <w:color w:val="auto"/>
              </w:rPr>
              <w:t>Granted</w:t>
            </w:r>
          </w:p>
        </w:tc>
        <w:tc>
          <w:tcPr>
            <w:tcW w:w="1760" w:type="dxa"/>
            <w:vAlign w:val="bottom"/>
          </w:tcPr>
          <w:p>
            <w:pPr>
              <w:jc w:val="right"/>
              <w:spacing w:after="0" w:line="215" w:lineRule="exact"/>
              <w:rPr>
                <w:sz w:val="20"/>
                <w:szCs w:val="20"/>
                <w:color w:val="auto"/>
              </w:rPr>
            </w:pPr>
            <w:r>
              <w:rPr>
                <w:rFonts w:ascii="Calibri" w:cs="Calibri" w:eastAsia="Calibri" w:hAnsi="Calibri"/>
                <w:sz w:val="18"/>
                <w:szCs w:val="18"/>
                <w:color w:val="auto"/>
              </w:rPr>
              <w:t>124</w:t>
            </w:r>
          </w:p>
        </w:tc>
        <w:tc>
          <w:tcPr>
            <w:tcW w:w="3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540" w:type="dxa"/>
            <w:vAlign w:val="bottom"/>
          </w:tcPr>
          <w:p>
            <w:pPr>
              <w:jc w:val="right"/>
              <w:spacing w:after="0" w:line="215" w:lineRule="exact"/>
              <w:rPr>
                <w:sz w:val="20"/>
                <w:szCs w:val="20"/>
                <w:color w:val="auto"/>
              </w:rPr>
            </w:pPr>
            <w:r>
              <w:rPr>
                <w:rFonts w:ascii="Calibri" w:cs="Calibri" w:eastAsia="Calibri" w:hAnsi="Calibri"/>
                <w:sz w:val="18"/>
                <w:szCs w:val="18"/>
                <w:color w:val="auto"/>
              </w:rPr>
              <w:t>51.98</w:t>
            </w:r>
          </w:p>
        </w:tc>
      </w:tr>
      <w:tr>
        <w:trPr>
          <w:trHeight w:val="237"/>
        </w:trPr>
        <w:tc>
          <w:tcPr>
            <w:tcW w:w="760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Vested</w:t>
            </w:r>
          </w:p>
        </w:tc>
        <w:tc>
          <w:tcPr>
            <w:tcW w:w="17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(74)</w:t>
            </w:r>
          </w:p>
        </w:tc>
        <w:tc>
          <w:tcPr>
            <w:tcW w:w="340" w:type="dxa"/>
            <w:vAlign w:val="bottom"/>
            <w:gridSpan w:val="2"/>
            <w:shd w:val="clear" w:color="auto" w:fill="CCEEFF"/>
          </w:tcPr>
          <w:p>
            <w:pPr>
              <w:jc w:val="right"/>
              <w:ind w:right="120"/>
              <w:spacing w:after="0"/>
              <w:rPr>
                <w:sz w:val="20"/>
                <w:szCs w:val="20"/>
                <w:color w:val="auto"/>
              </w:rPr>
            </w:pPr>
            <w:r>
              <w:rPr>
                <w:rFonts w:ascii="Calibri" w:cs="Calibri" w:eastAsia="Calibri" w:hAnsi="Calibri"/>
                <w:sz w:val="18"/>
                <w:szCs w:val="18"/>
                <w:color w:val="auto"/>
              </w:rPr>
              <w:t>$</w:t>
            </w:r>
          </w:p>
        </w:tc>
        <w:tc>
          <w:tcPr>
            <w:tcW w:w="15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26.25</w:t>
            </w:r>
          </w:p>
        </w:tc>
      </w:tr>
      <w:tr>
        <w:trPr>
          <w:trHeight w:val="223"/>
        </w:trPr>
        <w:tc>
          <w:tcPr>
            <w:tcW w:w="7600" w:type="dxa"/>
            <w:vAlign w:val="bottom"/>
            <w:tcBorders>
              <w:bottom w:val="single" w:sz="8" w:color="CCEEFF"/>
            </w:tcBorders>
          </w:tcPr>
          <w:p>
            <w:pPr>
              <w:ind w:left="140"/>
              <w:spacing w:after="0" w:line="215" w:lineRule="exact"/>
              <w:rPr>
                <w:sz w:val="20"/>
                <w:szCs w:val="20"/>
                <w:color w:val="auto"/>
              </w:rPr>
            </w:pPr>
            <w:r>
              <w:rPr>
                <w:rFonts w:ascii="Calibri" w:cs="Calibri" w:eastAsia="Calibri" w:hAnsi="Calibri"/>
                <w:sz w:val="18"/>
                <w:szCs w:val="18"/>
                <w:color w:val="auto"/>
              </w:rPr>
              <w:t>Forfeited</w:t>
            </w:r>
          </w:p>
        </w:tc>
        <w:tc>
          <w:tcPr>
            <w:tcW w:w="17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w:t>
            </w:r>
          </w:p>
        </w:tc>
        <w:tc>
          <w:tcPr>
            <w:tcW w:w="340" w:type="dxa"/>
            <w:vAlign w:val="bottom"/>
            <w:tcBorders>
              <w:bottom w:val="single" w:sz="8" w:color="CCEEFF"/>
            </w:tcBorders>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540" w:type="dxa"/>
            <w:vAlign w:val="bottom"/>
            <w:tcBorders>
              <w:bottom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30.79</w:t>
            </w:r>
          </w:p>
        </w:tc>
      </w:tr>
      <w:tr>
        <w:trPr>
          <w:trHeight w:val="229"/>
        </w:trPr>
        <w:tc>
          <w:tcPr>
            <w:tcW w:w="760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Balance as of October 29, 2023</w:t>
            </w:r>
          </w:p>
        </w:tc>
        <w:tc>
          <w:tcPr>
            <w:tcW w:w="17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218</w:t>
            </w:r>
          </w:p>
        </w:tc>
        <w:tc>
          <w:tcPr>
            <w:tcW w:w="340" w:type="dxa"/>
            <w:vAlign w:val="bottom"/>
            <w:gridSpan w:val="2"/>
            <w:shd w:val="clear" w:color="auto" w:fill="CCEEFF"/>
          </w:tcPr>
          <w:p>
            <w:pPr>
              <w:jc w:val="right"/>
              <w:ind w:right="120"/>
              <w:spacing w:after="0" w:line="206" w:lineRule="exact"/>
              <w:rPr>
                <w:sz w:val="20"/>
                <w:szCs w:val="20"/>
                <w:color w:val="auto"/>
              </w:rPr>
            </w:pPr>
            <w:r>
              <w:rPr>
                <w:rFonts w:ascii="Calibri" w:cs="Calibri" w:eastAsia="Calibri" w:hAnsi="Calibri"/>
                <w:sz w:val="18"/>
                <w:szCs w:val="18"/>
                <w:color w:val="auto"/>
              </w:rPr>
              <w:t>$</w:t>
            </w:r>
          </w:p>
        </w:tc>
        <w:tc>
          <w:tcPr>
            <w:tcW w:w="1540" w:type="dxa"/>
            <w:vAlign w:val="bottom"/>
            <w:shd w:val="clear" w:color="auto" w:fill="CCEEFF"/>
          </w:tcPr>
          <w:p>
            <w:pPr>
              <w:jc w:val="right"/>
              <w:spacing w:after="0" w:line="206" w:lineRule="exact"/>
              <w:rPr>
                <w:sz w:val="20"/>
                <w:szCs w:val="20"/>
                <w:color w:val="auto"/>
              </w:rPr>
            </w:pPr>
            <w:r>
              <w:rPr>
                <w:rFonts w:ascii="Calibri" w:cs="Calibri" w:eastAsia="Calibri" w:hAnsi="Calibri"/>
                <w:sz w:val="18"/>
                <w:szCs w:val="18"/>
                <w:color w:val="auto"/>
              </w:rPr>
              <w:t>38.92</w:t>
            </w:r>
          </w:p>
        </w:tc>
      </w:tr>
      <w:tr>
        <w:trPr>
          <w:trHeight w:val="222"/>
        </w:trPr>
        <w:tc>
          <w:tcPr>
            <w:tcW w:w="7600" w:type="dxa"/>
            <w:vAlign w:val="bottom"/>
          </w:tcPr>
          <w:p>
            <w:pPr>
              <w:ind w:left="140"/>
              <w:spacing w:after="0" w:line="215" w:lineRule="exact"/>
              <w:rPr>
                <w:sz w:val="20"/>
                <w:szCs w:val="20"/>
                <w:color w:val="auto"/>
              </w:rPr>
            </w:pPr>
            <w:r>
              <w:rPr>
                <w:rFonts w:ascii="Calibri" w:cs="Calibri" w:eastAsia="Calibri" w:hAnsi="Calibri"/>
                <w:sz w:val="18"/>
                <w:szCs w:val="18"/>
                <w:color w:val="auto"/>
              </w:rPr>
              <w:t>Assumed in VMware Merger</w:t>
            </w:r>
          </w:p>
        </w:tc>
        <w:tc>
          <w:tcPr>
            <w:tcW w:w="1760" w:type="dxa"/>
            <w:vAlign w:val="bottom"/>
          </w:tcPr>
          <w:p>
            <w:pPr>
              <w:jc w:val="right"/>
              <w:spacing w:after="0" w:line="215" w:lineRule="exact"/>
              <w:rPr>
                <w:sz w:val="20"/>
                <w:szCs w:val="20"/>
                <w:color w:val="auto"/>
              </w:rPr>
            </w:pPr>
            <w:r>
              <w:rPr>
                <w:rFonts w:ascii="Calibri" w:cs="Calibri" w:eastAsia="Calibri" w:hAnsi="Calibri"/>
                <w:sz w:val="18"/>
                <w:szCs w:val="18"/>
                <w:color w:val="auto"/>
              </w:rPr>
              <w:t>46</w:t>
            </w:r>
          </w:p>
        </w:tc>
        <w:tc>
          <w:tcPr>
            <w:tcW w:w="3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540" w:type="dxa"/>
            <w:vAlign w:val="bottom"/>
          </w:tcPr>
          <w:p>
            <w:pPr>
              <w:jc w:val="right"/>
              <w:spacing w:after="0" w:line="215" w:lineRule="exact"/>
              <w:rPr>
                <w:sz w:val="20"/>
                <w:szCs w:val="20"/>
                <w:color w:val="auto"/>
              </w:rPr>
            </w:pPr>
            <w:r>
              <w:rPr>
                <w:rFonts w:ascii="Calibri" w:cs="Calibri" w:eastAsia="Calibri" w:hAnsi="Calibri"/>
                <w:sz w:val="18"/>
                <w:szCs w:val="18"/>
                <w:color w:val="auto"/>
              </w:rPr>
              <w:t>96.85</w:t>
            </w:r>
          </w:p>
        </w:tc>
      </w:tr>
      <w:tr>
        <w:trPr>
          <w:trHeight w:val="237"/>
        </w:trPr>
        <w:tc>
          <w:tcPr>
            <w:tcW w:w="760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Granted</w:t>
            </w:r>
          </w:p>
        </w:tc>
        <w:tc>
          <w:tcPr>
            <w:tcW w:w="17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81</w:t>
            </w:r>
          </w:p>
        </w:tc>
        <w:tc>
          <w:tcPr>
            <w:tcW w:w="340" w:type="dxa"/>
            <w:vAlign w:val="bottom"/>
            <w:gridSpan w:val="2"/>
            <w:shd w:val="clear" w:color="auto" w:fill="CCEEFF"/>
          </w:tcPr>
          <w:p>
            <w:pPr>
              <w:jc w:val="right"/>
              <w:ind w:right="120"/>
              <w:spacing w:after="0"/>
              <w:rPr>
                <w:sz w:val="20"/>
                <w:szCs w:val="20"/>
                <w:color w:val="auto"/>
              </w:rPr>
            </w:pPr>
            <w:r>
              <w:rPr>
                <w:rFonts w:ascii="Calibri" w:cs="Calibri" w:eastAsia="Calibri" w:hAnsi="Calibri"/>
                <w:sz w:val="18"/>
                <w:szCs w:val="18"/>
                <w:color w:val="auto"/>
              </w:rPr>
              <w:t>$</w:t>
            </w:r>
          </w:p>
        </w:tc>
        <w:tc>
          <w:tcPr>
            <w:tcW w:w="15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115.58</w:t>
            </w:r>
          </w:p>
        </w:tc>
      </w:tr>
      <w:tr>
        <w:trPr>
          <w:trHeight w:val="222"/>
        </w:trPr>
        <w:tc>
          <w:tcPr>
            <w:tcW w:w="7600" w:type="dxa"/>
            <w:vAlign w:val="bottom"/>
          </w:tcPr>
          <w:p>
            <w:pPr>
              <w:ind w:left="140"/>
              <w:spacing w:after="0" w:line="215" w:lineRule="exact"/>
              <w:rPr>
                <w:sz w:val="20"/>
                <w:szCs w:val="20"/>
                <w:color w:val="auto"/>
              </w:rPr>
            </w:pPr>
            <w:r>
              <w:rPr>
                <w:rFonts w:ascii="Calibri" w:cs="Calibri" w:eastAsia="Calibri" w:hAnsi="Calibri"/>
                <w:sz w:val="18"/>
                <w:szCs w:val="18"/>
                <w:color w:val="auto"/>
              </w:rPr>
              <w:t>Vested</w:t>
            </w:r>
          </w:p>
        </w:tc>
        <w:tc>
          <w:tcPr>
            <w:tcW w:w="1760" w:type="dxa"/>
            <w:vAlign w:val="bottom"/>
          </w:tcPr>
          <w:p>
            <w:pPr>
              <w:jc w:val="right"/>
              <w:spacing w:after="0" w:line="215" w:lineRule="exact"/>
              <w:rPr>
                <w:sz w:val="20"/>
                <w:szCs w:val="20"/>
                <w:color w:val="auto"/>
              </w:rPr>
            </w:pPr>
            <w:r>
              <w:rPr>
                <w:rFonts w:ascii="Calibri" w:cs="Calibri" w:eastAsia="Calibri" w:hAnsi="Calibri"/>
                <w:sz w:val="18"/>
                <w:szCs w:val="18"/>
                <w:color w:val="auto"/>
              </w:rPr>
              <w:t>(107)</w:t>
            </w:r>
          </w:p>
        </w:tc>
        <w:tc>
          <w:tcPr>
            <w:tcW w:w="3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540" w:type="dxa"/>
            <w:vAlign w:val="bottom"/>
          </w:tcPr>
          <w:p>
            <w:pPr>
              <w:jc w:val="right"/>
              <w:spacing w:after="0" w:line="215" w:lineRule="exact"/>
              <w:rPr>
                <w:sz w:val="20"/>
                <w:szCs w:val="20"/>
                <w:color w:val="auto"/>
              </w:rPr>
            </w:pPr>
            <w:r>
              <w:rPr>
                <w:rFonts w:ascii="Calibri" w:cs="Calibri" w:eastAsia="Calibri" w:hAnsi="Calibri"/>
                <w:sz w:val="18"/>
                <w:szCs w:val="18"/>
                <w:color w:val="auto"/>
              </w:rPr>
              <w:t>54.34</w:t>
            </w:r>
          </w:p>
        </w:tc>
      </w:tr>
      <w:tr>
        <w:trPr>
          <w:trHeight w:val="230"/>
        </w:trPr>
        <w:tc>
          <w:tcPr>
            <w:tcW w:w="760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Forfeited</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(25)</w:t>
            </w:r>
          </w:p>
        </w:tc>
        <w:tc>
          <w:tcPr>
            <w:tcW w:w="340" w:type="dxa"/>
            <w:vAlign w:val="bottom"/>
            <w:gridSpan w:val="2"/>
            <w:shd w:val="clear" w:color="auto" w:fill="CCEEFF"/>
          </w:tcPr>
          <w:p>
            <w:pPr>
              <w:jc w:val="right"/>
              <w:ind w:right="120"/>
              <w:spacing w:after="0"/>
              <w:rPr>
                <w:sz w:val="20"/>
                <w:szCs w:val="20"/>
                <w:color w:val="auto"/>
              </w:rPr>
            </w:pPr>
            <w:r>
              <w:rPr>
                <w:rFonts w:ascii="Calibri" w:cs="Calibri" w:eastAsia="Calibri" w:hAnsi="Calibri"/>
                <w:sz w:val="18"/>
                <w:szCs w:val="18"/>
                <w:color w:val="auto"/>
              </w:rPr>
              <w:t>$</w:t>
            </w:r>
          </w:p>
        </w:tc>
        <w:tc>
          <w:tcPr>
            <w:tcW w:w="15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88.62</w:t>
            </w:r>
          </w:p>
        </w:tc>
      </w:tr>
      <w:tr>
        <w:trPr>
          <w:trHeight w:val="230"/>
        </w:trPr>
        <w:tc>
          <w:tcPr>
            <w:tcW w:w="7600" w:type="dxa"/>
            <w:vAlign w:val="bottom"/>
          </w:tcPr>
          <w:p>
            <w:pPr>
              <w:ind w:left="20"/>
              <w:spacing w:after="0"/>
              <w:rPr>
                <w:sz w:val="20"/>
                <w:szCs w:val="20"/>
                <w:color w:val="auto"/>
              </w:rPr>
            </w:pPr>
            <w:r>
              <w:rPr>
                <w:rFonts w:ascii="Calibri" w:cs="Calibri" w:eastAsia="Calibri" w:hAnsi="Calibri"/>
                <w:sz w:val="18"/>
                <w:szCs w:val="18"/>
                <w:color w:val="auto"/>
              </w:rPr>
              <w:t>Balance as of November 3, 2024</w:t>
            </w:r>
          </w:p>
        </w:tc>
        <w:tc>
          <w:tcPr>
            <w:tcW w:w="17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213</w:t>
            </w:r>
          </w:p>
        </w:tc>
        <w:tc>
          <w:tcPr>
            <w:tcW w:w="34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w:t>
            </w:r>
          </w:p>
        </w:tc>
        <w:tc>
          <w:tcPr>
            <w:tcW w:w="1540" w:type="dxa"/>
            <w:vAlign w:val="bottom"/>
          </w:tcPr>
          <w:p>
            <w:pPr>
              <w:jc w:val="right"/>
              <w:spacing w:after="0"/>
              <w:rPr>
                <w:sz w:val="20"/>
                <w:szCs w:val="20"/>
                <w:color w:val="auto"/>
              </w:rPr>
            </w:pPr>
            <w:r>
              <w:rPr>
                <w:rFonts w:ascii="Calibri" w:cs="Calibri" w:eastAsia="Calibri" w:hAnsi="Calibri"/>
                <w:sz w:val="18"/>
                <w:szCs w:val="18"/>
                <w:color w:val="auto"/>
              </w:rPr>
              <w:t>66.44</w:t>
            </w:r>
          </w:p>
        </w:tc>
      </w:tr>
      <w:tr>
        <w:trPr>
          <w:trHeight w:val="20"/>
        </w:trPr>
        <w:tc>
          <w:tcPr>
            <w:tcW w:w="76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40" w:firstLine="405"/>
        <w:spacing w:after="0" w:line="235" w:lineRule="auto"/>
        <w:rPr>
          <w:sz w:val="20"/>
          <w:szCs w:val="20"/>
          <w:color w:val="auto"/>
        </w:rPr>
      </w:pPr>
      <w:r>
        <w:rPr>
          <w:rFonts w:ascii="Calibri" w:cs="Calibri" w:eastAsia="Calibri" w:hAnsi="Calibri"/>
          <w:sz w:val="18"/>
          <w:szCs w:val="18"/>
          <w:color w:val="auto"/>
        </w:rPr>
        <w:t>The aggregate fair value of tme- and market-based RSUs that vested in fscal years 2024, 2023 and 2022 was $14,914 million, $5,423 million and $4,207 million, respectvely, which represented the market value of our common stock on the date that the RSUs vested. The number of RSUs vested included shares of common stock that we withheld for setlement of employees’ tax obligatons due upon the vestng of RSUs.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12. Income Taxes</w:t>
      </w:r>
    </w:p>
    <w:p>
      <w:pPr>
        <w:spacing w:after="0" w:line="104"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The components of income before income taxes by U.S. and foreign jurisdictons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Fiscal Year</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880" w:type="dxa"/>
            <w:vAlign w:val="bottom"/>
          </w:tcPr>
          <w:p>
            <w:pPr>
              <w:spacing w:after="0"/>
              <w:rPr>
                <w:sz w:val="4"/>
                <w:szCs w:val="4"/>
                <w:color w:val="auto"/>
              </w:rPr>
            </w:pPr>
          </w:p>
        </w:tc>
        <w:tc>
          <w:tcPr>
            <w:tcW w:w="1860" w:type="dxa"/>
            <w:vAlign w:val="bottom"/>
            <w:vMerge w:val="restart"/>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488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39"/>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5"/>
              <w:spacing w:after="0" w:line="164" w:lineRule="exact"/>
              <w:rPr>
                <w:sz w:val="20"/>
                <w:szCs w:val="20"/>
                <w:color w:val="auto"/>
              </w:rPr>
            </w:pPr>
            <w:r>
              <w:rPr>
                <w:rFonts w:ascii="Calibri" w:cs="Calibri" w:eastAsia="Calibri" w:hAnsi="Calibri"/>
                <w:sz w:val="14"/>
                <w:szCs w:val="14"/>
                <w:b w:val="1"/>
                <w:bCs w:val="1"/>
                <w:color w:val="auto"/>
              </w:rPr>
              <w:t>2022</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8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Domestc loss</w:t>
            </w:r>
          </w:p>
        </w:tc>
        <w:tc>
          <w:tcPr>
            <w:tcW w:w="2720" w:type="dxa"/>
            <w:vAlign w:val="bottom"/>
            <w:gridSpan w:val="2"/>
            <w:shd w:val="clear" w:color="auto" w:fill="CCEEFF"/>
          </w:tcPr>
          <w:p>
            <w:pPr>
              <w:jc w:val="right"/>
              <w:ind w:right="679"/>
              <w:spacing w:after="0" w:line="215" w:lineRule="exact"/>
              <w:rPr>
                <w:sz w:val="20"/>
                <w:szCs w:val="20"/>
                <w:color w:val="auto"/>
              </w:rPr>
            </w:pPr>
            <w:r>
              <w:rPr>
                <w:rFonts w:ascii="Calibri" w:cs="Calibri" w:eastAsia="Calibri" w:hAnsi="Calibri"/>
                <w:sz w:val="18"/>
                <w:szCs w:val="18"/>
                <w:color w:val="auto"/>
              </w:rPr>
              <w:t>$</w:t>
            </w:r>
          </w:p>
        </w:tc>
        <w:tc>
          <w:tcPr>
            <w:tcW w:w="5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(4,851)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(2,020)</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Foreign income</w:t>
            </w:r>
          </w:p>
        </w:tc>
        <w:tc>
          <w:tcPr>
            <w:tcW w:w="18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95"/>
              </w:rPr>
              <w:t>14,767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15,160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14,454</w:t>
            </w:r>
          </w:p>
        </w:tc>
        <w:tc>
          <w:tcPr>
            <w:tcW w:w="0" w:type="dxa"/>
            <w:vAlign w:val="bottom"/>
          </w:tcPr>
          <w:p>
            <w:pPr>
              <w:spacing w:after="0"/>
              <w:rPr>
                <w:sz w:val="1"/>
                <w:szCs w:val="1"/>
                <w:color w:val="auto"/>
              </w:rPr>
            </w:pPr>
          </w:p>
        </w:tc>
      </w:tr>
      <w:tr>
        <w:trPr>
          <w:trHeight w:val="254"/>
        </w:trPr>
        <w:tc>
          <w:tcPr>
            <w:tcW w:w="4880" w:type="dxa"/>
            <w:vAlign w:val="bottom"/>
            <w:tcBorders>
              <w:bottom w:val="single" w:sz="8" w:color="CCEEFF"/>
            </w:tcBorders>
            <w:shd w:val="clear" w:color="auto" w:fill="CCEEFF"/>
          </w:tcPr>
          <w:p>
            <w:pPr>
              <w:ind w:left="220"/>
              <w:spacing w:after="0"/>
              <w:rPr>
                <w:sz w:val="20"/>
                <w:szCs w:val="20"/>
                <w:color w:val="auto"/>
              </w:rPr>
            </w:pPr>
            <w:r>
              <w:rPr>
                <w:rFonts w:ascii="Calibri" w:cs="Calibri" w:eastAsia="Calibri" w:hAnsi="Calibri"/>
                <w:sz w:val="18"/>
                <w:szCs w:val="18"/>
                <w:color w:val="auto"/>
              </w:rPr>
              <w:t>Income from contnuing operatons before income taxes</w:t>
            </w:r>
          </w:p>
        </w:tc>
        <w:tc>
          <w:tcPr>
            <w:tcW w:w="18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9"/>
              <w:spacing w:after="0" w:line="215" w:lineRule="exact"/>
              <w:rPr>
                <w:sz w:val="20"/>
                <w:szCs w:val="20"/>
                <w:color w:val="auto"/>
              </w:rPr>
            </w:pPr>
            <w:r>
              <w:rPr>
                <w:rFonts w:ascii="Calibri" w:cs="Calibri" w:eastAsia="Calibri" w:hAnsi="Calibri"/>
                <w:sz w:val="18"/>
                <w:szCs w:val="18"/>
                <w:color w:val="auto"/>
                <w:w w:val="87"/>
              </w:rPr>
              <w:t>$</w:t>
            </w:r>
          </w:p>
        </w:tc>
        <w:tc>
          <w:tcPr>
            <w:tcW w:w="5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9,916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15,097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12,434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CCEEFF"/>
            </w:tcBorders>
            <w:vMerge w:val="restart"/>
          </w:tcPr>
          <w:p>
            <w:pPr>
              <w:jc w:val="right"/>
              <w:ind w:right="930"/>
              <w:spacing w:after="0"/>
              <w:rPr>
                <w:sz w:val="20"/>
                <w:szCs w:val="20"/>
                <w:color w:val="auto"/>
              </w:rPr>
            </w:pPr>
            <w:r>
              <w:rPr>
                <w:rFonts w:ascii="Calibri" w:cs="Calibri" w:eastAsia="Calibri" w:hAnsi="Calibri"/>
                <w:sz w:val="18"/>
                <w:szCs w:val="18"/>
                <w:color w:val="auto"/>
              </w:rPr>
              <w:t>84</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1"/>
        </w:trPr>
        <w:tc>
          <w:tcPr>
            <w:tcW w:w="48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88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6" w:name="page87"/>
    <w:bookmarkEnd w:id="8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The components of the provision for income taxes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4"/>
          </w:tcPr>
          <w:p>
            <w:pPr>
              <w:jc w:val="center"/>
              <w:ind w:right="280"/>
              <w:spacing w:after="0"/>
              <w:rPr>
                <w:sz w:val="20"/>
                <w:szCs w:val="20"/>
                <w:color w:val="auto"/>
              </w:rPr>
            </w:pPr>
            <w:r>
              <w:rPr>
                <w:rFonts w:ascii="Calibri" w:cs="Calibri" w:eastAsia="Calibri" w:hAnsi="Calibri"/>
                <w:sz w:val="14"/>
                <w:szCs w:val="14"/>
                <w:b w:val="1"/>
                <w:bCs w:val="1"/>
                <w:color w:val="auto"/>
              </w:rPr>
              <w:t>Fiscal Year</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12"/>
              <w:spacing w:after="0" w:line="164" w:lineRule="exact"/>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4"/>
              <w:spacing w:after="0" w:line="164" w:lineRule="exact"/>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72"/>
              <w:spacing w:after="0" w:line="164" w:lineRule="exact"/>
              <w:rPr>
                <w:sz w:val="20"/>
                <w:szCs w:val="20"/>
                <w:color w:val="auto"/>
              </w:rPr>
            </w:pPr>
            <w:r>
              <w:rPr>
                <w:rFonts w:ascii="Calibri" w:cs="Calibri" w:eastAsia="Calibri" w:hAnsi="Calibri"/>
                <w:sz w:val="14"/>
                <w:szCs w:val="14"/>
                <w:b w:val="1"/>
                <w:bCs w:val="1"/>
                <w:color w:val="auto"/>
              </w:rPr>
              <w:t>2022</w:t>
            </w:r>
          </w:p>
        </w:tc>
        <w:tc>
          <w:tcPr>
            <w:tcW w:w="0" w:type="dxa"/>
            <w:vAlign w:val="bottom"/>
          </w:tcPr>
          <w:p>
            <w:pPr>
              <w:spacing w:after="0"/>
              <w:rPr>
                <w:sz w:val="1"/>
                <w:szCs w:val="1"/>
                <w:color w:val="auto"/>
              </w:rPr>
            </w:pPr>
          </w:p>
        </w:tc>
      </w:tr>
      <w:tr>
        <w:trPr>
          <w:trHeight w:val="33"/>
        </w:trPr>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4"/>
          </w:tcPr>
          <w:p>
            <w:pPr>
              <w:jc w:val="center"/>
              <w:ind w:right="280"/>
              <w:spacing w:after="0"/>
              <w:rPr>
                <w:sz w:val="20"/>
                <w:szCs w:val="20"/>
                <w:color w:val="auto"/>
              </w:rPr>
            </w:pPr>
            <w:r>
              <w:rPr>
                <w:rFonts w:ascii="Calibri" w:cs="Calibri" w:eastAsia="Calibri" w:hAnsi="Calibri"/>
                <w:sz w:val="14"/>
                <w:szCs w:val="14"/>
                <w:b w:val="1"/>
                <w:bCs w:val="1"/>
                <w:color w:val="auto"/>
              </w:rPr>
              <w:t>(In millions)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740" w:type="dxa"/>
            <w:vAlign w:val="bottom"/>
            <w:gridSpan w:val="2"/>
          </w:tcPr>
          <w:p>
            <w:pPr>
              <w:ind w:left="20"/>
              <w:spacing w:after="0"/>
              <w:rPr>
                <w:sz w:val="20"/>
                <w:szCs w:val="20"/>
                <w:color w:val="auto"/>
              </w:rPr>
            </w:pPr>
            <w:r>
              <w:rPr>
                <w:rFonts w:ascii="Calibri" w:cs="Calibri" w:eastAsia="Calibri" w:hAnsi="Calibri"/>
                <w:sz w:val="18"/>
                <w:szCs w:val="18"/>
                <w:b w:val="1"/>
                <w:bCs w:val="1"/>
                <w:color w:val="auto"/>
              </w:rPr>
              <w:t>Current tax provision:</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gridSpan w:val="2"/>
            <w:shd w:val="clear" w:color="auto" w:fill="CCEEFF"/>
          </w:tcPr>
          <w:p>
            <w:pPr>
              <w:ind w:left="140"/>
              <w:spacing w:after="0" w:line="215" w:lineRule="exact"/>
              <w:rPr>
                <w:sz w:val="20"/>
                <w:szCs w:val="20"/>
                <w:color w:val="auto"/>
              </w:rPr>
            </w:pPr>
            <w:r>
              <w:rPr>
                <w:rFonts w:ascii="Calibri" w:cs="Calibri" w:eastAsia="Calibri" w:hAnsi="Calibri"/>
                <w:sz w:val="18"/>
                <w:szCs w:val="18"/>
                <w:color w:val="auto"/>
              </w:rPr>
              <w:t>Federal</w:t>
            </w:r>
          </w:p>
        </w:tc>
        <w:tc>
          <w:tcPr>
            <w:tcW w:w="22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1,030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gridSpan w:val="2"/>
            <w:shd w:val="clear" w:color="auto" w:fill="CCEEFF"/>
          </w:tcPr>
          <w:p>
            <w:pPr>
              <w:jc w:val="right"/>
              <w:ind w:right="60"/>
              <w:spacing w:after="0" w:line="215" w:lineRule="exact"/>
              <w:rPr>
                <w:sz w:val="20"/>
                <w:szCs w:val="20"/>
                <w:color w:val="auto"/>
              </w:rPr>
            </w:pPr>
            <w:r>
              <w:rPr>
                <w:rFonts w:ascii="Calibri" w:cs="Calibri" w:eastAsia="Calibri" w:hAnsi="Calibri"/>
                <w:sz w:val="18"/>
                <w:szCs w:val="18"/>
                <w:color w:val="auto"/>
              </w:rPr>
              <w:t>952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174</w:t>
            </w:r>
          </w:p>
        </w:tc>
        <w:tc>
          <w:tcPr>
            <w:tcW w:w="0" w:type="dxa"/>
            <w:vAlign w:val="bottom"/>
          </w:tcPr>
          <w:p>
            <w:pPr>
              <w:spacing w:after="0"/>
              <w:rPr>
                <w:sz w:val="1"/>
                <w:szCs w:val="1"/>
                <w:color w:val="auto"/>
              </w:rPr>
            </w:pPr>
          </w:p>
        </w:tc>
      </w:tr>
      <w:tr>
        <w:trPr>
          <w:trHeight w:val="222"/>
        </w:trPr>
        <w:tc>
          <w:tcPr>
            <w:tcW w:w="6740" w:type="dxa"/>
            <w:vAlign w:val="bottom"/>
            <w:gridSpan w:val="2"/>
          </w:tcPr>
          <w:p>
            <w:pPr>
              <w:ind w:left="140"/>
              <w:spacing w:after="0" w:line="215" w:lineRule="exact"/>
              <w:rPr>
                <w:sz w:val="20"/>
                <w:szCs w:val="20"/>
                <w:color w:val="auto"/>
              </w:rPr>
            </w:pPr>
            <w:r>
              <w:rPr>
                <w:rFonts w:ascii="Calibri" w:cs="Calibri" w:eastAsia="Calibri" w:hAnsi="Calibri"/>
                <w:sz w:val="18"/>
                <w:szCs w:val="18"/>
                <w:color w:val="auto"/>
              </w:rPr>
              <w:t>State</w:t>
            </w:r>
          </w:p>
        </w:tc>
        <w:tc>
          <w:tcPr>
            <w:tcW w:w="220" w:type="dxa"/>
            <w:vAlign w:val="bottom"/>
          </w:tcPr>
          <w:p>
            <w:pPr>
              <w:spacing w:after="0"/>
              <w:rPr>
                <w:sz w:val="19"/>
                <w:szCs w:val="19"/>
                <w:color w:val="auto"/>
              </w:rPr>
            </w:pPr>
          </w:p>
        </w:tc>
        <w:tc>
          <w:tcPr>
            <w:tcW w:w="11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52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48</w:t>
            </w:r>
          </w:p>
        </w:tc>
        <w:tc>
          <w:tcPr>
            <w:tcW w:w="0" w:type="dxa"/>
            <w:vAlign w:val="bottom"/>
          </w:tcPr>
          <w:p>
            <w:pPr>
              <w:spacing w:after="0"/>
              <w:rPr>
                <w:sz w:val="1"/>
                <w:szCs w:val="1"/>
                <w:color w:val="auto"/>
              </w:rPr>
            </w:pPr>
          </w:p>
        </w:tc>
      </w:tr>
      <w:tr>
        <w:trPr>
          <w:trHeight w:val="237"/>
        </w:trPr>
        <w:tc>
          <w:tcPr>
            <w:tcW w:w="6740" w:type="dxa"/>
            <w:vAlign w:val="bottom"/>
            <w:gridSpan w:val="2"/>
            <w:shd w:val="clear" w:color="auto" w:fill="CCEEFF"/>
          </w:tcPr>
          <w:p>
            <w:pPr>
              <w:ind w:left="140"/>
              <w:spacing w:after="0"/>
              <w:rPr>
                <w:sz w:val="20"/>
                <w:szCs w:val="20"/>
                <w:color w:val="auto"/>
              </w:rPr>
            </w:pPr>
            <w:r>
              <w:rPr>
                <w:rFonts w:ascii="Calibri" w:cs="Calibri" w:eastAsia="Calibri" w:hAnsi="Calibri"/>
                <w:sz w:val="18"/>
                <w:szCs w:val="18"/>
                <w:color w:val="auto"/>
              </w:rPr>
              <w:t>Foreign</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Calibri" w:cs="Calibri" w:eastAsia="Calibri" w:hAnsi="Calibri"/>
                <w:sz w:val="18"/>
                <w:szCs w:val="18"/>
                <w:color w:val="auto"/>
              </w:rPr>
              <w:t>701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Calibri" w:cs="Calibri" w:eastAsia="Calibri" w:hAnsi="Calibri"/>
                <w:sz w:val="18"/>
                <w:szCs w:val="18"/>
                <w:color w:val="auto"/>
              </w:rPr>
              <w:t>541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762</w:t>
            </w:r>
          </w:p>
        </w:tc>
        <w:tc>
          <w:tcPr>
            <w:tcW w:w="0" w:type="dxa"/>
            <w:vAlign w:val="bottom"/>
          </w:tcPr>
          <w:p>
            <w:pPr>
              <w:spacing w:after="0"/>
              <w:rPr>
                <w:sz w:val="1"/>
                <w:szCs w:val="1"/>
                <w:color w:val="auto"/>
              </w:rPr>
            </w:pPr>
          </w:p>
        </w:tc>
      </w:tr>
      <w:tr>
        <w:trPr>
          <w:trHeight w:val="217"/>
        </w:trPr>
        <w:tc>
          <w:tcPr>
            <w:tcW w:w="6740" w:type="dxa"/>
            <w:vAlign w:val="bottom"/>
            <w:tcBorders>
              <w:bottom w:val="single" w:sz="8" w:color="CCEEFF"/>
            </w:tcBorders>
            <w:gridSpan w:val="2"/>
          </w:tcPr>
          <w:p>
            <w:pPr>
              <w:ind w:left="220"/>
              <w:spacing w:after="0" w:line="199" w:lineRule="exact"/>
              <w:rPr>
                <w:sz w:val="20"/>
                <w:szCs w:val="20"/>
                <w:color w:val="auto"/>
              </w:rPr>
            </w:pPr>
            <w:r>
              <w:rPr>
                <w:rFonts w:ascii="Calibri" w:cs="Calibri" w:eastAsia="Calibri" w:hAnsi="Calibri"/>
                <w:sz w:val="18"/>
                <w:szCs w:val="18"/>
                <w:color w:val="auto"/>
              </w:rPr>
              <w:t>Total</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line="215" w:lineRule="exact"/>
              <w:rPr>
                <w:sz w:val="20"/>
                <w:szCs w:val="20"/>
                <w:color w:val="auto"/>
              </w:rPr>
            </w:pPr>
            <w:r>
              <w:rPr>
                <w:rFonts w:ascii="Calibri" w:cs="Calibri" w:eastAsia="Calibri" w:hAnsi="Calibri"/>
                <w:sz w:val="18"/>
                <w:szCs w:val="18"/>
                <w:color w:val="auto"/>
              </w:rPr>
              <w:t>1,783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60"/>
              <w:spacing w:after="0" w:line="215" w:lineRule="exact"/>
              <w:rPr>
                <w:sz w:val="20"/>
                <w:szCs w:val="20"/>
                <w:color w:val="auto"/>
              </w:rPr>
            </w:pPr>
            <w:r>
              <w:rPr>
                <w:rFonts w:ascii="Calibri" w:cs="Calibri" w:eastAsia="Calibri" w:hAnsi="Calibri"/>
                <w:sz w:val="18"/>
                <w:szCs w:val="18"/>
                <w:color w:val="auto"/>
              </w:rPr>
              <w:t>1,516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984</w:t>
            </w:r>
          </w:p>
        </w:tc>
        <w:tc>
          <w:tcPr>
            <w:tcW w:w="0" w:type="dxa"/>
            <w:vAlign w:val="bottom"/>
          </w:tcPr>
          <w:p>
            <w:pPr>
              <w:spacing w:after="0"/>
              <w:rPr>
                <w:sz w:val="1"/>
                <w:szCs w:val="1"/>
                <w:color w:val="auto"/>
              </w:rPr>
            </w:pPr>
          </w:p>
        </w:tc>
      </w:tr>
      <w:tr>
        <w:trPr>
          <w:trHeight w:val="209"/>
        </w:trPr>
        <w:tc>
          <w:tcPr>
            <w:tcW w:w="6740" w:type="dxa"/>
            <w:vAlign w:val="bottom"/>
            <w:tcBorders>
              <w:bottom w:val="single" w:sz="8" w:color="CCEEFF"/>
            </w:tcBorders>
            <w:gridSpan w:val="2"/>
            <w:shd w:val="clear" w:color="auto" w:fill="CCEEFF"/>
          </w:tcPr>
          <w:p>
            <w:pPr>
              <w:ind w:left="20"/>
              <w:spacing w:after="0" w:line="206" w:lineRule="exact"/>
              <w:rPr>
                <w:sz w:val="20"/>
                <w:szCs w:val="20"/>
                <w:color w:val="auto"/>
              </w:rPr>
            </w:pPr>
            <w:r>
              <w:rPr>
                <w:rFonts w:ascii="Calibri" w:cs="Calibri" w:eastAsia="Calibri" w:hAnsi="Calibri"/>
                <w:sz w:val="18"/>
                <w:szCs w:val="18"/>
                <w:b w:val="1"/>
                <w:bCs w:val="1"/>
                <w:color w:val="auto"/>
              </w:rPr>
              <w:t>Deferred tax provision (beneft):</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ind w:left="140"/>
              <w:spacing w:after="0" w:line="215" w:lineRule="exact"/>
              <w:rPr>
                <w:sz w:val="20"/>
                <w:szCs w:val="20"/>
                <w:color w:val="auto"/>
              </w:rPr>
            </w:pPr>
            <w:r>
              <w:rPr>
                <w:rFonts w:ascii="Calibri" w:cs="Calibri" w:eastAsia="Calibri" w:hAnsi="Calibri"/>
                <w:sz w:val="18"/>
                <w:szCs w:val="18"/>
                <w:color w:val="auto"/>
              </w:rPr>
              <w:t>Federal</w:t>
            </w:r>
          </w:p>
        </w:tc>
        <w:tc>
          <w:tcPr>
            <w:tcW w:w="220" w:type="dxa"/>
            <w:vAlign w:val="bottom"/>
          </w:tcPr>
          <w:p>
            <w:pPr>
              <w:spacing w:after="0"/>
              <w:rPr>
                <w:sz w:val="19"/>
                <w:szCs w:val="19"/>
                <w:color w:val="auto"/>
              </w:rPr>
            </w:pPr>
          </w:p>
        </w:tc>
        <w:tc>
          <w:tcPr>
            <w:tcW w:w="11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1,855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(499)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68</w:t>
            </w:r>
          </w:p>
        </w:tc>
        <w:tc>
          <w:tcPr>
            <w:tcW w:w="0" w:type="dxa"/>
            <w:vAlign w:val="bottom"/>
          </w:tcPr>
          <w:p>
            <w:pPr>
              <w:spacing w:after="0"/>
              <w:rPr>
                <w:sz w:val="1"/>
                <w:szCs w:val="1"/>
                <w:color w:val="auto"/>
              </w:rPr>
            </w:pPr>
          </w:p>
        </w:tc>
      </w:tr>
      <w:tr>
        <w:trPr>
          <w:trHeight w:val="237"/>
        </w:trPr>
        <w:tc>
          <w:tcPr>
            <w:tcW w:w="6740" w:type="dxa"/>
            <w:vAlign w:val="bottom"/>
            <w:gridSpan w:val="2"/>
            <w:shd w:val="clear" w:color="auto" w:fill="CCEEFF"/>
          </w:tcPr>
          <w:p>
            <w:pPr>
              <w:ind w:left="140"/>
              <w:spacing w:after="0"/>
              <w:rPr>
                <w:sz w:val="20"/>
                <w:szCs w:val="20"/>
                <w:color w:val="auto"/>
              </w:rPr>
            </w:pPr>
            <w:r>
              <w:rPr>
                <w:rFonts w:ascii="Calibri" w:cs="Calibri" w:eastAsia="Calibri" w:hAnsi="Calibri"/>
                <w:sz w:val="18"/>
                <w:szCs w:val="18"/>
                <w:color w:val="auto"/>
              </w:rPr>
              <w:t>State</w:t>
            </w:r>
          </w:p>
        </w:tc>
        <w:tc>
          <w:tcPr>
            <w:tcW w:w="2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0"/>
              <w:spacing w:after="0"/>
              <w:rPr>
                <w:sz w:val="20"/>
                <w:szCs w:val="20"/>
                <w:color w:val="auto"/>
              </w:rPr>
            </w:pPr>
            <w:r>
              <w:rPr>
                <w:rFonts w:ascii="Calibri" w:cs="Calibri" w:eastAsia="Calibri" w:hAnsi="Calibri"/>
                <w:sz w:val="18"/>
                <w:szCs w:val="18"/>
                <w:color w:val="auto"/>
              </w:rPr>
              <w:t>(70)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
              <w:spacing w:after="0"/>
              <w:rPr>
                <w:sz w:val="20"/>
                <w:szCs w:val="20"/>
                <w:color w:val="auto"/>
              </w:rPr>
            </w:pPr>
            <w:r>
              <w:rPr>
                <w:rFonts w:ascii="Calibri" w:cs="Calibri" w:eastAsia="Calibri" w:hAnsi="Calibri"/>
                <w:sz w:val="18"/>
                <w:szCs w:val="18"/>
                <w:color w:val="auto"/>
              </w:rPr>
              <w:t>(31)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gridSpan w:val="2"/>
          </w:tcPr>
          <w:p>
            <w:pPr>
              <w:ind w:left="140"/>
              <w:spacing w:after="0" w:line="215" w:lineRule="exact"/>
              <w:rPr>
                <w:sz w:val="20"/>
                <w:szCs w:val="20"/>
                <w:color w:val="auto"/>
              </w:rPr>
            </w:pPr>
            <w:r>
              <w:rPr>
                <w:rFonts w:ascii="Calibri" w:cs="Calibri" w:eastAsia="Calibri" w:hAnsi="Calibri"/>
                <w:sz w:val="18"/>
                <w:szCs w:val="18"/>
                <w:color w:val="auto"/>
              </w:rPr>
              <w:t>Foreign</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line="215" w:lineRule="exact"/>
              <w:rPr>
                <w:sz w:val="20"/>
                <w:szCs w:val="20"/>
                <w:color w:val="auto"/>
              </w:rPr>
            </w:pPr>
            <w:r>
              <w:rPr>
                <w:rFonts w:ascii="Calibri" w:cs="Calibri" w:eastAsia="Calibri" w:hAnsi="Calibri"/>
                <w:sz w:val="18"/>
                <w:szCs w:val="18"/>
                <w:color w:val="auto"/>
              </w:rPr>
              <w:t>180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60"/>
              <w:spacing w:after="0" w:line="215" w:lineRule="exact"/>
              <w:rPr>
                <w:sz w:val="20"/>
                <w:szCs w:val="20"/>
                <w:color w:val="auto"/>
              </w:rPr>
            </w:pPr>
            <w:r>
              <w:rPr>
                <w:rFonts w:ascii="Calibri" w:cs="Calibri" w:eastAsia="Calibri" w:hAnsi="Calibri"/>
                <w:sz w:val="18"/>
                <w:szCs w:val="18"/>
                <w:color w:val="auto"/>
              </w:rPr>
              <w:t>29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(98)</w:t>
            </w: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CEEFF"/>
          </w:tcPr>
          <w:p>
            <w:pPr>
              <w:ind w:left="240"/>
              <w:spacing w:after="0" w:line="206" w:lineRule="exact"/>
              <w:rPr>
                <w:sz w:val="20"/>
                <w:szCs w:val="20"/>
                <w:color w:val="auto"/>
              </w:rPr>
            </w:pPr>
            <w:r>
              <w:rPr>
                <w:rFonts w:ascii="Calibri" w:cs="Calibri" w:eastAsia="Calibri" w:hAnsi="Calibri"/>
                <w:sz w:val="18"/>
                <w:szCs w:val="18"/>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1,965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
              <w:spacing w:after="0" w:line="215" w:lineRule="exact"/>
              <w:rPr>
                <w:sz w:val="20"/>
                <w:szCs w:val="20"/>
                <w:color w:val="auto"/>
              </w:rPr>
            </w:pPr>
            <w:r>
              <w:rPr>
                <w:rFonts w:ascii="Calibri" w:cs="Calibri" w:eastAsia="Calibri" w:hAnsi="Calibri"/>
                <w:sz w:val="18"/>
                <w:szCs w:val="18"/>
                <w:color w:val="auto"/>
              </w:rPr>
              <w:t>(501)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(45)</w:t>
            </w:r>
          </w:p>
        </w:tc>
        <w:tc>
          <w:tcPr>
            <w:tcW w:w="0" w:type="dxa"/>
            <w:vAlign w:val="bottom"/>
          </w:tcPr>
          <w:p>
            <w:pPr>
              <w:spacing w:after="0"/>
              <w:rPr>
                <w:sz w:val="1"/>
                <w:szCs w:val="1"/>
                <w:color w:val="auto"/>
              </w:rPr>
            </w:pPr>
          </w:p>
        </w:tc>
      </w:tr>
      <w:tr>
        <w:trPr>
          <w:trHeight w:val="230"/>
        </w:trPr>
        <w:tc>
          <w:tcPr>
            <w:tcW w:w="6740" w:type="dxa"/>
            <w:vAlign w:val="bottom"/>
            <w:gridSpan w:val="2"/>
          </w:tcPr>
          <w:p>
            <w:pPr>
              <w:ind w:left="340"/>
              <w:spacing w:after="0"/>
              <w:rPr>
                <w:sz w:val="20"/>
                <w:szCs w:val="20"/>
                <w:color w:val="auto"/>
              </w:rPr>
            </w:pPr>
            <w:r>
              <w:rPr>
                <w:rFonts w:ascii="Calibri" w:cs="Calibri" w:eastAsia="Calibri" w:hAnsi="Calibri"/>
                <w:sz w:val="18"/>
                <w:szCs w:val="18"/>
                <w:color w:val="auto"/>
              </w:rPr>
              <w:t>Total provision for income taxes</w:t>
            </w:r>
          </w:p>
        </w:tc>
        <w:tc>
          <w:tcPr>
            <w:tcW w:w="22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auto"/>
            </w:tcBorders>
            <w:gridSpan w:val="2"/>
          </w:tcPr>
          <w:p>
            <w:pPr>
              <w:jc w:val="right"/>
              <w:spacing w:after="0" w:line="215" w:lineRule="exact"/>
              <w:rPr>
                <w:sz w:val="20"/>
                <w:szCs w:val="20"/>
                <w:color w:val="auto"/>
              </w:rPr>
            </w:pPr>
            <w:r>
              <w:rPr>
                <w:rFonts w:ascii="Calibri" w:cs="Calibri" w:eastAsia="Calibri" w:hAnsi="Calibri"/>
                <w:sz w:val="18"/>
                <w:szCs w:val="18"/>
                <w:color w:val="auto"/>
              </w:rPr>
              <w:t>3,748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gridSpan w:val="2"/>
          </w:tcPr>
          <w:p>
            <w:pPr>
              <w:jc w:val="right"/>
              <w:ind w:right="60"/>
              <w:spacing w:after="0" w:line="215" w:lineRule="exact"/>
              <w:rPr>
                <w:sz w:val="20"/>
                <w:szCs w:val="20"/>
                <w:color w:val="auto"/>
              </w:rPr>
            </w:pPr>
            <w:r>
              <w:rPr>
                <w:rFonts w:ascii="Calibri" w:cs="Calibri" w:eastAsia="Calibri" w:hAnsi="Calibri"/>
                <w:sz w:val="18"/>
                <w:szCs w:val="18"/>
                <w:color w:val="auto"/>
              </w:rPr>
              <w:t>1,015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939</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420"/>
              <w:spacing w:after="0"/>
              <w:rPr>
                <w:sz w:val="20"/>
                <w:szCs w:val="20"/>
                <w:color w:val="auto"/>
              </w:rPr>
            </w:pPr>
            <w:r>
              <w:rPr>
                <w:rFonts w:ascii="Calibri" w:cs="Calibri" w:eastAsia="Calibri" w:hAnsi="Calibri"/>
                <w:sz w:val="18"/>
                <w:szCs w:val="18"/>
                <w:color w:val="auto"/>
                <w:w w:val="99"/>
              </w:rPr>
              <w:t>The following is a reconciliaton of our efectve tax rate to the statutory federal tax rate:</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9"/>
        </w:trPr>
        <w:tc>
          <w:tcPr>
            <w:tcW w:w="67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4"/>
          </w:tcPr>
          <w:p>
            <w:pPr>
              <w:ind w:left="100"/>
              <w:spacing w:after="0"/>
              <w:rPr>
                <w:sz w:val="20"/>
                <w:szCs w:val="20"/>
                <w:color w:val="auto"/>
              </w:rPr>
            </w:pPr>
            <w:r>
              <w:rPr>
                <w:rFonts w:ascii="Calibri" w:cs="Calibri" w:eastAsia="Calibri" w:hAnsi="Calibri"/>
                <w:sz w:val="14"/>
                <w:szCs w:val="14"/>
                <w:b w:val="1"/>
                <w:bCs w:val="1"/>
                <w:color w:val="auto"/>
              </w:rPr>
              <w:t>Fiscal Year</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64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512"/>
              <w:spacing w:after="0" w:line="164" w:lineRule="exact"/>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514"/>
              <w:spacing w:after="0" w:line="164" w:lineRule="exact"/>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512"/>
              <w:spacing w:after="0" w:line="164" w:lineRule="exact"/>
              <w:rPr>
                <w:sz w:val="20"/>
                <w:szCs w:val="20"/>
                <w:color w:val="auto"/>
              </w:rPr>
            </w:pPr>
            <w:r>
              <w:rPr>
                <w:rFonts w:ascii="Calibri" w:cs="Calibri" w:eastAsia="Calibri" w:hAnsi="Calibri"/>
                <w:sz w:val="14"/>
                <w:szCs w:val="14"/>
                <w:b w:val="1"/>
                <w:bCs w:val="1"/>
                <w:color w:val="auto"/>
              </w:rPr>
              <w:t>2022</w:t>
            </w:r>
          </w:p>
        </w:tc>
        <w:tc>
          <w:tcPr>
            <w:tcW w:w="0" w:type="dxa"/>
            <w:vAlign w:val="bottom"/>
          </w:tcPr>
          <w:p>
            <w:pPr>
              <w:spacing w:after="0"/>
              <w:rPr>
                <w:sz w:val="1"/>
                <w:szCs w:val="1"/>
                <w:color w:val="auto"/>
              </w:rPr>
            </w:pPr>
          </w:p>
        </w:tc>
      </w:tr>
      <w:tr>
        <w:trPr>
          <w:trHeight w:val="33"/>
        </w:trPr>
        <w:tc>
          <w:tcPr>
            <w:tcW w:w="6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Statutory tax rate</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21.0 %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21.0 %</w:t>
            </w:r>
          </w:p>
        </w:tc>
        <w:tc>
          <w:tcPr>
            <w:tcW w:w="0" w:type="dxa"/>
            <w:vAlign w:val="bottom"/>
          </w:tcPr>
          <w:p>
            <w:pPr>
              <w:spacing w:after="0"/>
              <w:rPr>
                <w:sz w:val="1"/>
                <w:szCs w:val="1"/>
                <w:color w:val="auto"/>
              </w:rPr>
            </w:pPr>
          </w:p>
        </w:tc>
      </w:tr>
      <w:tr>
        <w:trPr>
          <w:trHeight w:val="222"/>
        </w:trPr>
        <w:tc>
          <w:tcPr>
            <w:tcW w:w="674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State, net of federal beneft</w:t>
            </w:r>
          </w:p>
        </w:tc>
        <w:tc>
          <w:tcPr>
            <w:tcW w:w="220" w:type="dxa"/>
            <w:vAlign w:val="bottom"/>
          </w:tcPr>
          <w:p>
            <w:pPr>
              <w:spacing w:after="0"/>
              <w:rPr>
                <w:sz w:val="19"/>
                <w:szCs w:val="19"/>
                <w:color w:val="auto"/>
              </w:rPr>
            </w:pPr>
          </w:p>
        </w:tc>
        <w:tc>
          <w:tcPr>
            <w:tcW w:w="1040" w:type="dxa"/>
            <w:vAlign w:val="bottom"/>
          </w:tcPr>
          <w:p>
            <w:pPr>
              <w:jc w:val="right"/>
              <w:ind w:right="52"/>
              <w:spacing w:after="0" w:line="215" w:lineRule="exact"/>
              <w:rPr>
                <w:sz w:val="20"/>
                <w:szCs w:val="20"/>
                <w:color w:val="auto"/>
              </w:rPr>
            </w:pPr>
            <w:r>
              <w:rPr>
                <w:rFonts w:ascii="Calibri" w:cs="Calibri" w:eastAsia="Calibri" w:hAnsi="Calibri"/>
                <w:sz w:val="18"/>
                <w:szCs w:val="18"/>
                <w:color w:val="auto"/>
              </w:rPr>
              <w:t>(0.1)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4"/>
          </w:tcPr>
          <w:p>
            <w:pPr>
              <w:jc w:val="right"/>
              <w:ind w:right="360"/>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92"/>
              <w:spacing w:after="0" w:line="215" w:lineRule="exact"/>
              <w:rPr>
                <w:sz w:val="20"/>
                <w:szCs w:val="20"/>
                <w:color w:val="auto"/>
              </w:rPr>
            </w:pPr>
            <w:r>
              <w:rPr>
                <w:rFonts w:ascii="Calibri" w:cs="Calibri" w:eastAsia="Calibri" w:hAnsi="Calibri"/>
                <w:sz w:val="18"/>
                <w:szCs w:val="18"/>
                <w:color w:val="auto"/>
              </w:rPr>
              <w:t>0.2</w:t>
            </w:r>
          </w:p>
        </w:tc>
        <w:tc>
          <w:tcPr>
            <w:tcW w:w="0" w:type="dxa"/>
            <w:vAlign w:val="bottom"/>
          </w:tcPr>
          <w:p>
            <w:pPr>
              <w:spacing w:after="0"/>
              <w:rPr>
                <w:sz w:val="1"/>
                <w:szCs w:val="1"/>
                <w:color w:val="auto"/>
              </w:rPr>
            </w:pPr>
          </w:p>
        </w:tc>
      </w:tr>
      <w:tr>
        <w:trPr>
          <w:trHeight w:val="237"/>
        </w:trPr>
        <w:tc>
          <w:tcPr>
            <w:tcW w:w="674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Foreign income taxed at diferent rates</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2"/>
              <w:spacing w:after="0"/>
              <w:rPr>
                <w:sz w:val="20"/>
                <w:szCs w:val="20"/>
                <w:color w:val="auto"/>
              </w:rPr>
            </w:pPr>
            <w:r>
              <w:rPr>
                <w:rFonts w:ascii="Calibri" w:cs="Calibri" w:eastAsia="Calibri" w:hAnsi="Calibri"/>
                <w:sz w:val="18"/>
                <w:szCs w:val="18"/>
                <w:color w:val="auto"/>
              </w:rPr>
              <w:t>(22.4)</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54"/>
              <w:spacing w:after="0"/>
              <w:rPr>
                <w:sz w:val="20"/>
                <w:szCs w:val="20"/>
                <w:color w:val="auto"/>
              </w:rPr>
            </w:pPr>
            <w:r>
              <w:rPr>
                <w:rFonts w:ascii="Calibri" w:cs="Calibri" w:eastAsia="Calibri" w:hAnsi="Calibri"/>
                <w:sz w:val="18"/>
                <w:szCs w:val="18"/>
                <w:color w:val="auto"/>
              </w:rPr>
              <w:t>(17.3)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2"/>
              <w:spacing w:after="0"/>
              <w:rPr>
                <w:sz w:val="20"/>
                <w:szCs w:val="20"/>
                <w:color w:val="auto"/>
              </w:rPr>
            </w:pPr>
            <w:r>
              <w:rPr>
                <w:rFonts w:ascii="Calibri" w:cs="Calibri" w:eastAsia="Calibri" w:hAnsi="Calibri"/>
                <w:sz w:val="18"/>
                <w:szCs w:val="18"/>
                <w:color w:val="auto"/>
              </w:rPr>
              <w:t>(19.1)</w:t>
            </w:r>
          </w:p>
        </w:tc>
        <w:tc>
          <w:tcPr>
            <w:tcW w:w="0" w:type="dxa"/>
            <w:vAlign w:val="bottom"/>
          </w:tcPr>
          <w:p>
            <w:pPr>
              <w:spacing w:after="0"/>
              <w:rPr>
                <w:sz w:val="1"/>
                <w:szCs w:val="1"/>
                <w:color w:val="auto"/>
              </w:rPr>
            </w:pPr>
          </w:p>
        </w:tc>
      </w:tr>
      <w:tr>
        <w:trPr>
          <w:trHeight w:val="222"/>
        </w:trPr>
        <w:tc>
          <w:tcPr>
            <w:tcW w:w="674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Deemed inclusion of foreign earnings</w:t>
            </w:r>
          </w:p>
        </w:tc>
        <w:tc>
          <w:tcPr>
            <w:tcW w:w="220" w:type="dxa"/>
            <w:vAlign w:val="bottom"/>
          </w:tcPr>
          <w:p>
            <w:pPr>
              <w:spacing w:after="0"/>
              <w:rPr>
                <w:sz w:val="19"/>
                <w:szCs w:val="19"/>
                <w:color w:val="auto"/>
              </w:rPr>
            </w:pPr>
          </w:p>
        </w:tc>
        <w:tc>
          <w:tcPr>
            <w:tcW w:w="1040" w:type="dxa"/>
            <w:vAlign w:val="bottom"/>
          </w:tcPr>
          <w:p>
            <w:pPr>
              <w:jc w:val="right"/>
              <w:ind w:right="92"/>
              <w:spacing w:after="0" w:line="215" w:lineRule="exact"/>
              <w:rPr>
                <w:sz w:val="20"/>
                <w:szCs w:val="20"/>
                <w:color w:val="auto"/>
              </w:rPr>
            </w:pPr>
            <w:r>
              <w:rPr>
                <w:rFonts w:ascii="Calibri" w:cs="Calibri" w:eastAsia="Calibri" w:hAnsi="Calibri"/>
                <w:sz w:val="18"/>
                <w:szCs w:val="18"/>
                <w:color w:val="auto"/>
              </w:rPr>
              <w:t>16.3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94"/>
              <w:spacing w:after="0" w:line="215" w:lineRule="exact"/>
              <w:rPr>
                <w:sz w:val="20"/>
                <w:szCs w:val="20"/>
                <w:color w:val="auto"/>
              </w:rPr>
            </w:pPr>
            <w:r>
              <w:rPr>
                <w:rFonts w:ascii="Calibri" w:cs="Calibri" w:eastAsia="Calibri" w:hAnsi="Calibri"/>
                <w:sz w:val="18"/>
                <w:szCs w:val="18"/>
                <w:color w:val="auto"/>
              </w:rPr>
              <w:t>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2"/>
              <w:spacing w:after="0" w:line="215" w:lineRule="exact"/>
              <w:rPr>
                <w:sz w:val="20"/>
                <w:szCs w:val="20"/>
                <w:color w:val="auto"/>
              </w:rPr>
            </w:pPr>
            <w:r>
              <w:rPr>
                <w:rFonts w:ascii="Calibri" w:cs="Calibri" w:eastAsia="Calibri" w:hAnsi="Calibri"/>
                <w:sz w:val="18"/>
                <w:szCs w:val="18"/>
                <w:color w:val="auto"/>
              </w:rPr>
              <w:t>8.0</w:t>
            </w:r>
          </w:p>
        </w:tc>
        <w:tc>
          <w:tcPr>
            <w:tcW w:w="0" w:type="dxa"/>
            <w:vAlign w:val="bottom"/>
          </w:tcPr>
          <w:p>
            <w:pPr>
              <w:spacing w:after="0"/>
              <w:rPr>
                <w:sz w:val="1"/>
                <w:szCs w:val="1"/>
                <w:color w:val="auto"/>
              </w:rPr>
            </w:pPr>
          </w:p>
        </w:tc>
      </w:tr>
      <w:tr>
        <w:trPr>
          <w:trHeight w:val="237"/>
        </w:trPr>
        <w:tc>
          <w:tcPr>
            <w:tcW w:w="674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Impact of non-recurring intra-group transfer of certain IP rights</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92"/>
              <w:spacing w:after="0"/>
              <w:rPr>
                <w:sz w:val="20"/>
                <w:szCs w:val="20"/>
                <w:color w:val="auto"/>
              </w:rPr>
            </w:pPr>
            <w:r>
              <w:rPr>
                <w:rFonts w:ascii="Calibri" w:cs="Calibri" w:eastAsia="Calibri" w:hAnsi="Calibri"/>
                <w:sz w:val="18"/>
                <w:szCs w:val="18"/>
                <w:color w:val="auto"/>
              </w:rPr>
              <w:t>39.6</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ind w:right="360"/>
              <w:spacing w:after="0"/>
              <w:rPr>
                <w:sz w:val="20"/>
                <w:szCs w:val="20"/>
                <w:color w:val="auto"/>
              </w:rPr>
            </w:pPr>
            <w:r>
              <w:rPr>
                <w:rFonts w:ascii="Calibri" w:cs="Calibri" w:eastAsia="Calibri" w:hAnsi="Calibri"/>
                <w:sz w:val="18"/>
                <w:szCs w:val="18"/>
                <w:color w:val="auto"/>
              </w:rPr>
              <w: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2"/>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674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Uncertain tax benefts</w:t>
            </w:r>
          </w:p>
        </w:tc>
        <w:tc>
          <w:tcPr>
            <w:tcW w:w="220" w:type="dxa"/>
            <w:vAlign w:val="bottom"/>
          </w:tcPr>
          <w:p>
            <w:pPr>
              <w:spacing w:after="0"/>
              <w:rPr>
                <w:sz w:val="19"/>
                <w:szCs w:val="19"/>
                <w:color w:val="auto"/>
              </w:rPr>
            </w:pPr>
          </w:p>
        </w:tc>
        <w:tc>
          <w:tcPr>
            <w:tcW w:w="1040" w:type="dxa"/>
            <w:vAlign w:val="bottom"/>
          </w:tcPr>
          <w:p>
            <w:pPr>
              <w:jc w:val="right"/>
              <w:ind w:right="92"/>
              <w:spacing w:after="0" w:line="215" w:lineRule="exact"/>
              <w:rPr>
                <w:sz w:val="20"/>
                <w:szCs w:val="20"/>
                <w:color w:val="auto"/>
              </w:rPr>
            </w:pPr>
            <w:r>
              <w:rPr>
                <w:rFonts w:ascii="Calibri" w:cs="Calibri" w:eastAsia="Calibri" w:hAnsi="Calibri"/>
                <w:sz w:val="18"/>
                <w:szCs w:val="18"/>
                <w:color w:val="auto"/>
              </w:rPr>
              <w:t>1.8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54"/>
              <w:spacing w:after="0" w:line="215" w:lineRule="exact"/>
              <w:rPr>
                <w:sz w:val="20"/>
                <w:szCs w:val="20"/>
                <w:color w:val="auto"/>
              </w:rPr>
            </w:pPr>
            <w:r>
              <w:rPr>
                <w:rFonts w:ascii="Calibri" w:cs="Calibri" w:eastAsia="Calibri" w:hAnsi="Calibri"/>
                <w:sz w:val="18"/>
                <w:szCs w:val="18"/>
                <w:color w:val="auto"/>
              </w:rPr>
              <w:t>(1.9)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2"/>
              <w:spacing w:after="0" w:line="215" w:lineRule="exact"/>
              <w:rPr>
                <w:sz w:val="20"/>
                <w:szCs w:val="20"/>
                <w:color w:val="auto"/>
              </w:rPr>
            </w:pPr>
            <w:r>
              <w:rPr>
                <w:rFonts w:ascii="Calibri" w:cs="Calibri" w:eastAsia="Calibri" w:hAnsi="Calibri"/>
                <w:sz w:val="18"/>
                <w:szCs w:val="18"/>
                <w:color w:val="auto"/>
              </w:rPr>
              <w:t>1.6</w:t>
            </w:r>
          </w:p>
        </w:tc>
        <w:tc>
          <w:tcPr>
            <w:tcW w:w="0" w:type="dxa"/>
            <w:vAlign w:val="bottom"/>
          </w:tcPr>
          <w:p>
            <w:pPr>
              <w:spacing w:after="0"/>
              <w:rPr>
                <w:sz w:val="1"/>
                <w:szCs w:val="1"/>
                <w:color w:val="auto"/>
              </w:rPr>
            </w:pPr>
          </w:p>
        </w:tc>
      </w:tr>
      <w:tr>
        <w:trPr>
          <w:trHeight w:val="237"/>
        </w:trPr>
        <w:tc>
          <w:tcPr>
            <w:tcW w:w="674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Excess tax benefts from stock-based compensaton</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2"/>
              <w:spacing w:after="0"/>
              <w:rPr>
                <w:sz w:val="20"/>
                <w:szCs w:val="20"/>
                <w:color w:val="auto"/>
              </w:rPr>
            </w:pPr>
            <w:r>
              <w:rPr>
                <w:rFonts w:ascii="Calibri" w:cs="Calibri" w:eastAsia="Calibri" w:hAnsi="Calibri"/>
                <w:sz w:val="18"/>
                <w:szCs w:val="18"/>
                <w:color w:val="auto"/>
              </w:rPr>
              <w:t>(13.1)</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54"/>
              <w:spacing w:after="0"/>
              <w:rPr>
                <w:sz w:val="20"/>
                <w:szCs w:val="20"/>
                <w:color w:val="auto"/>
              </w:rPr>
            </w:pPr>
            <w:r>
              <w:rPr>
                <w:rFonts w:ascii="Calibri" w:cs="Calibri" w:eastAsia="Calibri" w:hAnsi="Calibri"/>
                <w:sz w:val="18"/>
                <w:szCs w:val="18"/>
                <w:color w:val="auto"/>
              </w:rPr>
              <w:t>(3.4)</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2"/>
              <w:spacing w:after="0"/>
              <w:rPr>
                <w:sz w:val="20"/>
                <w:szCs w:val="20"/>
                <w:color w:val="auto"/>
              </w:rPr>
            </w:pPr>
            <w:r>
              <w:rPr>
                <w:rFonts w:ascii="Calibri" w:cs="Calibri" w:eastAsia="Calibri" w:hAnsi="Calibri"/>
                <w:sz w:val="18"/>
                <w:szCs w:val="18"/>
                <w:color w:val="auto"/>
              </w:rPr>
              <w:t>(3.0)</w:t>
            </w:r>
          </w:p>
        </w:tc>
        <w:tc>
          <w:tcPr>
            <w:tcW w:w="0" w:type="dxa"/>
            <w:vAlign w:val="bottom"/>
          </w:tcPr>
          <w:p>
            <w:pPr>
              <w:spacing w:after="0"/>
              <w:rPr>
                <w:sz w:val="1"/>
                <w:szCs w:val="1"/>
                <w:color w:val="auto"/>
              </w:rPr>
            </w:pPr>
          </w:p>
        </w:tc>
      </w:tr>
      <w:tr>
        <w:trPr>
          <w:trHeight w:val="222"/>
        </w:trPr>
        <w:tc>
          <w:tcPr>
            <w:tcW w:w="674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Research and development credit</w:t>
            </w:r>
          </w:p>
        </w:tc>
        <w:tc>
          <w:tcPr>
            <w:tcW w:w="220" w:type="dxa"/>
            <w:vAlign w:val="bottom"/>
          </w:tcPr>
          <w:p>
            <w:pPr>
              <w:spacing w:after="0"/>
              <w:rPr>
                <w:sz w:val="19"/>
                <w:szCs w:val="19"/>
                <w:color w:val="auto"/>
              </w:rPr>
            </w:pPr>
          </w:p>
        </w:tc>
        <w:tc>
          <w:tcPr>
            <w:tcW w:w="1040" w:type="dxa"/>
            <w:vAlign w:val="bottom"/>
          </w:tcPr>
          <w:p>
            <w:pPr>
              <w:jc w:val="right"/>
              <w:ind w:right="52"/>
              <w:spacing w:after="0" w:line="215" w:lineRule="exact"/>
              <w:rPr>
                <w:sz w:val="20"/>
                <w:szCs w:val="20"/>
                <w:color w:val="auto"/>
              </w:rPr>
            </w:pPr>
            <w:r>
              <w:rPr>
                <w:rFonts w:ascii="Calibri" w:cs="Calibri" w:eastAsia="Calibri" w:hAnsi="Calibri"/>
                <w:sz w:val="18"/>
                <w:szCs w:val="18"/>
                <w:color w:val="auto"/>
              </w:rPr>
              <w:t>(6.0)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54"/>
              <w:spacing w:after="0" w:line="215" w:lineRule="exact"/>
              <w:rPr>
                <w:sz w:val="20"/>
                <w:szCs w:val="20"/>
                <w:color w:val="auto"/>
              </w:rPr>
            </w:pPr>
            <w:r>
              <w:rPr>
                <w:rFonts w:ascii="Calibri" w:cs="Calibri" w:eastAsia="Calibri" w:hAnsi="Calibri"/>
                <w:sz w:val="18"/>
                <w:szCs w:val="18"/>
                <w:color w:val="auto"/>
              </w:rPr>
              <w:t>(1.8)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2"/>
              <w:spacing w:after="0" w:line="215" w:lineRule="exact"/>
              <w:rPr>
                <w:sz w:val="20"/>
                <w:szCs w:val="20"/>
                <w:color w:val="auto"/>
              </w:rPr>
            </w:pPr>
            <w:r>
              <w:rPr>
                <w:rFonts w:ascii="Calibri" w:cs="Calibri" w:eastAsia="Calibri" w:hAnsi="Calibri"/>
                <w:sz w:val="18"/>
                <w:szCs w:val="18"/>
                <w:color w:val="auto"/>
              </w:rPr>
              <w:t>(1.4)</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net</w:t>
            </w:r>
          </w:p>
        </w:tc>
        <w:tc>
          <w:tcPr>
            <w:tcW w:w="2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Calibri" w:cs="Calibri" w:eastAsia="Calibri" w:hAnsi="Calibri"/>
                <w:sz w:val="18"/>
                <w:szCs w:val="18"/>
                <w:color w:val="auto"/>
              </w:rPr>
              <w:t>0.7</w:t>
            </w:r>
          </w:p>
        </w:tc>
        <w:tc>
          <w:tcPr>
            <w:tcW w:w="10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4"/>
              <w:spacing w:after="0"/>
              <w:rPr>
                <w:sz w:val="20"/>
                <w:szCs w:val="20"/>
                <w:color w:val="auto"/>
              </w:rPr>
            </w:pPr>
            <w:r>
              <w:rPr>
                <w:rFonts w:ascii="Calibri" w:cs="Calibri" w:eastAsia="Calibri" w:hAnsi="Calibri"/>
                <w:sz w:val="18"/>
                <w:szCs w:val="18"/>
                <w:color w:val="auto"/>
              </w:rPr>
              <w:t>0.2</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2"/>
              <w:spacing w:after="0"/>
              <w:rPr>
                <w:sz w:val="20"/>
                <w:szCs w:val="20"/>
                <w:color w:val="auto"/>
              </w:rPr>
            </w:pPr>
            <w:r>
              <w:rPr>
                <w:rFonts w:ascii="Calibri" w:cs="Calibri" w:eastAsia="Calibri" w:hAnsi="Calibri"/>
                <w:sz w:val="18"/>
                <w:szCs w:val="18"/>
                <w:color w:val="auto"/>
              </w:rPr>
              <w:t>0.2</w:t>
            </w:r>
          </w:p>
        </w:tc>
        <w:tc>
          <w:tcPr>
            <w:tcW w:w="0" w:type="dxa"/>
            <w:vAlign w:val="bottom"/>
          </w:tcPr>
          <w:p>
            <w:pPr>
              <w:spacing w:after="0"/>
              <w:rPr>
                <w:sz w:val="1"/>
                <w:szCs w:val="1"/>
                <w:color w:val="auto"/>
              </w:rPr>
            </w:pPr>
          </w:p>
        </w:tc>
      </w:tr>
      <w:tr>
        <w:trPr>
          <w:trHeight w:val="230"/>
        </w:trPr>
        <w:tc>
          <w:tcPr>
            <w:tcW w:w="6740" w:type="dxa"/>
            <w:vAlign w:val="bottom"/>
            <w:gridSpan w:val="2"/>
          </w:tcPr>
          <w:p>
            <w:pPr>
              <w:ind w:left="220"/>
              <w:spacing w:after="0"/>
              <w:rPr>
                <w:sz w:val="20"/>
                <w:szCs w:val="20"/>
                <w:color w:val="auto"/>
              </w:rPr>
            </w:pPr>
            <w:r>
              <w:rPr>
                <w:rFonts w:ascii="Calibri" w:cs="Calibri" w:eastAsia="Calibri" w:hAnsi="Calibri"/>
                <w:sz w:val="18"/>
                <w:szCs w:val="18"/>
                <w:color w:val="auto"/>
              </w:rPr>
              <w:t>Efectve tax rate on income before income taxes</w:t>
            </w:r>
          </w:p>
        </w:tc>
        <w:tc>
          <w:tcPr>
            <w:tcW w:w="22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37.8 %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6.7 %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7.5 %</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160" w:firstLine="405"/>
        <w:spacing w:after="0" w:line="235" w:lineRule="auto"/>
        <w:rPr>
          <w:sz w:val="20"/>
          <w:szCs w:val="20"/>
          <w:color w:val="auto"/>
        </w:rPr>
      </w:pPr>
      <w:r>
        <w:rPr>
          <w:rFonts w:ascii="Calibri" w:cs="Calibri" w:eastAsia="Calibri" w:hAnsi="Calibri"/>
          <w:sz w:val="18"/>
          <w:szCs w:val="18"/>
          <w:color w:val="auto"/>
        </w:rPr>
        <w:t>The increase in provision for income taxes in fscal year 2024 compared to fscal year 2023 was primarily due to the impact of a non-recurring intra-group transfer of certain IP rights to the United States as a result of supply chain realignment and the resultng shif in jurisdictonal mix of income, partally ofset by an increase in excess tax benefts from stock-based awards. The increase in provision for income taxes in fscal year 2023 compared to fscal year 2022 was primarily due to higher income before income taxes, partally ofset by an increase in the recogniton of uncertain tax benefts as a result of lapses of statutes of limitatons.</w:t>
      </w:r>
    </w:p>
    <w:p>
      <w:pPr>
        <w:spacing w:after="0" w:line="112" w:lineRule="exact"/>
        <w:rPr>
          <w:sz w:val="20"/>
          <w:szCs w:val="20"/>
          <w:color w:val="auto"/>
        </w:rPr>
      </w:pPr>
    </w:p>
    <w:p>
      <w:pPr>
        <w:ind w:right="100" w:firstLine="405"/>
        <w:spacing w:after="0" w:line="235" w:lineRule="auto"/>
        <w:rPr>
          <w:sz w:val="20"/>
          <w:szCs w:val="20"/>
          <w:color w:val="auto"/>
        </w:rPr>
      </w:pPr>
      <w:r>
        <w:rPr>
          <w:rFonts w:ascii="Calibri" w:cs="Calibri" w:eastAsia="Calibri" w:hAnsi="Calibri"/>
          <w:sz w:val="18"/>
          <w:szCs w:val="18"/>
          <w:color w:val="auto"/>
        </w:rPr>
        <w:t>We derive the efectve tax rate beneft atributed to foreign income taxed at diferent rates primarily from our operatons in Singapore and Malaysia. Our tax incentves from the Singapore Economic Development Board provide that any qualifying income earned in Singapore is subject to tax incentves or reduced rates of Singapore income tax, subject to our compliance with the conditons specifed in these incentves and legislatve developments. These Singapore tax incentves are scheduled to expire in November 2030. We have also obtained a tax holiday on our qualifying income in Malaysia, which is scheduled to expire in fscal year 2028. The tax holiday that we negotated in Malaysia is also subject to our compliance with various operatng and other conditons. Before taking into consideraton the efects of the U.S. Tax Cuts and Jobs Act and other indirect tax impacts, the efect of these tax incentves and tax holiday was to decrease the provision for income taxes by approximately $2,261 million, $2,104 million and $1,821 million for fscal years 2024, 2023 and 2022, respectvely.</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7" w:name="page88"/>
    <w:bookmarkEnd w:id="8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Signifcant components of our deferred tax assets and liabilites consisted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Calibri" w:cs="Calibri" w:eastAsia="Calibri" w:hAnsi="Calibri"/>
                <w:sz w:val="14"/>
                <w:szCs w:val="14"/>
                <w:b w:val="1"/>
                <w:bCs w:val="1"/>
                <w:color w:val="auto"/>
              </w:rPr>
              <w:t>November 3,</w:t>
            </w:r>
          </w:p>
        </w:tc>
        <w:tc>
          <w:tcPr>
            <w:tcW w:w="340" w:type="dxa"/>
            <w:vAlign w:val="bottom"/>
          </w:tcPr>
          <w:p>
            <w:pPr>
              <w:spacing w:after="0"/>
              <w:rPr>
                <w:sz w:val="14"/>
                <w:szCs w:val="14"/>
                <w:color w:val="auto"/>
              </w:rPr>
            </w:pPr>
          </w:p>
        </w:tc>
        <w:tc>
          <w:tcPr>
            <w:tcW w:w="1100" w:type="dxa"/>
            <w:vAlign w:val="bottom"/>
          </w:tcPr>
          <w:p>
            <w:pPr>
              <w:jc w:val="right"/>
              <w:ind w:right="272"/>
              <w:spacing w:after="0"/>
              <w:rPr>
                <w:sz w:val="20"/>
                <w:szCs w:val="20"/>
                <w:color w:val="auto"/>
              </w:rPr>
            </w:pPr>
            <w:r>
              <w:rPr>
                <w:rFonts w:ascii="Calibri" w:cs="Calibri" w:eastAsia="Calibri" w:hAnsi="Calibri"/>
                <w:sz w:val="14"/>
                <w:szCs w:val="14"/>
                <w:b w:val="1"/>
                <w:bCs w:val="1"/>
                <w:color w:val="auto"/>
              </w:rPr>
              <w:t>October 29,</w:t>
            </w:r>
          </w:p>
        </w:tc>
      </w:tr>
      <w:tr>
        <w:trPr>
          <w:trHeight w:val="170"/>
        </w:trPr>
        <w:tc>
          <w:tcPr>
            <w:tcW w:w="8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473"/>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2"/>
              <w:spacing w:after="0"/>
              <w:rPr>
                <w:sz w:val="20"/>
                <w:szCs w:val="20"/>
                <w:color w:val="auto"/>
              </w:rPr>
            </w:pPr>
            <w:r>
              <w:rPr>
                <w:rFonts w:ascii="Calibri" w:cs="Calibri" w:eastAsia="Calibri" w:hAnsi="Calibri"/>
                <w:sz w:val="14"/>
                <w:szCs w:val="14"/>
                <w:b w:val="1"/>
                <w:bCs w:val="1"/>
                <w:color w:val="auto"/>
              </w:rPr>
              <w:t>2023</w:t>
            </w:r>
          </w:p>
        </w:tc>
      </w:tr>
      <w:tr>
        <w:trPr>
          <w:trHeight w:val="33"/>
        </w:trPr>
        <w:tc>
          <w:tcPr>
            <w:tcW w:w="8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1100" w:type="dxa"/>
            <w:vAlign w:val="bottom"/>
          </w:tcPr>
          <w:p>
            <w:pPr>
              <w:spacing w:after="0"/>
              <w:rPr>
                <w:sz w:val="16"/>
                <w:szCs w:val="16"/>
                <w:color w:val="auto"/>
              </w:rPr>
            </w:pPr>
          </w:p>
        </w:tc>
      </w:tr>
      <w:tr>
        <w:trPr>
          <w:trHeight w:val="253"/>
        </w:trPr>
        <w:tc>
          <w:tcPr>
            <w:tcW w:w="8260" w:type="dxa"/>
            <w:vAlign w:val="bottom"/>
          </w:tcPr>
          <w:p>
            <w:pPr>
              <w:ind w:left="20"/>
              <w:spacing w:after="0"/>
              <w:rPr>
                <w:sz w:val="20"/>
                <w:szCs w:val="20"/>
                <w:color w:val="auto"/>
              </w:rPr>
            </w:pPr>
            <w:r>
              <w:rPr>
                <w:rFonts w:ascii="Calibri" w:cs="Calibri" w:eastAsia="Calibri" w:hAnsi="Calibri"/>
                <w:sz w:val="18"/>
                <w:szCs w:val="18"/>
                <w:b w:val="1"/>
                <w:bCs w:val="1"/>
                <w:color w:val="auto"/>
              </w:rPr>
              <w:t>Deferred income tax assets:</w:t>
            </w: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260" w:type="dxa"/>
            <w:vAlign w:val="bottom"/>
            <w:shd w:val="clear" w:color="auto" w:fill="CCEEFF"/>
          </w:tcPr>
          <w:p>
            <w:pPr>
              <w:ind w:left="140"/>
              <w:spacing w:after="0" w:line="215" w:lineRule="exact"/>
              <w:rPr>
                <w:sz w:val="20"/>
                <w:szCs w:val="20"/>
                <w:color w:val="auto"/>
              </w:rPr>
            </w:pPr>
            <w:r>
              <w:rPr>
                <w:rFonts w:ascii="Calibri" w:cs="Calibri" w:eastAsia="Calibri" w:hAnsi="Calibri"/>
                <w:sz w:val="18"/>
                <w:szCs w:val="18"/>
                <w:color w:val="auto"/>
              </w:rPr>
              <w:t>Net operatng loss, credit and other carryforwards</w:t>
            </w:r>
          </w:p>
        </w:tc>
        <w:tc>
          <w:tcPr>
            <w:tcW w:w="22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2,905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1,809</w:t>
            </w:r>
          </w:p>
        </w:tc>
      </w:tr>
      <w:tr>
        <w:trPr>
          <w:trHeight w:val="222"/>
        </w:trPr>
        <w:tc>
          <w:tcPr>
            <w:tcW w:w="8260" w:type="dxa"/>
            <w:vAlign w:val="bottom"/>
          </w:tcPr>
          <w:p>
            <w:pPr>
              <w:ind w:left="140"/>
              <w:spacing w:after="0" w:line="215" w:lineRule="exact"/>
              <w:rPr>
                <w:sz w:val="20"/>
                <w:szCs w:val="20"/>
                <w:color w:val="auto"/>
              </w:rPr>
            </w:pPr>
            <w:r>
              <w:rPr>
                <w:rFonts w:ascii="Calibri" w:cs="Calibri" w:eastAsia="Calibri" w:hAnsi="Calibri"/>
                <w:sz w:val="18"/>
                <w:szCs w:val="18"/>
                <w:color w:val="auto"/>
              </w:rPr>
              <w:t>Capitalized research and development</w:t>
            </w:r>
          </w:p>
        </w:tc>
        <w:tc>
          <w:tcPr>
            <w:tcW w:w="22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2,459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275</w:t>
            </w:r>
          </w:p>
        </w:tc>
      </w:tr>
      <w:tr>
        <w:trPr>
          <w:trHeight w:val="237"/>
        </w:trPr>
        <w:tc>
          <w:tcPr>
            <w:tcW w:w="826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Deferred revenue</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776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208</w:t>
            </w:r>
          </w:p>
        </w:tc>
      </w:tr>
      <w:tr>
        <w:trPr>
          <w:trHeight w:val="222"/>
        </w:trPr>
        <w:tc>
          <w:tcPr>
            <w:tcW w:w="8260" w:type="dxa"/>
            <w:vAlign w:val="bottom"/>
          </w:tcPr>
          <w:p>
            <w:pPr>
              <w:ind w:left="140"/>
              <w:spacing w:after="0" w:line="215" w:lineRule="exact"/>
              <w:rPr>
                <w:sz w:val="20"/>
                <w:szCs w:val="20"/>
                <w:color w:val="auto"/>
              </w:rPr>
            </w:pPr>
            <w:r>
              <w:rPr>
                <w:rFonts w:ascii="Calibri" w:cs="Calibri" w:eastAsia="Calibri" w:hAnsi="Calibri"/>
                <w:sz w:val="18"/>
                <w:szCs w:val="18"/>
                <w:color w:val="auto"/>
              </w:rPr>
              <w:t>Employee stock awards</w:t>
            </w:r>
          </w:p>
        </w:tc>
        <w:tc>
          <w:tcPr>
            <w:tcW w:w="22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291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190</w:t>
            </w:r>
          </w:p>
        </w:tc>
      </w:tr>
      <w:tr>
        <w:trPr>
          <w:trHeight w:val="237"/>
        </w:trPr>
        <w:tc>
          <w:tcPr>
            <w:tcW w:w="826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Depreciaton and amortzaton</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223</w:t>
            </w:r>
          </w:p>
        </w:tc>
      </w:tr>
      <w:tr>
        <w:trPr>
          <w:trHeight w:val="223"/>
        </w:trPr>
        <w:tc>
          <w:tcPr>
            <w:tcW w:w="8260" w:type="dxa"/>
            <w:vAlign w:val="bottom"/>
            <w:tcBorders>
              <w:bottom w:val="single" w:sz="8" w:color="CCEEFF"/>
            </w:tcBorders>
          </w:tcPr>
          <w:p>
            <w:pPr>
              <w:ind w:left="140"/>
              <w:spacing w:after="0" w:line="215" w:lineRule="exact"/>
              <w:rPr>
                <w:sz w:val="20"/>
                <w:szCs w:val="20"/>
                <w:color w:val="auto"/>
              </w:rPr>
            </w:pPr>
            <w:r>
              <w:rPr>
                <w:rFonts w:ascii="Calibri" w:cs="Calibri" w:eastAsia="Calibri" w:hAnsi="Calibri"/>
                <w:sz w:val="18"/>
                <w:szCs w:val="18"/>
                <w:color w:val="auto"/>
              </w:rPr>
              <w:t>Other deferred income tax assets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329</w:t>
            </w:r>
          </w:p>
        </w:tc>
      </w:tr>
      <w:tr>
        <w:trPr>
          <w:trHeight w:val="230"/>
        </w:trPr>
        <w:tc>
          <w:tcPr>
            <w:tcW w:w="8260" w:type="dxa"/>
            <w:vAlign w:val="bottom"/>
            <w:shd w:val="clear" w:color="auto" w:fill="CCEEFF"/>
          </w:tcPr>
          <w:p>
            <w:pPr>
              <w:ind w:left="220"/>
              <w:spacing w:after="0" w:line="206" w:lineRule="exact"/>
              <w:rPr>
                <w:sz w:val="20"/>
                <w:szCs w:val="20"/>
                <w:color w:val="auto"/>
              </w:rPr>
            </w:pPr>
            <w:r>
              <w:rPr>
                <w:rFonts w:ascii="Calibri" w:cs="Calibri" w:eastAsia="Calibri" w:hAnsi="Calibri"/>
                <w:sz w:val="18"/>
                <w:szCs w:val="18"/>
                <w:color w:val="auto"/>
              </w:rPr>
              <w:t>Gross deferred income tax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3,034</w:t>
            </w:r>
          </w:p>
        </w:tc>
      </w:tr>
      <w:tr>
        <w:trPr>
          <w:trHeight w:val="223"/>
        </w:trPr>
        <w:tc>
          <w:tcPr>
            <w:tcW w:w="8260" w:type="dxa"/>
            <w:vAlign w:val="bottom"/>
            <w:tcBorders>
              <w:bottom w:val="single" w:sz="8" w:color="CCEEFF"/>
            </w:tcBorders>
          </w:tcPr>
          <w:p>
            <w:pPr>
              <w:ind w:left="140"/>
              <w:spacing w:after="0" w:line="215" w:lineRule="exact"/>
              <w:rPr>
                <w:sz w:val="20"/>
                <w:szCs w:val="20"/>
                <w:color w:val="auto"/>
              </w:rPr>
            </w:pPr>
            <w:r>
              <w:rPr>
                <w:rFonts w:ascii="Calibri" w:cs="Calibri" w:eastAsia="Calibri" w:hAnsi="Calibri"/>
                <w:sz w:val="18"/>
                <w:szCs w:val="18"/>
                <w:color w:val="auto"/>
              </w:rPr>
              <w:t>Less: valuaton allowance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(1,789)</w:t>
            </w:r>
          </w:p>
        </w:tc>
      </w:tr>
      <w:tr>
        <w:trPr>
          <w:trHeight w:val="230"/>
        </w:trPr>
        <w:tc>
          <w:tcPr>
            <w:tcW w:w="8260" w:type="dxa"/>
            <w:vAlign w:val="bottom"/>
            <w:shd w:val="clear" w:color="auto" w:fill="CCEEFF"/>
          </w:tcPr>
          <w:p>
            <w:pPr>
              <w:ind w:left="220"/>
              <w:spacing w:after="0" w:line="206" w:lineRule="exact"/>
              <w:rPr>
                <w:sz w:val="20"/>
                <w:szCs w:val="20"/>
                <w:color w:val="auto"/>
              </w:rPr>
            </w:pPr>
            <w:r>
              <w:rPr>
                <w:rFonts w:ascii="Calibri" w:cs="Calibri" w:eastAsia="Calibri" w:hAnsi="Calibri"/>
                <w:sz w:val="18"/>
                <w:szCs w:val="18"/>
                <w:color w:val="auto"/>
              </w:rPr>
              <w:t>Deferred income tax assets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4,966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1,245</w:t>
            </w:r>
          </w:p>
        </w:tc>
      </w:tr>
      <w:tr>
        <w:trPr>
          <w:trHeight w:val="202"/>
        </w:trPr>
        <w:tc>
          <w:tcPr>
            <w:tcW w:w="8260" w:type="dxa"/>
            <w:vAlign w:val="bottom"/>
          </w:tcPr>
          <w:p>
            <w:pPr>
              <w:ind w:left="20"/>
              <w:spacing w:after="0" w:line="195" w:lineRule="exact"/>
              <w:rPr>
                <w:sz w:val="20"/>
                <w:szCs w:val="20"/>
                <w:color w:val="auto"/>
              </w:rPr>
            </w:pPr>
            <w:r>
              <w:rPr>
                <w:rFonts w:ascii="Calibri" w:cs="Calibri" w:eastAsia="Calibri" w:hAnsi="Calibri"/>
                <w:sz w:val="18"/>
                <w:szCs w:val="18"/>
                <w:b w:val="1"/>
                <w:bCs w:val="1"/>
                <w:color w:val="auto"/>
              </w:rPr>
              <w:t>Deferred income tax liabilites: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7"/>
        </w:trPr>
        <w:tc>
          <w:tcPr>
            <w:tcW w:w="826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Depreciaton and amortzaton</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8,772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97</w:t>
            </w:r>
          </w:p>
        </w:tc>
      </w:tr>
      <w:tr>
        <w:trPr>
          <w:trHeight w:val="222"/>
        </w:trPr>
        <w:tc>
          <w:tcPr>
            <w:tcW w:w="8260" w:type="dxa"/>
            <w:vAlign w:val="bottom"/>
          </w:tcPr>
          <w:p>
            <w:pPr>
              <w:ind w:left="140"/>
              <w:spacing w:after="0" w:line="215" w:lineRule="exact"/>
              <w:rPr>
                <w:sz w:val="20"/>
                <w:szCs w:val="20"/>
                <w:color w:val="auto"/>
              </w:rPr>
            </w:pPr>
            <w:r>
              <w:rPr>
                <w:rFonts w:ascii="Calibri" w:cs="Calibri" w:eastAsia="Calibri" w:hAnsi="Calibri"/>
                <w:sz w:val="18"/>
                <w:szCs w:val="18"/>
                <w:color w:val="auto"/>
              </w:rPr>
              <w:t>Unamortzed debt discount and issuance costs</w:t>
            </w:r>
          </w:p>
        </w:tc>
        <w:tc>
          <w:tcPr>
            <w:tcW w:w="22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302</w:t>
            </w:r>
          </w:p>
        </w:tc>
      </w:tr>
      <w:tr>
        <w:trPr>
          <w:trHeight w:val="237"/>
        </w:trPr>
        <w:tc>
          <w:tcPr>
            <w:tcW w:w="826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Foreign earnings not indefnitely reinvested</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86</w:t>
            </w:r>
          </w:p>
        </w:tc>
      </w:tr>
      <w:tr>
        <w:trPr>
          <w:trHeight w:val="223"/>
        </w:trPr>
        <w:tc>
          <w:tcPr>
            <w:tcW w:w="8260" w:type="dxa"/>
            <w:vAlign w:val="bottom"/>
            <w:tcBorders>
              <w:bottom w:val="single" w:sz="8" w:color="CCEEFF"/>
            </w:tcBorders>
          </w:tcPr>
          <w:p>
            <w:pPr>
              <w:ind w:left="140"/>
              <w:spacing w:after="0" w:line="215" w:lineRule="exact"/>
              <w:rPr>
                <w:sz w:val="20"/>
                <w:szCs w:val="20"/>
                <w:color w:val="auto"/>
              </w:rPr>
            </w:pPr>
            <w:r>
              <w:rPr>
                <w:rFonts w:ascii="Calibri" w:cs="Calibri" w:eastAsia="Calibri" w:hAnsi="Calibri"/>
                <w:sz w:val="18"/>
                <w:szCs w:val="18"/>
                <w:color w:val="auto"/>
              </w:rPr>
              <w:t>Other deferred income tax liabilites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62</w:t>
            </w:r>
          </w:p>
        </w:tc>
      </w:tr>
      <w:tr>
        <w:trPr>
          <w:trHeight w:val="223"/>
        </w:trPr>
        <w:tc>
          <w:tcPr>
            <w:tcW w:w="8260" w:type="dxa"/>
            <w:vAlign w:val="bottom"/>
            <w:shd w:val="clear" w:color="auto" w:fill="CCEEFF"/>
          </w:tcPr>
          <w:p>
            <w:pPr>
              <w:ind w:left="220"/>
              <w:spacing w:after="0" w:line="206" w:lineRule="exact"/>
              <w:rPr>
                <w:sz w:val="20"/>
                <w:szCs w:val="20"/>
                <w:color w:val="auto"/>
              </w:rPr>
            </w:pPr>
            <w:r>
              <w:rPr>
                <w:rFonts w:ascii="Calibri" w:cs="Calibri" w:eastAsia="Calibri" w:hAnsi="Calibri"/>
                <w:sz w:val="18"/>
                <w:szCs w:val="18"/>
                <w:color w:val="auto"/>
              </w:rPr>
              <w:t>Deferred income tax liabilites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9,507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547</w:t>
            </w:r>
          </w:p>
        </w:tc>
      </w:tr>
      <w:tr>
        <w:trPr>
          <w:trHeight w:val="257"/>
        </w:trPr>
        <w:tc>
          <w:tcPr>
            <w:tcW w:w="82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48"/>
        </w:trPr>
        <w:tc>
          <w:tcPr>
            <w:tcW w:w="8260" w:type="dxa"/>
            <w:vAlign w:val="bottom"/>
            <w:tcBorders>
              <w:bottom w:val="single" w:sz="8" w:color="CCEEFF"/>
            </w:tcBorders>
            <w:shd w:val="clear" w:color="auto" w:fill="CCEEFF"/>
          </w:tcPr>
          <w:p>
            <w:pPr>
              <w:ind w:left="220"/>
              <w:spacing w:after="0"/>
              <w:rPr>
                <w:sz w:val="20"/>
                <w:szCs w:val="20"/>
                <w:color w:val="auto"/>
              </w:rPr>
            </w:pPr>
            <w:r>
              <w:rPr>
                <w:rFonts w:ascii="Calibri" w:cs="Calibri" w:eastAsia="Calibri" w:hAnsi="Calibri"/>
                <w:sz w:val="18"/>
                <w:szCs w:val="18"/>
                <w:color w:val="auto"/>
              </w:rPr>
              <w:t>Net deferred income tax assets (liabilites)</w:t>
            </w:r>
          </w:p>
        </w:tc>
        <w:tc>
          <w:tcPr>
            <w:tcW w:w="220" w:type="dxa"/>
            <w:vAlign w:val="bottom"/>
            <w:tcBorders>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(4,541)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698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80" w:firstLine="405"/>
        <w:spacing w:after="0" w:line="235" w:lineRule="auto"/>
        <w:rPr>
          <w:sz w:val="20"/>
          <w:szCs w:val="20"/>
          <w:color w:val="auto"/>
        </w:rPr>
      </w:pPr>
      <w:r>
        <w:rPr>
          <w:rFonts w:ascii="Calibri" w:cs="Calibri" w:eastAsia="Calibri" w:hAnsi="Calibri"/>
          <w:sz w:val="18"/>
          <w:szCs w:val="18"/>
          <w:color w:val="auto"/>
        </w:rPr>
        <w:t>As a result of the acquisiton of VMware, we established $3,642 million of net deferred tax liabilites on the excess of book basis over the tax basis of acquired assets. Our net deferred tax liabilites also increased during the year due to the non-recurring intra-group transfer of certain IP rights to the United States. The valuaton allowance disclosed in the table above relates to substantally all U.S. state and foreign net operatng loss carryforwards and research and development tax credits that may not be realized.</w:t>
      </w:r>
    </w:p>
    <w:p>
      <w:pPr>
        <w:spacing w:after="0" w:line="111" w:lineRule="exact"/>
        <w:rPr>
          <w:sz w:val="20"/>
          <w:szCs w:val="20"/>
          <w:color w:val="auto"/>
        </w:rPr>
      </w:pPr>
    </w:p>
    <w:p>
      <w:pPr>
        <w:ind w:firstLine="405"/>
        <w:spacing w:after="0" w:line="258" w:lineRule="auto"/>
        <w:rPr>
          <w:sz w:val="20"/>
          <w:szCs w:val="20"/>
          <w:color w:val="auto"/>
        </w:rPr>
      </w:pPr>
      <w:r>
        <w:rPr>
          <w:rFonts w:ascii="Calibri" w:cs="Calibri" w:eastAsia="Calibri" w:hAnsi="Calibri"/>
          <w:sz w:val="17"/>
          <w:szCs w:val="17"/>
          <w:color w:val="auto"/>
        </w:rPr>
        <w:t>We contnue to indefnitely reinvest $1,785 million of certain accumulated foreign earnings. The unrecognized deferred income tax liability related to these earnings is estmated to be $187 million. All other current and future earnings of all our foreign subsidiaries are not considered permanently reinvested.</w:t>
      </w:r>
    </w:p>
    <w:p>
      <w:pPr>
        <w:spacing w:after="0" w:line="94" w:lineRule="exact"/>
        <w:rPr>
          <w:sz w:val="20"/>
          <w:szCs w:val="20"/>
          <w:color w:val="auto"/>
        </w:rPr>
      </w:pPr>
    </w:p>
    <w:p>
      <w:pPr>
        <w:ind w:right="60" w:firstLine="445"/>
        <w:spacing w:after="0" w:line="235" w:lineRule="auto"/>
        <w:rPr>
          <w:sz w:val="20"/>
          <w:szCs w:val="20"/>
          <w:color w:val="auto"/>
        </w:rPr>
      </w:pPr>
      <w:r>
        <w:rPr>
          <w:rFonts w:ascii="Calibri" w:cs="Calibri" w:eastAsia="Calibri" w:hAnsi="Calibri"/>
          <w:sz w:val="18"/>
          <w:szCs w:val="18"/>
          <w:color w:val="auto"/>
        </w:rPr>
        <w:t>As of November 3, 2024, we had tax efected U.S. state net operatng loss carryforwards of $126 million and foreign net operatng loss carryforwards of $92 million, all of which expire in various years beginning in fscal year 2025. We had $2,176 million of state research and development tax credits which begin to expire in fscal year 2025.</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8" w:name="page89"/>
    <w:bookmarkEnd w:id="8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Uncertain Tax Positons</w:t>
      </w:r>
    </w:p>
    <w:p>
      <w:pPr>
        <w:spacing w:after="0" w:line="104"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The following table reconciles the beginning and ending balance of gross unrecognized tax benefts: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Fiscal Year</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47"/>
        </w:trPr>
        <w:tc>
          <w:tcPr>
            <w:tcW w:w="674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63"/>
        </w:trPr>
        <w:tc>
          <w:tcPr>
            <w:tcW w:w="6740" w:type="dxa"/>
            <w:vAlign w:val="bottom"/>
          </w:tcPr>
          <w:p>
            <w:pPr>
              <w:spacing w:after="0"/>
              <w:rPr>
                <w:sz w:val="14"/>
                <w:szCs w:val="14"/>
                <w:color w:val="auto"/>
              </w:rPr>
            </w:pPr>
          </w:p>
        </w:tc>
        <w:tc>
          <w:tcPr>
            <w:tcW w:w="9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35"/>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2"/>
              <w:spacing w:after="0" w:line="164" w:lineRule="exact"/>
              <w:rPr>
                <w:sz w:val="20"/>
                <w:szCs w:val="20"/>
                <w:color w:val="auto"/>
              </w:rPr>
            </w:pPr>
            <w:r>
              <w:rPr>
                <w:rFonts w:ascii="Calibri" w:cs="Calibri" w:eastAsia="Calibri" w:hAnsi="Calibri"/>
                <w:sz w:val="14"/>
                <w:szCs w:val="14"/>
                <w:b w:val="1"/>
                <w:bCs w:val="1"/>
                <w:color w:val="auto"/>
              </w:rPr>
              <w:t>2022</w:t>
            </w:r>
          </w:p>
        </w:tc>
      </w:tr>
      <w:tr>
        <w:trPr>
          <w:trHeight w:val="33"/>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47"/>
        </w:trPr>
        <w:tc>
          <w:tcPr>
            <w:tcW w:w="6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9"/>
        </w:trPr>
        <w:tc>
          <w:tcPr>
            <w:tcW w:w="67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Beginning balance</w:t>
            </w:r>
          </w:p>
        </w:tc>
        <w:tc>
          <w:tcPr>
            <w:tcW w:w="900" w:type="dxa"/>
            <w:vAlign w:val="bottom"/>
            <w:shd w:val="clear" w:color="auto" w:fill="CCEEFF"/>
          </w:tcPr>
          <w:p>
            <w:pPr>
              <w:jc w:val="right"/>
              <w:ind w:right="716"/>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4,655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5,030</w:t>
            </w:r>
          </w:p>
        </w:tc>
      </w:tr>
      <w:tr>
        <w:trPr>
          <w:trHeight w:val="222"/>
        </w:trPr>
        <w:tc>
          <w:tcPr>
            <w:tcW w:w="6740" w:type="dxa"/>
            <w:vAlign w:val="bottom"/>
          </w:tcPr>
          <w:p>
            <w:pPr>
              <w:ind w:left="140"/>
              <w:spacing w:after="0" w:line="215" w:lineRule="exact"/>
              <w:rPr>
                <w:sz w:val="20"/>
                <w:szCs w:val="20"/>
                <w:color w:val="auto"/>
              </w:rPr>
            </w:pPr>
            <w:r>
              <w:rPr>
                <w:rFonts w:ascii="Calibri" w:cs="Calibri" w:eastAsia="Calibri" w:hAnsi="Calibri"/>
                <w:sz w:val="18"/>
                <w:szCs w:val="18"/>
                <w:color w:val="auto"/>
              </w:rPr>
              <w:t>Lapses of statutes of limitatons</w:t>
            </w:r>
          </w:p>
        </w:tc>
        <w:tc>
          <w:tcPr>
            <w:tcW w:w="900" w:type="dxa"/>
            <w:vAlign w:val="bottom"/>
          </w:tcPr>
          <w:p>
            <w:pPr>
              <w:spacing w:after="0"/>
              <w:rPr>
                <w:sz w:val="19"/>
                <w:szCs w:val="19"/>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(634)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(50)</w:t>
            </w:r>
          </w:p>
        </w:tc>
      </w:tr>
      <w:tr>
        <w:trPr>
          <w:trHeight w:val="174"/>
        </w:trPr>
        <w:tc>
          <w:tcPr>
            <w:tcW w:w="6740" w:type="dxa"/>
            <w:vAlign w:val="bottom"/>
            <w:shd w:val="clear" w:color="auto" w:fill="CCEEFF"/>
          </w:tcPr>
          <w:p>
            <w:pPr>
              <w:ind w:left="140"/>
              <w:spacing w:after="0" w:line="174" w:lineRule="exact"/>
              <w:rPr>
                <w:sz w:val="20"/>
                <w:szCs w:val="20"/>
                <w:color w:val="auto"/>
              </w:rPr>
            </w:pPr>
            <w:r>
              <w:rPr>
                <w:rFonts w:ascii="Calibri" w:cs="Calibri" w:eastAsia="Calibri" w:hAnsi="Calibri"/>
                <w:sz w:val="18"/>
                <w:szCs w:val="18"/>
                <w:color w:val="auto"/>
              </w:rPr>
              <w:t>Increases in balances related to tax positons taken during prior periods (including those</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2"/>
        </w:trPr>
        <w:tc>
          <w:tcPr>
            <w:tcW w:w="6740" w:type="dxa"/>
            <w:vAlign w:val="bottom"/>
            <w:tcBorders>
              <w:bottom w:val="single" w:sz="8" w:color="CCEEFF"/>
            </w:tcBorders>
            <w:shd w:val="clear" w:color="auto" w:fill="CCEEFF"/>
          </w:tcPr>
          <w:p>
            <w:pPr>
              <w:ind w:left="300"/>
              <w:spacing w:after="0" w:line="215" w:lineRule="exact"/>
              <w:rPr>
                <w:sz w:val="20"/>
                <w:szCs w:val="20"/>
                <w:color w:val="auto"/>
              </w:rPr>
            </w:pPr>
            <w:r>
              <w:rPr>
                <w:rFonts w:ascii="Calibri" w:cs="Calibri" w:eastAsia="Calibri" w:hAnsi="Calibri"/>
                <w:sz w:val="18"/>
                <w:szCs w:val="18"/>
                <w:color w:val="auto"/>
              </w:rPr>
              <w:t>related to acquisitons made during the year)</w:t>
            </w:r>
          </w:p>
        </w:tc>
        <w:tc>
          <w:tcPr>
            <w:tcW w:w="9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844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2"/>
        </w:trPr>
        <w:tc>
          <w:tcPr>
            <w:tcW w:w="6740" w:type="dxa"/>
            <w:vAlign w:val="bottom"/>
          </w:tcPr>
          <w:p>
            <w:pPr>
              <w:ind w:left="140"/>
              <w:spacing w:after="0" w:line="215" w:lineRule="exact"/>
              <w:rPr>
                <w:sz w:val="20"/>
                <w:szCs w:val="20"/>
                <w:color w:val="auto"/>
              </w:rPr>
            </w:pPr>
            <w:r>
              <w:rPr>
                <w:rFonts w:ascii="Calibri" w:cs="Calibri" w:eastAsia="Calibri" w:hAnsi="Calibri"/>
                <w:sz w:val="18"/>
                <w:szCs w:val="18"/>
                <w:color w:val="auto"/>
              </w:rPr>
              <w:t>Decreases in balances related to tax positons taken during prior periods</w:t>
            </w:r>
          </w:p>
        </w:tc>
        <w:tc>
          <w:tcPr>
            <w:tcW w:w="900" w:type="dxa"/>
            <w:vAlign w:val="bottom"/>
          </w:tcPr>
          <w:p>
            <w:pPr>
              <w:spacing w:after="0"/>
              <w:rPr>
                <w:sz w:val="19"/>
                <w:szCs w:val="19"/>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(113)</w:t>
            </w:r>
          </w:p>
        </w:tc>
      </w:tr>
      <w:tr>
        <w:trPr>
          <w:trHeight w:val="237"/>
        </w:trPr>
        <w:tc>
          <w:tcPr>
            <w:tcW w:w="674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Increases in balances related to tax positons taken during current period</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447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288</w:t>
            </w:r>
          </w:p>
        </w:tc>
      </w:tr>
      <w:tr>
        <w:trPr>
          <w:trHeight w:val="223"/>
        </w:trPr>
        <w:tc>
          <w:tcPr>
            <w:tcW w:w="6740" w:type="dxa"/>
            <w:vAlign w:val="bottom"/>
            <w:tcBorders>
              <w:bottom w:val="single" w:sz="8" w:color="CCEEFF"/>
            </w:tcBorders>
          </w:tcPr>
          <w:p>
            <w:pPr>
              <w:ind w:left="140"/>
              <w:spacing w:after="0" w:line="215" w:lineRule="exact"/>
              <w:rPr>
                <w:sz w:val="20"/>
                <w:szCs w:val="20"/>
                <w:color w:val="auto"/>
              </w:rPr>
            </w:pPr>
            <w:r>
              <w:rPr>
                <w:rFonts w:ascii="Calibri" w:cs="Calibri" w:eastAsia="Calibri" w:hAnsi="Calibri"/>
                <w:sz w:val="18"/>
                <w:szCs w:val="18"/>
                <w:color w:val="auto"/>
              </w:rPr>
              <w:t>Decreases in balances related to setlements with taxing authorites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(38)</w:t>
            </w:r>
          </w:p>
        </w:tc>
      </w:tr>
      <w:tr>
        <w:trPr>
          <w:trHeight w:val="254"/>
        </w:trPr>
        <w:tc>
          <w:tcPr>
            <w:tcW w:w="67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Ending balance</w:t>
            </w:r>
          </w:p>
        </w:tc>
        <w:tc>
          <w:tcPr>
            <w:tcW w:w="900" w:type="dxa"/>
            <w:vAlign w:val="bottom"/>
            <w:tcBorders>
              <w:bottom w:val="single" w:sz="8" w:color="auto"/>
            </w:tcBorders>
            <w:shd w:val="clear" w:color="auto" w:fill="CCEEFF"/>
          </w:tcPr>
          <w:p>
            <w:pPr>
              <w:jc w:val="right"/>
              <w:ind w:right="716"/>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5,843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4,655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5,117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260" w:firstLine="405"/>
        <w:spacing w:after="0" w:line="235" w:lineRule="auto"/>
        <w:rPr>
          <w:sz w:val="20"/>
          <w:szCs w:val="20"/>
          <w:color w:val="auto"/>
        </w:rPr>
      </w:pPr>
      <w:r>
        <w:rPr>
          <w:rFonts w:ascii="Calibri" w:cs="Calibri" w:eastAsia="Calibri" w:hAnsi="Calibri"/>
          <w:sz w:val="18"/>
          <w:szCs w:val="18"/>
          <w:color w:val="auto"/>
        </w:rPr>
        <w:t>We recognize interest and penaltes related to unrecognized tax benefts within the provision for income taxes. Accrued interest and penaltes were included within other long-term liabilites. During fscal years 2024, 2023 and 2022, we recognized interest and penaltes of $144 million, $22 million and $25 million respectvely, within the provision for income taxes. As of November 3, 2024 and October 29, 2023, the total accrued interest and penaltes was approximately $701 million and $389 million, respectvely. The increase in total accrued interest and penaltes was primarily the result of the VMware acquisiton in additon to the current year accrual.</w:t>
      </w:r>
    </w:p>
    <w:p>
      <w:pPr>
        <w:spacing w:after="0" w:line="112" w:lineRule="exact"/>
        <w:rPr>
          <w:sz w:val="20"/>
          <w:szCs w:val="20"/>
          <w:color w:val="auto"/>
        </w:rPr>
      </w:pPr>
    </w:p>
    <w:p>
      <w:pPr>
        <w:ind w:right="60" w:firstLine="405"/>
        <w:spacing w:after="0" w:line="235" w:lineRule="auto"/>
        <w:rPr>
          <w:sz w:val="20"/>
          <w:szCs w:val="20"/>
          <w:color w:val="auto"/>
        </w:rPr>
      </w:pPr>
      <w:r>
        <w:rPr>
          <w:rFonts w:ascii="Calibri" w:cs="Calibri" w:eastAsia="Calibri" w:hAnsi="Calibri"/>
          <w:sz w:val="18"/>
          <w:szCs w:val="18"/>
          <w:color w:val="auto"/>
        </w:rPr>
        <w:t>As of November 3, 2024 and October 29, 2023, approximately $6,544 million and $5,044 million, respectvely, of the unrecognized tax benefts and accrued interest and penaltes would, if recognized, beneft our efectve income tax rate. We are subject to U.S. income tax examinaton for fscal years 2018 and later. Certain of our acquired companies are subject to tax examinatons in major jurisdictons outside of the U.S. for fscal years 2005 and later. It is possible that our existng unrecognized tax benefts may change up to $3,580 million as a result of lapses of the statute of limitatons for certain audit periods and/or audit examinatons expected to be completed within the next 12 months.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13. Segment Informaton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Reportable Segments</w:t>
      </w:r>
    </w:p>
    <w:p>
      <w:pPr>
        <w:spacing w:after="0" w:line="109" w:lineRule="exact"/>
        <w:rPr>
          <w:sz w:val="20"/>
          <w:szCs w:val="20"/>
          <w:color w:val="auto"/>
        </w:rPr>
      </w:pPr>
    </w:p>
    <w:p>
      <w:pPr>
        <w:ind w:right="100" w:firstLine="405"/>
        <w:spacing w:after="0" w:line="254" w:lineRule="auto"/>
        <w:rPr>
          <w:sz w:val="20"/>
          <w:szCs w:val="20"/>
          <w:color w:val="auto"/>
        </w:rPr>
      </w:pPr>
      <w:r>
        <w:rPr>
          <w:rFonts w:ascii="Calibri" w:cs="Calibri" w:eastAsia="Calibri" w:hAnsi="Calibri"/>
          <w:sz w:val="17"/>
          <w:szCs w:val="17"/>
          <w:color w:val="auto"/>
        </w:rPr>
        <w:t>We have two reportable segments: semiconductor solutons and infrastructure sofware. Each segment has separate fnancial informaton that is utlized on a regular basis by the CODM in determining how to allocate resources and evaluate performance. The reportable segments are determined based on several factors including, but not limited to, customer base, homogeneity of products, technology, delivery channels and similar economic characteristcs.</w:t>
      </w:r>
    </w:p>
    <w:p>
      <w:pPr>
        <w:spacing w:after="0" w:line="97" w:lineRule="exact"/>
        <w:rPr>
          <w:sz w:val="20"/>
          <w:szCs w:val="20"/>
          <w:color w:val="auto"/>
        </w:rPr>
      </w:pPr>
    </w:p>
    <w:p>
      <w:pPr>
        <w:ind w:right="80" w:firstLine="405"/>
        <w:spacing w:after="0" w:line="235" w:lineRule="auto"/>
        <w:rPr>
          <w:sz w:val="20"/>
          <w:szCs w:val="20"/>
          <w:color w:val="auto"/>
        </w:rPr>
      </w:pPr>
      <w:r>
        <w:rPr>
          <w:rFonts w:ascii="Calibri" w:cs="Calibri" w:eastAsia="Calibri" w:hAnsi="Calibri"/>
          <w:sz w:val="18"/>
          <w:szCs w:val="18"/>
          <w:i w:val="1"/>
          <w:iCs w:val="1"/>
          <w:color w:val="auto"/>
        </w:rPr>
        <w:t>Semiconductor solutons</w:t>
      </w:r>
      <w:r>
        <w:rPr>
          <w:rFonts w:ascii="Calibri" w:cs="Calibri" w:eastAsia="Calibri" w:hAnsi="Calibri"/>
          <w:sz w:val="18"/>
          <w:szCs w:val="18"/>
          <w:color w:val="auto"/>
        </w:rPr>
        <w:t>. We provide semiconductor solutons for managing the movement of data in data center, service provider, and enterprise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networking applicatons, including AI networking and connectvity. We provide a broad variety of radio frequency semiconductor devices, wireless connectvity solutons, custom touch controllers, and inductve charging solutons for mobile applicatons. We also provide semiconductor solutons for enabling the set-top box and broadband access markets and for enabling secure movement of digital data to and from host machines, such as servers, personal computers and storage systems, to the underlying storage devices, such as hard disk drives and solid state drives. We also provide a broad variety of products for the general industrial and automotve markets. Our semiconductor solutons segment also includes our IP licensing.</w:t>
      </w:r>
    </w:p>
    <w:p>
      <w:pPr>
        <w:spacing w:after="0" w:line="113" w:lineRule="exact"/>
        <w:rPr>
          <w:sz w:val="20"/>
          <w:szCs w:val="20"/>
          <w:color w:val="auto"/>
        </w:rPr>
      </w:pPr>
    </w:p>
    <w:p>
      <w:pPr>
        <w:ind w:right="60" w:firstLine="405"/>
        <w:spacing w:after="0" w:line="235" w:lineRule="auto"/>
        <w:rPr>
          <w:sz w:val="20"/>
          <w:szCs w:val="20"/>
          <w:color w:val="auto"/>
        </w:rPr>
      </w:pPr>
      <w:r>
        <w:rPr>
          <w:rFonts w:ascii="Calibri" w:cs="Calibri" w:eastAsia="Calibri" w:hAnsi="Calibri"/>
          <w:sz w:val="18"/>
          <w:szCs w:val="18"/>
          <w:i w:val="1"/>
          <w:iCs w:val="1"/>
          <w:color w:val="auto"/>
        </w:rPr>
        <w:t xml:space="preserve">Infrastructure sofware. </w:t>
      </w:r>
      <w:r>
        <w:rPr>
          <w:rFonts w:ascii="Calibri" w:cs="Calibri" w:eastAsia="Calibri" w:hAnsi="Calibri"/>
          <w:sz w:val="18"/>
          <w:szCs w:val="18"/>
          <w:color w:val="auto"/>
        </w:rPr>
        <w:t>We provide a portolio of sofware solutons that help enterprises simplify their IT environments so they can increase business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velocity and fexibility, and enable customers to plan, develop, deliver, automate, manage and secure applicatons across mainframe, distributed, edge, mobile, and private and hybrid cloud platorms. Our portolio of infrastructure and security sofware is designed to modernize, optmize, and secure the most complex private and hybrid cloud environments, enabling scalability, agility, automaton, insights, resiliency and security making it easy for customers to run their mission-critcal workloads. We also ofer mission-critcal FC SAN products and related sofware.</w:t>
      </w:r>
    </w:p>
    <w:p>
      <w:pPr>
        <w:spacing w:after="0" w:line="112" w:lineRule="exact"/>
        <w:rPr>
          <w:sz w:val="20"/>
          <w:szCs w:val="20"/>
          <w:color w:val="auto"/>
        </w:rPr>
      </w:pPr>
    </w:p>
    <w:p>
      <w:pPr>
        <w:ind w:right="200" w:firstLine="405"/>
        <w:spacing w:after="0" w:line="235" w:lineRule="auto"/>
        <w:rPr>
          <w:sz w:val="20"/>
          <w:szCs w:val="20"/>
          <w:color w:val="auto"/>
        </w:rPr>
      </w:pPr>
      <w:r>
        <w:rPr>
          <w:rFonts w:ascii="Calibri" w:cs="Calibri" w:eastAsia="Calibri" w:hAnsi="Calibri"/>
          <w:sz w:val="18"/>
          <w:szCs w:val="18"/>
          <w:color w:val="auto"/>
        </w:rPr>
        <w:t>Our CODM assesses the performance of each segment and allocates resources to each segment based on net revenue and operatng results and does not evaluate each segment using discrete asset informaton. Operatng results by segment include items that are directly atributable to each segment and also include shared expenses such as marketng, general and administratve actvites, facilites and IT expenses. Shared expenses are primarily allocated based on revenue and headcount.</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9" w:name="page90"/>
    <w:bookmarkEnd w:id="8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Unallocated Expenses</w:t>
      </w:r>
    </w:p>
    <w:p>
      <w:pPr>
        <w:spacing w:after="0" w:line="109" w:lineRule="exact"/>
        <w:rPr>
          <w:sz w:val="20"/>
          <w:szCs w:val="20"/>
          <w:color w:val="auto"/>
        </w:rPr>
      </w:pPr>
    </w:p>
    <w:p>
      <w:pPr>
        <w:jc w:val="both"/>
        <w:ind w:firstLine="405"/>
        <w:spacing w:after="0" w:line="235" w:lineRule="auto"/>
        <w:rPr>
          <w:sz w:val="20"/>
          <w:szCs w:val="20"/>
          <w:color w:val="auto"/>
        </w:rPr>
      </w:pPr>
      <w:r>
        <w:rPr>
          <w:rFonts w:ascii="Calibri" w:cs="Calibri" w:eastAsia="Calibri" w:hAnsi="Calibri"/>
          <w:sz w:val="18"/>
          <w:szCs w:val="18"/>
          <w:color w:val="auto"/>
        </w:rPr>
        <w:t>Unallocated expenses include amortzaton of acquisiton-related intangible assets, stock-based compensaton expense, restructuring and other charges, acquisiton-related costs, and other costs, which are not used in evaluatng the results of, or in allocatng resources to, our segments. Acquisiton-related costs include transacton costs and any costs directly related to the acquisiton and integraton of acquired businesses.</w:t>
      </w:r>
    </w:p>
    <w:p>
      <w:pPr>
        <w:spacing w:after="0" w:line="111" w:lineRule="exact"/>
        <w:rPr>
          <w:sz w:val="20"/>
          <w:szCs w:val="20"/>
          <w:color w:val="auto"/>
        </w:rPr>
      </w:pPr>
    </w:p>
    <w:p>
      <w:pPr>
        <w:jc w:val="both"/>
        <w:ind w:right="200" w:firstLine="405"/>
        <w:spacing w:after="0" w:line="235" w:lineRule="auto"/>
        <w:rPr>
          <w:sz w:val="20"/>
          <w:szCs w:val="20"/>
          <w:color w:val="auto"/>
        </w:rPr>
      </w:pPr>
      <w:r>
        <w:rPr>
          <w:rFonts w:ascii="Calibri" w:cs="Calibri" w:eastAsia="Calibri" w:hAnsi="Calibri"/>
          <w:sz w:val="18"/>
          <w:szCs w:val="18"/>
          <w:color w:val="auto"/>
        </w:rPr>
        <w:t>Depreciaton expense directly atributable to each reportable segment is included in the operatng results of each segment. However, the CODM does not evaluate depreciaton expense by operatng segment and, therefore, it is not separately presented. There was no inter-segment revenue for any of the periods presented. The accountng policies of the segments are the same as those described in the summary of signifcant accountng policies.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Fiscal Year</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72"/>
              <w:spacing w:after="0" w:line="164" w:lineRule="exact"/>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35"/>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2"/>
              <w:spacing w:after="0" w:line="164" w:lineRule="exact"/>
              <w:rPr>
                <w:sz w:val="20"/>
                <w:szCs w:val="20"/>
                <w:color w:val="auto"/>
              </w:rPr>
            </w:pPr>
            <w:r>
              <w:rPr>
                <w:rFonts w:ascii="Calibri" w:cs="Calibri" w:eastAsia="Calibri" w:hAnsi="Calibri"/>
                <w:sz w:val="14"/>
                <w:szCs w:val="14"/>
                <w:b w:val="1"/>
                <w:bCs w:val="1"/>
                <w:color w:val="auto"/>
              </w:rPr>
              <w:t>2022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740" w:type="dxa"/>
            <w:vAlign w:val="bottom"/>
          </w:tcPr>
          <w:p>
            <w:pPr>
              <w:ind w:left="20"/>
              <w:spacing w:after="0"/>
              <w:rPr>
                <w:sz w:val="20"/>
                <w:szCs w:val="20"/>
                <w:color w:val="auto"/>
              </w:rPr>
            </w:pPr>
            <w:r>
              <w:rPr>
                <w:rFonts w:ascii="Calibri" w:cs="Calibri" w:eastAsia="Calibri" w:hAnsi="Calibri"/>
                <w:sz w:val="18"/>
                <w:szCs w:val="18"/>
                <w:b w:val="1"/>
                <w:bCs w:val="1"/>
                <w:color w:val="auto"/>
              </w:rPr>
              <w:t>Net revenue:</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140"/>
              <w:spacing w:after="0" w:line="215" w:lineRule="exact"/>
              <w:rPr>
                <w:sz w:val="20"/>
                <w:szCs w:val="20"/>
                <w:color w:val="auto"/>
              </w:rPr>
            </w:pPr>
            <w:r>
              <w:rPr>
                <w:rFonts w:ascii="Calibri" w:cs="Calibri" w:eastAsia="Calibri" w:hAnsi="Calibri"/>
                <w:sz w:val="18"/>
                <w:szCs w:val="18"/>
                <w:color w:val="auto"/>
              </w:rPr>
              <w:t>Semiconductor solutons</w:t>
            </w:r>
          </w:p>
        </w:tc>
        <w:tc>
          <w:tcPr>
            <w:tcW w:w="34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center"/>
              <w:ind w:left="372"/>
              <w:spacing w:after="0" w:line="215" w:lineRule="exact"/>
              <w:rPr>
                <w:sz w:val="20"/>
                <w:szCs w:val="20"/>
                <w:color w:val="auto"/>
              </w:rPr>
            </w:pPr>
            <w:r>
              <w:rPr>
                <w:rFonts w:ascii="Calibri" w:cs="Calibri" w:eastAsia="Calibri" w:hAnsi="Calibri"/>
                <w:sz w:val="18"/>
                <w:szCs w:val="18"/>
                <w:color w:val="auto"/>
                <w:w w:val="99"/>
              </w:rPr>
              <w:t>30,096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28,182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25,818</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140"/>
              <w:spacing w:after="0" w:line="215" w:lineRule="exact"/>
              <w:rPr>
                <w:sz w:val="20"/>
                <w:szCs w:val="20"/>
                <w:color w:val="auto"/>
              </w:rPr>
            </w:pPr>
            <w:r>
              <w:rPr>
                <w:rFonts w:ascii="Calibri" w:cs="Calibri" w:eastAsia="Calibri" w:hAnsi="Calibri"/>
                <w:sz w:val="18"/>
                <w:szCs w:val="18"/>
                <w:color w:val="auto"/>
              </w:rPr>
              <w:t>Infrastructure sofware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72"/>
              <w:spacing w:after="0" w:line="215" w:lineRule="exact"/>
              <w:rPr>
                <w:sz w:val="20"/>
                <w:szCs w:val="20"/>
                <w:color w:val="auto"/>
              </w:rPr>
            </w:pPr>
            <w:r>
              <w:rPr>
                <w:rFonts w:ascii="Calibri" w:cs="Calibri" w:eastAsia="Calibri" w:hAnsi="Calibri"/>
                <w:sz w:val="18"/>
                <w:szCs w:val="18"/>
                <w:color w:val="auto"/>
                <w:w w:val="99"/>
              </w:rPr>
              <w:t>21,478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7,637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7,385</w:t>
            </w: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220"/>
              <w:spacing w:after="0"/>
              <w:rPr>
                <w:sz w:val="20"/>
                <w:szCs w:val="20"/>
                <w:color w:val="auto"/>
              </w:rPr>
            </w:pPr>
            <w:r>
              <w:rPr>
                <w:rFonts w:ascii="Calibri" w:cs="Calibri" w:eastAsia="Calibri" w:hAnsi="Calibri"/>
                <w:sz w:val="18"/>
                <w:szCs w:val="18"/>
                <w:color w:val="auto"/>
              </w:rPr>
              <w:t>Total net revenue</w:t>
            </w:r>
          </w:p>
        </w:tc>
        <w:tc>
          <w:tcPr>
            <w:tcW w:w="340" w:type="dxa"/>
            <w:vAlign w:val="bottom"/>
            <w:tcBorders>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shd w:val="clear" w:color="auto" w:fill="CCEEFF"/>
          </w:tcPr>
          <w:p>
            <w:pPr>
              <w:jc w:val="center"/>
              <w:ind w:left="372"/>
              <w:spacing w:after="0" w:line="215" w:lineRule="exact"/>
              <w:rPr>
                <w:sz w:val="20"/>
                <w:szCs w:val="20"/>
                <w:color w:val="auto"/>
              </w:rPr>
            </w:pPr>
            <w:r>
              <w:rPr>
                <w:rFonts w:ascii="Calibri" w:cs="Calibri" w:eastAsia="Calibri" w:hAnsi="Calibri"/>
                <w:sz w:val="18"/>
                <w:szCs w:val="18"/>
                <w:color w:val="auto"/>
                <w:w w:val="99"/>
              </w:rPr>
              <w:t>51,574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35,819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33,203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Calibri" w:cs="Calibri" w:eastAsia="Calibri" w:hAnsi="Calibri"/>
                <w:sz w:val="18"/>
                <w:szCs w:val="18"/>
                <w:b w:val="1"/>
                <w:bCs w:val="1"/>
                <w:color w:val="auto"/>
              </w:rPr>
              <w:t>Operatng income: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6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140"/>
              <w:spacing w:after="0" w:line="215" w:lineRule="exact"/>
              <w:rPr>
                <w:sz w:val="20"/>
                <w:szCs w:val="20"/>
                <w:color w:val="auto"/>
              </w:rPr>
            </w:pPr>
            <w:r>
              <w:rPr>
                <w:rFonts w:ascii="Calibri" w:cs="Calibri" w:eastAsia="Calibri" w:hAnsi="Calibri"/>
                <w:sz w:val="18"/>
                <w:szCs w:val="18"/>
                <w:color w:val="auto"/>
              </w:rPr>
              <w:t>Semiconductor solutons</w:t>
            </w:r>
          </w:p>
        </w:tc>
        <w:tc>
          <w:tcPr>
            <w:tcW w:w="34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center"/>
              <w:ind w:left="372"/>
              <w:spacing w:after="0" w:line="215" w:lineRule="exact"/>
              <w:rPr>
                <w:sz w:val="20"/>
                <w:szCs w:val="20"/>
                <w:color w:val="auto"/>
              </w:rPr>
            </w:pPr>
            <w:r>
              <w:rPr>
                <w:rFonts w:ascii="Calibri" w:cs="Calibri" w:eastAsia="Calibri" w:hAnsi="Calibri"/>
                <w:sz w:val="18"/>
                <w:szCs w:val="18"/>
                <w:color w:val="auto"/>
                <w:w w:val="99"/>
              </w:rPr>
              <w:t>16,759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16,486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15,075</w:t>
            </w:r>
          </w:p>
        </w:tc>
        <w:tc>
          <w:tcPr>
            <w:tcW w:w="0" w:type="dxa"/>
            <w:vAlign w:val="bottom"/>
          </w:tcPr>
          <w:p>
            <w:pPr>
              <w:spacing w:after="0"/>
              <w:rPr>
                <w:sz w:val="1"/>
                <w:szCs w:val="1"/>
                <w:color w:val="auto"/>
              </w:rPr>
            </w:pPr>
          </w:p>
        </w:tc>
      </w:tr>
      <w:tr>
        <w:trPr>
          <w:trHeight w:val="222"/>
        </w:trPr>
        <w:tc>
          <w:tcPr>
            <w:tcW w:w="6740" w:type="dxa"/>
            <w:vAlign w:val="bottom"/>
          </w:tcPr>
          <w:p>
            <w:pPr>
              <w:ind w:left="140"/>
              <w:spacing w:after="0" w:line="215" w:lineRule="exact"/>
              <w:rPr>
                <w:sz w:val="20"/>
                <w:szCs w:val="20"/>
                <w:color w:val="auto"/>
              </w:rPr>
            </w:pPr>
            <w:r>
              <w:rPr>
                <w:rFonts w:ascii="Calibri" w:cs="Calibri" w:eastAsia="Calibri" w:hAnsi="Calibri"/>
                <w:sz w:val="18"/>
                <w:szCs w:val="18"/>
                <w:color w:val="auto"/>
              </w:rPr>
              <w:t>Infrastructure sofware</w:t>
            </w:r>
          </w:p>
        </w:tc>
        <w:tc>
          <w:tcPr>
            <w:tcW w:w="340" w:type="dxa"/>
            <w:vAlign w:val="bottom"/>
          </w:tcPr>
          <w:p>
            <w:pPr>
              <w:spacing w:after="0"/>
              <w:rPr>
                <w:sz w:val="19"/>
                <w:szCs w:val="19"/>
                <w:color w:val="auto"/>
              </w:rPr>
            </w:pPr>
          </w:p>
        </w:tc>
        <w:tc>
          <w:tcPr>
            <w:tcW w:w="1080" w:type="dxa"/>
            <w:vAlign w:val="bottom"/>
          </w:tcPr>
          <w:p>
            <w:pPr>
              <w:jc w:val="center"/>
              <w:ind w:left="372"/>
              <w:spacing w:after="0" w:line="215" w:lineRule="exact"/>
              <w:rPr>
                <w:sz w:val="20"/>
                <w:szCs w:val="20"/>
                <w:color w:val="auto"/>
              </w:rPr>
            </w:pPr>
            <w:r>
              <w:rPr>
                <w:rFonts w:ascii="Calibri" w:cs="Calibri" w:eastAsia="Calibri" w:hAnsi="Calibri"/>
                <w:sz w:val="18"/>
                <w:szCs w:val="18"/>
                <w:color w:val="auto"/>
                <w:w w:val="99"/>
              </w:rPr>
              <w:t>13,977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5,639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5,219</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Unallocated expenses</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center"/>
              <w:ind w:left="352"/>
              <w:spacing w:after="0"/>
              <w:rPr>
                <w:sz w:val="20"/>
                <w:szCs w:val="20"/>
                <w:color w:val="auto"/>
              </w:rPr>
            </w:pPr>
            <w:r>
              <w:rPr>
                <w:rFonts w:ascii="Calibri" w:cs="Calibri" w:eastAsia="Calibri" w:hAnsi="Calibri"/>
                <w:sz w:val="18"/>
                <w:szCs w:val="18"/>
                <w:color w:val="auto"/>
                <w:w w:val="98"/>
              </w:rPr>
              <w:t>(17,273)</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(5,918)</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(6,069)</w:t>
            </w:r>
          </w:p>
        </w:tc>
        <w:tc>
          <w:tcPr>
            <w:tcW w:w="0" w:type="dxa"/>
            <w:vAlign w:val="bottom"/>
          </w:tcPr>
          <w:p>
            <w:pPr>
              <w:spacing w:after="0"/>
              <w:rPr>
                <w:sz w:val="1"/>
                <w:szCs w:val="1"/>
                <w:color w:val="auto"/>
              </w:rPr>
            </w:pPr>
          </w:p>
        </w:tc>
      </w:tr>
      <w:tr>
        <w:trPr>
          <w:trHeight w:val="229"/>
        </w:trPr>
        <w:tc>
          <w:tcPr>
            <w:tcW w:w="6740" w:type="dxa"/>
            <w:vAlign w:val="bottom"/>
          </w:tcPr>
          <w:p>
            <w:pPr>
              <w:ind w:left="220"/>
              <w:spacing w:after="0"/>
              <w:rPr>
                <w:sz w:val="20"/>
                <w:szCs w:val="20"/>
                <w:color w:val="auto"/>
              </w:rPr>
            </w:pPr>
            <w:r>
              <w:rPr>
                <w:rFonts w:ascii="Calibri" w:cs="Calibri" w:eastAsia="Calibri" w:hAnsi="Calibri"/>
                <w:sz w:val="18"/>
                <w:szCs w:val="18"/>
                <w:color w:val="auto"/>
              </w:rPr>
              <w:t>Total operatng income</w:t>
            </w:r>
          </w:p>
        </w:tc>
        <w:tc>
          <w:tcPr>
            <w:tcW w:w="340" w:type="dxa"/>
            <w:vAlign w:val="bottom"/>
            <w:tcBorders>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tcPr>
          <w:p>
            <w:pPr>
              <w:jc w:val="center"/>
              <w:ind w:left="372"/>
              <w:spacing w:after="0" w:line="215" w:lineRule="exact"/>
              <w:rPr>
                <w:sz w:val="20"/>
                <w:szCs w:val="20"/>
                <w:color w:val="auto"/>
              </w:rPr>
            </w:pPr>
            <w:r>
              <w:rPr>
                <w:rFonts w:ascii="Calibri" w:cs="Calibri" w:eastAsia="Calibri" w:hAnsi="Calibri"/>
                <w:sz w:val="18"/>
                <w:szCs w:val="18"/>
                <w:color w:val="auto"/>
                <w:w w:val="99"/>
              </w:rPr>
              <w:t>13,463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16,207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14,225</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Geographic Informaton</w:t>
      </w:r>
    </w:p>
    <w:p>
      <w:pPr>
        <w:spacing w:after="0" w:line="109" w:lineRule="exact"/>
        <w:rPr>
          <w:sz w:val="20"/>
          <w:szCs w:val="20"/>
          <w:color w:val="auto"/>
        </w:rPr>
      </w:pPr>
    </w:p>
    <w:p>
      <w:pPr>
        <w:ind w:right="20" w:firstLine="405"/>
        <w:spacing w:after="0" w:line="250" w:lineRule="auto"/>
        <w:rPr>
          <w:sz w:val="20"/>
          <w:szCs w:val="20"/>
          <w:color w:val="auto"/>
        </w:rPr>
      </w:pPr>
      <w:r>
        <w:rPr>
          <w:rFonts w:ascii="Calibri" w:cs="Calibri" w:eastAsia="Calibri" w:hAnsi="Calibri"/>
          <w:sz w:val="17"/>
          <w:szCs w:val="17"/>
          <w:color w:val="auto"/>
        </w:rPr>
        <w:t>Net revenue by country is based primarily on the geographic shipment or delivery locaton as specifed by the distributors, OEMs, contract manufacturers, channel partners, or sofware customers who purchased our products or services. For the majority of our products, ttle and control transfer to our customers in Penang, Malaysia. The products are then transported to the customer specifc locatons. Net revenue from the United States for fscal years 2024, 2023 and 2022 was $12,887 million, $6,975 million and $5,915 million, respectvely. Net revenue from China (including Hong Kong) for fscal years 2024, 2023 and 2022 was $10,483 million, $11,533 million and $11,637 million, respectvely. Net revenue from Singapore for fscal years 2024, 2023 and 2022 was $9,559 million, $4,479 million and $4,003 million, respectvely. Net revenue from other foreign countries for fscal years 2024, 2023 and 2022 was $18,645 million, $12,832 million and $11,648 million, respectvely. These geographic delivery locatons are not necessarily indicatve of the geographic locaton of our end customers or the country in which our end customers sell devices containing our products. For example, we believe a substantal porton of our products shipped or delivered to China (including Hong Kong) is included in devices sold by our end customers in the United States and Europe.</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0" w:name="page91"/>
    <w:bookmarkEnd w:id="9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Long-lived assets include property, plant and equipment and are based on the physical locaton of the assets.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Calibri" w:cs="Calibri" w:eastAsia="Calibri" w:hAnsi="Calibri"/>
                <w:sz w:val="14"/>
                <w:szCs w:val="14"/>
                <w:b w:val="1"/>
                <w:bCs w:val="1"/>
                <w:color w:val="auto"/>
              </w:rPr>
              <w:t>November 3,</w:t>
            </w:r>
          </w:p>
        </w:tc>
        <w:tc>
          <w:tcPr>
            <w:tcW w:w="340" w:type="dxa"/>
            <w:vAlign w:val="bottom"/>
          </w:tcPr>
          <w:p>
            <w:pPr>
              <w:spacing w:after="0"/>
              <w:rPr>
                <w:sz w:val="14"/>
                <w:szCs w:val="14"/>
                <w:color w:val="auto"/>
              </w:rPr>
            </w:pPr>
          </w:p>
        </w:tc>
        <w:tc>
          <w:tcPr>
            <w:tcW w:w="1100" w:type="dxa"/>
            <w:vAlign w:val="bottom"/>
          </w:tcPr>
          <w:p>
            <w:pPr>
              <w:jc w:val="right"/>
              <w:ind w:right="276"/>
              <w:spacing w:after="0"/>
              <w:rPr>
                <w:sz w:val="20"/>
                <w:szCs w:val="20"/>
                <w:color w:val="auto"/>
              </w:rPr>
            </w:pPr>
            <w:r>
              <w:rPr>
                <w:rFonts w:ascii="Calibri" w:cs="Calibri" w:eastAsia="Calibri" w:hAnsi="Calibri"/>
                <w:sz w:val="14"/>
                <w:szCs w:val="14"/>
                <w:b w:val="1"/>
                <w:bCs w:val="1"/>
                <w:color w:val="auto"/>
              </w:rPr>
              <w:t>October 29,</w:t>
            </w:r>
          </w:p>
        </w:tc>
      </w:tr>
      <w:tr>
        <w:trPr>
          <w:trHeight w:val="170"/>
        </w:trPr>
        <w:tc>
          <w:tcPr>
            <w:tcW w:w="8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478"/>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6"/>
              <w:spacing w:after="0"/>
              <w:rPr>
                <w:sz w:val="20"/>
                <w:szCs w:val="20"/>
                <w:color w:val="auto"/>
              </w:rPr>
            </w:pPr>
            <w:r>
              <w:rPr>
                <w:rFonts w:ascii="Calibri" w:cs="Calibri" w:eastAsia="Calibri" w:hAnsi="Calibri"/>
                <w:sz w:val="14"/>
                <w:szCs w:val="14"/>
                <w:b w:val="1"/>
                <w:bCs w:val="1"/>
                <w:color w:val="auto"/>
              </w:rPr>
              <w:t>2023</w:t>
            </w:r>
          </w:p>
        </w:tc>
      </w:tr>
      <w:tr>
        <w:trPr>
          <w:trHeight w:val="33"/>
        </w:trPr>
        <w:tc>
          <w:tcPr>
            <w:tcW w:w="8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1100" w:type="dxa"/>
            <w:vAlign w:val="bottom"/>
          </w:tcPr>
          <w:p>
            <w:pPr>
              <w:spacing w:after="0"/>
              <w:rPr>
                <w:sz w:val="16"/>
                <w:szCs w:val="16"/>
                <w:color w:val="auto"/>
              </w:rPr>
            </w:pPr>
          </w:p>
        </w:tc>
      </w:tr>
      <w:tr>
        <w:trPr>
          <w:trHeight w:val="253"/>
        </w:trPr>
        <w:tc>
          <w:tcPr>
            <w:tcW w:w="8260" w:type="dxa"/>
            <w:vAlign w:val="bottom"/>
          </w:tcPr>
          <w:p>
            <w:pPr>
              <w:ind w:left="20"/>
              <w:spacing w:after="0"/>
              <w:rPr>
                <w:sz w:val="20"/>
                <w:szCs w:val="20"/>
                <w:color w:val="auto"/>
              </w:rPr>
            </w:pPr>
            <w:r>
              <w:rPr>
                <w:rFonts w:ascii="Calibri" w:cs="Calibri" w:eastAsia="Calibri" w:hAnsi="Calibri"/>
                <w:sz w:val="18"/>
                <w:szCs w:val="18"/>
                <w:b w:val="1"/>
                <w:bCs w:val="1"/>
                <w:color w:val="auto"/>
              </w:rPr>
              <w:t>Long-lived assets:</w:t>
            </w: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260" w:type="dxa"/>
            <w:vAlign w:val="bottom"/>
            <w:shd w:val="clear" w:color="auto" w:fill="CCEEFF"/>
          </w:tcPr>
          <w:p>
            <w:pPr>
              <w:ind w:left="140"/>
              <w:spacing w:after="0" w:line="215" w:lineRule="exact"/>
              <w:rPr>
                <w:sz w:val="20"/>
                <w:szCs w:val="20"/>
                <w:color w:val="auto"/>
              </w:rPr>
            </w:pPr>
            <w:r>
              <w:rPr>
                <w:rFonts w:ascii="Calibri" w:cs="Calibri" w:eastAsia="Calibri" w:hAnsi="Calibri"/>
                <w:sz w:val="18"/>
                <w:szCs w:val="18"/>
                <w:color w:val="auto"/>
              </w:rPr>
              <w:t>United States</w:t>
            </w:r>
          </w:p>
        </w:tc>
        <w:tc>
          <w:tcPr>
            <w:tcW w:w="22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1,371</w:t>
            </w:r>
          </w:p>
        </w:tc>
      </w:tr>
      <w:tr>
        <w:trPr>
          <w:trHeight w:val="222"/>
        </w:trPr>
        <w:tc>
          <w:tcPr>
            <w:tcW w:w="8260" w:type="dxa"/>
            <w:vAlign w:val="bottom"/>
          </w:tcPr>
          <w:p>
            <w:pPr>
              <w:ind w:left="140"/>
              <w:spacing w:after="0" w:line="215" w:lineRule="exact"/>
              <w:rPr>
                <w:sz w:val="20"/>
                <w:szCs w:val="20"/>
                <w:color w:val="auto"/>
              </w:rPr>
            </w:pPr>
            <w:r>
              <w:rPr>
                <w:rFonts w:ascii="Calibri" w:cs="Calibri" w:eastAsia="Calibri" w:hAnsi="Calibri"/>
                <w:sz w:val="18"/>
                <w:szCs w:val="18"/>
                <w:color w:val="auto"/>
              </w:rPr>
              <w:t>Taiwan</w:t>
            </w:r>
          </w:p>
        </w:tc>
        <w:tc>
          <w:tcPr>
            <w:tcW w:w="22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365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341</w:t>
            </w:r>
          </w:p>
        </w:tc>
      </w:tr>
      <w:tr>
        <w:trPr>
          <w:trHeight w:val="230"/>
        </w:trPr>
        <w:tc>
          <w:tcPr>
            <w:tcW w:w="826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Other</w:t>
            </w: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471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442</w:t>
            </w:r>
          </w:p>
        </w:tc>
      </w:tr>
      <w:tr>
        <w:trPr>
          <w:trHeight w:val="230"/>
        </w:trPr>
        <w:tc>
          <w:tcPr>
            <w:tcW w:w="8260" w:type="dxa"/>
            <w:vAlign w:val="bottom"/>
          </w:tcPr>
          <w:p>
            <w:pPr>
              <w:ind w:left="220"/>
              <w:spacing w:after="0"/>
              <w:rPr>
                <w:sz w:val="20"/>
                <w:szCs w:val="20"/>
                <w:color w:val="auto"/>
              </w:rPr>
            </w:pPr>
            <w:r>
              <w:rPr>
                <w:rFonts w:ascii="Calibri" w:cs="Calibri" w:eastAsia="Calibri" w:hAnsi="Calibri"/>
                <w:sz w:val="18"/>
                <w:szCs w:val="18"/>
                <w:color w:val="auto"/>
              </w:rPr>
              <w:t>Total long-lived assets</w:t>
            </w:r>
          </w:p>
        </w:tc>
        <w:tc>
          <w:tcPr>
            <w:tcW w:w="2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2,154</w:t>
            </w: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Signifcant Customer Informaton</w:t>
      </w:r>
    </w:p>
    <w:p>
      <w:pPr>
        <w:spacing w:after="0" w:line="109" w:lineRule="exact"/>
        <w:rPr>
          <w:sz w:val="20"/>
          <w:szCs w:val="20"/>
          <w:color w:val="auto"/>
        </w:rPr>
      </w:pPr>
    </w:p>
    <w:p>
      <w:pPr>
        <w:ind w:right="60" w:firstLine="405"/>
        <w:spacing w:after="0" w:line="235" w:lineRule="auto"/>
        <w:rPr>
          <w:sz w:val="20"/>
          <w:szCs w:val="20"/>
          <w:color w:val="auto"/>
        </w:rPr>
      </w:pPr>
      <w:r>
        <w:rPr>
          <w:rFonts w:ascii="Calibri" w:cs="Calibri" w:eastAsia="Calibri" w:hAnsi="Calibri"/>
          <w:sz w:val="18"/>
          <w:szCs w:val="18"/>
          <w:color w:val="auto"/>
        </w:rPr>
        <w:t>We sell our products through our direct sales force and a select network of distributors and channel partners globally. One customer accounted for 18% and 21% of our net accounts receivable balance as of November 3, 2024 and October 29, 2023, respectvely. During fscal years 2024, 2023 and 2022, one customer accounted for 28%, 21% and 20% of our net revenue, respectvely. Revenue from this customer was included in our semiconductor solutons segment.</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14. Commitments and Contngencies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Commitments</w:t>
      </w:r>
    </w:p>
    <w:p>
      <w:pPr>
        <w:spacing w:after="0" w:line="104"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The following table summarizes contractual obligatons and commitments as of November 3, 2024: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Fiscal Year:</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ind w:right="154"/>
              <w:spacing w:after="0"/>
              <w:rPr>
                <w:sz w:val="20"/>
                <w:szCs w:val="20"/>
                <w:color w:val="auto"/>
              </w:rPr>
            </w:pPr>
            <w:r>
              <w:rPr>
                <w:rFonts w:ascii="Calibri" w:cs="Calibri" w:eastAsia="Calibri" w:hAnsi="Calibri"/>
                <w:sz w:val="14"/>
                <w:szCs w:val="14"/>
                <w:b w:val="1"/>
                <w:bCs w:val="1"/>
                <w:color w:val="auto"/>
              </w:rPr>
              <w:t>Other Contractual</w:t>
            </w:r>
          </w:p>
        </w:tc>
        <w:tc>
          <w:tcPr>
            <w:tcW w:w="0" w:type="dxa"/>
            <w:vAlign w:val="bottom"/>
          </w:tcPr>
          <w:p>
            <w:pPr>
              <w:spacing w:after="0"/>
              <w:rPr>
                <w:sz w:val="1"/>
                <w:szCs w:val="1"/>
                <w:color w:val="auto"/>
              </w:rPr>
            </w:pPr>
          </w:p>
        </w:tc>
      </w:tr>
      <w:tr>
        <w:trPr>
          <w:trHeight w:val="193"/>
        </w:trPr>
        <w:tc>
          <w:tcPr>
            <w:tcW w:w="8000" w:type="dxa"/>
            <w:vAlign w:val="bottom"/>
            <w:vMerge w:val="continue"/>
          </w:tcPr>
          <w:p>
            <w:pPr>
              <w:spacing w:after="0"/>
              <w:rPr>
                <w:sz w:val="16"/>
                <w:szCs w:val="16"/>
                <w:color w:val="auto"/>
              </w:rPr>
            </w:pPr>
          </w:p>
        </w:tc>
        <w:tc>
          <w:tcPr>
            <w:tcW w:w="1680" w:type="dxa"/>
            <w:vAlign w:val="bottom"/>
            <w:gridSpan w:val="3"/>
          </w:tcPr>
          <w:p>
            <w:pPr>
              <w:ind w:left="80"/>
              <w:spacing w:after="0"/>
              <w:rPr>
                <w:sz w:val="20"/>
                <w:szCs w:val="20"/>
                <w:color w:val="auto"/>
              </w:rPr>
            </w:pPr>
            <w:r>
              <w:rPr>
                <w:rFonts w:ascii="Calibri" w:cs="Calibri" w:eastAsia="Calibri" w:hAnsi="Calibri"/>
                <w:sz w:val="14"/>
                <w:szCs w:val="14"/>
                <w:b w:val="1"/>
                <w:bCs w:val="1"/>
                <w:color w:val="auto"/>
              </w:rPr>
              <w:t>Purchase Commitments</w:t>
            </w:r>
          </w:p>
        </w:tc>
        <w:tc>
          <w:tcPr>
            <w:tcW w:w="240" w:type="dxa"/>
            <w:vAlign w:val="bottom"/>
          </w:tcPr>
          <w:p>
            <w:pPr>
              <w:spacing w:after="0"/>
              <w:rPr>
                <w:sz w:val="16"/>
                <w:szCs w:val="16"/>
                <w:color w:val="auto"/>
              </w:rPr>
            </w:pPr>
          </w:p>
        </w:tc>
        <w:tc>
          <w:tcPr>
            <w:tcW w:w="1320" w:type="dxa"/>
            <w:vAlign w:val="bottom"/>
          </w:tcPr>
          <w:p>
            <w:pPr>
              <w:jc w:val="right"/>
              <w:ind w:right="274"/>
              <w:spacing w:after="0"/>
              <w:rPr>
                <w:sz w:val="20"/>
                <w:szCs w:val="20"/>
                <w:color w:val="auto"/>
              </w:rPr>
            </w:pPr>
            <w:r>
              <w:rPr>
                <w:rFonts w:ascii="Calibri" w:cs="Calibri" w:eastAsia="Calibri" w:hAnsi="Calibri"/>
                <w:sz w:val="14"/>
                <w:szCs w:val="14"/>
                <w:b w:val="1"/>
                <w:bCs w:val="1"/>
                <w:color w:val="auto"/>
              </w:rPr>
              <w:t>Commitments</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8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80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2025</w:t>
            </w:r>
          </w:p>
        </w:tc>
        <w:tc>
          <w:tcPr>
            <w:tcW w:w="660" w:type="dxa"/>
            <w:vAlign w:val="bottom"/>
            <w:shd w:val="clear" w:color="auto" w:fill="CCEEFF"/>
          </w:tcPr>
          <w:p>
            <w:pPr>
              <w:jc w:val="right"/>
              <w:ind w:right="476"/>
              <w:spacing w:after="0"/>
              <w:rPr>
                <w:sz w:val="20"/>
                <w:szCs w:val="20"/>
                <w:color w:val="auto"/>
              </w:rPr>
            </w:pPr>
            <w:r>
              <w:rPr>
                <w:rFonts w:ascii="Calibri" w:cs="Calibri" w:eastAsia="Calibri" w:hAnsi="Calibri"/>
                <w:sz w:val="18"/>
                <w:szCs w:val="18"/>
                <w:color w:val="auto"/>
                <w:w w:val="87"/>
              </w:rPr>
              <w:t>$</w:t>
            </w:r>
          </w:p>
        </w:tc>
        <w:tc>
          <w:tcPr>
            <w:tcW w:w="9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auto"/>
                <w:w w:val="87"/>
              </w:rPr>
              <w:t>$</w:t>
            </w:r>
          </w:p>
        </w:tc>
        <w:tc>
          <w:tcPr>
            <w:tcW w:w="13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486</w:t>
            </w:r>
          </w:p>
        </w:tc>
        <w:tc>
          <w:tcPr>
            <w:tcW w:w="0" w:type="dxa"/>
            <w:vAlign w:val="bottom"/>
          </w:tcPr>
          <w:p>
            <w:pPr>
              <w:spacing w:after="0"/>
              <w:rPr>
                <w:sz w:val="1"/>
                <w:szCs w:val="1"/>
                <w:color w:val="auto"/>
              </w:rPr>
            </w:pPr>
          </w:p>
        </w:tc>
      </w:tr>
      <w:tr>
        <w:trPr>
          <w:trHeight w:val="222"/>
        </w:trPr>
        <w:tc>
          <w:tcPr>
            <w:tcW w:w="8000" w:type="dxa"/>
            <w:vAlign w:val="bottom"/>
          </w:tcPr>
          <w:p>
            <w:pPr>
              <w:ind w:left="20"/>
              <w:spacing w:after="0" w:line="215" w:lineRule="exact"/>
              <w:rPr>
                <w:sz w:val="20"/>
                <w:szCs w:val="20"/>
                <w:color w:val="auto"/>
              </w:rPr>
            </w:pPr>
            <w:r>
              <w:rPr>
                <w:rFonts w:ascii="Calibri" w:cs="Calibri" w:eastAsia="Calibri" w:hAnsi="Calibri"/>
                <w:sz w:val="18"/>
                <w:szCs w:val="18"/>
                <w:color w:val="auto"/>
              </w:rPr>
              <w:t>2026</w:t>
            </w:r>
          </w:p>
        </w:tc>
        <w:tc>
          <w:tcPr>
            <w:tcW w:w="66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404</w:t>
            </w:r>
          </w:p>
        </w:tc>
        <w:tc>
          <w:tcPr>
            <w:tcW w:w="0" w:type="dxa"/>
            <w:vAlign w:val="bottom"/>
          </w:tcPr>
          <w:p>
            <w:pPr>
              <w:spacing w:after="0"/>
              <w:rPr>
                <w:sz w:val="1"/>
                <w:szCs w:val="1"/>
                <w:color w:val="auto"/>
              </w:rPr>
            </w:pPr>
          </w:p>
        </w:tc>
      </w:tr>
      <w:tr>
        <w:trPr>
          <w:trHeight w:val="237"/>
        </w:trPr>
        <w:tc>
          <w:tcPr>
            <w:tcW w:w="80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2027</w:t>
            </w:r>
          </w:p>
        </w:tc>
        <w:tc>
          <w:tcPr>
            <w:tcW w:w="6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352</w:t>
            </w:r>
          </w:p>
        </w:tc>
        <w:tc>
          <w:tcPr>
            <w:tcW w:w="0" w:type="dxa"/>
            <w:vAlign w:val="bottom"/>
          </w:tcPr>
          <w:p>
            <w:pPr>
              <w:spacing w:after="0"/>
              <w:rPr>
                <w:sz w:val="1"/>
                <w:szCs w:val="1"/>
                <w:color w:val="auto"/>
              </w:rPr>
            </w:pPr>
          </w:p>
        </w:tc>
      </w:tr>
      <w:tr>
        <w:trPr>
          <w:trHeight w:val="222"/>
        </w:trPr>
        <w:tc>
          <w:tcPr>
            <w:tcW w:w="8000" w:type="dxa"/>
            <w:vAlign w:val="bottom"/>
          </w:tcPr>
          <w:p>
            <w:pPr>
              <w:ind w:left="20"/>
              <w:spacing w:after="0" w:line="215" w:lineRule="exact"/>
              <w:rPr>
                <w:sz w:val="20"/>
                <w:szCs w:val="20"/>
                <w:color w:val="auto"/>
              </w:rPr>
            </w:pPr>
            <w:r>
              <w:rPr>
                <w:rFonts w:ascii="Calibri" w:cs="Calibri" w:eastAsia="Calibri" w:hAnsi="Calibri"/>
                <w:sz w:val="18"/>
                <w:szCs w:val="18"/>
                <w:color w:val="auto"/>
              </w:rPr>
              <w:t>2028</w:t>
            </w:r>
          </w:p>
        </w:tc>
        <w:tc>
          <w:tcPr>
            <w:tcW w:w="66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293</w:t>
            </w:r>
          </w:p>
        </w:tc>
        <w:tc>
          <w:tcPr>
            <w:tcW w:w="0" w:type="dxa"/>
            <w:vAlign w:val="bottom"/>
          </w:tcPr>
          <w:p>
            <w:pPr>
              <w:spacing w:after="0"/>
              <w:rPr>
                <w:sz w:val="1"/>
                <w:szCs w:val="1"/>
                <w:color w:val="auto"/>
              </w:rPr>
            </w:pPr>
          </w:p>
        </w:tc>
      </w:tr>
      <w:tr>
        <w:trPr>
          <w:trHeight w:val="237"/>
        </w:trPr>
        <w:tc>
          <w:tcPr>
            <w:tcW w:w="80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2029</w:t>
            </w:r>
          </w:p>
        </w:tc>
        <w:tc>
          <w:tcPr>
            <w:tcW w:w="6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240</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line="215" w:lineRule="exact"/>
              <w:rPr>
                <w:sz w:val="20"/>
                <w:szCs w:val="20"/>
                <w:color w:val="auto"/>
              </w:rPr>
            </w:pPr>
            <w:r>
              <w:rPr>
                <w:rFonts w:ascii="Calibri" w:cs="Calibri" w:eastAsia="Calibri" w:hAnsi="Calibri"/>
                <w:sz w:val="18"/>
                <w:szCs w:val="18"/>
                <w:color w:val="auto"/>
              </w:rPr>
              <w:t>Thereafer</w:t>
            </w:r>
          </w:p>
        </w:tc>
        <w:tc>
          <w:tcPr>
            <w:tcW w:w="660" w:type="dxa"/>
            <w:vAlign w:val="bottom"/>
          </w:tcPr>
          <w:p>
            <w:pPr>
              <w:spacing w:after="0"/>
              <w:rPr>
                <w:sz w:val="19"/>
                <w:szCs w:val="19"/>
                <w:color w:val="auto"/>
              </w:rPr>
            </w:pPr>
          </w:p>
        </w:tc>
        <w:tc>
          <w:tcPr>
            <w:tcW w:w="10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997</w:t>
            </w:r>
          </w:p>
        </w:tc>
        <w:tc>
          <w:tcPr>
            <w:tcW w:w="0" w:type="dxa"/>
            <w:vAlign w:val="bottom"/>
          </w:tcPr>
          <w:p>
            <w:pPr>
              <w:spacing w:after="0"/>
              <w:rPr>
                <w:sz w:val="1"/>
                <w:szCs w:val="1"/>
                <w:color w:val="auto"/>
              </w:rPr>
            </w:pPr>
          </w:p>
        </w:tc>
      </w:tr>
      <w:tr>
        <w:trPr>
          <w:trHeight w:val="254"/>
        </w:trPr>
        <w:tc>
          <w:tcPr>
            <w:tcW w:w="8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Total</w:t>
            </w:r>
          </w:p>
        </w:tc>
        <w:tc>
          <w:tcPr>
            <w:tcW w:w="660" w:type="dxa"/>
            <w:vAlign w:val="bottom"/>
            <w:tcBorders>
              <w:top w:val="single" w:sz="8" w:color="auto"/>
              <w:bottom w:val="single" w:sz="8" w:color="auto"/>
            </w:tcBorders>
            <w:shd w:val="clear" w:color="auto" w:fill="CCEEFF"/>
          </w:tcPr>
          <w:p>
            <w:pPr>
              <w:jc w:val="right"/>
              <w:ind w:right="476"/>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2,772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05"/>
        <w:spacing w:after="0" w:line="235" w:lineRule="auto"/>
        <w:rPr>
          <w:sz w:val="20"/>
          <w:szCs w:val="20"/>
          <w:color w:val="auto"/>
        </w:rPr>
      </w:pPr>
      <w:r>
        <w:rPr>
          <w:rFonts w:ascii="Calibri" w:cs="Calibri" w:eastAsia="Calibri" w:hAnsi="Calibri"/>
          <w:sz w:val="18"/>
          <w:szCs w:val="18"/>
          <w:i w:val="1"/>
          <w:iCs w:val="1"/>
          <w:color w:val="auto"/>
        </w:rPr>
        <w:t xml:space="preserve">Purchase Commitments. </w:t>
      </w:r>
      <w:r>
        <w:rPr>
          <w:rFonts w:ascii="Calibri" w:cs="Calibri" w:eastAsia="Calibri" w:hAnsi="Calibri"/>
          <w:sz w:val="18"/>
          <w:szCs w:val="18"/>
          <w:color w:val="auto"/>
        </w:rPr>
        <w:t>Represent unconditonal purchase obligatons to purchase goods or services, primarily inventory, that are enforceable and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legally binding on us and specify all signifcant terms, including fxed or minimum quanttes to be purchased, price provisions, and the approximate tming of the transacton. Purchase obligatons exclude agreements that are cancelable without penalty and unconditonal purchase obligatons with a remaining term of one year or less.</w:t>
      </w:r>
    </w:p>
    <w:p>
      <w:pPr>
        <w:spacing w:after="0" w:line="107" w:lineRule="exact"/>
        <w:rPr>
          <w:sz w:val="20"/>
          <w:szCs w:val="20"/>
          <w:color w:val="auto"/>
        </w:rPr>
      </w:pPr>
    </w:p>
    <w:p>
      <w:pPr>
        <w:ind w:left="420"/>
        <w:spacing w:after="0"/>
        <w:rPr>
          <w:sz w:val="20"/>
          <w:szCs w:val="20"/>
          <w:color w:val="auto"/>
        </w:rPr>
      </w:pPr>
      <w:r>
        <w:rPr>
          <w:rFonts w:ascii="Calibri" w:cs="Calibri" w:eastAsia="Calibri" w:hAnsi="Calibri"/>
          <w:sz w:val="18"/>
          <w:szCs w:val="18"/>
          <w:i w:val="1"/>
          <w:iCs w:val="1"/>
          <w:color w:val="auto"/>
        </w:rPr>
        <w:t xml:space="preserve">Other Contractual Commitments. </w:t>
      </w:r>
      <w:r>
        <w:rPr>
          <w:rFonts w:ascii="Calibri" w:cs="Calibri" w:eastAsia="Calibri" w:hAnsi="Calibri"/>
          <w:sz w:val="18"/>
          <w:szCs w:val="18"/>
          <w:color w:val="auto"/>
        </w:rPr>
        <w:t>Represent amounts payable pursuant to agreements related to IT and other service agreements.</w:t>
      </w:r>
    </w:p>
    <w:p>
      <w:pPr>
        <w:spacing w:after="0" w:line="109" w:lineRule="exact"/>
        <w:rPr>
          <w:sz w:val="20"/>
          <w:szCs w:val="20"/>
          <w:color w:val="auto"/>
        </w:rPr>
      </w:pPr>
    </w:p>
    <w:p>
      <w:pPr>
        <w:jc w:val="both"/>
        <w:ind w:right="60" w:firstLine="405"/>
        <w:spacing w:after="0" w:line="235" w:lineRule="auto"/>
        <w:rPr>
          <w:sz w:val="20"/>
          <w:szCs w:val="20"/>
          <w:color w:val="auto"/>
        </w:rPr>
      </w:pPr>
      <w:r>
        <w:rPr>
          <w:rFonts w:ascii="Calibri" w:cs="Calibri" w:eastAsia="Calibri" w:hAnsi="Calibri"/>
          <w:sz w:val="18"/>
          <w:szCs w:val="18"/>
          <w:color w:val="auto"/>
        </w:rPr>
        <w:t>Due to the inherent uncertainty with respect to the tming of future cash outlows associated with our unrecognized tax benefts at November 3, 2024, we are unable to reliably estmate the tming of cash setlement with the respectve taxing authorites. Therefore, $3,669 million of unrecognized tax benefts and accrued interest and penaltes as of November 3, 2024 have been excluded from the table above.</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Contngencies</w:t>
      </w:r>
    </w:p>
    <w:p>
      <w:pPr>
        <w:spacing w:after="0" w:line="109" w:lineRule="exact"/>
        <w:rPr>
          <w:sz w:val="20"/>
          <w:szCs w:val="20"/>
          <w:color w:val="auto"/>
        </w:rPr>
      </w:pPr>
    </w:p>
    <w:p>
      <w:pPr>
        <w:ind w:right="80" w:firstLine="405"/>
        <w:spacing w:after="0" w:line="235" w:lineRule="auto"/>
        <w:rPr>
          <w:sz w:val="20"/>
          <w:szCs w:val="20"/>
          <w:color w:val="auto"/>
        </w:rPr>
      </w:pPr>
      <w:r>
        <w:rPr>
          <w:rFonts w:ascii="Calibri" w:cs="Calibri" w:eastAsia="Calibri" w:hAnsi="Calibri"/>
          <w:sz w:val="18"/>
          <w:szCs w:val="18"/>
          <w:color w:val="auto"/>
        </w:rPr>
        <w:t>From tme to tme, we are involved in litgaton that we believe is of the type common to companies engaged in our lines of business, including commercial disputes, employment issues, tax disputes and disputes involving claims by third partes that our actvites infringe their patent, copyright, trademark or other IP rights, as well as regulatory investgatons or inquiries. Legal proceedings and regulatory investgatons or inquiries are ofen complex, may require the expenditure of signifcant funds and other resources, and the outcomes of such proceedings are inherently uncertain, with material adverse outcomes possible. IP property claims generally involve the demand by a third-party that we cease the manufacture, use or sale of the allegedly infringing products, processes or technologies and/or pay substantal damages or royaltes for past, present and future use of the allegedly infringing IP. Claims that our products or processes infringe or misappropriate any third-party IP rights (including claims arising through our contractual indemnifcaton of our customers) ofen involve highly</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1" w:name="page92"/>
    <w:bookmarkEnd w:id="9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complex, technical issues, the outcome of which is inherently uncertain. Moreover, from tme to tme, we pursue litgaton to assert our IP rights. Regardless of the merit or resoluton of any such litgaton, complex IP litgaton is generally costly and diverts the eforts and atenton of our management and technical personnel.</w:t>
      </w:r>
    </w:p>
    <w:p>
      <w:pPr>
        <w:spacing w:after="0" w:line="106" w:lineRule="exact"/>
        <w:rPr>
          <w:sz w:val="20"/>
          <w:szCs w:val="20"/>
          <w:color w:val="auto"/>
        </w:rPr>
      </w:pPr>
    </w:p>
    <w:p>
      <w:pPr>
        <w:ind w:left="420"/>
        <w:spacing w:after="0"/>
        <w:rPr>
          <w:sz w:val="20"/>
          <w:szCs w:val="20"/>
          <w:color w:val="auto"/>
        </w:rPr>
      </w:pPr>
      <w:r>
        <w:rPr>
          <w:rFonts w:ascii="Calibri" w:cs="Calibri" w:eastAsia="Calibri" w:hAnsi="Calibri"/>
          <w:sz w:val="18"/>
          <w:szCs w:val="18"/>
          <w:b w:val="1"/>
          <w:bCs w:val="1"/>
          <w:i w:val="1"/>
          <w:iCs w:val="1"/>
          <w:color w:val="auto"/>
        </w:rPr>
        <w:t>Lawsuits Relatng to VMware Backlog</w:t>
      </w:r>
    </w:p>
    <w:p>
      <w:pPr>
        <w:spacing w:after="0" w:line="109"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On March 31, 2020, a securites class acton lawsuit was fled against VMware and certain former ofcers of VMware in the United States District Court for the Northern District of California (the “California Court”). On September 18, 2020, the plaintfs fled a consolidated amended complaint alleging that VMware’s statements about backlog and the related internal controls during the period from August 2018 through February 2020 were materially misleading. The defendants fled a moton to dismiss, which was granted with leave to amend on September 10, 2021. On October 8, 2021, the plaintfs fled their Second Amended Consolidated Complaint based on the same alleged disclosure defciencies. The defendants’ moton to dismiss the Second Amended Consolidated Complaint was fled on November 5, 2021. On April 2, 2023, the California Court denied the defendants’ moton to dismiss fnding that the plaintfs had adequately stated claims under Sectons 10 and 20A of the Securites Exchange Act of 1934. The partes have agreed to setlement terms pending approval by the California Court.</w:t>
      </w:r>
    </w:p>
    <w:p>
      <w:pPr>
        <w:spacing w:after="0" w:line="110" w:lineRule="exact"/>
        <w:rPr>
          <w:sz w:val="20"/>
          <w:szCs w:val="20"/>
          <w:color w:val="auto"/>
        </w:rPr>
      </w:pPr>
    </w:p>
    <w:p>
      <w:pPr>
        <w:ind w:left="420"/>
        <w:spacing w:after="0"/>
        <w:rPr>
          <w:sz w:val="20"/>
          <w:szCs w:val="20"/>
          <w:color w:val="auto"/>
        </w:rPr>
      </w:pPr>
      <w:r>
        <w:rPr>
          <w:rFonts w:ascii="Calibri" w:cs="Calibri" w:eastAsia="Calibri" w:hAnsi="Calibri"/>
          <w:sz w:val="18"/>
          <w:szCs w:val="18"/>
          <w:b w:val="1"/>
          <w:bCs w:val="1"/>
          <w:i w:val="1"/>
          <w:iCs w:val="1"/>
          <w:color w:val="auto"/>
        </w:rPr>
        <w:t>Other Maters</w:t>
      </w:r>
    </w:p>
    <w:p>
      <w:pPr>
        <w:spacing w:after="0" w:line="104"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We are currently engaged in a number of legal actons in the ordinary course of our business.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Contngency Assessment</w:t>
      </w:r>
    </w:p>
    <w:p>
      <w:pPr>
        <w:spacing w:after="0" w:line="109"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color w:val="auto"/>
        </w:rPr>
        <w:t>We do not believe, based on currently available facts and circumstances, that the fnal outcome of any pending legal proceedings, ongoing regulatory investgatons or tax disputes, taken individually or as a whole, will have a material adverse efect on our consolidated fnancial statements. However, lawsuits may involve complex questons of fact and law and may require the expenditure of signifcant funds and other resources to defend. The results of litgaton, regulatory investgatons or tax disputes are inherently uncertain, and material adverse outcomes are possible. From tme to tme, we may enter into confdental discussions regarding the potental setlement of such lawsuits. Any setlement of pending litgaton could require us to incur substantal costs and other ongoing expenses, such as future royalty payments in the case of an IP dispute.</w:t>
      </w:r>
    </w:p>
    <w:p>
      <w:pPr>
        <w:spacing w:after="0" w:line="113"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During the periods presented, no material amounts have been accrued or disclosed in the accompanying consolidated fnancial statements with respect to loss contngencies associated with any other legal proceedings, regulatory investgatons or tax disputes as potental losses for such maters are not considered probable and ranges of losses are not reasonably estmable. These maters are subject to many uncertaintes and the ultmate outcomes are not predictable. There can be no assurances that the actual amounts required to satsfy any liabilites arising from the maters described above will not have a material adverse efect on our consolidated fnancial statements.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Indemnifcatons</w:t>
      </w:r>
    </w:p>
    <w:p>
      <w:pPr>
        <w:spacing w:after="0" w:line="109" w:lineRule="exact"/>
        <w:rPr>
          <w:sz w:val="20"/>
          <w:szCs w:val="20"/>
          <w:color w:val="auto"/>
        </w:rPr>
      </w:pPr>
    </w:p>
    <w:p>
      <w:pPr>
        <w:ind w:right="160" w:firstLine="405"/>
        <w:spacing w:after="0" w:line="251" w:lineRule="auto"/>
        <w:rPr>
          <w:sz w:val="20"/>
          <w:szCs w:val="20"/>
          <w:color w:val="auto"/>
        </w:rPr>
      </w:pPr>
      <w:r>
        <w:rPr>
          <w:rFonts w:ascii="Calibri" w:cs="Calibri" w:eastAsia="Calibri" w:hAnsi="Calibri"/>
          <w:sz w:val="17"/>
          <w:szCs w:val="17"/>
          <w:color w:val="auto"/>
        </w:rPr>
        <w:t>As is customary in our industry and as provided for in local law in the U.S. and other jurisdictons, many of our standard contracts provide remedies to our customers and others with whom we enter into contracts, such as defense, setlement, or payment of judgment for IP claims related to the use of our products. From tme to tme, we indemnify customers, as well as our suppliers, contractors, lessors, lessees, companies that purchase our businesses or assets and others with whom we enter into contracts, against combinatons of loss, expense, or liability arising from various triggering events related to the sale and the use of our products, the use of their goods and services, the use of facilites and state of our owned facilites, the state of the assets and businesses that we sell and other maters covered by such contracts, usually up to a specifed maximum amount. In additon, from tme to tme we also provide protecton to these partes against claims related to undiscovered liabilites, additonal product liabilites or environmental obligatons. In our experience, claims made under such indemnifcatons are rare and the associated estmated fair value of the liability is not material.</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92" w:name="page93"/>
    <w:bookmarkEnd w:id="9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15. Restructuring and Other Charges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Restructuring Charges</w:t>
      </w:r>
    </w:p>
    <w:p>
      <w:pPr>
        <w:spacing w:after="0" w:line="104"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The following table summarizes the signifcant actvites within, and components of, the restructuring liabilites: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620" w:type="dxa"/>
            <w:vAlign w:val="bottom"/>
            <w:gridSpan w:val="3"/>
          </w:tcPr>
          <w:p>
            <w:pPr>
              <w:jc w:val="center"/>
              <w:ind w:right="120"/>
              <w:spacing w:after="0"/>
              <w:rPr>
                <w:sz w:val="20"/>
                <w:szCs w:val="20"/>
                <w:color w:val="auto"/>
              </w:rPr>
            </w:pPr>
            <w:r>
              <w:rPr>
                <w:rFonts w:ascii="Calibri" w:cs="Calibri" w:eastAsia="Calibri" w:hAnsi="Calibri"/>
                <w:sz w:val="14"/>
                <w:szCs w:val="14"/>
                <w:b w:val="1"/>
                <w:bCs w:val="1"/>
                <w:color w:val="auto"/>
              </w:rPr>
              <w:t>Employee Terminaton</w:t>
            </w:r>
          </w:p>
        </w:tc>
        <w:tc>
          <w:tcPr>
            <w:tcW w:w="1600" w:type="dxa"/>
            <w:vAlign w:val="bottom"/>
            <w:gridSpan w:val="3"/>
          </w:tcPr>
          <w:p>
            <w:pPr>
              <w:jc w:val="center"/>
              <w:ind w:right="120"/>
              <w:spacing w:after="0"/>
              <w:rPr>
                <w:sz w:val="20"/>
                <w:szCs w:val="20"/>
                <w:color w:val="auto"/>
              </w:rPr>
            </w:pPr>
            <w:r>
              <w:rPr>
                <w:rFonts w:ascii="Calibri" w:cs="Calibri" w:eastAsia="Calibri" w:hAnsi="Calibri"/>
                <w:sz w:val="14"/>
                <w:szCs w:val="14"/>
                <w:b w:val="1"/>
                <w:bCs w:val="1"/>
                <w:color w:val="auto"/>
              </w:rPr>
              <w:t>Lease and Impairment</w:t>
            </w:r>
          </w:p>
        </w:tc>
        <w:tc>
          <w:tcPr>
            <w:tcW w:w="360" w:type="dxa"/>
            <w:vAlign w:val="bottom"/>
          </w:tcPr>
          <w:p>
            <w:pPr>
              <w:spacing w:after="0"/>
              <w:rPr>
                <w:sz w:val="14"/>
                <w:szCs w:val="14"/>
                <w:color w:val="auto"/>
              </w:rPr>
            </w:pPr>
          </w:p>
        </w:tc>
        <w:tc>
          <w:tcPr>
            <w:tcW w:w="1140" w:type="dxa"/>
            <w:vAlign w:val="bottom"/>
            <w:vMerge w:val="restart"/>
          </w:tcPr>
          <w:p>
            <w:pPr>
              <w:jc w:val="right"/>
              <w:ind w:right="512"/>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70"/>
        </w:trPr>
        <w:tc>
          <w:tcPr>
            <w:tcW w:w="6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Calibri" w:cs="Calibri" w:eastAsia="Calibri" w:hAnsi="Calibri"/>
                <w:sz w:val="14"/>
                <w:szCs w:val="14"/>
                <w:b w:val="1"/>
                <w:bCs w:val="1"/>
                <w:color w:val="auto"/>
              </w:rPr>
              <w:t>Costs</w:t>
            </w:r>
          </w:p>
        </w:tc>
        <w:tc>
          <w:tcPr>
            <w:tcW w:w="2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Costs</w:t>
            </w:r>
          </w:p>
        </w:tc>
        <w:tc>
          <w:tcPr>
            <w:tcW w:w="3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rPr>
              <w:t>(In millions)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6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Balance as of October 31, 2021</w:t>
            </w:r>
          </w:p>
        </w:tc>
        <w:tc>
          <w:tcPr>
            <w:tcW w:w="360" w:type="dxa"/>
            <w:vAlign w:val="bottom"/>
            <w:shd w:val="clear" w:color="auto" w:fill="CCEEFF"/>
          </w:tcPr>
          <w:p>
            <w:pPr>
              <w:jc w:val="right"/>
              <w:ind w:right="156"/>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line="215" w:lineRule="exact"/>
              <w:rPr>
                <w:sz w:val="20"/>
                <w:szCs w:val="20"/>
                <w:color w:val="auto"/>
              </w:rPr>
            </w:pPr>
            <w:r>
              <w:rPr>
                <w:rFonts w:ascii="Calibri" w:cs="Calibri" w:eastAsia="Calibri" w:hAnsi="Calibri"/>
                <w:sz w:val="18"/>
                <w:szCs w:val="18"/>
                <w:color w:val="auto"/>
                <w:w w:val="87"/>
              </w:rPr>
              <w:t>$</w:t>
            </w:r>
          </w:p>
        </w:tc>
        <w:tc>
          <w:tcPr>
            <w:tcW w:w="1360" w:type="dxa"/>
            <w:vAlign w:val="bottom"/>
            <w:gridSpan w:val="2"/>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222"/>
        </w:trPr>
        <w:tc>
          <w:tcPr>
            <w:tcW w:w="6520" w:type="dxa"/>
            <w:vAlign w:val="bottom"/>
          </w:tcPr>
          <w:p>
            <w:pPr>
              <w:ind w:left="140"/>
              <w:spacing w:after="0" w:line="215" w:lineRule="exact"/>
              <w:rPr>
                <w:sz w:val="20"/>
                <w:szCs w:val="20"/>
                <w:color w:val="auto"/>
              </w:rPr>
            </w:pPr>
            <w:r>
              <w:rPr>
                <w:rFonts w:ascii="Calibri" w:cs="Calibri" w:eastAsia="Calibri" w:hAnsi="Calibri"/>
                <w:sz w:val="18"/>
                <w:szCs w:val="18"/>
                <w:color w:val="auto"/>
              </w:rPr>
              <w:t>Restructuring charges</w:t>
            </w:r>
          </w:p>
        </w:tc>
        <w:tc>
          <w:tcPr>
            <w:tcW w:w="36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62</w:t>
            </w:r>
          </w:p>
        </w:tc>
        <w:tc>
          <w:tcPr>
            <w:tcW w:w="0" w:type="dxa"/>
            <w:vAlign w:val="bottom"/>
          </w:tcPr>
          <w:p>
            <w:pPr>
              <w:spacing w:after="0"/>
              <w:rPr>
                <w:sz w:val="1"/>
                <w:szCs w:val="1"/>
                <w:color w:val="auto"/>
              </w:rPr>
            </w:pPr>
          </w:p>
        </w:tc>
      </w:tr>
      <w:tr>
        <w:trPr>
          <w:trHeight w:val="237"/>
        </w:trPr>
        <w:tc>
          <w:tcPr>
            <w:tcW w:w="65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Utlizaton</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(24)</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(38)</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(62)</w:t>
            </w: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line="199" w:lineRule="exact"/>
              <w:rPr>
                <w:sz w:val="20"/>
                <w:szCs w:val="20"/>
                <w:color w:val="auto"/>
              </w:rPr>
            </w:pPr>
            <w:r>
              <w:rPr>
                <w:rFonts w:ascii="Calibri" w:cs="Calibri" w:eastAsia="Calibri" w:hAnsi="Calibri"/>
                <w:sz w:val="18"/>
                <w:szCs w:val="18"/>
                <w:color w:val="auto"/>
              </w:rPr>
              <w:t>Balance as of October 30, 2022</w:t>
            </w:r>
          </w:p>
        </w:tc>
        <w:tc>
          <w:tcPr>
            <w:tcW w:w="36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237"/>
        </w:trPr>
        <w:tc>
          <w:tcPr>
            <w:tcW w:w="65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Restructuring charges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44</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140"/>
              <w:spacing w:after="0" w:line="215" w:lineRule="exact"/>
              <w:rPr>
                <w:sz w:val="20"/>
                <w:szCs w:val="20"/>
                <w:color w:val="auto"/>
              </w:rPr>
            </w:pPr>
            <w:r>
              <w:rPr>
                <w:rFonts w:ascii="Calibri" w:cs="Calibri" w:eastAsia="Calibri" w:hAnsi="Calibri"/>
                <w:sz w:val="18"/>
                <w:szCs w:val="18"/>
                <w:color w:val="auto"/>
              </w:rPr>
              <w:t>Utlizaton</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(46)</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Balance as of October 29, 2023</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22"/>
        </w:trPr>
        <w:tc>
          <w:tcPr>
            <w:tcW w:w="6520" w:type="dxa"/>
            <w:vAlign w:val="bottom"/>
          </w:tcPr>
          <w:p>
            <w:pPr>
              <w:ind w:left="140"/>
              <w:spacing w:after="0" w:line="215" w:lineRule="exact"/>
              <w:rPr>
                <w:sz w:val="20"/>
                <w:szCs w:val="20"/>
                <w:color w:val="auto"/>
              </w:rPr>
            </w:pPr>
            <w:r>
              <w:rPr>
                <w:rFonts w:ascii="Calibri" w:cs="Calibri" w:eastAsia="Calibri" w:hAnsi="Calibri"/>
                <w:sz w:val="18"/>
                <w:szCs w:val="18"/>
                <w:color w:val="auto"/>
              </w:rPr>
              <w:t>Restructuring charges</w:t>
            </w:r>
          </w:p>
        </w:tc>
        <w:tc>
          <w:tcPr>
            <w:tcW w:w="36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1,510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277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1,787</w:t>
            </w:r>
          </w:p>
        </w:tc>
        <w:tc>
          <w:tcPr>
            <w:tcW w:w="0" w:type="dxa"/>
            <w:vAlign w:val="bottom"/>
          </w:tcPr>
          <w:p>
            <w:pPr>
              <w:spacing w:after="0"/>
              <w:rPr>
                <w:sz w:val="1"/>
                <w:szCs w:val="1"/>
                <w:color w:val="auto"/>
              </w:rPr>
            </w:pPr>
          </w:p>
        </w:tc>
      </w:tr>
      <w:tr>
        <w:trPr>
          <w:trHeight w:val="237"/>
        </w:trPr>
        <w:tc>
          <w:tcPr>
            <w:tcW w:w="65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Utlizaton</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(1,393)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(277)</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(1,670)</w:t>
            </w: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Calibri" w:cs="Calibri" w:eastAsia="Calibri" w:hAnsi="Calibri"/>
                <w:sz w:val="18"/>
                <w:szCs w:val="18"/>
                <w:color w:val="auto"/>
              </w:rPr>
              <w:t>Balance as of November 3, 2024</w:t>
            </w:r>
          </w:p>
        </w:tc>
        <w:tc>
          <w:tcPr>
            <w:tcW w:w="360" w:type="dxa"/>
            <w:vAlign w:val="bottom"/>
            <w:tcBorders>
              <w:bottom w:val="single" w:sz="8" w:color="auto"/>
            </w:tcBorders>
          </w:tcPr>
          <w:p>
            <w:pPr>
              <w:jc w:val="right"/>
              <w:ind w:right="156"/>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400" w:firstLine="405"/>
        <w:spacing w:after="0" w:line="235" w:lineRule="auto"/>
        <w:rPr>
          <w:sz w:val="20"/>
          <w:szCs w:val="20"/>
          <w:color w:val="auto"/>
        </w:rPr>
      </w:pPr>
      <w:r>
        <w:rPr>
          <w:rFonts w:ascii="Calibri" w:cs="Calibri" w:eastAsia="Calibri" w:hAnsi="Calibri"/>
          <w:sz w:val="18"/>
          <w:szCs w:val="18"/>
          <w:color w:val="auto"/>
        </w:rPr>
        <w:t>In connecton with the VMware Merger, we initated restructuring actvites to integrate the acquired business, align our workforce and improve efciencies in our operatons. Restructuring charges in fscal year 2024 primarily related to employee terminaton costs. We also incurred $277 million of impairment charges primarily related to lease assets and property, plant and equipment. We expect these restructuring actvites to be substantally completed by the end of fscal year 2025. These charges were recognized primarily in operatng expenses.</w:t>
      </w:r>
    </w:p>
    <w:p>
      <w:pPr>
        <w:spacing w:after="0" w:line="111"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During fscal year 2023, we incurred $24 million of impairment charges primarily related to lease assets and property, plant and equipment. During fscal year 2022, we incurred $38 million of impairment charges related to lease assets.</w:t>
      </w:r>
    </w:p>
    <w:p>
      <w:pPr>
        <w:spacing w:after="0" w:line="110" w:lineRule="exact"/>
        <w:rPr>
          <w:sz w:val="20"/>
          <w:szCs w:val="20"/>
          <w:color w:val="auto"/>
        </w:rPr>
      </w:pPr>
    </w:p>
    <w:p>
      <w:pPr>
        <w:ind w:right="100" w:firstLine="405"/>
        <w:spacing w:after="0" w:line="235" w:lineRule="auto"/>
        <w:rPr>
          <w:sz w:val="20"/>
          <w:szCs w:val="20"/>
          <w:color w:val="auto"/>
        </w:rPr>
      </w:pPr>
      <w:r>
        <w:rPr>
          <w:rFonts w:ascii="Calibri" w:cs="Calibri" w:eastAsia="Calibri" w:hAnsi="Calibri"/>
          <w:sz w:val="18"/>
          <w:szCs w:val="18"/>
          <w:color w:val="auto"/>
        </w:rPr>
        <w:t>As of November 3, 2024 and October 29, 2023, short-term and long-term lease liabilites included $192 million and $44 million of obligatons related to restructured leases, respectvely.</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Charges</w:t>
      </w:r>
    </w:p>
    <w:p>
      <w:pPr>
        <w:spacing w:after="0" w:line="109" w:lineRule="exact"/>
        <w:rPr>
          <w:sz w:val="20"/>
          <w:szCs w:val="20"/>
          <w:color w:val="auto"/>
        </w:rPr>
      </w:pPr>
    </w:p>
    <w:p>
      <w:pPr>
        <w:ind w:right="80" w:firstLine="405"/>
        <w:spacing w:after="0" w:line="235" w:lineRule="auto"/>
        <w:rPr>
          <w:sz w:val="20"/>
          <w:szCs w:val="20"/>
          <w:color w:val="auto"/>
        </w:rPr>
      </w:pPr>
      <w:r>
        <w:rPr>
          <w:rFonts w:ascii="Calibri" w:cs="Calibri" w:eastAsia="Calibri" w:hAnsi="Calibri"/>
          <w:sz w:val="18"/>
          <w:szCs w:val="18"/>
          <w:color w:val="auto"/>
        </w:rPr>
        <w:t>Restructuring and other charges in our consolidated statement of operatons for fscal year 2023 included $204 million of non-recurring charges related to IP litgaton.</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16. Subsequent Events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Dividends Declared</w:t>
      </w:r>
    </w:p>
    <w:p>
      <w:pPr>
        <w:spacing w:after="0" w:line="109" w:lineRule="exact"/>
        <w:rPr>
          <w:sz w:val="20"/>
          <w:szCs w:val="20"/>
          <w:color w:val="auto"/>
        </w:rPr>
      </w:pPr>
    </w:p>
    <w:p>
      <w:pPr>
        <w:ind w:left="420"/>
        <w:spacing w:after="0"/>
        <w:rPr>
          <w:sz w:val="20"/>
          <w:szCs w:val="20"/>
          <w:color w:val="auto"/>
        </w:rPr>
      </w:pPr>
      <w:r>
        <w:rPr>
          <w:rFonts w:ascii="Calibri" w:cs="Calibri" w:eastAsia="Calibri" w:hAnsi="Calibri"/>
          <w:sz w:val="17"/>
          <w:szCs w:val="17"/>
          <w:color w:val="auto"/>
        </w:rPr>
        <w:t>On December 10, 2024, our Board of Directors declared a quarterly cash dividend of $0.59 per share on our common stock, payable on December 31,</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2024 to stockholders of record on December 23, 2024.</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3" w:name="page94"/>
    <w:bookmarkEnd w:id="9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Schedule II — Valuaton and Qualifying Accounts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Balance at</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w w:val="99"/>
              </w:rPr>
              <w:t>Charges</w:t>
            </w:r>
          </w:p>
        </w:tc>
        <w:tc>
          <w:tcPr>
            <w:tcW w:w="160" w:type="dxa"/>
            <w:vAlign w:val="bottom"/>
          </w:tcPr>
          <w:p>
            <w:pPr>
              <w:spacing w:after="0"/>
              <w:rPr>
                <w:sz w:val="14"/>
                <w:szCs w:val="14"/>
                <w:color w:val="auto"/>
              </w:rPr>
            </w:pPr>
          </w:p>
        </w:tc>
        <w:tc>
          <w:tcPr>
            <w:tcW w:w="940" w:type="dxa"/>
            <w:vAlign w:val="bottom"/>
          </w:tcPr>
          <w:p>
            <w:pPr>
              <w:jc w:val="right"/>
              <w:ind w:right="155"/>
              <w:spacing w:after="0"/>
              <w:rPr>
                <w:sz w:val="20"/>
                <w:szCs w:val="20"/>
                <w:color w:val="auto"/>
              </w:rPr>
            </w:pPr>
            <w:r>
              <w:rPr>
                <w:rFonts w:ascii="Calibri" w:cs="Calibri" w:eastAsia="Calibri" w:hAnsi="Calibri"/>
                <w:sz w:val="14"/>
                <w:szCs w:val="14"/>
                <w:b w:val="1"/>
                <w:bCs w:val="1"/>
                <w:color w:val="auto"/>
              </w:rPr>
              <w:t>Balance at</w:t>
            </w:r>
          </w:p>
        </w:tc>
      </w:tr>
      <w:tr>
        <w:trPr>
          <w:trHeight w:val="148"/>
        </w:trPr>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Calibri" w:cs="Calibri" w:eastAsia="Calibri" w:hAnsi="Calibri"/>
                <w:sz w:val="14"/>
                <w:szCs w:val="14"/>
                <w:b w:val="1"/>
                <w:bCs w:val="1"/>
                <w:color w:val="auto"/>
              </w:rPr>
              <w:t>Beginning</w:t>
            </w:r>
          </w:p>
        </w:tc>
        <w:tc>
          <w:tcPr>
            <w:tcW w:w="14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Calibri" w:cs="Calibri" w:eastAsia="Calibri" w:hAnsi="Calibri"/>
                <w:sz w:val="14"/>
                <w:szCs w:val="14"/>
                <w:b w:val="1"/>
                <w:bCs w:val="1"/>
                <w:color w:val="auto"/>
              </w:rPr>
              <w:t>Additons to</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Calibri" w:cs="Calibri" w:eastAsia="Calibri" w:hAnsi="Calibri"/>
                <w:sz w:val="14"/>
                <w:szCs w:val="14"/>
                <w:b w:val="1"/>
                <w:bCs w:val="1"/>
                <w:color w:val="auto"/>
              </w:rPr>
              <w:t>Utlized/</w:t>
            </w:r>
          </w:p>
        </w:tc>
        <w:tc>
          <w:tcPr>
            <w:tcW w:w="160" w:type="dxa"/>
            <w:vAlign w:val="bottom"/>
          </w:tcPr>
          <w:p>
            <w:pPr>
              <w:spacing w:after="0"/>
              <w:rPr>
                <w:sz w:val="12"/>
                <w:szCs w:val="12"/>
                <w:color w:val="auto"/>
              </w:rPr>
            </w:pPr>
          </w:p>
        </w:tc>
        <w:tc>
          <w:tcPr>
            <w:tcW w:w="940" w:type="dxa"/>
            <w:vAlign w:val="bottom"/>
          </w:tcPr>
          <w:p>
            <w:pPr>
              <w:jc w:val="right"/>
              <w:ind w:right="275"/>
              <w:spacing w:after="0" w:line="149" w:lineRule="exact"/>
              <w:rPr>
                <w:sz w:val="20"/>
                <w:szCs w:val="20"/>
                <w:color w:val="auto"/>
              </w:rPr>
            </w:pPr>
            <w:r>
              <w:rPr>
                <w:rFonts w:ascii="Calibri" w:cs="Calibri" w:eastAsia="Calibri" w:hAnsi="Calibri"/>
                <w:sz w:val="14"/>
                <w:szCs w:val="14"/>
                <w:b w:val="1"/>
                <w:bCs w:val="1"/>
                <w:color w:val="auto"/>
              </w:rPr>
              <w:t>End of</w:t>
            </w:r>
          </w:p>
        </w:tc>
      </w:tr>
      <w:tr>
        <w:trPr>
          <w:trHeight w:val="170"/>
        </w:trPr>
        <w:tc>
          <w:tcPr>
            <w:tcW w:w="6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of Period</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Allowances</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Write-ofs</w:t>
            </w:r>
          </w:p>
        </w:tc>
        <w:tc>
          <w:tcPr>
            <w:tcW w:w="160" w:type="dxa"/>
            <w:vAlign w:val="bottom"/>
          </w:tcPr>
          <w:p>
            <w:pPr>
              <w:spacing w:after="0"/>
              <w:rPr>
                <w:sz w:val="14"/>
                <w:szCs w:val="14"/>
                <w:color w:val="auto"/>
              </w:rPr>
            </w:pPr>
          </w:p>
        </w:tc>
        <w:tc>
          <w:tcPr>
            <w:tcW w:w="940" w:type="dxa"/>
            <w:vAlign w:val="bottom"/>
          </w:tcPr>
          <w:p>
            <w:pPr>
              <w:jc w:val="right"/>
              <w:ind w:right="275"/>
              <w:spacing w:after="0"/>
              <w:rPr>
                <w:sz w:val="20"/>
                <w:szCs w:val="20"/>
                <w:color w:val="auto"/>
              </w:rPr>
            </w:pPr>
            <w:r>
              <w:rPr>
                <w:rFonts w:ascii="Calibri" w:cs="Calibri" w:eastAsia="Calibri" w:hAnsi="Calibri"/>
                <w:sz w:val="14"/>
                <w:szCs w:val="14"/>
                <w:b w:val="1"/>
                <w:bCs w:val="1"/>
                <w:color w:val="auto"/>
              </w:rPr>
              <w:t>Period</w:t>
            </w:r>
          </w:p>
        </w:tc>
      </w:tr>
      <w:tr>
        <w:trPr>
          <w:trHeight w:val="46"/>
        </w:trPr>
        <w:tc>
          <w:tcPr>
            <w:tcW w:w="64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190"/>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5"/>
          </w:tcPr>
          <w:p>
            <w:pPr>
              <w:ind w:left="680"/>
              <w:spacing w:after="0"/>
              <w:rPr>
                <w:sz w:val="20"/>
                <w:szCs w:val="20"/>
                <w:color w:val="auto"/>
              </w:rPr>
            </w:pPr>
            <w:r>
              <w:rPr>
                <w:rFonts w:ascii="Calibri" w:cs="Calibri" w:eastAsia="Calibri" w:hAnsi="Calibri"/>
                <w:sz w:val="14"/>
                <w:szCs w:val="14"/>
                <w:b w:val="1"/>
                <w:bCs w:val="1"/>
                <w:color w:val="auto"/>
              </w:rPr>
              <w:t>(In millions)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47"/>
        </w:trPr>
        <w:tc>
          <w:tcPr>
            <w:tcW w:w="6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29"/>
        </w:trPr>
        <w:tc>
          <w:tcPr>
            <w:tcW w:w="64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Accounts receivable allowances: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480" w:type="dxa"/>
            <w:vAlign w:val="bottom"/>
          </w:tcPr>
          <w:p>
            <w:pPr>
              <w:ind w:left="140"/>
              <w:spacing w:after="0" w:line="230" w:lineRule="exact"/>
              <w:rPr>
                <w:sz w:val="20"/>
                <w:szCs w:val="20"/>
                <w:color w:val="auto"/>
              </w:rPr>
            </w:pPr>
            <w:r>
              <w:rPr>
                <w:rFonts w:ascii="Calibri" w:cs="Calibri" w:eastAsia="Calibri" w:hAnsi="Calibri"/>
                <w:sz w:val="18"/>
                <w:szCs w:val="18"/>
                <w:color w:val="auto"/>
              </w:rPr>
              <w:t xml:space="preserve">Distributor credit allowances </w:t>
            </w:r>
            <w:r>
              <w:rPr>
                <w:rFonts w:ascii="Calibri" w:cs="Calibri" w:eastAsia="Calibri" w:hAnsi="Calibri"/>
                <w:sz w:val="23"/>
                <w:szCs w:val="23"/>
                <w:color w:val="auto"/>
                <w:vertAlign w:val="superscript"/>
              </w:rPr>
              <w:t>(a)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480" w:type="dxa"/>
            <w:vAlign w:val="bottom"/>
            <w:shd w:val="clear" w:color="auto" w:fill="CCEEFF"/>
          </w:tcPr>
          <w:p>
            <w:pPr>
              <w:ind w:left="140"/>
              <w:spacing w:after="0" w:line="215" w:lineRule="exact"/>
              <w:rPr>
                <w:sz w:val="20"/>
                <w:szCs w:val="20"/>
                <w:color w:val="auto"/>
              </w:rPr>
            </w:pPr>
            <w:r>
              <w:rPr>
                <w:rFonts w:ascii="Calibri" w:cs="Calibri" w:eastAsia="Calibri" w:hAnsi="Calibri"/>
                <w:sz w:val="18"/>
                <w:szCs w:val="18"/>
                <w:color w:val="auto"/>
              </w:rPr>
              <w:t>Fiscal year ended November 3, 2024</w:t>
            </w: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94</w:t>
            </w:r>
          </w:p>
        </w:tc>
      </w:tr>
      <w:tr>
        <w:trPr>
          <w:trHeight w:val="222"/>
        </w:trPr>
        <w:tc>
          <w:tcPr>
            <w:tcW w:w="6480" w:type="dxa"/>
            <w:vAlign w:val="bottom"/>
          </w:tcPr>
          <w:p>
            <w:pPr>
              <w:ind w:left="140"/>
              <w:spacing w:after="0" w:line="215" w:lineRule="exact"/>
              <w:rPr>
                <w:sz w:val="20"/>
                <w:szCs w:val="20"/>
                <w:color w:val="auto"/>
              </w:rPr>
            </w:pPr>
            <w:r>
              <w:rPr>
                <w:rFonts w:ascii="Calibri" w:cs="Calibri" w:eastAsia="Calibri" w:hAnsi="Calibri"/>
                <w:sz w:val="18"/>
                <w:szCs w:val="18"/>
                <w:color w:val="auto"/>
              </w:rPr>
              <w:t>Fiscal year ended October 29, 2023</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125</w:t>
            </w:r>
          </w:p>
        </w:tc>
        <w:tc>
          <w:tcPr>
            <w:tcW w:w="10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502</w:t>
            </w:r>
          </w:p>
        </w:tc>
        <w:tc>
          <w:tcPr>
            <w:tcW w:w="12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(494)</w:t>
            </w:r>
          </w:p>
        </w:tc>
        <w:tc>
          <w:tcPr>
            <w:tcW w:w="120" w:type="dxa"/>
            <w:vAlign w:val="bottom"/>
          </w:tcPr>
          <w:p>
            <w:pPr>
              <w:spacing w:after="0"/>
              <w:rPr>
                <w:sz w:val="19"/>
                <w:szCs w:val="19"/>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133</w:t>
            </w:r>
          </w:p>
        </w:tc>
      </w:tr>
      <w:tr>
        <w:trPr>
          <w:trHeight w:val="237"/>
        </w:trPr>
        <w:tc>
          <w:tcPr>
            <w:tcW w:w="64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Fiscal year ended October 30, 2022</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484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(487)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125</w:t>
            </w:r>
          </w:p>
        </w:tc>
      </w:tr>
      <w:tr>
        <w:trPr>
          <w:trHeight w:val="270"/>
        </w:trPr>
        <w:tc>
          <w:tcPr>
            <w:tcW w:w="6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9"/>
        </w:trPr>
        <w:tc>
          <w:tcPr>
            <w:tcW w:w="6480" w:type="dxa"/>
            <w:vAlign w:val="bottom"/>
            <w:shd w:val="clear" w:color="auto" w:fill="CCEEFF"/>
          </w:tcPr>
          <w:p>
            <w:pPr>
              <w:ind w:left="140"/>
              <w:spacing w:after="0" w:line="230" w:lineRule="exact"/>
              <w:rPr>
                <w:sz w:val="20"/>
                <w:szCs w:val="20"/>
                <w:color w:val="auto"/>
              </w:rPr>
            </w:pPr>
            <w:r>
              <w:rPr>
                <w:rFonts w:ascii="Calibri" w:cs="Calibri" w:eastAsia="Calibri" w:hAnsi="Calibri"/>
                <w:sz w:val="18"/>
                <w:szCs w:val="18"/>
                <w:color w:val="auto"/>
              </w:rPr>
              <w:t xml:space="preserve">Other accounts receivable allowances </w:t>
            </w:r>
            <w:r>
              <w:rPr>
                <w:rFonts w:ascii="Calibri" w:cs="Calibri" w:eastAsia="Calibri" w:hAnsi="Calibri"/>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2"/>
        </w:trPr>
        <w:tc>
          <w:tcPr>
            <w:tcW w:w="6480" w:type="dxa"/>
            <w:vAlign w:val="bottom"/>
          </w:tcPr>
          <w:p>
            <w:pPr>
              <w:ind w:left="140"/>
              <w:spacing w:after="0" w:line="215" w:lineRule="exact"/>
              <w:rPr>
                <w:sz w:val="20"/>
                <w:szCs w:val="20"/>
                <w:color w:val="auto"/>
              </w:rPr>
            </w:pPr>
            <w:r>
              <w:rPr>
                <w:rFonts w:ascii="Calibri" w:cs="Calibri" w:eastAsia="Calibri" w:hAnsi="Calibri"/>
                <w:sz w:val="18"/>
                <w:szCs w:val="18"/>
                <w:color w:val="auto"/>
              </w:rPr>
              <w:t>Fiscal year ended November 3, 2024</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10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17</w:t>
            </w:r>
          </w:p>
        </w:tc>
        <w:tc>
          <w:tcPr>
            <w:tcW w:w="12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120" w:type="dxa"/>
            <w:vAlign w:val="bottom"/>
          </w:tcPr>
          <w:p>
            <w:pPr>
              <w:spacing w:after="0"/>
              <w:rPr>
                <w:sz w:val="19"/>
                <w:szCs w:val="19"/>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r>
      <w:tr>
        <w:trPr>
          <w:trHeight w:val="237"/>
        </w:trPr>
        <w:tc>
          <w:tcPr>
            <w:tcW w:w="64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Fiscal year ended October 29, 2023</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w:t>
            </w:r>
          </w:p>
        </w:tc>
      </w:tr>
      <w:tr>
        <w:trPr>
          <w:trHeight w:val="222"/>
        </w:trPr>
        <w:tc>
          <w:tcPr>
            <w:tcW w:w="6480" w:type="dxa"/>
            <w:vAlign w:val="bottom"/>
          </w:tcPr>
          <w:p>
            <w:pPr>
              <w:ind w:left="140"/>
              <w:spacing w:after="0" w:line="215" w:lineRule="exact"/>
              <w:rPr>
                <w:sz w:val="20"/>
                <w:szCs w:val="20"/>
                <w:color w:val="auto"/>
              </w:rPr>
            </w:pPr>
            <w:r>
              <w:rPr>
                <w:rFonts w:ascii="Calibri" w:cs="Calibri" w:eastAsia="Calibri" w:hAnsi="Calibri"/>
                <w:sz w:val="18"/>
                <w:szCs w:val="18"/>
                <w:color w:val="auto"/>
              </w:rPr>
              <w:t>Fiscal year ended October 30, 2022</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12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20" w:type="dxa"/>
            <w:vAlign w:val="bottom"/>
          </w:tcPr>
          <w:p>
            <w:pPr>
              <w:spacing w:after="0"/>
              <w:rPr>
                <w:sz w:val="19"/>
                <w:szCs w:val="19"/>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r>
      <w:tr>
        <w:trPr>
          <w:trHeight w:val="277"/>
        </w:trPr>
        <w:tc>
          <w:tcPr>
            <w:tcW w:w="6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22"/>
        </w:trPr>
        <w:tc>
          <w:tcPr>
            <w:tcW w:w="6480" w:type="dxa"/>
            <w:vAlign w:val="bottom"/>
          </w:tcPr>
          <w:p>
            <w:pPr>
              <w:ind w:left="20"/>
              <w:spacing w:after="0" w:line="215" w:lineRule="exact"/>
              <w:rPr>
                <w:sz w:val="20"/>
                <w:szCs w:val="20"/>
                <w:color w:val="auto"/>
              </w:rPr>
            </w:pPr>
            <w:r>
              <w:rPr>
                <w:rFonts w:ascii="Calibri" w:cs="Calibri" w:eastAsia="Calibri" w:hAnsi="Calibri"/>
                <w:sz w:val="18"/>
                <w:szCs w:val="18"/>
                <w:color w:val="auto"/>
              </w:rPr>
              <w:t>Income tax valuaton allowances: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7"/>
        </w:trPr>
        <w:tc>
          <w:tcPr>
            <w:tcW w:w="64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Fiscal year ended November 3, 2024</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3,151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(2,722)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2,218</w:t>
            </w:r>
          </w:p>
        </w:tc>
      </w:tr>
      <w:tr>
        <w:trPr>
          <w:trHeight w:val="222"/>
        </w:trPr>
        <w:tc>
          <w:tcPr>
            <w:tcW w:w="6480" w:type="dxa"/>
            <w:vAlign w:val="bottom"/>
          </w:tcPr>
          <w:p>
            <w:pPr>
              <w:ind w:left="140"/>
              <w:spacing w:after="0" w:line="215" w:lineRule="exact"/>
              <w:rPr>
                <w:sz w:val="20"/>
                <w:szCs w:val="20"/>
                <w:color w:val="auto"/>
              </w:rPr>
            </w:pPr>
            <w:r>
              <w:rPr>
                <w:rFonts w:ascii="Calibri" w:cs="Calibri" w:eastAsia="Calibri" w:hAnsi="Calibri"/>
                <w:sz w:val="18"/>
                <w:szCs w:val="18"/>
                <w:color w:val="auto"/>
              </w:rPr>
              <w:t>Fiscal year ended October 29, 2023</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1,777</w:t>
            </w:r>
          </w:p>
        </w:tc>
        <w:tc>
          <w:tcPr>
            <w:tcW w:w="10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117</w:t>
            </w:r>
          </w:p>
        </w:tc>
        <w:tc>
          <w:tcPr>
            <w:tcW w:w="12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(105)</w:t>
            </w:r>
          </w:p>
        </w:tc>
        <w:tc>
          <w:tcPr>
            <w:tcW w:w="120" w:type="dxa"/>
            <w:vAlign w:val="bottom"/>
          </w:tcPr>
          <w:p>
            <w:pPr>
              <w:spacing w:after="0"/>
              <w:rPr>
                <w:sz w:val="19"/>
                <w:szCs w:val="19"/>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1,789</w:t>
            </w:r>
          </w:p>
        </w:tc>
      </w:tr>
      <w:tr>
        <w:trPr>
          <w:trHeight w:val="237"/>
        </w:trPr>
        <w:tc>
          <w:tcPr>
            <w:tcW w:w="64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Fiscal year ended October 30, 2022</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1,782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1,777</w:t>
            </w:r>
          </w:p>
        </w:tc>
      </w:tr>
      <w:tr>
        <w:trPr>
          <w:trHeight w:val="273"/>
        </w:trPr>
        <w:tc>
          <w:tcPr>
            <w:tcW w:w="6480" w:type="dxa"/>
            <w:vAlign w:val="bottom"/>
          </w:tcPr>
          <w:p>
            <w:pPr>
              <w:spacing w:after="0"/>
              <w:rPr>
                <w:sz w:val="20"/>
                <w:szCs w:val="20"/>
                <w:color w:val="auto"/>
              </w:rPr>
            </w:pPr>
            <w:r>
              <w:rPr>
                <w:rFonts w:ascii="Calibri" w:cs="Calibri" w:eastAsia="Calibri" w:hAnsi="Calibri"/>
                <w:sz w:val="18"/>
                <w:szCs w:val="18"/>
                <w:color w:val="auto"/>
              </w:rPr>
              <w:t>________________________________</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104" w:lineRule="exact"/>
        <w:rPr>
          <w:sz w:val="20"/>
          <w:szCs w:val="20"/>
          <w:color w:val="auto"/>
        </w:rPr>
      </w:pPr>
    </w:p>
    <w:p>
      <w:pPr>
        <w:ind w:left="320" w:hanging="312"/>
        <w:spacing w:after="0"/>
        <w:tabs>
          <w:tab w:leader="none" w:pos="32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Distributor credit allowances relate to price adjustments and other allowances.</w:t>
      </w:r>
    </w:p>
    <w:p>
      <w:pPr>
        <w:spacing w:after="0" w:line="104" w:lineRule="exact"/>
        <w:rPr>
          <w:rFonts w:ascii="Calibri" w:cs="Calibri" w:eastAsia="Calibri" w:hAnsi="Calibri"/>
          <w:sz w:val="18"/>
          <w:szCs w:val="18"/>
          <w:color w:val="auto"/>
        </w:rPr>
      </w:pPr>
    </w:p>
    <w:p>
      <w:pPr>
        <w:ind w:left="320" w:hanging="312"/>
        <w:spacing w:after="0"/>
        <w:tabs>
          <w:tab w:leader="none" w:pos="32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Other accounts receivable allowances primarily include sales returns and allowance for doubtul accounts.</w:t>
      </w:r>
    </w:p>
    <w:p>
      <w:pPr>
        <w:spacing w:after="0" w:line="104" w:lineRule="exact"/>
        <w:rPr>
          <w:sz w:val="20"/>
          <w:szCs w:val="20"/>
          <w:color w:val="auto"/>
        </w:rPr>
      </w:pPr>
    </w:p>
    <w:p>
      <w:pPr>
        <w:spacing w:after="0"/>
        <w:tabs>
          <w:tab w:leader="none" w:pos="1100" w:val="left"/>
        </w:tabs>
        <w:rPr>
          <w:sz w:val="20"/>
          <w:szCs w:val="20"/>
          <w:color w:val="auto"/>
        </w:rPr>
      </w:pPr>
      <w:r>
        <w:rPr>
          <w:rFonts w:ascii="Calibri" w:cs="Calibri" w:eastAsia="Calibri" w:hAnsi="Calibri"/>
          <w:sz w:val="18"/>
          <w:szCs w:val="18"/>
          <w:b w:val="1"/>
          <w:bCs w:val="1"/>
          <w:color w:val="auto"/>
        </w:rPr>
        <w:t>ITEM 9.</w:t>
      </w:r>
      <w:r>
        <w:rPr>
          <w:sz w:val="20"/>
          <w:szCs w:val="20"/>
          <w:color w:val="auto"/>
        </w:rPr>
        <w:tab/>
      </w:r>
      <w:r>
        <w:rPr>
          <w:rFonts w:ascii="Calibri" w:cs="Calibri" w:eastAsia="Calibri" w:hAnsi="Calibri"/>
          <w:sz w:val="17"/>
          <w:szCs w:val="17"/>
          <w:b w:val="1"/>
          <w:bCs w:val="1"/>
          <w:color w:val="auto"/>
        </w:rPr>
        <w:t>CHANGES IN AND DISAGREEMENTS WITH ACCOUNTANTS ON ACCOUNTING AND FINANCIAL DISCLOSURE</w:t>
      </w:r>
    </w:p>
    <w:p>
      <w:pPr>
        <w:spacing w:after="0" w:line="104"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Not applicable.</w:t>
      </w:r>
    </w:p>
    <w:p>
      <w:pPr>
        <w:spacing w:after="0" w:line="104" w:lineRule="exact"/>
        <w:rPr>
          <w:sz w:val="20"/>
          <w:szCs w:val="20"/>
          <w:color w:val="auto"/>
        </w:rPr>
      </w:pPr>
    </w:p>
    <w:p>
      <w:pPr>
        <w:spacing w:after="0"/>
        <w:tabs>
          <w:tab w:leader="none" w:pos="1100" w:val="left"/>
        </w:tabs>
        <w:rPr>
          <w:sz w:val="20"/>
          <w:szCs w:val="20"/>
          <w:color w:val="auto"/>
        </w:rPr>
      </w:pPr>
      <w:r>
        <w:rPr>
          <w:rFonts w:ascii="Calibri" w:cs="Calibri" w:eastAsia="Calibri" w:hAnsi="Calibri"/>
          <w:sz w:val="18"/>
          <w:szCs w:val="18"/>
          <w:b w:val="1"/>
          <w:bCs w:val="1"/>
          <w:color w:val="auto"/>
        </w:rPr>
        <w:t>ITEM 9A.</w:t>
      </w:r>
      <w:r>
        <w:rPr>
          <w:sz w:val="20"/>
          <w:szCs w:val="20"/>
          <w:color w:val="auto"/>
        </w:rPr>
        <w:tab/>
      </w:r>
      <w:r>
        <w:rPr>
          <w:rFonts w:ascii="Calibri" w:cs="Calibri" w:eastAsia="Calibri" w:hAnsi="Calibri"/>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Evaluaton of Disclosure Controls and Procedures</w:t>
      </w:r>
    </w:p>
    <w:p>
      <w:pPr>
        <w:spacing w:after="0" w:line="109" w:lineRule="exact"/>
        <w:rPr>
          <w:sz w:val="20"/>
          <w:szCs w:val="20"/>
          <w:color w:val="auto"/>
        </w:rPr>
      </w:pPr>
    </w:p>
    <w:p>
      <w:pPr>
        <w:ind w:right="80" w:firstLine="405"/>
        <w:spacing w:after="0" w:line="235" w:lineRule="auto"/>
        <w:rPr>
          <w:sz w:val="20"/>
          <w:szCs w:val="20"/>
          <w:color w:val="auto"/>
        </w:rPr>
      </w:pPr>
      <w:r>
        <w:rPr>
          <w:rFonts w:ascii="Calibri" w:cs="Calibri" w:eastAsia="Calibri" w:hAnsi="Calibri"/>
          <w:sz w:val="18"/>
          <w:szCs w:val="18"/>
          <w:color w:val="auto"/>
        </w:rPr>
        <w:t>Our management, with the partcipaton of our Chief Executve Ofcer (“CEO”) and Chief Financial Ofcer (“CFO”), evaluated the efectveness of our disclosure controls and procedures as of November 3, 2024. The term “disclosure controls and procedures,” as defned in Rules 13a-15(e) and 15d-15(e) under the Exchange Act, means controls and other procedures of a company that are designed to ensure that informaton required to be disclosed by a company in the reports that it fles or submits under the Exchange Act is recorded, processed, summarized and reported within the tme periods specifed in the SEC’s rules and forms. Disclosure controls and procedures include, without limitaton, controls and procedures designed to ensure that informaton required to be disclosed by a company in the reports that it fles or submits under the Exchange Act is accumulated and communicated to our management, including its principal executve and principal fnancial ofcers, as appropriate to allow tmely decisions regarding required disclosure. Management recognizes that any controls and procedures, no mater how well designed and operated, can provide only reasonable assurance of achieving their objectves and management necessarily applies its judgment in evaluatng the cost-beneft relatonship of possible controls and procedures. Based on the evaluaton of our disclosure controls and procedures as of November 3, 2024, our CEO and CFO concluded that, as of such date, our disclosure controls and procedures were efectve at the reasonable assurance level.</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4" w:name="page95"/>
    <w:bookmarkEnd w:id="9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Management’s Report on Internal Control Over Financial Reportng</w:t>
      </w:r>
    </w:p>
    <w:p>
      <w:pPr>
        <w:spacing w:after="0" w:line="109"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Our management is responsible for establishing and maintaining adequate internal control over fnancial reportng. Internal control over fnancial reportng is defned in Rules 13a-15(f) and 15d-15(f) promulgated under the Exchange Act as a process designed by, or under the supervision of, our principal executve and principal fnancial ofcers and efected by the Board of Directors, management and other personnel, to provide reasonable assurance regarding the reliability of fnancial reportng and the preparaton of fnancial statements for external purposes in accordance with GAAP and includes those policies and procedures that:</w:t>
      </w:r>
    </w:p>
    <w:p>
      <w:pPr>
        <w:spacing w:after="0" w:line="107" w:lineRule="exact"/>
        <w:rPr>
          <w:sz w:val="20"/>
          <w:szCs w:val="20"/>
          <w:color w:val="auto"/>
        </w:rPr>
      </w:pPr>
    </w:p>
    <w:p>
      <w:pPr>
        <w:ind w:left="820" w:hanging="407"/>
        <w:spacing w:after="0"/>
        <w:tabs>
          <w:tab w:leader="none" w:pos="820" w:val="left"/>
        </w:tabs>
        <w:numPr>
          <w:ilvl w:val="0"/>
          <w:numId w:val="51"/>
        </w:numPr>
        <w:rPr>
          <w:rFonts w:ascii="Calibri" w:cs="Calibri" w:eastAsia="Calibri" w:hAnsi="Calibri"/>
          <w:sz w:val="18"/>
          <w:szCs w:val="18"/>
          <w:color w:val="auto"/>
        </w:rPr>
      </w:pPr>
      <w:r>
        <w:rPr>
          <w:rFonts w:ascii="Calibri" w:cs="Calibri" w:eastAsia="Calibri" w:hAnsi="Calibri"/>
          <w:sz w:val="18"/>
          <w:szCs w:val="18"/>
          <w:color w:val="auto"/>
        </w:rPr>
        <w:t>pertain to the maintenance of records that in reasonable detail accurately and fairly refect the transactons and dispositons of the assets;</w:t>
      </w:r>
    </w:p>
    <w:p>
      <w:pPr>
        <w:spacing w:after="0" w:line="109" w:lineRule="exact"/>
        <w:rPr>
          <w:rFonts w:ascii="Calibri" w:cs="Calibri" w:eastAsia="Calibri" w:hAnsi="Calibri"/>
          <w:sz w:val="18"/>
          <w:szCs w:val="18"/>
          <w:color w:val="auto"/>
        </w:rPr>
      </w:pPr>
    </w:p>
    <w:p>
      <w:pPr>
        <w:ind w:left="820" w:right="60" w:hanging="407"/>
        <w:spacing w:after="0" w:line="235" w:lineRule="auto"/>
        <w:tabs>
          <w:tab w:leader="none" w:pos="813" w:val="left"/>
        </w:tabs>
        <w:numPr>
          <w:ilvl w:val="0"/>
          <w:numId w:val="51"/>
        </w:numPr>
        <w:rPr>
          <w:rFonts w:ascii="Calibri" w:cs="Calibri" w:eastAsia="Calibri" w:hAnsi="Calibri"/>
          <w:sz w:val="18"/>
          <w:szCs w:val="18"/>
          <w:color w:val="auto"/>
        </w:rPr>
      </w:pPr>
      <w:r>
        <w:rPr>
          <w:rFonts w:ascii="Calibri" w:cs="Calibri" w:eastAsia="Calibri" w:hAnsi="Calibri"/>
          <w:sz w:val="18"/>
          <w:szCs w:val="18"/>
          <w:color w:val="auto"/>
        </w:rPr>
        <w:t>provide reasonable assurance that transactons are recorded as necessary to permit preparaton of fnancial statements in accordance with GAAP, and that receipts and expenditures of us are being made only in accordance with authorizatons of management and directors; and</w:t>
      </w:r>
    </w:p>
    <w:p>
      <w:pPr>
        <w:spacing w:after="0" w:line="109" w:lineRule="exact"/>
        <w:rPr>
          <w:rFonts w:ascii="Calibri" w:cs="Calibri" w:eastAsia="Calibri" w:hAnsi="Calibri"/>
          <w:sz w:val="18"/>
          <w:szCs w:val="18"/>
          <w:color w:val="auto"/>
        </w:rPr>
      </w:pPr>
    </w:p>
    <w:p>
      <w:pPr>
        <w:ind w:left="820" w:right="320" w:hanging="407"/>
        <w:spacing w:after="0" w:line="235" w:lineRule="auto"/>
        <w:tabs>
          <w:tab w:leader="none" w:pos="813" w:val="left"/>
        </w:tabs>
        <w:numPr>
          <w:ilvl w:val="0"/>
          <w:numId w:val="51"/>
        </w:numPr>
        <w:rPr>
          <w:rFonts w:ascii="Calibri" w:cs="Calibri" w:eastAsia="Calibri" w:hAnsi="Calibri"/>
          <w:sz w:val="18"/>
          <w:szCs w:val="18"/>
          <w:color w:val="auto"/>
        </w:rPr>
      </w:pPr>
      <w:r>
        <w:rPr>
          <w:rFonts w:ascii="Calibri" w:cs="Calibri" w:eastAsia="Calibri" w:hAnsi="Calibri"/>
          <w:sz w:val="18"/>
          <w:szCs w:val="18"/>
          <w:color w:val="auto"/>
        </w:rPr>
        <w:t>provide reasonable assurance regarding preventon or tmely detecton of unauthorized acquisiton, use or dispositon of our assets that could have a material efect on the fnancial statements.</w:t>
      </w:r>
    </w:p>
    <w:p>
      <w:pPr>
        <w:spacing w:after="0" w:line="110" w:lineRule="exact"/>
        <w:rPr>
          <w:sz w:val="20"/>
          <w:szCs w:val="20"/>
          <w:color w:val="auto"/>
        </w:rPr>
      </w:pPr>
    </w:p>
    <w:p>
      <w:pPr>
        <w:ind w:right="180" w:firstLine="405"/>
        <w:spacing w:after="0" w:line="235" w:lineRule="auto"/>
        <w:rPr>
          <w:sz w:val="20"/>
          <w:szCs w:val="20"/>
          <w:color w:val="auto"/>
        </w:rPr>
      </w:pPr>
      <w:r>
        <w:rPr>
          <w:rFonts w:ascii="Calibri" w:cs="Calibri" w:eastAsia="Calibri" w:hAnsi="Calibri"/>
          <w:sz w:val="18"/>
          <w:szCs w:val="18"/>
          <w:color w:val="auto"/>
        </w:rPr>
        <w:t>Because of its inherent limitatons, internal control over fnancial reportng may not prevent or detect misstatements. Projectons of any evaluaton of efectveness to future periods are subject to the risk that controls may become inadequate because of changes in conditons, or that the degree of compliance with the policies or procedures may deteriorate.</w:t>
      </w:r>
    </w:p>
    <w:p>
      <w:pPr>
        <w:spacing w:after="0" w:line="111"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 xml:space="preserve">Our management assessed the efectveness of our internal control over fnancial reportng as of November 3, 2024. In making this assessment, our management used the criteria set forth by the Commitee of Sponsoring Organizatons of the Treadway Commission in </w:t>
      </w:r>
      <w:r>
        <w:rPr>
          <w:rFonts w:ascii="Calibri" w:cs="Calibri" w:eastAsia="Calibri" w:hAnsi="Calibri"/>
          <w:sz w:val="18"/>
          <w:szCs w:val="18"/>
          <w:i w:val="1"/>
          <w:iCs w:val="1"/>
          <w:color w:val="auto"/>
        </w:rPr>
        <w:t>Internal Control-Integrated Framework</w:t>
      </w:r>
      <w:r>
        <w:rPr>
          <w:rFonts w:ascii="Calibri" w:cs="Calibri" w:eastAsia="Calibri" w:hAnsi="Calibri"/>
          <w:sz w:val="18"/>
          <w:szCs w:val="18"/>
          <w:color w:val="auto"/>
        </w:rPr>
        <w:t xml:space="preserve"> (2013)</w:t>
      </w:r>
      <w:r>
        <w:rPr>
          <w:rFonts w:ascii="Calibri" w:cs="Calibri" w:eastAsia="Calibri" w:hAnsi="Calibri"/>
          <w:sz w:val="18"/>
          <w:szCs w:val="18"/>
          <w:i w:val="1"/>
          <w:iCs w:val="1"/>
          <w:color w:val="auto"/>
        </w:rPr>
        <w:t>.</w:t>
      </w:r>
      <w:r>
        <w:rPr>
          <w:rFonts w:ascii="Calibri" w:cs="Calibri" w:eastAsia="Calibri" w:hAnsi="Calibri"/>
          <w:sz w:val="18"/>
          <w:szCs w:val="18"/>
          <w:color w:val="auto"/>
        </w:rPr>
        <w:t xml:space="preserve"> Based on this assessment, our management concluded that, as of November 3, 2024, our internal control over fnancial reportng is efectve based on those criteria.</w:t>
      </w:r>
    </w:p>
    <w:p>
      <w:pPr>
        <w:spacing w:after="0" w:line="111" w:lineRule="exact"/>
        <w:rPr>
          <w:sz w:val="20"/>
          <w:szCs w:val="20"/>
          <w:color w:val="auto"/>
        </w:rPr>
      </w:pPr>
    </w:p>
    <w:p>
      <w:pPr>
        <w:ind w:right="720" w:firstLine="405"/>
        <w:spacing w:after="0" w:line="258" w:lineRule="auto"/>
        <w:rPr>
          <w:sz w:val="20"/>
          <w:szCs w:val="20"/>
          <w:color w:val="auto"/>
        </w:rPr>
      </w:pPr>
      <w:r>
        <w:rPr>
          <w:rFonts w:ascii="Calibri" w:cs="Calibri" w:eastAsia="Calibri" w:hAnsi="Calibri"/>
          <w:sz w:val="17"/>
          <w:szCs w:val="17"/>
          <w:color w:val="auto"/>
        </w:rPr>
        <w:t>The efectveness of our internal control over fnancial reportng as of November 3, 2024 has been audited by PricewaterhouseCoopers LLP, an independent registered public accountng frm, as stated in their report which is included in Part II, Item 8. of this Annual Report on Form 10-K.</w:t>
      </w:r>
    </w:p>
    <w:p>
      <w:pPr>
        <w:spacing w:after="0" w:line="8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Changes in Internal Control over Financial Reportng</w:t>
      </w:r>
    </w:p>
    <w:p>
      <w:pPr>
        <w:spacing w:after="0" w:line="109" w:lineRule="exact"/>
        <w:rPr>
          <w:sz w:val="20"/>
          <w:szCs w:val="20"/>
          <w:color w:val="auto"/>
        </w:rPr>
      </w:pPr>
    </w:p>
    <w:p>
      <w:pPr>
        <w:ind w:right="160" w:firstLine="405"/>
        <w:spacing w:after="0" w:line="258" w:lineRule="auto"/>
        <w:rPr>
          <w:sz w:val="20"/>
          <w:szCs w:val="20"/>
          <w:color w:val="auto"/>
        </w:rPr>
      </w:pPr>
      <w:r>
        <w:rPr>
          <w:rFonts w:ascii="Calibri" w:cs="Calibri" w:eastAsia="Calibri" w:hAnsi="Calibri"/>
          <w:sz w:val="17"/>
          <w:szCs w:val="17"/>
          <w:color w:val="auto"/>
        </w:rPr>
        <w:t>No change in our internal control over fnancial reportng (as defned in Rules 13a-15(f) and 15d-15(f) under the Exchange Act) occurred during the fourth quarter ended November 3, 2024 that has materially afected, or is reasonably likely to materially afect, our internal control over fnancial reportng.</w:t>
      </w:r>
    </w:p>
    <w:p>
      <w:pPr>
        <w:spacing w:after="0" w:line="89" w:lineRule="exact"/>
        <w:rPr>
          <w:sz w:val="20"/>
          <w:szCs w:val="20"/>
          <w:color w:val="auto"/>
        </w:rPr>
      </w:pPr>
    </w:p>
    <w:p>
      <w:pPr>
        <w:spacing w:after="0"/>
        <w:tabs>
          <w:tab w:leader="none" w:pos="1100" w:val="left"/>
        </w:tabs>
        <w:rPr>
          <w:sz w:val="20"/>
          <w:szCs w:val="20"/>
          <w:color w:val="auto"/>
        </w:rPr>
      </w:pPr>
      <w:r>
        <w:rPr>
          <w:rFonts w:ascii="Calibri" w:cs="Calibri" w:eastAsia="Calibri" w:hAnsi="Calibri"/>
          <w:sz w:val="18"/>
          <w:szCs w:val="18"/>
          <w:b w:val="1"/>
          <w:bCs w:val="1"/>
          <w:color w:val="auto"/>
        </w:rPr>
        <w:t>ITEM 9B.</w:t>
      </w:r>
      <w:r>
        <w:rPr>
          <w:sz w:val="20"/>
          <w:szCs w:val="20"/>
          <w:color w:val="auto"/>
        </w:rPr>
        <w:tab/>
      </w:r>
      <w:r>
        <w:rPr>
          <w:rFonts w:ascii="Calibri" w:cs="Calibri" w:eastAsia="Calibri" w:hAnsi="Calibri"/>
          <w:sz w:val="17"/>
          <w:szCs w:val="17"/>
          <w:b w:val="1"/>
          <w:bCs w:val="1"/>
          <w:color w:val="auto"/>
        </w:rPr>
        <w:t>OTHER INFORMATION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Insider Trading Arrangements</w:t>
      </w:r>
    </w:p>
    <w:p>
      <w:pPr>
        <w:spacing w:after="0" w:line="109" w:lineRule="exact"/>
        <w:rPr>
          <w:sz w:val="20"/>
          <w:szCs w:val="20"/>
          <w:color w:val="auto"/>
        </w:rPr>
      </w:pPr>
    </w:p>
    <w:p>
      <w:pPr>
        <w:ind w:right="140" w:firstLine="405"/>
        <w:spacing w:after="0" w:line="235" w:lineRule="auto"/>
        <w:rPr>
          <w:sz w:val="20"/>
          <w:szCs w:val="20"/>
          <w:color w:val="auto"/>
        </w:rPr>
      </w:pPr>
      <w:r>
        <w:rPr>
          <w:rFonts w:ascii="Calibri" w:cs="Calibri" w:eastAsia="Calibri" w:hAnsi="Calibri"/>
          <w:sz w:val="18"/>
          <w:szCs w:val="18"/>
          <w:color w:val="auto"/>
        </w:rPr>
        <w:t>On September 23, 2024, Diane M. Bryant, a member of our Board of Directors, adopted a trading plan intended to satsfy Rule 10b5-1(c) under the Exchange Act (the “Trading Plan”). The Trading Plan provides for the potental sale of up to 15,000 shares of Broadcom common stock so long as the market price of Broadcom common stock satsfes certain threshold prices specifed in the Trading Plan. The Trading Plan will expire on September 12, 2025, subject to early terminaton for certain specifed events set forth in the Trading Plan.</w:t>
      </w:r>
    </w:p>
    <w:p>
      <w:pPr>
        <w:spacing w:after="0" w:line="107" w:lineRule="exact"/>
        <w:rPr>
          <w:sz w:val="20"/>
          <w:szCs w:val="20"/>
          <w:color w:val="auto"/>
        </w:rPr>
      </w:pPr>
    </w:p>
    <w:p>
      <w:pPr>
        <w:spacing w:after="0"/>
        <w:tabs>
          <w:tab w:leader="none" w:pos="1100" w:val="left"/>
        </w:tabs>
        <w:rPr>
          <w:sz w:val="20"/>
          <w:szCs w:val="20"/>
          <w:color w:val="auto"/>
        </w:rPr>
      </w:pPr>
      <w:r>
        <w:rPr>
          <w:rFonts w:ascii="Calibri" w:cs="Calibri" w:eastAsia="Calibri" w:hAnsi="Calibri"/>
          <w:sz w:val="18"/>
          <w:szCs w:val="18"/>
          <w:b w:val="1"/>
          <w:bCs w:val="1"/>
          <w:color w:val="auto"/>
        </w:rPr>
        <w:t>ITEM 9C.</w:t>
      </w:r>
      <w:r>
        <w:rPr>
          <w:sz w:val="20"/>
          <w:szCs w:val="20"/>
          <w:color w:val="auto"/>
        </w:rPr>
        <w:tab/>
      </w:r>
      <w:r>
        <w:rPr>
          <w:rFonts w:ascii="Calibri" w:cs="Calibri" w:eastAsia="Calibri" w:hAnsi="Calibri"/>
          <w:sz w:val="17"/>
          <w:szCs w:val="17"/>
          <w:b w:val="1"/>
          <w:bCs w:val="1"/>
          <w:color w:val="auto"/>
        </w:rPr>
        <w:t>DISCLOSURE REGARDING FOREIGN JURISDICTIONS THAT PREVENT INSPECTIONS</w:t>
      </w:r>
    </w:p>
    <w:p>
      <w:pPr>
        <w:spacing w:after="0" w:line="104"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95" w:name="page96"/>
    <w:bookmarkEnd w:id="9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340"/>
        <w:spacing w:after="0"/>
        <w:rPr>
          <w:sz w:val="20"/>
          <w:szCs w:val="20"/>
          <w:color w:val="auto"/>
        </w:rPr>
      </w:pPr>
      <w:r>
        <w:rPr>
          <w:rFonts w:ascii="Calibri" w:cs="Calibri" w:eastAsia="Calibri" w:hAnsi="Calibri"/>
          <w:sz w:val="18"/>
          <w:szCs w:val="18"/>
          <w:b w:val="1"/>
          <w:bCs w:val="1"/>
          <w:color w:val="auto"/>
        </w:rPr>
        <w:t>PART III</w:t>
      </w:r>
    </w:p>
    <w:p>
      <w:pPr>
        <w:spacing w:after="0" w:line="104" w:lineRule="exact"/>
        <w:rPr>
          <w:sz w:val="20"/>
          <w:szCs w:val="20"/>
          <w:color w:val="auto"/>
        </w:rPr>
      </w:pPr>
    </w:p>
    <w:p>
      <w:pPr>
        <w:spacing w:after="0"/>
        <w:tabs>
          <w:tab w:leader="none" w:pos="1100" w:val="left"/>
        </w:tabs>
        <w:rPr>
          <w:sz w:val="20"/>
          <w:szCs w:val="20"/>
          <w:color w:val="auto"/>
        </w:rPr>
      </w:pPr>
      <w:r>
        <w:rPr>
          <w:rFonts w:ascii="Calibri" w:cs="Calibri" w:eastAsia="Calibri" w:hAnsi="Calibri"/>
          <w:sz w:val="18"/>
          <w:szCs w:val="18"/>
          <w:b w:val="1"/>
          <w:bCs w:val="1"/>
          <w:color w:val="auto"/>
        </w:rPr>
        <w:t>ITEM 10.</w:t>
      </w:r>
      <w:r>
        <w:rPr>
          <w:sz w:val="20"/>
          <w:szCs w:val="20"/>
          <w:color w:val="auto"/>
        </w:rPr>
        <w:tab/>
      </w:r>
      <w:r>
        <w:rPr>
          <w:rFonts w:ascii="Calibri" w:cs="Calibri" w:eastAsia="Calibri" w:hAnsi="Calibri"/>
          <w:sz w:val="17"/>
          <w:szCs w:val="17"/>
          <w:b w:val="1"/>
          <w:bCs w:val="1"/>
          <w:color w:val="auto"/>
        </w:rPr>
        <w:t>DIRECTORS, EXECUTIVE OFFICERS AND CORPORATE GOVERNANCE</w:t>
      </w:r>
    </w:p>
    <w:p>
      <w:pPr>
        <w:ind w:firstLine="405"/>
        <w:spacing w:after="0" w:line="234" w:lineRule="auto"/>
        <w:rPr>
          <w:sz w:val="20"/>
          <w:szCs w:val="20"/>
          <w:color w:val="auto"/>
        </w:rPr>
      </w:pPr>
      <w:r>
        <w:rPr>
          <w:rFonts w:ascii="Calibri" w:cs="Calibri" w:eastAsia="Calibri" w:hAnsi="Calibri"/>
          <w:sz w:val="17"/>
          <w:szCs w:val="17"/>
          <w:color w:val="auto"/>
        </w:rPr>
        <w:t>Broadcom has adopted an insider trading compliance policy that governs the purchase, sale, and/or other transactons of our securites by our directors, ofcers and employees and Broadcom itself. A copy of our insider trading compliance policy is fled as Exhibit 19.1 to this Annual Report on Form 10-K.</w:t>
      </w:r>
    </w:p>
    <w:p>
      <w:pPr>
        <w:spacing w:after="0" w:line="109" w:lineRule="exact"/>
        <w:rPr>
          <w:sz w:val="20"/>
          <w:szCs w:val="20"/>
          <w:color w:val="auto"/>
        </w:rPr>
      </w:pPr>
    </w:p>
    <w:p>
      <w:pPr>
        <w:ind w:right="20" w:firstLine="405"/>
        <w:spacing w:after="0" w:line="235" w:lineRule="auto"/>
        <w:rPr>
          <w:sz w:val="20"/>
          <w:szCs w:val="20"/>
          <w:color w:val="auto"/>
        </w:rPr>
      </w:pPr>
      <w:r>
        <w:rPr>
          <w:rFonts w:ascii="Calibri" w:cs="Calibri" w:eastAsia="Calibri" w:hAnsi="Calibri"/>
          <w:sz w:val="18"/>
          <w:szCs w:val="18"/>
          <w:color w:val="auto"/>
        </w:rPr>
        <w:t>The remaining informaton required by Item 10 is incorporated herein by reference from sectons enttled “Board of Directors,” “Corporate Governance” and “Proposal 1 — Electon of Directors” in our defnitve Proxy Statement for our 2025 Annual Meetng of Stockholders. Our executve ofcers are listed at the end of Item 1 of this Annual Report on Form 10-K.</w:t>
      </w:r>
    </w:p>
    <w:p>
      <w:pPr>
        <w:spacing w:after="0" w:line="200" w:lineRule="exact"/>
        <w:rPr>
          <w:sz w:val="20"/>
          <w:szCs w:val="20"/>
          <w:color w:val="auto"/>
        </w:rPr>
      </w:pPr>
    </w:p>
    <w:p>
      <w:pPr>
        <w:spacing w:after="0" w:line="257" w:lineRule="exact"/>
        <w:rPr>
          <w:sz w:val="20"/>
          <w:szCs w:val="20"/>
          <w:color w:val="auto"/>
        </w:rPr>
      </w:pPr>
    </w:p>
    <w:p>
      <w:pPr>
        <w:spacing w:after="0"/>
        <w:tabs>
          <w:tab w:leader="none" w:pos="1100" w:val="left"/>
        </w:tabs>
        <w:rPr>
          <w:sz w:val="20"/>
          <w:szCs w:val="20"/>
          <w:color w:val="auto"/>
        </w:rPr>
      </w:pPr>
      <w:r>
        <w:rPr>
          <w:rFonts w:ascii="Calibri" w:cs="Calibri" w:eastAsia="Calibri" w:hAnsi="Calibri"/>
          <w:sz w:val="18"/>
          <w:szCs w:val="18"/>
          <w:b w:val="1"/>
          <w:bCs w:val="1"/>
          <w:color w:val="auto"/>
        </w:rPr>
        <w:t>ITEM 11.</w:t>
      </w:r>
      <w:r>
        <w:rPr>
          <w:sz w:val="20"/>
          <w:szCs w:val="20"/>
          <w:color w:val="auto"/>
        </w:rPr>
        <w:tab/>
      </w:r>
      <w:r>
        <w:rPr>
          <w:rFonts w:ascii="Calibri" w:cs="Calibri" w:eastAsia="Calibri" w:hAnsi="Calibri"/>
          <w:sz w:val="17"/>
          <w:szCs w:val="17"/>
          <w:b w:val="1"/>
          <w:bCs w:val="1"/>
          <w:color w:val="auto"/>
        </w:rPr>
        <w:t>EXECUTIVE COMPENSATION</w:t>
      </w:r>
    </w:p>
    <w:p>
      <w:pPr>
        <w:spacing w:after="0" w:line="109" w:lineRule="exact"/>
        <w:rPr>
          <w:sz w:val="20"/>
          <w:szCs w:val="20"/>
          <w:color w:val="auto"/>
        </w:rPr>
      </w:pPr>
    </w:p>
    <w:p>
      <w:pPr>
        <w:ind w:right="100" w:firstLine="405"/>
        <w:spacing w:after="0" w:line="235" w:lineRule="auto"/>
        <w:rPr>
          <w:sz w:val="20"/>
          <w:szCs w:val="20"/>
          <w:color w:val="auto"/>
        </w:rPr>
      </w:pPr>
      <w:r>
        <w:rPr>
          <w:rFonts w:ascii="Calibri" w:cs="Calibri" w:eastAsia="Calibri" w:hAnsi="Calibri"/>
          <w:sz w:val="18"/>
          <w:szCs w:val="18"/>
          <w:color w:val="auto"/>
        </w:rPr>
        <w:t>The informaton required by Item 11 is incorporated herein by reference from sectons enttled “Board of Directors — Director Compensaton,” “Board of Directors — Board Commitees — Compensaton Commitee — Compensaton Commitee Interlocks and Insider Partcipaton,” “Compensaton Discussion and Analysis,” “Compensaton Commitee Report,” “Executve Compensaton,” and “CEO Pay Rato” in our defnitve Proxy Statement for our 2025 Annual Meetng of Stockholders.</w:t>
      </w:r>
    </w:p>
    <w:p>
      <w:pPr>
        <w:spacing w:after="0" w:line="200" w:lineRule="exact"/>
        <w:rPr>
          <w:sz w:val="20"/>
          <w:szCs w:val="20"/>
          <w:color w:val="auto"/>
        </w:rPr>
      </w:pPr>
    </w:p>
    <w:p>
      <w:pPr>
        <w:spacing w:after="0" w:line="258" w:lineRule="exact"/>
        <w:rPr>
          <w:sz w:val="20"/>
          <w:szCs w:val="20"/>
          <w:color w:val="auto"/>
        </w:rPr>
      </w:pPr>
    </w:p>
    <w:p>
      <w:pPr>
        <w:spacing w:after="0"/>
        <w:tabs>
          <w:tab w:leader="none" w:pos="1100" w:val="left"/>
        </w:tabs>
        <w:rPr>
          <w:sz w:val="20"/>
          <w:szCs w:val="20"/>
          <w:color w:val="auto"/>
        </w:rPr>
      </w:pPr>
      <w:r>
        <w:rPr>
          <w:rFonts w:ascii="Calibri" w:cs="Calibri" w:eastAsia="Calibri" w:hAnsi="Calibri"/>
          <w:sz w:val="18"/>
          <w:szCs w:val="18"/>
          <w:b w:val="1"/>
          <w:bCs w:val="1"/>
          <w:color w:val="auto"/>
        </w:rPr>
        <w:t>ITEM 12.</w:t>
      </w:r>
      <w:r>
        <w:rPr>
          <w:sz w:val="20"/>
          <w:szCs w:val="20"/>
          <w:color w:val="auto"/>
        </w:rPr>
        <w:tab/>
      </w:r>
      <w:r>
        <w:rPr>
          <w:rFonts w:ascii="Calibri" w:cs="Calibri" w:eastAsia="Calibri" w:hAnsi="Calibri"/>
          <w:sz w:val="17"/>
          <w:szCs w:val="17"/>
          <w:b w:val="1"/>
          <w:bCs w:val="1"/>
          <w:color w:val="auto"/>
        </w:rPr>
        <w:t>SECURITY OWNERSHIP OF CERTAIN BENEFICIAL OWNERS AND MANAGEMENT AND RELATED STOCKHOLDER MATTERS</w:t>
      </w:r>
    </w:p>
    <w:p>
      <w:pPr>
        <w:spacing w:after="0" w:line="109" w:lineRule="exact"/>
        <w:rPr>
          <w:sz w:val="20"/>
          <w:szCs w:val="20"/>
          <w:color w:val="auto"/>
        </w:rPr>
      </w:pPr>
    </w:p>
    <w:p>
      <w:pPr>
        <w:jc w:val="both"/>
        <w:ind w:right="440" w:firstLine="405"/>
        <w:spacing w:after="0" w:line="235" w:lineRule="auto"/>
        <w:rPr>
          <w:sz w:val="20"/>
          <w:szCs w:val="20"/>
          <w:color w:val="auto"/>
        </w:rPr>
      </w:pPr>
      <w:r>
        <w:rPr>
          <w:rFonts w:ascii="Calibri" w:cs="Calibri" w:eastAsia="Calibri" w:hAnsi="Calibri"/>
          <w:sz w:val="18"/>
          <w:szCs w:val="18"/>
          <w:color w:val="auto"/>
        </w:rPr>
        <w:t>The informaton required by Item 12 is incorporated herein by reference from sectons enttled “Stockholder Informaton — Security Ownership of Certain Benefcial Owners, Directors and Executve Ofcers” and “Equity Compensaton Plan Informaton” in our defnitve Proxy Statement for our 2025 Annual Meetng of Stockholders.</w:t>
      </w:r>
    </w:p>
    <w:p>
      <w:pPr>
        <w:spacing w:after="0" w:line="349" w:lineRule="exact"/>
        <w:rPr>
          <w:sz w:val="20"/>
          <w:szCs w:val="20"/>
          <w:color w:val="auto"/>
        </w:rPr>
      </w:pPr>
    </w:p>
    <w:p>
      <w:pPr>
        <w:spacing w:after="0"/>
        <w:tabs>
          <w:tab w:leader="none" w:pos="1100" w:val="left"/>
        </w:tabs>
        <w:rPr>
          <w:sz w:val="20"/>
          <w:szCs w:val="20"/>
          <w:color w:val="auto"/>
        </w:rPr>
      </w:pPr>
      <w:r>
        <w:rPr>
          <w:rFonts w:ascii="Calibri" w:cs="Calibri" w:eastAsia="Calibri" w:hAnsi="Calibri"/>
          <w:sz w:val="18"/>
          <w:szCs w:val="18"/>
          <w:b w:val="1"/>
          <w:bCs w:val="1"/>
          <w:color w:val="auto"/>
        </w:rPr>
        <w:t>ITEM 13.</w:t>
      </w:r>
      <w:r>
        <w:rPr>
          <w:sz w:val="20"/>
          <w:szCs w:val="20"/>
          <w:color w:val="auto"/>
        </w:rPr>
        <w:tab/>
      </w:r>
      <w:r>
        <w:rPr>
          <w:rFonts w:ascii="Calibri" w:cs="Calibri" w:eastAsia="Calibri" w:hAnsi="Calibri"/>
          <w:sz w:val="17"/>
          <w:szCs w:val="17"/>
          <w:b w:val="1"/>
          <w:bCs w:val="1"/>
          <w:color w:val="auto"/>
        </w:rPr>
        <w:t>CERTAIN RELATIONSHIPS AND RELATED TRANSACTIONS, AND DIRECTOR INDEPENDENCE</w:t>
      </w:r>
    </w:p>
    <w:p>
      <w:pPr>
        <w:spacing w:after="0" w:line="109" w:lineRule="exact"/>
        <w:rPr>
          <w:sz w:val="20"/>
          <w:szCs w:val="20"/>
          <w:color w:val="auto"/>
        </w:rPr>
      </w:pPr>
    </w:p>
    <w:p>
      <w:pPr>
        <w:ind w:right="380" w:firstLine="405"/>
        <w:spacing w:after="0" w:line="235" w:lineRule="auto"/>
        <w:rPr>
          <w:sz w:val="20"/>
          <w:szCs w:val="20"/>
          <w:color w:val="auto"/>
        </w:rPr>
      </w:pPr>
      <w:r>
        <w:rPr>
          <w:rFonts w:ascii="Calibri" w:cs="Calibri" w:eastAsia="Calibri" w:hAnsi="Calibri"/>
          <w:sz w:val="18"/>
          <w:szCs w:val="18"/>
          <w:color w:val="auto"/>
        </w:rPr>
        <w:t>The informaton required by Item 13 is incorporated herein by reference from sectons enttled “Board of Directors” and “Certain Relatonships and Related Party Transactons” in our defnitve Proxy Statement for our 2025 Annual Meetng of Stockholders.</w:t>
      </w:r>
    </w:p>
    <w:p>
      <w:pPr>
        <w:spacing w:after="0" w:line="348" w:lineRule="exact"/>
        <w:rPr>
          <w:sz w:val="20"/>
          <w:szCs w:val="20"/>
          <w:color w:val="auto"/>
        </w:rPr>
      </w:pPr>
    </w:p>
    <w:p>
      <w:pPr>
        <w:spacing w:after="0"/>
        <w:tabs>
          <w:tab w:leader="none" w:pos="1100" w:val="left"/>
        </w:tabs>
        <w:rPr>
          <w:sz w:val="20"/>
          <w:szCs w:val="20"/>
          <w:color w:val="auto"/>
        </w:rPr>
      </w:pPr>
      <w:r>
        <w:rPr>
          <w:rFonts w:ascii="Calibri" w:cs="Calibri" w:eastAsia="Calibri" w:hAnsi="Calibri"/>
          <w:sz w:val="18"/>
          <w:szCs w:val="18"/>
          <w:b w:val="1"/>
          <w:bCs w:val="1"/>
          <w:color w:val="auto"/>
        </w:rPr>
        <w:t>ITEM 14.</w:t>
      </w:r>
      <w:r>
        <w:rPr>
          <w:sz w:val="20"/>
          <w:szCs w:val="20"/>
          <w:color w:val="auto"/>
        </w:rPr>
        <w:tab/>
      </w:r>
      <w:r>
        <w:rPr>
          <w:rFonts w:ascii="Calibri" w:cs="Calibri" w:eastAsia="Calibri" w:hAnsi="Calibri"/>
          <w:sz w:val="17"/>
          <w:szCs w:val="17"/>
          <w:b w:val="1"/>
          <w:bCs w:val="1"/>
          <w:color w:val="auto"/>
        </w:rPr>
        <w:t>PRINCIPAL ACCOUNTANT FEES AND SERVICES</w:t>
      </w:r>
    </w:p>
    <w:p>
      <w:pPr>
        <w:spacing w:after="0" w:line="109" w:lineRule="exact"/>
        <w:rPr>
          <w:sz w:val="20"/>
          <w:szCs w:val="20"/>
          <w:color w:val="auto"/>
        </w:rPr>
      </w:pPr>
    </w:p>
    <w:p>
      <w:pPr>
        <w:ind w:right="620" w:firstLine="405"/>
        <w:spacing w:after="0" w:line="235" w:lineRule="auto"/>
        <w:rPr>
          <w:sz w:val="20"/>
          <w:szCs w:val="20"/>
          <w:color w:val="auto"/>
        </w:rPr>
      </w:pPr>
      <w:r>
        <w:rPr>
          <w:rFonts w:ascii="Calibri" w:cs="Calibri" w:eastAsia="Calibri" w:hAnsi="Calibri"/>
          <w:sz w:val="18"/>
          <w:szCs w:val="18"/>
          <w:color w:val="auto"/>
        </w:rPr>
        <w:t>The informaton required by Item 14 is incorporated herein by reference from the secton enttled “Proposal 2 — Ratfcaton of Appointment of Independent Registered Public Accountng Firm” in our defnitve Proxy Statement for our 2025 Annual Meetng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6" w:name="page97"/>
    <w:bookmarkEnd w:id="9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00" w:type="dxa"/>
            <w:vAlign w:val="bottom"/>
          </w:tcPr>
          <w:p>
            <w:pPr>
              <w:ind w:left="1160"/>
              <w:spacing w:after="0"/>
              <w:rPr>
                <w:sz w:val="20"/>
                <w:szCs w:val="20"/>
                <w:color w:val="auto"/>
              </w:rPr>
            </w:pPr>
            <w:r>
              <w:rPr>
                <w:rFonts w:ascii="Calibri" w:cs="Calibri" w:eastAsia="Calibri" w:hAnsi="Calibri"/>
                <w:sz w:val="18"/>
                <w:szCs w:val="18"/>
                <w:b w:val="1"/>
                <w:bCs w:val="1"/>
                <w:color w:val="auto"/>
              </w:rPr>
              <w:t>PART IV</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567"/>
        </w:trPr>
        <w:tc>
          <w:tcPr>
            <w:tcW w:w="780" w:type="dxa"/>
            <w:vAlign w:val="bottom"/>
            <w:gridSpan w:val="2"/>
          </w:tcPr>
          <w:p>
            <w:pPr>
              <w:spacing w:after="0"/>
              <w:rPr>
                <w:sz w:val="20"/>
                <w:szCs w:val="20"/>
                <w:color w:val="auto"/>
              </w:rPr>
            </w:pPr>
            <w:r>
              <w:rPr>
                <w:rFonts w:ascii="Calibri" w:cs="Calibri" w:eastAsia="Calibri" w:hAnsi="Calibri"/>
                <w:sz w:val="18"/>
                <w:szCs w:val="18"/>
                <w:b w:val="1"/>
                <w:bCs w:val="1"/>
                <w:color w:val="auto"/>
              </w:rPr>
              <w:t>ITEM 15.</w:t>
            </w:r>
          </w:p>
        </w:tc>
        <w:tc>
          <w:tcPr>
            <w:tcW w:w="9100" w:type="dxa"/>
            <w:vAlign w:val="bottom"/>
            <w:gridSpan w:val="7"/>
          </w:tcPr>
          <w:p>
            <w:pPr>
              <w:ind w:left="340"/>
              <w:spacing w:after="0"/>
              <w:rPr>
                <w:sz w:val="20"/>
                <w:szCs w:val="20"/>
                <w:color w:val="auto"/>
              </w:rPr>
            </w:pPr>
            <w:r>
              <w:rPr>
                <w:rFonts w:ascii="Calibri" w:cs="Calibri" w:eastAsia="Calibri" w:hAnsi="Calibri"/>
                <w:sz w:val="18"/>
                <w:szCs w:val="18"/>
                <w:b w:val="1"/>
                <w:bCs w:val="1"/>
                <w:color w:val="auto"/>
              </w:rPr>
              <w:t>EXHIBITS AND FINANCIAL STATEMENT SCHEDULES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9860" w:type="dxa"/>
            <w:vAlign w:val="bottom"/>
            <w:gridSpan w:val="8"/>
          </w:tcPr>
          <w:p>
            <w:pPr>
              <w:ind w:left="400"/>
              <w:spacing w:after="0"/>
              <w:rPr>
                <w:sz w:val="20"/>
                <w:szCs w:val="20"/>
                <w:color w:val="auto"/>
              </w:rPr>
            </w:pPr>
            <w:r>
              <w:rPr>
                <w:rFonts w:ascii="Calibri" w:cs="Calibri" w:eastAsia="Calibri" w:hAnsi="Calibri"/>
                <w:sz w:val="18"/>
                <w:szCs w:val="18"/>
                <w:color w:val="auto"/>
              </w:rPr>
              <w:t>(a) The following are fled as part of this Annual Report on Form 10-K:</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100" w:type="dxa"/>
            <w:vAlign w:val="bottom"/>
            <w:gridSpan w:val="7"/>
          </w:tcPr>
          <w:p>
            <w:pPr>
              <w:ind w:left="120"/>
              <w:spacing w:after="0"/>
              <w:rPr>
                <w:sz w:val="20"/>
                <w:szCs w:val="20"/>
                <w:color w:val="auto"/>
              </w:rPr>
            </w:pPr>
            <w:r>
              <w:rPr>
                <w:rFonts w:ascii="Calibri" w:cs="Calibri" w:eastAsia="Calibri" w:hAnsi="Calibri"/>
                <w:sz w:val="18"/>
                <w:szCs w:val="18"/>
                <w:color w:val="auto"/>
              </w:rPr>
              <w:t>1. Financial Statements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9860" w:type="dxa"/>
            <w:vAlign w:val="bottom"/>
            <w:gridSpan w:val="8"/>
          </w:tcPr>
          <w:p>
            <w:pPr>
              <w:ind w:left="400"/>
              <w:spacing w:after="0"/>
              <w:rPr>
                <w:sz w:val="20"/>
                <w:szCs w:val="20"/>
                <w:color w:val="auto"/>
              </w:rPr>
            </w:pPr>
            <w:r>
              <w:rPr>
                <w:rFonts w:ascii="Calibri" w:cs="Calibri" w:eastAsia="Calibri" w:hAnsi="Calibri"/>
                <w:sz w:val="18"/>
                <w:szCs w:val="18"/>
                <w:color w:val="auto"/>
              </w:rPr>
              <w:t>The following consolidated fnancial statements are included in Item 8 of this Annual Report on Form 10-K:</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1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34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Page</w:t>
            </w:r>
          </w:p>
        </w:tc>
      </w:tr>
      <w:tr>
        <w:trPr>
          <w:trHeight w:val="47"/>
        </w:trPr>
        <w:tc>
          <w:tcPr>
            <w:tcW w:w="20" w:type="dxa"/>
            <w:vAlign w:val="bottom"/>
            <w:tcBorders>
              <w:bottom w:val="single" w:sz="8" w:color="CCEEFF"/>
            </w:tcBorders>
          </w:tcPr>
          <w:p>
            <w:pPr>
              <w:spacing w:after="0"/>
              <w:rPr>
                <w:sz w:val="4"/>
                <w:szCs w:val="4"/>
                <w:color w:val="auto"/>
              </w:rPr>
            </w:pPr>
          </w:p>
        </w:tc>
        <w:tc>
          <w:tcPr>
            <w:tcW w:w="2040" w:type="dxa"/>
            <w:vAlign w:val="bottom"/>
            <w:tcBorders>
              <w:bottom w:val="single" w:sz="8" w:color="CCEEFF"/>
            </w:tcBorders>
            <w:gridSpan w:val="2"/>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57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169"/>
        </w:trPr>
        <w:tc>
          <w:tcPr>
            <w:tcW w:w="20" w:type="dxa"/>
            <w:vAlign w:val="bottom"/>
            <w:shd w:val="clear" w:color="auto" w:fill="CCEEFF"/>
          </w:tcPr>
          <w:p>
            <w:pPr>
              <w:spacing w:after="0"/>
              <w:rPr>
                <w:sz w:val="14"/>
                <w:szCs w:val="14"/>
                <w:color w:val="auto"/>
              </w:rPr>
            </w:pPr>
          </w:p>
        </w:tc>
        <w:tc>
          <w:tcPr>
            <w:tcW w:w="9860" w:type="dxa"/>
            <w:vAlign w:val="bottom"/>
            <w:gridSpan w:val="8"/>
            <w:shd w:val="clear" w:color="auto" w:fill="CCEEFF"/>
          </w:tcPr>
          <w:p>
            <w:pPr>
              <w:spacing w:after="0" w:line="169" w:lineRule="exact"/>
              <w:rPr>
                <w:sz w:val="20"/>
                <w:szCs w:val="20"/>
                <w:color w:val="auto"/>
              </w:rPr>
            </w:pPr>
            <w:r>
              <w:rPr>
                <w:rFonts w:ascii="Calibri" w:cs="Calibri" w:eastAsia="Calibri" w:hAnsi="Calibri"/>
                <w:sz w:val="18"/>
                <w:szCs w:val="18"/>
                <w:color w:val="0000FF"/>
              </w:rPr>
              <w:t>Reports of Independent Registered Public Accountng Firm</w:t>
            </w:r>
          </w:p>
        </w:tc>
        <w:tc>
          <w:tcPr>
            <w:tcW w:w="1340" w:type="dxa"/>
            <w:vAlign w:val="bottom"/>
            <w:gridSpan w:val="3"/>
            <w:shd w:val="clear" w:color="auto" w:fill="CCEEFF"/>
          </w:tcPr>
          <w:p>
            <w:pPr>
              <w:jc w:val="center"/>
              <w:spacing w:after="0" w:line="169" w:lineRule="exact"/>
              <w:rPr>
                <w:sz w:val="20"/>
                <w:szCs w:val="20"/>
                <w:color w:val="auto"/>
              </w:rPr>
            </w:pPr>
            <w:r>
              <w:rPr>
                <w:rFonts w:ascii="Calibri" w:cs="Calibri" w:eastAsia="Calibri" w:hAnsi="Calibri"/>
                <w:sz w:val="18"/>
                <w:szCs w:val="18"/>
                <w:color w:val="0000FF"/>
                <w:w w:val="98"/>
              </w:rPr>
              <w:t>50</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57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r>
      <w:tr>
        <w:trPr>
          <w:trHeight w:val="176"/>
        </w:trPr>
        <w:tc>
          <w:tcPr>
            <w:tcW w:w="20" w:type="dxa"/>
            <w:vAlign w:val="bottom"/>
          </w:tcPr>
          <w:p>
            <w:pPr>
              <w:spacing w:after="0"/>
              <w:rPr>
                <w:sz w:val="15"/>
                <w:szCs w:val="15"/>
                <w:color w:val="auto"/>
              </w:rPr>
            </w:pPr>
          </w:p>
        </w:tc>
        <w:tc>
          <w:tcPr>
            <w:tcW w:w="4160" w:type="dxa"/>
            <w:vAlign w:val="bottom"/>
            <w:gridSpan w:val="7"/>
          </w:tcPr>
          <w:p>
            <w:pPr>
              <w:spacing w:after="0" w:line="175" w:lineRule="exact"/>
              <w:rPr>
                <w:sz w:val="20"/>
                <w:szCs w:val="20"/>
                <w:color w:val="auto"/>
              </w:rPr>
            </w:pPr>
            <w:r>
              <w:rPr>
                <w:rFonts w:ascii="Calibri" w:cs="Calibri" w:eastAsia="Calibri" w:hAnsi="Calibri"/>
                <w:sz w:val="18"/>
                <w:szCs w:val="18"/>
                <w:color w:val="0000FF"/>
              </w:rPr>
              <w:t>Consolidated Balance Sheets</w:t>
            </w:r>
          </w:p>
        </w:tc>
        <w:tc>
          <w:tcPr>
            <w:tcW w:w="5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gridSpan w:val="2"/>
          </w:tcPr>
          <w:p>
            <w:pPr>
              <w:jc w:val="center"/>
              <w:ind w:right="580"/>
              <w:spacing w:after="0" w:line="175" w:lineRule="exact"/>
              <w:rPr>
                <w:sz w:val="20"/>
                <w:szCs w:val="20"/>
                <w:color w:val="auto"/>
              </w:rPr>
            </w:pPr>
            <w:r>
              <w:rPr>
                <w:rFonts w:ascii="Calibri" w:cs="Calibri" w:eastAsia="Calibri" w:hAnsi="Calibri"/>
                <w:sz w:val="18"/>
                <w:szCs w:val="18"/>
                <w:color w:val="0000FF"/>
                <w:w w:val="98"/>
              </w:rPr>
              <w:t>51</w:t>
            </w:r>
          </w:p>
        </w:tc>
      </w:tr>
      <w:tr>
        <w:trPr>
          <w:trHeight w:val="34"/>
        </w:trPr>
        <w:tc>
          <w:tcPr>
            <w:tcW w:w="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r>
      <w:tr>
        <w:trPr>
          <w:trHeight w:val="175"/>
        </w:trPr>
        <w:tc>
          <w:tcPr>
            <w:tcW w:w="20" w:type="dxa"/>
            <w:vAlign w:val="bottom"/>
            <w:shd w:val="clear" w:color="auto" w:fill="CCEEFF"/>
          </w:tcPr>
          <w:p>
            <w:pPr>
              <w:spacing w:after="0"/>
              <w:rPr>
                <w:sz w:val="15"/>
                <w:szCs w:val="15"/>
                <w:color w:val="auto"/>
              </w:rPr>
            </w:pPr>
          </w:p>
        </w:tc>
        <w:tc>
          <w:tcPr>
            <w:tcW w:w="2800" w:type="dxa"/>
            <w:vAlign w:val="bottom"/>
            <w:gridSpan w:val="3"/>
            <w:shd w:val="clear" w:color="auto" w:fill="CCEEFF"/>
          </w:tcPr>
          <w:p>
            <w:pPr>
              <w:spacing w:after="0" w:line="175" w:lineRule="exact"/>
              <w:rPr>
                <w:sz w:val="20"/>
                <w:szCs w:val="20"/>
                <w:color w:val="auto"/>
              </w:rPr>
            </w:pPr>
            <w:r>
              <w:rPr>
                <w:rFonts w:ascii="Calibri" w:cs="Calibri" w:eastAsia="Calibri" w:hAnsi="Calibri"/>
                <w:sz w:val="18"/>
                <w:szCs w:val="18"/>
                <w:color w:val="0000FF"/>
                <w:w w:val="97"/>
              </w:rPr>
              <w:t>Consolidated Statements of Operatons</w:t>
            </w:r>
          </w:p>
        </w:tc>
        <w:tc>
          <w:tcPr>
            <w:tcW w:w="7060" w:type="dxa"/>
            <w:vAlign w:val="bottom"/>
            <w:gridSpan w:val="5"/>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center"/>
              <w:ind w:right="580"/>
              <w:spacing w:after="0" w:line="175" w:lineRule="exact"/>
              <w:rPr>
                <w:sz w:val="20"/>
                <w:szCs w:val="20"/>
                <w:color w:val="auto"/>
              </w:rPr>
            </w:pPr>
            <w:r>
              <w:rPr>
                <w:rFonts w:ascii="Calibri" w:cs="Calibri" w:eastAsia="Calibri" w:hAnsi="Calibri"/>
                <w:sz w:val="18"/>
                <w:szCs w:val="18"/>
                <w:color w:val="0000FF"/>
                <w:w w:val="98"/>
              </w:rPr>
              <w:t>52</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7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r>
      <w:tr>
        <w:trPr>
          <w:trHeight w:val="176"/>
        </w:trPr>
        <w:tc>
          <w:tcPr>
            <w:tcW w:w="20" w:type="dxa"/>
            <w:vAlign w:val="bottom"/>
          </w:tcPr>
          <w:p>
            <w:pPr>
              <w:spacing w:after="0"/>
              <w:rPr>
                <w:sz w:val="15"/>
                <w:szCs w:val="15"/>
                <w:color w:val="auto"/>
              </w:rPr>
            </w:pPr>
          </w:p>
        </w:tc>
        <w:tc>
          <w:tcPr>
            <w:tcW w:w="9860" w:type="dxa"/>
            <w:vAlign w:val="bottom"/>
            <w:gridSpan w:val="8"/>
          </w:tcPr>
          <w:p>
            <w:pPr>
              <w:spacing w:after="0" w:line="175" w:lineRule="exact"/>
              <w:rPr>
                <w:sz w:val="20"/>
                <w:szCs w:val="20"/>
                <w:color w:val="auto"/>
              </w:rPr>
            </w:pPr>
            <w:r>
              <w:rPr>
                <w:rFonts w:ascii="Calibri" w:cs="Calibri" w:eastAsia="Calibri" w:hAnsi="Calibri"/>
                <w:sz w:val="18"/>
                <w:szCs w:val="18"/>
                <w:color w:val="0000FF"/>
              </w:rPr>
              <w:t>Consolidated Statements of Comprehensive Income</w:t>
            </w:r>
          </w:p>
        </w:tc>
        <w:tc>
          <w:tcPr>
            <w:tcW w:w="1340" w:type="dxa"/>
            <w:vAlign w:val="bottom"/>
            <w:gridSpan w:val="3"/>
          </w:tcPr>
          <w:p>
            <w:pPr>
              <w:jc w:val="center"/>
              <w:spacing w:after="0" w:line="175" w:lineRule="exact"/>
              <w:rPr>
                <w:sz w:val="20"/>
                <w:szCs w:val="20"/>
                <w:color w:val="auto"/>
              </w:rPr>
            </w:pPr>
            <w:r>
              <w:rPr>
                <w:rFonts w:ascii="Calibri" w:cs="Calibri" w:eastAsia="Calibri" w:hAnsi="Calibri"/>
                <w:sz w:val="18"/>
                <w:szCs w:val="18"/>
                <w:color w:val="0000FF"/>
                <w:w w:val="98"/>
              </w:rPr>
              <w:t>53</w:t>
            </w:r>
          </w:p>
        </w:tc>
      </w:tr>
      <w:tr>
        <w:trPr>
          <w:trHeight w:val="34"/>
        </w:trPr>
        <w:tc>
          <w:tcPr>
            <w:tcW w:w="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r>
      <w:tr>
        <w:trPr>
          <w:trHeight w:val="175"/>
        </w:trPr>
        <w:tc>
          <w:tcPr>
            <w:tcW w:w="20" w:type="dxa"/>
            <w:vAlign w:val="bottom"/>
            <w:shd w:val="clear" w:color="auto" w:fill="CCEEFF"/>
          </w:tcPr>
          <w:p>
            <w:pPr>
              <w:spacing w:after="0"/>
              <w:rPr>
                <w:sz w:val="15"/>
                <w:szCs w:val="15"/>
                <w:color w:val="auto"/>
              </w:rPr>
            </w:pPr>
          </w:p>
        </w:tc>
        <w:tc>
          <w:tcPr>
            <w:tcW w:w="2800" w:type="dxa"/>
            <w:vAlign w:val="bottom"/>
            <w:gridSpan w:val="3"/>
            <w:shd w:val="clear" w:color="auto" w:fill="CCEEFF"/>
          </w:tcPr>
          <w:p>
            <w:pPr>
              <w:spacing w:after="0" w:line="175" w:lineRule="exact"/>
              <w:rPr>
                <w:sz w:val="20"/>
                <w:szCs w:val="20"/>
                <w:color w:val="auto"/>
              </w:rPr>
            </w:pPr>
            <w:r>
              <w:rPr>
                <w:rFonts w:ascii="Calibri" w:cs="Calibri" w:eastAsia="Calibri" w:hAnsi="Calibri"/>
                <w:sz w:val="18"/>
                <w:szCs w:val="18"/>
                <w:color w:val="0000FF"/>
                <w:w w:val="96"/>
              </w:rPr>
              <w:t>Consolidated Statements of Cash Flows</w:t>
            </w:r>
          </w:p>
        </w:tc>
        <w:tc>
          <w:tcPr>
            <w:tcW w:w="7060" w:type="dxa"/>
            <w:vAlign w:val="bottom"/>
            <w:gridSpan w:val="5"/>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center"/>
              <w:ind w:right="580"/>
              <w:spacing w:after="0" w:line="175" w:lineRule="exact"/>
              <w:rPr>
                <w:sz w:val="20"/>
                <w:szCs w:val="20"/>
                <w:color w:val="auto"/>
              </w:rPr>
            </w:pPr>
            <w:r>
              <w:rPr>
                <w:rFonts w:ascii="Calibri" w:cs="Calibri" w:eastAsia="Calibri" w:hAnsi="Calibri"/>
                <w:sz w:val="18"/>
                <w:szCs w:val="18"/>
                <w:color w:val="0000FF"/>
                <w:w w:val="98"/>
              </w:rPr>
              <w:t>54</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7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r>
      <w:tr>
        <w:trPr>
          <w:trHeight w:val="175"/>
        </w:trPr>
        <w:tc>
          <w:tcPr>
            <w:tcW w:w="20" w:type="dxa"/>
            <w:vAlign w:val="bottom"/>
          </w:tcPr>
          <w:p>
            <w:pPr>
              <w:spacing w:after="0"/>
              <w:rPr>
                <w:sz w:val="15"/>
                <w:szCs w:val="15"/>
                <w:color w:val="auto"/>
              </w:rPr>
            </w:pPr>
          </w:p>
        </w:tc>
        <w:tc>
          <w:tcPr>
            <w:tcW w:w="9860" w:type="dxa"/>
            <w:vAlign w:val="bottom"/>
            <w:gridSpan w:val="8"/>
          </w:tcPr>
          <w:p>
            <w:pPr>
              <w:spacing w:after="0" w:line="175" w:lineRule="exact"/>
              <w:rPr>
                <w:sz w:val="20"/>
                <w:szCs w:val="20"/>
                <w:color w:val="auto"/>
              </w:rPr>
            </w:pPr>
            <w:r>
              <w:rPr>
                <w:rFonts w:ascii="Calibri" w:cs="Calibri" w:eastAsia="Calibri" w:hAnsi="Calibri"/>
                <w:sz w:val="18"/>
                <w:szCs w:val="18"/>
                <w:color w:val="0000FF"/>
              </w:rPr>
              <w:t>Consolidated Statements of Stockholders’ Equity</w:t>
            </w:r>
          </w:p>
        </w:tc>
        <w:tc>
          <w:tcPr>
            <w:tcW w:w="1340" w:type="dxa"/>
            <w:vAlign w:val="bottom"/>
            <w:gridSpan w:val="3"/>
          </w:tcPr>
          <w:p>
            <w:pPr>
              <w:jc w:val="center"/>
              <w:spacing w:after="0" w:line="175" w:lineRule="exact"/>
              <w:rPr>
                <w:sz w:val="20"/>
                <w:szCs w:val="20"/>
                <w:color w:val="auto"/>
              </w:rPr>
            </w:pPr>
            <w:r>
              <w:rPr>
                <w:rFonts w:ascii="Calibri" w:cs="Calibri" w:eastAsia="Calibri" w:hAnsi="Calibri"/>
                <w:sz w:val="18"/>
                <w:szCs w:val="18"/>
                <w:color w:val="0000FF"/>
                <w:w w:val="98"/>
              </w:rPr>
              <w:t>55</w:t>
            </w:r>
          </w:p>
        </w:tc>
      </w:tr>
      <w:tr>
        <w:trPr>
          <w:trHeight w:val="34"/>
        </w:trPr>
        <w:tc>
          <w:tcPr>
            <w:tcW w:w="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9860" w:type="dxa"/>
            <w:vAlign w:val="bottom"/>
            <w:gridSpan w:val="8"/>
            <w:shd w:val="clear" w:color="auto" w:fill="CCEEFF"/>
          </w:tcPr>
          <w:p>
            <w:pPr>
              <w:spacing w:after="0" w:line="175" w:lineRule="exact"/>
              <w:rPr>
                <w:sz w:val="20"/>
                <w:szCs w:val="20"/>
                <w:color w:val="auto"/>
              </w:rPr>
            </w:pPr>
            <w:r>
              <w:rPr>
                <w:rFonts w:ascii="Calibri" w:cs="Calibri" w:eastAsia="Calibri" w:hAnsi="Calibri"/>
                <w:sz w:val="18"/>
                <w:szCs w:val="18"/>
                <w:color w:val="0000FF"/>
              </w:rPr>
              <w:t>Notes to Consolidated Financial Statements</w:t>
            </w:r>
          </w:p>
        </w:tc>
        <w:tc>
          <w:tcPr>
            <w:tcW w:w="1340" w:type="dxa"/>
            <w:vAlign w:val="bottom"/>
            <w:gridSpan w:val="3"/>
            <w:shd w:val="clear" w:color="auto" w:fill="CCEEFF"/>
          </w:tcPr>
          <w:p>
            <w:pPr>
              <w:jc w:val="center"/>
              <w:spacing w:after="0" w:line="175" w:lineRule="exact"/>
              <w:rPr>
                <w:sz w:val="20"/>
                <w:szCs w:val="20"/>
                <w:color w:val="auto"/>
              </w:rPr>
            </w:pPr>
            <w:r>
              <w:rPr>
                <w:rFonts w:ascii="Calibri" w:cs="Calibri" w:eastAsia="Calibri" w:hAnsi="Calibri"/>
                <w:sz w:val="18"/>
                <w:szCs w:val="18"/>
                <w:color w:val="0000FF"/>
                <w:w w:val="98"/>
              </w:rPr>
              <w:t>56</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7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r>
    </w:tbl>
    <w:p>
      <w:pPr>
        <w:spacing w:after="0" w:line="67" w:lineRule="exact"/>
        <w:rPr>
          <w:sz w:val="20"/>
          <w:szCs w:val="20"/>
          <w:color w:val="auto"/>
        </w:rPr>
      </w:pPr>
    </w:p>
    <w:p>
      <w:pPr>
        <w:ind w:left="900"/>
        <w:spacing w:after="0"/>
        <w:rPr>
          <w:sz w:val="20"/>
          <w:szCs w:val="20"/>
          <w:color w:val="auto"/>
        </w:rPr>
      </w:pPr>
      <w:r>
        <w:rPr>
          <w:rFonts w:ascii="Calibri" w:cs="Calibri" w:eastAsia="Calibri" w:hAnsi="Calibri"/>
          <w:sz w:val="18"/>
          <w:szCs w:val="18"/>
          <w:color w:val="auto"/>
        </w:rPr>
        <w:t>2. Financial Statement Schedules</w:t>
      </w:r>
    </w:p>
    <w:p>
      <w:pPr>
        <w:spacing w:after="0" w:line="109" w:lineRule="exact"/>
        <w:rPr>
          <w:sz w:val="20"/>
          <w:szCs w:val="20"/>
          <w:color w:val="auto"/>
        </w:rPr>
      </w:pPr>
    </w:p>
    <w:p>
      <w:pPr>
        <w:jc w:val="both"/>
        <w:ind w:right="20" w:firstLine="405"/>
        <w:spacing w:after="0" w:line="235" w:lineRule="auto"/>
        <w:rPr>
          <w:sz w:val="20"/>
          <w:szCs w:val="20"/>
          <w:color w:val="auto"/>
        </w:rPr>
      </w:pPr>
      <w:r>
        <w:rPr>
          <w:rFonts w:ascii="Calibri" w:cs="Calibri" w:eastAsia="Calibri" w:hAnsi="Calibri"/>
          <w:sz w:val="18"/>
          <w:szCs w:val="18"/>
          <w:color w:val="auto"/>
        </w:rPr>
        <w:t>The fnancial statement schedule of the Registrant and its subsidiaries for fscal years 2024, 2023 and 2022 required by Item 15(a) (Schedule II, Valuaton and Qualifying Accounts) is included in Item 8 of this Annual Report on Form 10-K: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Page</w:t>
            </w:r>
          </w:p>
        </w:tc>
      </w:tr>
      <w:tr>
        <w:trPr>
          <w:trHeight w:val="47"/>
        </w:trPr>
        <w:tc>
          <w:tcPr>
            <w:tcW w:w="20" w:type="dxa"/>
            <w:vAlign w:val="bottom"/>
            <w:tcBorders>
              <w:bottom w:val="single" w:sz="8" w:color="CCEEFF"/>
            </w:tcBorders>
          </w:tcPr>
          <w:p>
            <w:pPr>
              <w:spacing w:after="0"/>
              <w:rPr>
                <w:sz w:val="4"/>
                <w:szCs w:val="4"/>
                <w:color w:val="auto"/>
              </w:rPr>
            </w:pPr>
          </w:p>
        </w:tc>
        <w:tc>
          <w:tcPr>
            <w:tcW w:w="3340" w:type="dxa"/>
            <w:vAlign w:val="bottom"/>
            <w:tcBorders>
              <w:bottom w:val="single" w:sz="8" w:color="CCEEFF"/>
            </w:tcBorders>
          </w:tcPr>
          <w:p>
            <w:pPr>
              <w:spacing w:after="0"/>
              <w:rPr>
                <w:sz w:val="4"/>
                <w:szCs w:val="4"/>
                <w:color w:val="auto"/>
              </w:rPr>
            </w:pPr>
          </w:p>
        </w:tc>
        <w:tc>
          <w:tcPr>
            <w:tcW w:w="648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169"/>
        </w:trPr>
        <w:tc>
          <w:tcPr>
            <w:tcW w:w="20" w:type="dxa"/>
            <w:vAlign w:val="bottom"/>
            <w:shd w:val="clear" w:color="auto" w:fill="CCEEFF"/>
          </w:tcPr>
          <w:p>
            <w:pPr>
              <w:spacing w:after="0"/>
              <w:rPr>
                <w:sz w:val="14"/>
                <w:szCs w:val="14"/>
                <w:color w:val="auto"/>
              </w:rPr>
            </w:pPr>
          </w:p>
        </w:tc>
        <w:tc>
          <w:tcPr>
            <w:tcW w:w="9820" w:type="dxa"/>
            <w:vAlign w:val="bottom"/>
            <w:gridSpan w:val="2"/>
            <w:shd w:val="clear" w:color="auto" w:fill="CCEEFF"/>
          </w:tcPr>
          <w:p>
            <w:pPr>
              <w:spacing w:after="0" w:line="169" w:lineRule="exact"/>
              <w:rPr>
                <w:sz w:val="20"/>
                <w:szCs w:val="20"/>
                <w:color w:val="auto"/>
              </w:rPr>
            </w:pPr>
            <w:r>
              <w:rPr>
                <w:rFonts w:ascii="Calibri" w:cs="Calibri" w:eastAsia="Calibri" w:hAnsi="Calibri"/>
                <w:sz w:val="18"/>
                <w:szCs w:val="18"/>
                <w:color w:val="0000FF"/>
              </w:rPr>
              <w:t>Schedule II - Valuaton and Qualifying Accounts</w:t>
            </w:r>
          </w:p>
        </w:tc>
        <w:tc>
          <w:tcPr>
            <w:tcW w:w="1340" w:type="dxa"/>
            <w:vAlign w:val="bottom"/>
            <w:gridSpan w:val="3"/>
            <w:shd w:val="clear" w:color="auto" w:fill="CCEEFF"/>
          </w:tcPr>
          <w:p>
            <w:pPr>
              <w:jc w:val="right"/>
              <w:ind w:right="580"/>
              <w:spacing w:after="0" w:line="169" w:lineRule="exact"/>
              <w:rPr>
                <w:sz w:val="20"/>
                <w:szCs w:val="20"/>
                <w:color w:val="auto"/>
              </w:rPr>
            </w:pPr>
            <w:r>
              <w:rPr>
                <w:rFonts w:ascii="Calibri" w:cs="Calibri" w:eastAsia="Calibri" w:hAnsi="Calibri"/>
                <w:sz w:val="18"/>
                <w:szCs w:val="18"/>
                <w:color w:val="0000FF"/>
              </w:rPr>
              <w:t>92</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340" w:type="dxa"/>
            <w:vAlign w:val="bottom"/>
            <w:tcBorders>
              <w:top w:val="single" w:sz="8" w:color="0000FF"/>
            </w:tcBorders>
            <w:shd w:val="clear" w:color="auto" w:fill="CCEEFF"/>
          </w:tcPr>
          <w:p>
            <w:pPr>
              <w:spacing w:after="0"/>
              <w:rPr>
                <w:sz w:val="2"/>
                <w:szCs w:val="2"/>
                <w:color w:val="auto"/>
              </w:rPr>
            </w:pPr>
          </w:p>
        </w:tc>
        <w:tc>
          <w:tcPr>
            <w:tcW w:w="64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r>
    </w:tbl>
    <w:p>
      <w:pPr>
        <w:spacing w:after="0" w:line="167" w:lineRule="exact"/>
        <w:rPr>
          <w:sz w:val="20"/>
          <w:szCs w:val="20"/>
          <w:color w:val="auto"/>
        </w:rPr>
      </w:pPr>
    </w:p>
    <w:p>
      <w:pPr>
        <w:ind w:right="140" w:firstLine="405"/>
        <w:spacing w:after="0" w:line="235" w:lineRule="auto"/>
        <w:rPr>
          <w:sz w:val="20"/>
          <w:szCs w:val="20"/>
          <w:color w:val="auto"/>
        </w:rPr>
      </w:pPr>
      <w:r>
        <w:rPr>
          <w:rFonts w:ascii="Calibri" w:cs="Calibri" w:eastAsia="Calibri" w:hAnsi="Calibri"/>
          <w:sz w:val="18"/>
          <w:szCs w:val="18"/>
          <w:color w:val="auto"/>
        </w:rPr>
        <w:t>Schedules not fled have been omited because they are not applicable, are not required or the informaton required to be set forth therein is included in the fnancial statements or notes thereto.</w:t>
      </w:r>
    </w:p>
    <w:p>
      <w:pPr>
        <w:spacing w:after="0" w:line="105" w:lineRule="exact"/>
        <w:rPr>
          <w:sz w:val="20"/>
          <w:szCs w:val="20"/>
          <w:color w:val="auto"/>
        </w:rPr>
      </w:pPr>
    </w:p>
    <w:p>
      <w:pPr>
        <w:ind w:left="900"/>
        <w:spacing w:after="0"/>
        <w:rPr>
          <w:sz w:val="20"/>
          <w:szCs w:val="20"/>
          <w:color w:val="auto"/>
        </w:rPr>
      </w:pPr>
      <w:r>
        <w:rPr>
          <w:rFonts w:ascii="Calibri" w:cs="Calibri" w:eastAsia="Calibri" w:hAnsi="Calibri"/>
          <w:sz w:val="18"/>
          <w:szCs w:val="18"/>
          <w:color w:val="auto"/>
        </w:rPr>
        <w:t>3. Exhibits</w:t>
      </w:r>
    </w:p>
    <w:p>
      <w:pPr>
        <w:spacing w:after="0" w:line="104"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The documents set forth below are fled herewith or incorporated by reference to the locaton indicated.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4"/>
          </w:tcPr>
          <w:p>
            <w:pPr>
              <w:ind w:left="460"/>
              <w:spacing w:after="0"/>
              <w:rPr>
                <w:sz w:val="20"/>
                <w:szCs w:val="20"/>
                <w:color w:val="auto"/>
              </w:rPr>
            </w:pPr>
            <w:r>
              <w:rPr>
                <w:rFonts w:ascii="Calibri" w:cs="Calibri" w:eastAsia="Calibri" w:hAnsi="Calibri"/>
                <w:sz w:val="14"/>
                <w:szCs w:val="14"/>
                <w:color w:val="auto"/>
              </w:rPr>
              <w:t>Incorporated by Reference</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160" w:type="dxa"/>
            <w:vAlign w:val="bottom"/>
            <w:gridSpan w:val="2"/>
            <w:vMerge w:val="restart"/>
          </w:tcPr>
          <w:p>
            <w:pPr>
              <w:jc w:val="center"/>
              <w:ind w:right="280"/>
              <w:spacing w:after="0"/>
              <w:rPr>
                <w:sz w:val="20"/>
                <w:szCs w:val="20"/>
                <w:color w:val="auto"/>
              </w:rPr>
            </w:pPr>
            <w:r>
              <w:rPr>
                <w:rFonts w:ascii="Calibri" w:cs="Calibri" w:eastAsia="Calibri" w:hAnsi="Calibri"/>
                <w:sz w:val="14"/>
                <w:szCs w:val="14"/>
                <w:color w:val="auto"/>
              </w:rPr>
              <w:t>Exhibit</w:t>
            </w:r>
          </w:p>
        </w:tc>
        <w:tc>
          <w:tcPr>
            <w:tcW w:w="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rPr>
                <w:sz w:val="20"/>
                <w:szCs w:val="20"/>
                <w:color w:val="auto"/>
              </w:rPr>
            </w:pPr>
            <w:r>
              <w:rPr>
                <w:rFonts w:ascii="Calibri" w:cs="Calibri" w:eastAsia="Calibri" w:hAnsi="Calibri"/>
                <w:sz w:val="14"/>
                <w:szCs w:val="14"/>
                <w:color w:val="auto"/>
              </w:rPr>
              <w:t>Filed</w:t>
            </w:r>
          </w:p>
        </w:tc>
        <w:tc>
          <w:tcPr>
            <w:tcW w:w="0" w:type="dxa"/>
            <w:vAlign w:val="bottom"/>
          </w:tcPr>
          <w:p>
            <w:pPr>
              <w:spacing w:after="0"/>
              <w:rPr>
                <w:sz w:val="1"/>
                <w:szCs w:val="1"/>
                <w:color w:val="auto"/>
              </w:rPr>
            </w:pPr>
          </w:p>
        </w:tc>
      </w:tr>
      <w:tr>
        <w:trPr>
          <w:trHeight w:val="114"/>
        </w:trPr>
        <w:tc>
          <w:tcPr>
            <w:tcW w:w="11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780" w:type="dxa"/>
            <w:vAlign w:val="bottom"/>
            <w:gridSpan w:val="17"/>
            <w:vMerge w:val="restart"/>
          </w:tcPr>
          <w:p>
            <w:pPr>
              <w:jc w:val="right"/>
              <w:ind w:right="2020"/>
              <w:spacing w:after="0"/>
              <w:rPr>
                <w:sz w:val="20"/>
                <w:szCs w:val="20"/>
                <w:color w:val="auto"/>
              </w:rPr>
            </w:pPr>
            <w:r>
              <w:rPr>
                <w:rFonts w:ascii="Calibri" w:cs="Calibri" w:eastAsia="Calibri" w:hAnsi="Calibri"/>
                <w:sz w:val="14"/>
                <w:szCs w:val="14"/>
                <w:color w:val="auto"/>
              </w:rPr>
              <w:t>Descripton</w:t>
            </w:r>
          </w:p>
        </w:tc>
        <w:tc>
          <w:tcPr>
            <w:tcW w:w="1060" w:type="dxa"/>
            <w:vAlign w:val="bottom"/>
            <w:gridSpan w:val="2"/>
            <w:vMerge w:val="restart"/>
          </w:tcPr>
          <w:p>
            <w:pPr>
              <w:ind w:left="320"/>
              <w:spacing w:after="0"/>
              <w:rPr>
                <w:sz w:val="20"/>
                <w:szCs w:val="20"/>
                <w:color w:val="auto"/>
              </w:rPr>
            </w:pPr>
            <w:r>
              <w:rPr>
                <w:rFonts w:ascii="Calibri" w:cs="Calibri" w:eastAsia="Calibri" w:hAnsi="Calibri"/>
                <w:sz w:val="14"/>
                <w:szCs w:val="14"/>
                <w:color w:val="auto"/>
              </w:rPr>
              <w:t>Form</w:t>
            </w:r>
          </w:p>
        </w:tc>
        <w:tc>
          <w:tcPr>
            <w:tcW w:w="1260" w:type="dxa"/>
            <w:vAlign w:val="bottom"/>
            <w:gridSpan w:val="2"/>
            <w:vMerge w:val="restart"/>
          </w:tcPr>
          <w:p>
            <w:pPr>
              <w:ind w:left="360"/>
              <w:spacing w:after="0"/>
              <w:rPr>
                <w:sz w:val="20"/>
                <w:szCs w:val="20"/>
                <w:color w:val="auto"/>
              </w:rPr>
            </w:pPr>
            <w:r>
              <w:rPr>
                <w:rFonts w:ascii="Calibri" w:cs="Calibri" w:eastAsia="Calibri" w:hAnsi="Calibri"/>
                <w:sz w:val="14"/>
                <w:szCs w:val="14"/>
                <w:color w:val="auto"/>
              </w:rPr>
              <w:t>File No.</w:t>
            </w:r>
          </w:p>
        </w:tc>
        <w:tc>
          <w:tcPr>
            <w:tcW w:w="1120" w:type="dxa"/>
            <w:vAlign w:val="bottom"/>
            <w:gridSpan w:val="2"/>
            <w:vMerge w:val="restart"/>
          </w:tcPr>
          <w:p>
            <w:pPr>
              <w:jc w:val="center"/>
              <w:ind w:right="120"/>
              <w:spacing w:after="0"/>
              <w:rPr>
                <w:sz w:val="20"/>
                <w:szCs w:val="20"/>
                <w:color w:val="auto"/>
              </w:rPr>
            </w:pPr>
            <w:r>
              <w:rPr>
                <w:rFonts w:ascii="Calibri" w:cs="Calibri" w:eastAsia="Calibri" w:hAnsi="Calibri"/>
                <w:sz w:val="14"/>
                <w:szCs w:val="14"/>
                <w:color w:val="auto"/>
              </w:rPr>
              <w:t>Exhibit</w:t>
            </w:r>
          </w:p>
        </w:tc>
        <w:tc>
          <w:tcPr>
            <w:tcW w:w="1260" w:type="dxa"/>
            <w:vAlign w:val="bottom"/>
            <w:gridSpan w:val="2"/>
            <w:vMerge w:val="restart"/>
          </w:tcPr>
          <w:p>
            <w:pPr>
              <w:ind w:left="260"/>
              <w:spacing w:after="0"/>
              <w:rPr>
                <w:sz w:val="20"/>
                <w:szCs w:val="20"/>
                <w:color w:val="auto"/>
              </w:rPr>
            </w:pPr>
            <w:r>
              <w:rPr>
                <w:rFonts w:ascii="Calibri" w:cs="Calibri" w:eastAsia="Calibri" w:hAnsi="Calibri"/>
                <w:sz w:val="14"/>
                <w:szCs w:val="14"/>
                <w:color w:val="auto"/>
              </w:rPr>
              <w:t>Filing Date</w:t>
            </w: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160" w:type="dxa"/>
            <w:vAlign w:val="bottom"/>
            <w:gridSpan w:val="2"/>
          </w:tcPr>
          <w:p>
            <w:pPr>
              <w:jc w:val="center"/>
              <w:ind w:right="280"/>
              <w:spacing w:after="0"/>
              <w:rPr>
                <w:sz w:val="20"/>
                <w:szCs w:val="20"/>
                <w:color w:val="auto"/>
              </w:rPr>
            </w:pPr>
            <w:r>
              <w:rPr>
                <w:rFonts w:ascii="Calibri" w:cs="Calibri" w:eastAsia="Calibri" w:hAnsi="Calibri"/>
                <w:sz w:val="14"/>
                <w:szCs w:val="14"/>
                <w:color w:val="auto"/>
              </w:rPr>
              <w:t>Number</w:t>
            </w:r>
          </w:p>
        </w:tc>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780" w:type="dxa"/>
            <w:vAlign w:val="bottom"/>
            <w:gridSpan w:val="17"/>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0" w:type="dxa"/>
            <w:vAlign w:val="bottom"/>
          </w:tcPr>
          <w:p>
            <w:pPr>
              <w:jc w:val="center"/>
              <w:spacing w:after="0"/>
              <w:rPr>
                <w:sz w:val="20"/>
                <w:szCs w:val="20"/>
                <w:color w:val="auto"/>
              </w:rPr>
            </w:pPr>
            <w:r>
              <w:rPr>
                <w:rFonts w:ascii="Calibri" w:cs="Calibri" w:eastAsia="Calibri" w:hAnsi="Calibri"/>
                <w:sz w:val="14"/>
                <w:szCs w:val="14"/>
                <w:color w:val="auto"/>
              </w:rPr>
              <w:t>Herewith</w:t>
            </w:r>
          </w:p>
        </w:tc>
        <w:tc>
          <w:tcPr>
            <w:tcW w:w="0" w:type="dxa"/>
            <w:vAlign w:val="bottom"/>
          </w:tcPr>
          <w:p>
            <w:pPr>
              <w:spacing w:after="0"/>
              <w:rPr>
                <w:sz w:val="1"/>
                <w:szCs w:val="1"/>
                <w:color w:val="auto"/>
              </w:rPr>
            </w:pPr>
          </w:p>
        </w:tc>
      </w:tr>
      <w:tr>
        <w:trPr>
          <w:trHeight w:val="33"/>
        </w:trPr>
        <w:tc>
          <w:tcPr>
            <w:tcW w:w="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60" w:type="dxa"/>
            <w:vAlign w:val="bottom"/>
          </w:tcPr>
          <w:p>
            <w:pPr>
              <w:jc w:val="right"/>
              <w:spacing w:after="0" w:line="169" w:lineRule="exact"/>
              <w:rPr>
                <w:sz w:val="20"/>
                <w:szCs w:val="20"/>
                <w:color w:val="auto"/>
              </w:rPr>
            </w:pPr>
            <w:r>
              <w:rPr>
                <w:rFonts w:ascii="Calibri" w:cs="Calibri" w:eastAsia="Calibri" w:hAnsi="Calibri"/>
                <w:sz w:val="18"/>
                <w:szCs w:val="18"/>
                <w:color w:val="auto"/>
              </w:rPr>
              <w:t>2.1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40" w:type="dxa"/>
            <w:vAlign w:val="bottom"/>
            <w:gridSpan w:val="17"/>
          </w:tcPr>
          <w:p>
            <w:pPr>
              <w:spacing w:after="0" w:line="169" w:lineRule="exact"/>
              <w:rPr>
                <w:rFonts w:ascii="Calibri" w:cs="Calibri" w:eastAsia="Calibri" w:hAnsi="Calibri"/>
                <w:sz w:val="18"/>
                <w:szCs w:val="18"/>
                <w:color w:val="0000FF"/>
                <w:w w:val="99"/>
              </w:rPr>
            </w:pPr>
            <w:hyperlink r:id="rId129">
              <w:r>
                <w:rPr>
                  <w:rFonts w:ascii="Calibri" w:cs="Calibri" w:eastAsia="Calibri" w:hAnsi="Calibri"/>
                  <w:sz w:val="18"/>
                  <w:szCs w:val="18"/>
                  <w:color w:val="0000FF"/>
                  <w:w w:val="99"/>
                </w:rPr>
                <w:t>Agreement and Plan of Merger, dated as of May 26, 2022, by</w:t>
              </w:r>
            </w:hyperlink>
          </w:p>
        </w:tc>
        <w:tc>
          <w:tcPr>
            <w:tcW w:w="120" w:type="dxa"/>
            <w:vAlign w:val="bottom"/>
          </w:tcPr>
          <w:p>
            <w:pPr>
              <w:spacing w:after="0"/>
              <w:rPr>
                <w:sz w:val="14"/>
                <w:szCs w:val="14"/>
                <w:color w:val="auto"/>
              </w:rPr>
            </w:pPr>
          </w:p>
        </w:tc>
        <w:tc>
          <w:tcPr>
            <w:tcW w:w="960" w:type="dxa"/>
            <w:vAlign w:val="bottom"/>
          </w:tcPr>
          <w:p>
            <w:pPr>
              <w:ind w:left="20"/>
              <w:spacing w:after="0" w:line="169" w:lineRule="exact"/>
              <w:rPr>
                <w:sz w:val="20"/>
                <w:szCs w:val="20"/>
                <w:color w:val="auto"/>
              </w:rPr>
            </w:pPr>
            <w:r>
              <w:rPr>
                <w:rFonts w:ascii="Calibri" w:cs="Calibri" w:eastAsia="Calibri" w:hAnsi="Calibri"/>
                <w:sz w:val="18"/>
                <w:szCs w:val="18"/>
                <w:color w:val="auto"/>
              </w:rPr>
              <w:t>8-K</w:t>
            </w:r>
          </w:p>
        </w:tc>
        <w:tc>
          <w:tcPr>
            <w:tcW w:w="100" w:type="dxa"/>
            <w:vAlign w:val="bottom"/>
          </w:tcPr>
          <w:p>
            <w:pPr>
              <w:spacing w:after="0"/>
              <w:rPr>
                <w:sz w:val="14"/>
                <w:szCs w:val="14"/>
                <w:color w:val="auto"/>
              </w:rPr>
            </w:pPr>
          </w:p>
        </w:tc>
        <w:tc>
          <w:tcPr>
            <w:tcW w:w="1180" w:type="dxa"/>
            <w:vAlign w:val="bottom"/>
          </w:tcPr>
          <w:p>
            <w:pPr>
              <w:jc w:val="right"/>
              <w:ind w:right="314"/>
              <w:spacing w:after="0" w:line="169" w:lineRule="exact"/>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Calibri" w:cs="Calibri" w:eastAsia="Calibri" w:hAnsi="Calibri"/>
                <w:sz w:val="18"/>
                <w:szCs w:val="18"/>
                <w:color w:val="auto"/>
                <w:w w:val="96"/>
              </w:rPr>
              <w:t>2.1</w:t>
            </w:r>
          </w:p>
        </w:tc>
        <w:tc>
          <w:tcPr>
            <w:tcW w:w="120" w:type="dxa"/>
            <w:vAlign w:val="bottom"/>
          </w:tcPr>
          <w:p>
            <w:pPr>
              <w:spacing w:after="0"/>
              <w:rPr>
                <w:sz w:val="14"/>
                <w:szCs w:val="14"/>
                <w:color w:val="auto"/>
              </w:rPr>
            </w:pPr>
          </w:p>
        </w:tc>
        <w:tc>
          <w:tcPr>
            <w:tcW w:w="1160" w:type="dxa"/>
            <w:vAlign w:val="bottom"/>
          </w:tcPr>
          <w:p>
            <w:pPr>
              <w:jc w:val="right"/>
              <w:ind w:right="232"/>
              <w:spacing w:after="0" w:line="169" w:lineRule="exact"/>
              <w:rPr>
                <w:sz w:val="20"/>
                <w:szCs w:val="20"/>
                <w:color w:val="auto"/>
              </w:rPr>
            </w:pPr>
            <w:r>
              <w:rPr>
                <w:rFonts w:ascii="Calibri" w:cs="Calibri" w:eastAsia="Calibri" w:hAnsi="Calibri"/>
                <w:sz w:val="18"/>
                <w:szCs w:val="18"/>
                <w:color w:val="auto"/>
                <w:w w:val="97"/>
              </w:rPr>
              <w:t>05-26-2022</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top w:val="single" w:sz="8" w:color="0000FF"/>
              <w:bottom w:val="single" w:sz="8" w:color="0000FF"/>
            </w:tcBorders>
            <w:gridSpan w:val="14"/>
          </w:tcPr>
          <w:p>
            <w:pPr>
              <w:spacing w:after="0" w:line="169" w:lineRule="exact"/>
              <w:rPr>
                <w:rFonts w:ascii="Calibri" w:cs="Calibri" w:eastAsia="Calibri" w:hAnsi="Calibri"/>
                <w:sz w:val="18"/>
                <w:szCs w:val="18"/>
                <w:color w:val="0000FF"/>
                <w:w w:val="95"/>
              </w:rPr>
            </w:pPr>
            <w:hyperlink r:id="rId129">
              <w:r>
                <w:rPr>
                  <w:rFonts w:ascii="Calibri" w:cs="Calibri" w:eastAsia="Calibri" w:hAnsi="Calibri"/>
                  <w:sz w:val="18"/>
                  <w:szCs w:val="18"/>
                  <w:color w:val="0000FF"/>
                  <w:w w:val="95"/>
                </w:rPr>
                <w:t>and among Broadcom Inc., VMware, Inc., Verona Holdco, Inc.,</w:t>
              </w:r>
            </w:hyperlink>
          </w:p>
        </w:tc>
        <w:tc>
          <w:tcPr>
            <w:tcW w:w="4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6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gridSpan w:val="16"/>
          </w:tcPr>
          <w:p>
            <w:pPr>
              <w:spacing w:after="0" w:line="156" w:lineRule="exact"/>
              <w:rPr>
                <w:rFonts w:ascii="Calibri" w:cs="Calibri" w:eastAsia="Calibri" w:hAnsi="Calibri"/>
                <w:sz w:val="16"/>
                <w:szCs w:val="16"/>
                <w:color w:val="0000FF"/>
              </w:rPr>
            </w:pPr>
            <w:hyperlink r:id="rId129">
              <w:r>
                <w:rPr>
                  <w:rFonts w:ascii="Calibri" w:cs="Calibri" w:eastAsia="Calibri" w:hAnsi="Calibri"/>
                  <w:sz w:val="16"/>
                  <w:szCs w:val="16"/>
                  <w:color w:val="0000FF"/>
                </w:rPr>
                <w:t>Verona Merger Sub, Inc., Barcelona Merger Sub 2, Inc. and</w:t>
              </w:r>
            </w:hyperlink>
          </w:p>
        </w:tc>
        <w:tc>
          <w:tcPr>
            <w:tcW w:w="16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tcBorders>
            <w:gridSpan w:val="11"/>
          </w:tcPr>
          <w:p>
            <w:pPr>
              <w:spacing w:after="0" w:line="156" w:lineRule="exact"/>
              <w:rPr>
                <w:rFonts w:ascii="Calibri" w:cs="Calibri" w:eastAsia="Calibri" w:hAnsi="Calibri"/>
                <w:sz w:val="16"/>
                <w:szCs w:val="16"/>
                <w:color w:val="0000FF"/>
              </w:rPr>
            </w:pPr>
            <w:hyperlink r:id="rId129">
              <w:r>
                <w:rPr>
                  <w:rFonts w:ascii="Calibri" w:cs="Calibri" w:eastAsia="Calibri" w:hAnsi="Calibri"/>
                  <w:sz w:val="16"/>
                  <w:szCs w:val="16"/>
                  <w:color w:val="0000FF"/>
                </w:rPr>
                <w:t>Barcelona Merger Sub 3, LLC.</w:t>
              </w:r>
            </w:hyperlink>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3.1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18"/>
          </w:tcPr>
          <w:p>
            <w:pPr>
              <w:spacing w:after="0" w:line="209" w:lineRule="exact"/>
              <w:rPr>
                <w:rFonts w:ascii="Calibri" w:cs="Calibri" w:eastAsia="Calibri" w:hAnsi="Calibri"/>
                <w:sz w:val="18"/>
                <w:szCs w:val="18"/>
                <w:color w:val="0000FF"/>
              </w:rPr>
            </w:pPr>
            <w:hyperlink r:id="rId130">
              <w:r>
                <w:rPr>
                  <w:rFonts w:ascii="Calibri" w:cs="Calibri" w:eastAsia="Calibri" w:hAnsi="Calibri"/>
                  <w:sz w:val="18"/>
                  <w:szCs w:val="18"/>
                  <w:color w:val="0000FF"/>
                </w:rPr>
                <w:t>Amended and Restated Certfcate of Incorporaton (including</w:t>
              </w:r>
            </w:hyperlink>
          </w:p>
        </w:tc>
        <w:tc>
          <w:tcPr>
            <w:tcW w:w="10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10-Q</w:t>
            </w:r>
          </w:p>
        </w:tc>
        <w:tc>
          <w:tcPr>
            <w:tcW w:w="1180" w:type="dxa"/>
            <w:vAlign w:val="bottom"/>
          </w:tcPr>
          <w:p>
            <w:pPr>
              <w:jc w:val="right"/>
              <w:ind w:right="314"/>
              <w:spacing w:after="0" w:line="209" w:lineRule="exact"/>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3.1</w:t>
            </w:r>
          </w:p>
        </w:tc>
        <w:tc>
          <w:tcPr>
            <w:tcW w:w="120" w:type="dxa"/>
            <w:vAlign w:val="bottom"/>
          </w:tcPr>
          <w:p>
            <w:pPr>
              <w:spacing w:after="0"/>
              <w:rPr>
                <w:sz w:val="18"/>
                <w:szCs w:val="18"/>
                <w:color w:val="auto"/>
              </w:rPr>
            </w:pPr>
          </w:p>
        </w:tc>
        <w:tc>
          <w:tcPr>
            <w:tcW w:w="1160" w:type="dxa"/>
            <w:vAlign w:val="bottom"/>
          </w:tcPr>
          <w:p>
            <w:pPr>
              <w:jc w:val="right"/>
              <w:ind w:right="232"/>
              <w:spacing w:after="0" w:line="209" w:lineRule="exact"/>
              <w:rPr>
                <w:sz w:val="20"/>
                <w:szCs w:val="20"/>
                <w:color w:val="auto"/>
              </w:rPr>
            </w:pPr>
            <w:r>
              <w:rPr>
                <w:rFonts w:ascii="Calibri" w:cs="Calibri" w:eastAsia="Calibri" w:hAnsi="Calibri"/>
                <w:sz w:val="18"/>
                <w:szCs w:val="18"/>
                <w:color w:val="auto"/>
                <w:w w:val="97"/>
              </w:rPr>
              <w:t>09-11-2024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80" w:type="dxa"/>
            <w:vAlign w:val="bottom"/>
            <w:tcBorders>
              <w:top w:val="single" w:sz="8" w:color="0000FF"/>
            </w:tcBorders>
            <w:gridSpan w:val="15"/>
          </w:tcPr>
          <w:p>
            <w:pPr>
              <w:spacing w:after="0" w:line="169" w:lineRule="exact"/>
              <w:rPr>
                <w:rFonts w:ascii="Calibri" w:cs="Calibri" w:eastAsia="Calibri" w:hAnsi="Calibri"/>
                <w:sz w:val="18"/>
                <w:szCs w:val="18"/>
                <w:color w:val="0000FF"/>
              </w:rPr>
            </w:pPr>
            <w:hyperlink r:id="rId130">
              <w:r>
                <w:rPr>
                  <w:rFonts w:ascii="Calibri" w:cs="Calibri" w:eastAsia="Calibri" w:hAnsi="Calibri"/>
                  <w:sz w:val="18"/>
                  <w:szCs w:val="18"/>
                  <w:color w:val="0000FF"/>
                </w:rPr>
                <w:t>all amendments thereto).</w:t>
              </w:r>
            </w:hyperlink>
          </w:p>
        </w:tc>
        <w:tc>
          <w:tcPr>
            <w:tcW w:w="180" w:type="dxa"/>
            <w:vAlign w:val="bottom"/>
            <w:gridSpan w:val="3"/>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3.2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18"/>
          </w:tcPr>
          <w:p>
            <w:pPr>
              <w:spacing w:after="0" w:line="209" w:lineRule="exact"/>
              <w:rPr>
                <w:rFonts w:ascii="Calibri" w:cs="Calibri" w:eastAsia="Calibri" w:hAnsi="Calibri"/>
                <w:sz w:val="18"/>
                <w:szCs w:val="18"/>
                <w:color w:val="0000FF"/>
              </w:rPr>
            </w:pPr>
            <w:hyperlink r:id="rId131">
              <w:r>
                <w:rPr>
                  <w:rFonts w:ascii="Calibri" w:cs="Calibri" w:eastAsia="Calibri" w:hAnsi="Calibri"/>
                  <w:sz w:val="18"/>
                  <w:szCs w:val="18"/>
                  <w:color w:val="0000FF"/>
                </w:rPr>
                <w:t>Amended and Restated Bylaws.</w:t>
              </w:r>
            </w:hyperlink>
          </w:p>
        </w:tc>
        <w:tc>
          <w:tcPr>
            <w:tcW w:w="10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8-K12B</w:t>
            </w:r>
          </w:p>
        </w:tc>
        <w:tc>
          <w:tcPr>
            <w:tcW w:w="1180" w:type="dxa"/>
            <w:vAlign w:val="bottom"/>
          </w:tcPr>
          <w:p>
            <w:pPr>
              <w:jc w:val="right"/>
              <w:ind w:right="314"/>
              <w:spacing w:after="0" w:line="209" w:lineRule="exact"/>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3.2</w:t>
            </w:r>
          </w:p>
        </w:tc>
        <w:tc>
          <w:tcPr>
            <w:tcW w:w="120" w:type="dxa"/>
            <w:vAlign w:val="bottom"/>
          </w:tcPr>
          <w:p>
            <w:pPr>
              <w:spacing w:after="0"/>
              <w:rPr>
                <w:sz w:val="18"/>
                <w:szCs w:val="18"/>
                <w:color w:val="auto"/>
              </w:rPr>
            </w:pPr>
          </w:p>
        </w:tc>
        <w:tc>
          <w:tcPr>
            <w:tcW w:w="1160" w:type="dxa"/>
            <w:vAlign w:val="bottom"/>
          </w:tcPr>
          <w:p>
            <w:pPr>
              <w:jc w:val="right"/>
              <w:ind w:right="232"/>
              <w:spacing w:after="0" w:line="209" w:lineRule="exact"/>
              <w:rPr>
                <w:sz w:val="20"/>
                <w:szCs w:val="20"/>
                <w:color w:val="auto"/>
              </w:rPr>
            </w:pPr>
            <w:r>
              <w:rPr>
                <w:rFonts w:ascii="Calibri" w:cs="Calibri" w:eastAsia="Calibri" w:hAnsi="Calibri"/>
                <w:sz w:val="18"/>
                <w:szCs w:val="18"/>
                <w:color w:val="auto"/>
                <w:w w:val="97"/>
              </w:rPr>
              <w:t>04-04-2018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4.1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Borders>
              <w:bottom w:val="single" w:sz="8" w:color="0000FF"/>
            </w:tcBorders>
            <w:gridSpan w:val="5"/>
          </w:tcPr>
          <w:p>
            <w:pPr>
              <w:spacing w:after="0" w:line="209" w:lineRule="exact"/>
              <w:rPr>
                <w:rFonts w:ascii="Calibri" w:cs="Calibri" w:eastAsia="Calibri" w:hAnsi="Calibri"/>
                <w:sz w:val="18"/>
                <w:szCs w:val="18"/>
                <w:color w:val="0000FF"/>
                <w:w w:val="99"/>
              </w:rPr>
            </w:pPr>
            <w:hyperlink r:id="rId132">
              <w:r>
                <w:rPr>
                  <w:rFonts w:ascii="Calibri" w:cs="Calibri" w:eastAsia="Calibri" w:hAnsi="Calibri"/>
                  <w:sz w:val="18"/>
                  <w:szCs w:val="18"/>
                  <w:color w:val="0000FF"/>
                  <w:w w:val="99"/>
                </w:rPr>
                <w:t>Form of Common Stock Certfcate.</w:t>
              </w:r>
            </w:hyperlink>
          </w:p>
        </w:tc>
        <w:tc>
          <w:tcPr>
            <w:tcW w:w="2060" w:type="dxa"/>
            <w:vAlign w:val="bottom"/>
            <w:gridSpan w:val="13"/>
          </w:tcPr>
          <w:p>
            <w:pPr>
              <w:spacing w:after="0"/>
              <w:rPr>
                <w:sz w:val="18"/>
                <w:szCs w:val="18"/>
                <w:color w:val="auto"/>
              </w:rPr>
            </w:pPr>
          </w:p>
        </w:tc>
        <w:tc>
          <w:tcPr>
            <w:tcW w:w="10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10-Q</w:t>
            </w:r>
          </w:p>
        </w:tc>
        <w:tc>
          <w:tcPr>
            <w:tcW w:w="1180" w:type="dxa"/>
            <w:vAlign w:val="bottom"/>
          </w:tcPr>
          <w:p>
            <w:pPr>
              <w:jc w:val="right"/>
              <w:ind w:right="314"/>
              <w:spacing w:after="0" w:line="209" w:lineRule="exact"/>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8"/>
                <w:szCs w:val="18"/>
                <w:color w:val="auto"/>
              </w:rPr>
            </w:pPr>
          </w:p>
        </w:tc>
        <w:tc>
          <w:tcPr>
            <w:tcW w:w="1160" w:type="dxa"/>
            <w:vAlign w:val="bottom"/>
          </w:tcPr>
          <w:p>
            <w:pPr>
              <w:jc w:val="right"/>
              <w:ind w:right="232"/>
              <w:spacing w:after="0" w:line="209" w:lineRule="exact"/>
              <w:rPr>
                <w:sz w:val="20"/>
                <w:szCs w:val="20"/>
                <w:color w:val="auto"/>
              </w:rPr>
            </w:pPr>
            <w:r>
              <w:rPr>
                <w:rFonts w:ascii="Calibri" w:cs="Calibri" w:eastAsia="Calibri" w:hAnsi="Calibri"/>
                <w:sz w:val="18"/>
                <w:szCs w:val="18"/>
                <w:color w:val="auto"/>
                <w:w w:val="97"/>
              </w:rPr>
              <w:t>06-14-2018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4.2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18"/>
          </w:tcPr>
          <w:p>
            <w:pPr>
              <w:spacing w:after="0" w:line="209" w:lineRule="exact"/>
              <w:rPr>
                <w:sz w:val="20"/>
                <w:szCs w:val="20"/>
                <w:color w:val="auto"/>
              </w:rPr>
            </w:pPr>
            <w:r>
              <w:rPr>
                <w:rFonts w:ascii="Calibri" w:cs="Calibri" w:eastAsia="Calibri" w:hAnsi="Calibri"/>
                <w:sz w:val="18"/>
                <w:szCs w:val="18"/>
                <w:color w:val="0000FF"/>
              </w:rPr>
              <w:t>Descripton of Common Stock.</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line="209" w:lineRule="exact"/>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4.3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18"/>
          </w:tcPr>
          <w:p>
            <w:pPr>
              <w:spacing w:after="0" w:line="209" w:lineRule="exact"/>
              <w:rPr>
                <w:rFonts w:ascii="Calibri" w:cs="Calibri" w:eastAsia="Calibri" w:hAnsi="Calibri"/>
                <w:sz w:val="18"/>
                <w:szCs w:val="18"/>
                <w:color w:val="0000FF"/>
              </w:rPr>
            </w:pPr>
            <w:hyperlink r:id="rId133">
              <w:r>
                <w:rPr>
                  <w:rFonts w:ascii="Calibri" w:cs="Calibri" w:eastAsia="Calibri" w:hAnsi="Calibri"/>
                  <w:sz w:val="18"/>
                  <w:szCs w:val="18"/>
                  <w:color w:val="0000FF"/>
                </w:rPr>
                <w:t>Indenture, dated as of January 19, 2017, by and among</w:t>
              </w:r>
            </w:hyperlink>
          </w:p>
        </w:tc>
        <w:tc>
          <w:tcPr>
            <w:tcW w:w="10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4"/>
              <w:spacing w:after="0" w:line="209" w:lineRule="exact"/>
              <w:rPr>
                <w:sz w:val="20"/>
                <w:szCs w:val="20"/>
                <w:color w:val="auto"/>
              </w:rPr>
            </w:pPr>
            <w:r>
              <w:rPr>
                <w:rFonts w:ascii="Calibri" w:cs="Calibri" w:eastAsia="Calibri" w:hAnsi="Calibri"/>
                <w:sz w:val="18"/>
                <w:szCs w:val="18"/>
                <w:color w:val="auto"/>
                <w:w w:val="96"/>
              </w:rPr>
              <w:t>001-37690</w:t>
            </w:r>
          </w:p>
        </w:tc>
        <w:tc>
          <w:tcPr>
            <w:tcW w:w="8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8"/>
                <w:szCs w:val="18"/>
                <w:color w:val="auto"/>
              </w:rPr>
            </w:pPr>
          </w:p>
        </w:tc>
        <w:tc>
          <w:tcPr>
            <w:tcW w:w="1160" w:type="dxa"/>
            <w:vAlign w:val="bottom"/>
          </w:tcPr>
          <w:p>
            <w:pPr>
              <w:jc w:val="right"/>
              <w:ind w:right="232"/>
              <w:spacing w:after="0" w:line="209" w:lineRule="exact"/>
              <w:rPr>
                <w:sz w:val="20"/>
                <w:szCs w:val="20"/>
                <w:color w:val="auto"/>
              </w:rPr>
            </w:pPr>
            <w:r>
              <w:rPr>
                <w:rFonts w:ascii="Calibri" w:cs="Calibri" w:eastAsia="Calibri" w:hAnsi="Calibri"/>
                <w:sz w:val="18"/>
                <w:szCs w:val="18"/>
                <w:color w:val="auto"/>
                <w:w w:val="97"/>
              </w:rPr>
              <w:t>01-20-2017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18"/>
          </w:tcPr>
          <w:p>
            <w:pPr>
              <w:spacing w:after="0" w:line="169" w:lineRule="exact"/>
              <w:rPr>
                <w:rFonts w:ascii="Calibri" w:cs="Calibri" w:eastAsia="Calibri" w:hAnsi="Calibri"/>
                <w:sz w:val="18"/>
                <w:szCs w:val="18"/>
                <w:color w:val="0000FF"/>
              </w:rPr>
            </w:pPr>
            <w:hyperlink r:id="rId133">
              <w:r>
                <w:rPr>
                  <w:rFonts w:ascii="Calibri" w:cs="Calibri" w:eastAsia="Calibri" w:hAnsi="Calibri"/>
                  <w:sz w:val="18"/>
                  <w:szCs w:val="18"/>
                  <w:color w:val="0000FF"/>
                </w:rPr>
                <w:t>the Broadcom Corporaton and Broadcom Cayman Finance</w:t>
              </w:r>
            </w:hyperlink>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tcBorders>
            <w:gridSpan w:val="12"/>
          </w:tcPr>
          <w:p>
            <w:pPr>
              <w:spacing w:after="0" w:line="156" w:lineRule="exact"/>
              <w:rPr>
                <w:rFonts w:ascii="Calibri" w:cs="Calibri" w:eastAsia="Calibri" w:hAnsi="Calibri"/>
                <w:sz w:val="16"/>
                <w:szCs w:val="16"/>
                <w:color w:val="0000FF"/>
              </w:rPr>
            </w:pPr>
            <w:hyperlink r:id="rId133">
              <w:r>
                <w:rPr>
                  <w:rFonts w:ascii="Calibri" w:cs="Calibri" w:eastAsia="Calibri" w:hAnsi="Calibri"/>
                  <w:sz w:val="16"/>
                  <w:szCs w:val="16"/>
                  <w:color w:val="0000FF"/>
                </w:rPr>
                <w:t>Limited (the “Co-Issuers”), the guarantors and Wilmington</w:t>
              </w:r>
            </w:hyperlink>
          </w:p>
        </w:tc>
        <w:tc>
          <w:tcPr>
            <w:tcW w:w="140" w:type="dxa"/>
            <w:vAlign w:val="bottom"/>
          </w:tcPr>
          <w:p>
            <w:pPr>
              <w:spacing w:after="0"/>
              <w:rPr>
                <w:sz w:val="13"/>
                <w:szCs w:val="13"/>
                <w:color w:val="auto"/>
              </w:rPr>
            </w:pPr>
          </w:p>
        </w:tc>
        <w:tc>
          <w:tcPr>
            <w:tcW w:w="240" w:type="dxa"/>
            <w:vAlign w:val="bottom"/>
            <w:gridSpan w:val="5"/>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10"/>
          </w:tcPr>
          <w:p>
            <w:pPr>
              <w:spacing w:after="0" w:line="156" w:lineRule="exact"/>
              <w:rPr>
                <w:rFonts w:ascii="Calibri" w:cs="Calibri" w:eastAsia="Calibri" w:hAnsi="Calibri"/>
                <w:sz w:val="16"/>
                <w:szCs w:val="16"/>
                <w:color w:val="0000FF"/>
              </w:rPr>
            </w:pPr>
            <w:hyperlink r:id="rId133">
              <w:r>
                <w:rPr>
                  <w:rFonts w:ascii="Calibri" w:cs="Calibri" w:eastAsia="Calibri" w:hAnsi="Calibri"/>
                  <w:sz w:val="16"/>
                  <w:szCs w:val="16"/>
                  <w:color w:val="0000FF"/>
                </w:rPr>
                <w:t>Trust, Natonal Associaton, as trustee.</w:t>
              </w:r>
            </w:hyperlink>
          </w:p>
        </w:tc>
        <w:tc>
          <w:tcPr>
            <w:tcW w:w="180" w:type="dxa"/>
            <w:vAlign w:val="bottom"/>
            <w:gridSpan w:val="3"/>
          </w:tcPr>
          <w:p>
            <w:pPr>
              <w:spacing w:after="0"/>
              <w:rPr>
                <w:sz w:val="13"/>
                <w:szCs w:val="13"/>
                <w:color w:val="auto"/>
              </w:rPr>
            </w:pPr>
          </w:p>
        </w:tc>
        <w:tc>
          <w:tcPr>
            <w:tcW w:w="240" w:type="dxa"/>
            <w:vAlign w:val="bottom"/>
            <w:gridSpan w:val="5"/>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4.4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18"/>
          </w:tcPr>
          <w:p>
            <w:pPr>
              <w:spacing w:after="0" w:line="209" w:lineRule="exact"/>
              <w:rPr>
                <w:rFonts w:ascii="Calibri" w:cs="Calibri" w:eastAsia="Calibri" w:hAnsi="Calibri"/>
                <w:sz w:val="18"/>
                <w:szCs w:val="18"/>
                <w:color w:val="0000FF"/>
              </w:rPr>
            </w:pPr>
            <w:hyperlink r:id="rId134">
              <w:r>
                <w:rPr>
                  <w:rFonts w:ascii="Calibri" w:cs="Calibri" w:eastAsia="Calibri" w:hAnsi="Calibri"/>
                  <w:sz w:val="18"/>
                  <w:szCs w:val="18"/>
                  <w:color w:val="0000FF"/>
                </w:rPr>
                <w:t>First Supplemental Indenture to the January 2017 Indenture,</w:t>
              </w:r>
            </w:hyperlink>
          </w:p>
        </w:tc>
        <w:tc>
          <w:tcPr>
            <w:tcW w:w="10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4"/>
              <w:spacing w:after="0" w:line="209" w:lineRule="exact"/>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8"/>
                <w:szCs w:val="18"/>
                <w:color w:val="auto"/>
              </w:rPr>
            </w:pPr>
          </w:p>
        </w:tc>
        <w:tc>
          <w:tcPr>
            <w:tcW w:w="1160" w:type="dxa"/>
            <w:vAlign w:val="bottom"/>
          </w:tcPr>
          <w:p>
            <w:pPr>
              <w:jc w:val="right"/>
              <w:ind w:right="232"/>
              <w:spacing w:after="0" w:line="209" w:lineRule="exact"/>
              <w:rPr>
                <w:sz w:val="20"/>
                <w:szCs w:val="20"/>
                <w:color w:val="auto"/>
              </w:rPr>
            </w:pPr>
            <w:r>
              <w:rPr>
                <w:rFonts w:ascii="Calibri" w:cs="Calibri" w:eastAsia="Calibri" w:hAnsi="Calibri"/>
                <w:sz w:val="18"/>
                <w:szCs w:val="18"/>
                <w:color w:val="auto"/>
                <w:w w:val="97"/>
              </w:rPr>
              <w:t>04-09-2018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top w:val="single" w:sz="8" w:color="0000FF"/>
            </w:tcBorders>
            <w:gridSpan w:val="13"/>
          </w:tcPr>
          <w:p>
            <w:pPr>
              <w:spacing w:after="0" w:line="169" w:lineRule="exact"/>
              <w:rPr>
                <w:rFonts w:ascii="Calibri" w:cs="Calibri" w:eastAsia="Calibri" w:hAnsi="Calibri"/>
                <w:sz w:val="18"/>
                <w:szCs w:val="18"/>
                <w:color w:val="0000FF"/>
              </w:rPr>
            </w:pPr>
            <w:hyperlink r:id="rId134">
              <w:r>
                <w:rPr>
                  <w:rFonts w:ascii="Calibri" w:cs="Calibri" w:eastAsia="Calibri" w:hAnsi="Calibri"/>
                  <w:sz w:val="18"/>
                  <w:szCs w:val="18"/>
                  <w:color w:val="0000FF"/>
                </w:rPr>
                <w:t>dated as of April 9, 2018.</w:t>
              </w:r>
            </w:hyperlink>
          </w:p>
        </w:tc>
        <w:tc>
          <w:tcPr>
            <w:tcW w:w="240" w:type="dxa"/>
            <w:vAlign w:val="bottom"/>
            <w:gridSpan w:val="5"/>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gridSpan w:val="1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4.5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18"/>
          </w:tcPr>
          <w:p>
            <w:pPr>
              <w:spacing w:after="0" w:line="209" w:lineRule="exact"/>
              <w:rPr>
                <w:rFonts w:ascii="Calibri" w:cs="Calibri" w:eastAsia="Calibri" w:hAnsi="Calibri"/>
                <w:sz w:val="18"/>
                <w:szCs w:val="18"/>
                <w:color w:val="0000FF"/>
              </w:rPr>
            </w:pPr>
            <w:hyperlink r:id="rId135">
              <w:r>
                <w:rPr>
                  <w:rFonts w:ascii="Calibri" w:cs="Calibri" w:eastAsia="Calibri" w:hAnsi="Calibri"/>
                  <w:sz w:val="18"/>
                  <w:szCs w:val="18"/>
                  <w:color w:val="0000FF"/>
                </w:rPr>
                <w:t>Second Supplemental Indenture to the January 2017</w:t>
              </w:r>
            </w:hyperlink>
          </w:p>
        </w:tc>
        <w:tc>
          <w:tcPr>
            <w:tcW w:w="10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4"/>
              <w:spacing w:after="0" w:line="209" w:lineRule="exact"/>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8"/>
                <w:szCs w:val="18"/>
                <w:color w:val="auto"/>
              </w:rPr>
            </w:pPr>
          </w:p>
        </w:tc>
        <w:tc>
          <w:tcPr>
            <w:tcW w:w="1160" w:type="dxa"/>
            <w:vAlign w:val="bottom"/>
          </w:tcPr>
          <w:p>
            <w:pPr>
              <w:jc w:val="right"/>
              <w:ind w:right="232"/>
              <w:spacing w:after="0" w:line="209" w:lineRule="exact"/>
              <w:rPr>
                <w:sz w:val="20"/>
                <w:szCs w:val="20"/>
                <w:color w:val="auto"/>
              </w:rPr>
            </w:pPr>
            <w:r>
              <w:rPr>
                <w:rFonts w:ascii="Calibri" w:cs="Calibri" w:eastAsia="Calibri" w:hAnsi="Calibri"/>
                <w:sz w:val="18"/>
                <w:szCs w:val="18"/>
                <w:color w:val="auto"/>
                <w:w w:val="97"/>
              </w:rPr>
              <w:t>01-25-2019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80" w:type="dxa"/>
            <w:vAlign w:val="bottom"/>
            <w:tcBorders>
              <w:top w:val="single" w:sz="8" w:color="0000FF"/>
              <w:bottom w:val="single" w:sz="8" w:color="0000FF"/>
            </w:tcBorders>
            <w:gridSpan w:val="7"/>
          </w:tcPr>
          <w:p>
            <w:pPr>
              <w:spacing w:after="0" w:line="169" w:lineRule="exact"/>
              <w:rPr>
                <w:rFonts w:ascii="Calibri" w:cs="Calibri" w:eastAsia="Calibri" w:hAnsi="Calibri"/>
                <w:sz w:val="18"/>
                <w:szCs w:val="18"/>
                <w:color w:val="0000FF"/>
                <w:w w:val="97"/>
              </w:rPr>
            </w:pPr>
            <w:hyperlink r:id="rId135">
              <w:r>
                <w:rPr>
                  <w:rFonts w:ascii="Calibri" w:cs="Calibri" w:eastAsia="Calibri" w:hAnsi="Calibri"/>
                  <w:sz w:val="18"/>
                  <w:szCs w:val="18"/>
                  <w:color w:val="0000FF"/>
                  <w:w w:val="97"/>
                </w:rPr>
                <w:t>Indenture, dated as of January 25, 2019.</w:t>
              </w:r>
            </w:hyperlink>
          </w:p>
        </w:tc>
        <w:tc>
          <w:tcPr>
            <w:tcW w:w="860" w:type="dxa"/>
            <w:vAlign w:val="bottom"/>
            <w:tcBorders>
              <w:top w:val="single" w:sz="8" w:color="0000FF"/>
            </w:tcBorders>
          </w:tcPr>
          <w:p>
            <w:pPr>
              <w:spacing w:after="0"/>
              <w:rPr>
                <w:sz w:val="14"/>
                <w:szCs w:val="14"/>
                <w:color w:val="auto"/>
              </w:rPr>
            </w:pPr>
          </w:p>
        </w:tc>
        <w:tc>
          <w:tcPr>
            <w:tcW w:w="820" w:type="dxa"/>
            <w:vAlign w:val="bottom"/>
            <w:gridSpan w:val="10"/>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5"/>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80" w:type="dxa"/>
            <w:vAlign w:val="bottom"/>
            <w:gridSpan w:val="19"/>
          </w:tcPr>
          <w:p>
            <w:pPr>
              <w:jc w:val="right"/>
              <w:ind w:right="20"/>
              <w:spacing w:after="0"/>
              <w:rPr>
                <w:sz w:val="20"/>
                <w:szCs w:val="20"/>
                <w:color w:val="auto"/>
              </w:rPr>
            </w:pPr>
            <w:r>
              <w:rPr>
                <w:rFonts w:ascii="Calibri" w:cs="Calibri" w:eastAsia="Calibri" w:hAnsi="Calibri"/>
                <w:sz w:val="18"/>
                <w:szCs w:val="18"/>
                <w:color w:val="auto"/>
              </w:rPr>
              <w:t>95</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8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7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7" w:name="page98"/>
    <w:bookmarkEnd w:id="9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4"/>
          </w:tcPr>
          <w:p>
            <w:pPr>
              <w:ind w:left="460"/>
              <w:spacing w:after="0"/>
              <w:rPr>
                <w:sz w:val="20"/>
                <w:szCs w:val="20"/>
                <w:color w:val="auto"/>
              </w:rPr>
            </w:pPr>
            <w:r>
              <w:rPr>
                <w:rFonts w:ascii="Calibri" w:cs="Calibri" w:eastAsia="Calibri" w:hAnsi="Calibri"/>
                <w:sz w:val="14"/>
                <w:szCs w:val="14"/>
                <w:color w:val="auto"/>
              </w:rPr>
              <w:t>Incorporated by Reference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160" w:type="dxa"/>
            <w:vAlign w:val="bottom"/>
            <w:gridSpan w:val="2"/>
            <w:vMerge w:val="restart"/>
          </w:tcPr>
          <w:p>
            <w:pPr>
              <w:jc w:val="center"/>
              <w:ind w:right="280"/>
              <w:spacing w:after="0"/>
              <w:rPr>
                <w:sz w:val="20"/>
                <w:szCs w:val="20"/>
                <w:color w:val="auto"/>
              </w:rPr>
            </w:pPr>
            <w:r>
              <w:rPr>
                <w:rFonts w:ascii="Calibri" w:cs="Calibri" w:eastAsia="Calibri" w:hAnsi="Calibri"/>
                <w:sz w:val="14"/>
                <w:szCs w:val="14"/>
                <w:color w:val="auto"/>
              </w:rPr>
              <w:t>Exhibit</w:t>
            </w: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11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80" w:type="dxa"/>
            <w:vAlign w:val="bottom"/>
            <w:gridSpan w:val="19"/>
            <w:vMerge w:val="restart"/>
          </w:tcPr>
          <w:p>
            <w:pPr>
              <w:jc w:val="right"/>
              <w:ind w:right="2020"/>
              <w:spacing w:after="0"/>
              <w:rPr>
                <w:sz w:val="20"/>
                <w:szCs w:val="20"/>
                <w:color w:val="auto"/>
              </w:rPr>
            </w:pPr>
            <w:r>
              <w:rPr>
                <w:rFonts w:ascii="Calibri" w:cs="Calibri" w:eastAsia="Calibri" w:hAnsi="Calibri"/>
                <w:sz w:val="14"/>
                <w:szCs w:val="14"/>
                <w:color w:val="auto"/>
              </w:rPr>
              <w:t>Descripton</w:t>
            </w:r>
          </w:p>
        </w:tc>
        <w:tc>
          <w:tcPr>
            <w:tcW w:w="1060" w:type="dxa"/>
            <w:vAlign w:val="bottom"/>
            <w:gridSpan w:val="2"/>
            <w:vMerge w:val="restart"/>
          </w:tcPr>
          <w:p>
            <w:pPr>
              <w:ind w:left="320"/>
              <w:spacing w:after="0"/>
              <w:rPr>
                <w:sz w:val="20"/>
                <w:szCs w:val="20"/>
                <w:color w:val="auto"/>
              </w:rPr>
            </w:pPr>
            <w:r>
              <w:rPr>
                <w:rFonts w:ascii="Calibri" w:cs="Calibri" w:eastAsia="Calibri" w:hAnsi="Calibri"/>
                <w:sz w:val="14"/>
                <w:szCs w:val="14"/>
                <w:color w:val="auto"/>
              </w:rPr>
              <w:t>Form</w:t>
            </w:r>
          </w:p>
        </w:tc>
        <w:tc>
          <w:tcPr>
            <w:tcW w:w="1260" w:type="dxa"/>
            <w:vAlign w:val="bottom"/>
            <w:gridSpan w:val="2"/>
            <w:vMerge w:val="restart"/>
          </w:tcPr>
          <w:p>
            <w:pPr>
              <w:ind w:left="360"/>
              <w:spacing w:after="0"/>
              <w:rPr>
                <w:sz w:val="20"/>
                <w:szCs w:val="20"/>
                <w:color w:val="auto"/>
              </w:rPr>
            </w:pPr>
            <w:r>
              <w:rPr>
                <w:rFonts w:ascii="Calibri" w:cs="Calibri" w:eastAsia="Calibri" w:hAnsi="Calibri"/>
                <w:sz w:val="14"/>
                <w:szCs w:val="14"/>
                <w:color w:val="auto"/>
              </w:rPr>
              <w:t>File No.</w:t>
            </w:r>
          </w:p>
        </w:tc>
        <w:tc>
          <w:tcPr>
            <w:tcW w:w="1120" w:type="dxa"/>
            <w:vAlign w:val="bottom"/>
            <w:gridSpan w:val="2"/>
            <w:vMerge w:val="restart"/>
          </w:tcPr>
          <w:p>
            <w:pPr>
              <w:jc w:val="center"/>
              <w:ind w:right="120"/>
              <w:spacing w:after="0"/>
              <w:rPr>
                <w:sz w:val="20"/>
                <w:szCs w:val="20"/>
                <w:color w:val="auto"/>
              </w:rPr>
            </w:pPr>
            <w:r>
              <w:rPr>
                <w:rFonts w:ascii="Calibri" w:cs="Calibri" w:eastAsia="Calibri" w:hAnsi="Calibri"/>
                <w:sz w:val="14"/>
                <w:szCs w:val="14"/>
                <w:color w:val="auto"/>
              </w:rPr>
              <w:t>Exhibit</w:t>
            </w:r>
          </w:p>
        </w:tc>
        <w:tc>
          <w:tcPr>
            <w:tcW w:w="1160" w:type="dxa"/>
            <w:vAlign w:val="bottom"/>
            <w:vMerge w:val="restart"/>
          </w:tcPr>
          <w:p>
            <w:pPr>
              <w:jc w:val="right"/>
              <w:ind w:right="191"/>
              <w:spacing w:after="0"/>
              <w:rPr>
                <w:sz w:val="20"/>
                <w:szCs w:val="20"/>
                <w:color w:val="auto"/>
              </w:rPr>
            </w:pPr>
            <w:r>
              <w:rPr>
                <w:rFonts w:ascii="Calibri" w:cs="Calibri" w:eastAsia="Calibri" w:hAnsi="Calibri"/>
                <w:sz w:val="14"/>
                <w:szCs w:val="14"/>
                <w:color w:val="auto"/>
              </w:rPr>
              <w:t>Filing Date</w:t>
            </w:r>
          </w:p>
        </w:tc>
        <w:tc>
          <w:tcPr>
            <w:tcW w:w="0" w:type="dxa"/>
            <w:vAlign w:val="bottom"/>
          </w:tcPr>
          <w:p>
            <w:pPr>
              <w:spacing w:after="0"/>
              <w:rPr>
                <w:sz w:val="1"/>
                <w:szCs w:val="1"/>
                <w:color w:val="auto"/>
              </w:rPr>
            </w:pPr>
          </w:p>
        </w:tc>
      </w:tr>
      <w:tr>
        <w:trPr>
          <w:trHeight w:val="170"/>
        </w:trPr>
        <w:tc>
          <w:tcPr>
            <w:tcW w:w="1160" w:type="dxa"/>
            <w:vAlign w:val="bottom"/>
            <w:gridSpan w:val="2"/>
          </w:tcPr>
          <w:p>
            <w:pPr>
              <w:jc w:val="center"/>
              <w:ind w:right="280"/>
              <w:spacing w:after="0"/>
              <w:rPr>
                <w:sz w:val="20"/>
                <w:szCs w:val="20"/>
                <w:color w:val="auto"/>
              </w:rPr>
            </w:pPr>
            <w:r>
              <w:rPr>
                <w:rFonts w:ascii="Calibri" w:cs="Calibri" w:eastAsia="Calibri" w:hAnsi="Calibri"/>
                <w:sz w:val="14"/>
                <w:szCs w:val="14"/>
                <w:color w:val="auto"/>
              </w:rPr>
              <w:t>Number</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19"/>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60" w:type="dxa"/>
            <w:vAlign w:val="bottom"/>
          </w:tcPr>
          <w:p>
            <w:pPr>
              <w:jc w:val="right"/>
              <w:spacing w:after="0" w:line="169" w:lineRule="exact"/>
              <w:rPr>
                <w:sz w:val="20"/>
                <w:szCs w:val="20"/>
                <w:color w:val="auto"/>
              </w:rPr>
            </w:pPr>
            <w:r>
              <w:rPr>
                <w:rFonts w:ascii="Calibri" w:cs="Calibri" w:eastAsia="Calibri" w:hAnsi="Calibri"/>
                <w:sz w:val="18"/>
                <w:szCs w:val="18"/>
                <w:color w:val="auto"/>
              </w:rPr>
              <w:t>4.6</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40" w:type="dxa"/>
            <w:vAlign w:val="bottom"/>
            <w:gridSpan w:val="23"/>
          </w:tcPr>
          <w:p>
            <w:pPr>
              <w:spacing w:after="0" w:line="169" w:lineRule="exact"/>
              <w:rPr>
                <w:rFonts w:ascii="Calibri" w:cs="Calibri" w:eastAsia="Calibri" w:hAnsi="Calibri"/>
                <w:sz w:val="18"/>
                <w:szCs w:val="18"/>
                <w:color w:val="0000FF"/>
              </w:rPr>
            </w:pPr>
            <w:hyperlink r:id="rId133">
              <w:r>
                <w:rPr>
                  <w:rFonts w:ascii="Calibri" w:cs="Calibri" w:eastAsia="Calibri" w:hAnsi="Calibri"/>
                  <w:sz w:val="18"/>
                  <w:szCs w:val="18"/>
                  <w:color w:val="0000FF"/>
                </w:rPr>
                <w:t>Form of 3.625% Senior Notes due 2024 (included in Exhibit</w:t>
              </w:r>
            </w:hyperlink>
          </w:p>
        </w:tc>
        <w:tc>
          <w:tcPr>
            <w:tcW w:w="120" w:type="dxa"/>
            <w:vAlign w:val="bottom"/>
          </w:tcPr>
          <w:p>
            <w:pPr>
              <w:spacing w:after="0"/>
              <w:rPr>
                <w:sz w:val="14"/>
                <w:szCs w:val="14"/>
                <w:color w:val="auto"/>
              </w:rPr>
            </w:pPr>
          </w:p>
        </w:tc>
        <w:tc>
          <w:tcPr>
            <w:tcW w:w="960" w:type="dxa"/>
            <w:vAlign w:val="bottom"/>
          </w:tcPr>
          <w:p>
            <w:pPr>
              <w:ind w:left="20"/>
              <w:spacing w:after="0" w:line="169" w:lineRule="exact"/>
              <w:rPr>
                <w:sz w:val="20"/>
                <w:szCs w:val="20"/>
                <w:color w:val="auto"/>
              </w:rPr>
            </w:pPr>
            <w:r>
              <w:rPr>
                <w:rFonts w:ascii="Calibri" w:cs="Calibri" w:eastAsia="Calibri" w:hAnsi="Calibri"/>
                <w:sz w:val="18"/>
                <w:szCs w:val="18"/>
                <w:color w:val="auto"/>
              </w:rPr>
              <w:t>8-K</w:t>
            </w:r>
          </w:p>
        </w:tc>
        <w:tc>
          <w:tcPr>
            <w:tcW w:w="100" w:type="dxa"/>
            <w:vAlign w:val="bottom"/>
          </w:tcPr>
          <w:p>
            <w:pPr>
              <w:spacing w:after="0"/>
              <w:rPr>
                <w:sz w:val="14"/>
                <w:szCs w:val="14"/>
                <w:color w:val="auto"/>
              </w:rPr>
            </w:pPr>
          </w:p>
        </w:tc>
        <w:tc>
          <w:tcPr>
            <w:tcW w:w="1180" w:type="dxa"/>
            <w:vAlign w:val="bottom"/>
          </w:tcPr>
          <w:p>
            <w:pPr>
              <w:jc w:val="right"/>
              <w:ind w:right="312"/>
              <w:spacing w:after="0" w:line="169" w:lineRule="exact"/>
              <w:rPr>
                <w:sz w:val="20"/>
                <w:szCs w:val="20"/>
                <w:color w:val="auto"/>
              </w:rPr>
            </w:pPr>
            <w:r>
              <w:rPr>
                <w:rFonts w:ascii="Calibri" w:cs="Calibri" w:eastAsia="Calibri" w:hAnsi="Calibri"/>
                <w:sz w:val="18"/>
                <w:szCs w:val="18"/>
                <w:color w:val="auto"/>
                <w:w w:val="96"/>
              </w:rPr>
              <w:t>001-37690</w:t>
            </w:r>
          </w:p>
        </w:tc>
        <w:tc>
          <w:tcPr>
            <w:tcW w:w="80" w:type="dxa"/>
            <w:vAlign w:val="bottom"/>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4"/>
                <w:szCs w:val="14"/>
                <w:color w:val="auto"/>
              </w:rPr>
            </w:pPr>
          </w:p>
        </w:tc>
        <w:tc>
          <w:tcPr>
            <w:tcW w:w="1160" w:type="dxa"/>
            <w:vAlign w:val="bottom"/>
          </w:tcPr>
          <w:p>
            <w:pPr>
              <w:jc w:val="right"/>
              <w:ind w:right="231"/>
              <w:spacing w:after="0" w:line="169" w:lineRule="exact"/>
              <w:rPr>
                <w:sz w:val="20"/>
                <w:szCs w:val="20"/>
                <w:color w:val="auto"/>
              </w:rPr>
            </w:pPr>
            <w:r>
              <w:rPr>
                <w:rFonts w:ascii="Calibri" w:cs="Calibri" w:eastAsia="Calibri" w:hAnsi="Calibri"/>
                <w:sz w:val="18"/>
                <w:szCs w:val="18"/>
                <w:color w:val="auto"/>
                <w:w w:val="97"/>
              </w:rPr>
              <w:t>01-20-2017</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6" w:lineRule="exact"/>
              <w:rPr>
                <w:rFonts w:ascii="Calibri" w:cs="Calibri" w:eastAsia="Calibri" w:hAnsi="Calibri"/>
                <w:sz w:val="16"/>
                <w:szCs w:val="16"/>
                <w:color w:val="0000FF"/>
              </w:rPr>
            </w:pPr>
            <w:hyperlink r:id="rId133">
              <w:r>
                <w:rPr>
                  <w:rFonts w:ascii="Calibri" w:cs="Calibri" w:eastAsia="Calibri" w:hAnsi="Calibri"/>
                  <w:sz w:val="16"/>
                  <w:szCs w:val="16"/>
                  <w:color w:val="0000FF"/>
                </w:rPr>
                <w:t>4.</w:t>
              </w:r>
              <w:r>
                <w:rPr>
                  <w:rFonts w:ascii="Calibri" w:cs="Calibri" w:eastAsia="Calibri" w:hAnsi="Calibri"/>
                  <w:sz w:val="16"/>
                  <w:szCs w:val="16"/>
                  <w:u w:val="single" w:color="auto"/>
                  <w:color w:val="0000FF"/>
                </w:rPr>
                <w:t>3)</w:t>
              </w:r>
              <w:r>
                <w:rPr>
                  <w:rFonts w:ascii="Calibri" w:cs="Calibri" w:eastAsia="Calibri" w:hAnsi="Calibri"/>
                  <w:sz w:val="16"/>
                  <w:szCs w:val="16"/>
                  <w:color w:val="0000FF"/>
                </w:rPr>
                <w:t>.</w:t>
              </w:r>
            </w:hyperlink>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4"/>
          </w:tcPr>
          <w:p>
            <w:pPr>
              <w:spacing w:after="0"/>
              <w:rPr>
                <w:rFonts w:ascii="Calibri" w:cs="Calibri" w:eastAsia="Calibri" w:hAnsi="Calibri"/>
                <w:sz w:val="18"/>
                <w:szCs w:val="18"/>
                <w:color w:val="0000FF"/>
              </w:rPr>
            </w:pPr>
            <w:hyperlink r:id="rId133">
              <w:r>
                <w:rPr>
                  <w:rFonts w:ascii="Calibri" w:cs="Calibri" w:eastAsia="Calibri" w:hAnsi="Calibri"/>
                  <w:sz w:val="18"/>
                  <w:szCs w:val="18"/>
                  <w:color w:val="0000FF"/>
                </w:rPr>
                <w:t>Form of 3.875% Senior Notes due 2027 (included in Exhibit</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001-37690</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01-20-2017</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6" w:lineRule="exact"/>
              <w:rPr>
                <w:rFonts w:ascii="Calibri" w:cs="Calibri" w:eastAsia="Calibri" w:hAnsi="Calibri"/>
                <w:sz w:val="16"/>
                <w:szCs w:val="16"/>
                <w:color w:val="0000FF"/>
              </w:rPr>
            </w:pPr>
            <w:hyperlink r:id="rId133">
              <w:r>
                <w:rPr>
                  <w:rFonts w:ascii="Calibri" w:cs="Calibri" w:eastAsia="Calibri" w:hAnsi="Calibri"/>
                  <w:sz w:val="16"/>
                  <w:szCs w:val="16"/>
                  <w:color w:val="0000FF"/>
                </w:rPr>
                <w:t>4.</w:t>
              </w:r>
              <w:r>
                <w:rPr>
                  <w:rFonts w:ascii="Calibri" w:cs="Calibri" w:eastAsia="Calibri" w:hAnsi="Calibri"/>
                  <w:sz w:val="16"/>
                  <w:szCs w:val="16"/>
                  <w:u w:val="single" w:color="auto"/>
                  <w:color w:val="0000FF"/>
                </w:rPr>
                <w:t>3)</w:t>
              </w:r>
              <w:r>
                <w:rPr>
                  <w:rFonts w:ascii="Calibri" w:cs="Calibri" w:eastAsia="Calibri" w:hAnsi="Calibri"/>
                  <w:sz w:val="16"/>
                  <w:szCs w:val="16"/>
                  <w:color w:val="0000FF"/>
                </w:rPr>
                <w:t>.</w:t>
              </w:r>
            </w:hyperlink>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tcBorders>
              <w:bottom w:val="single" w:sz="8" w:color="0000FF"/>
            </w:tcBorders>
            <w:gridSpan w:val="17"/>
          </w:tcPr>
          <w:p>
            <w:pPr>
              <w:spacing w:after="0"/>
              <w:rPr>
                <w:rFonts w:ascii="Calibri" w:cs="Calibri" w:eastAsia="Calibri" w:hAnsi="Calibri"/>
                <w:sz w:val="18"/>
                <w:szCs w:val="18"/>
                <w:color w:val="0000FF"/>
                <w:w w:val="97"/>
              </w:rPr>
            </w:pPr>
            <w:hyperlink r:id="rId138">
              <w:r>
                <w:rPr>
                  <w:rFonts w:ascii="Calibri" w:cs="Calibri" w:eastAsia="Calibri" w:hAnsi="Calibri"/>
                  <w:sz w:val="18"/>
                  <w:szCs w:val="18"/>
                  <w:color w:val="0000FF"/>
                  <w:w w:val="97"/>
                </w:rPr>
                <w:t>Indenture, dated as of October 17, 2017, by and among</w:t>
              </w:r>
            </w:hyperlink>
          </w:p>
        </w:tc>
        <w:tc>
          <w:tcPr>
            <w:tcW w:w="600" w:type="dxa"/>
            <w:vAlign w:val="bottom"/>
            <w:gridSpan w:val="7"/>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001-37690</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10-17-2017</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24"/>
          </w:tcPr>
          <w:p>
            <w:pPr>
              <w:spacing w:after="0" w:line="156" w:lineRule="exact"/>
              <w:rPr>
                <w:rFonts w:ascii="Calibri" w:cs="Calibri" w:eastAsia="Calibri" w:hAnsi="Calibri"/>
                <w:sz w:val="16"/>
                <w:szCs w:val="16"/>
                <w:color w:val="0000FF"/>
              </w:rPr>
            </w:pPr>
            <w:hyperlink r:id="rId138">
              <w:r>
                <w:rPr>
                  <w:rFonts w:ascii="Calibri" w:cs="Calibri" w:eastAsia="Calibri" w:hAnsi="Calibri"/>
                  <w:sz w:val="16"/>
                  <w:szCs w:val="16"/>
                  <w:color w:val="0000FF"/>
                </w:rPr>
                <w:t>the Co-Issuers, the guarantors and Wilmington Trust, Natonal</w:t>
              </w:r>
            </w:hyperlink>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Borders>
              <w:top w:val="single" w:sz="8" w:color="0000FF"/>
            </w:tcBorders>
            <w:gridSpan w:val="22"/>
          </w:tcPr>
          <w:p>
            <w:pPr>
              <w:spacing w:after="0" w:line="169" w:lineRule="exact"/>
              <w:rPr>
                <w:rFonts w:ascii="Calibri" w:cs="Calibri" w:eastAsia="Calibri" w:hAnsi="Calibri"/>
                <w:sz w:val="18"/>
                <w:szCs w:val="18"/>
                <w:color w:val="0000FF"/>
              </w:rPr>
            </w:pPr>
            <w:hyperlink r:id="rId138">
              <w:r>
                <w:rPr>
                  <w:rFonts w:ascii="Calibri" w:cs="Calibri" w:eastAsia="Calibri" w:hAnsi="Calibri"/>
                  <w:sz w:val="18"/>
                  <w:szCs w:val="18"/>
                  <w:color w:val="0000FF"/>
                </w:rPr>
                <w:t>Associaton, as trustee.</w:t>
              </w:r>
            </w:hyperlink>
          </w:p>
        </w:tc>
        <w:tc>
          <w:tcPr>
            <w:tcW w:w="16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4.9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4"/>
          </w:tcPr>
          <w:p>
            <w:pPr>
              <w:spacing w:after="0" w:line="209" w:lineRule="exact"/>
              <w:rPr>
                <w:rFonts w:ascii="Calibri" w:cs="Calibri" w:eastAsia="Calibri" w:hAnsi="Calibri"/>
                <w:sz w:val="18"/>
                <w:szCs w:val="18"/>
                <w:color w:val="0000FF"/>
              </w:rPr>
            </w:pPr>
            <w:hyperlink r:id="rId139">
              <w:r>
                <w:rPr>
                  <w:rFonts w:ascii="Calibri" w:cs="Calibri" w:eastAsia="Calibri" w:hAnsi="Calibri"/>
                  <w:sz w:val="18"/>
                  <w:szCs w:val="18"/>
                  <w:color w:val="0000FF"/>
                </w:rPr>
                <w:t>Supplemental Indenture to the October 2017 Indenture,</w:t>
              </w:r>
            </w:hyperlink>
          </w:p>
        </w:tc>
        <w:tc>
          <w:tcPr>
            <w:tcW w:w="10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line="209" w:lineRule="exact"/>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4.2</w:t>
            </w:r>
          </w:p>
        </w:tc>
        <w:tc>
          <w:tcPr>
            <w:tcW w:w="12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04-09-2018</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tcBorders>
            <w:gridSpan w:val="18"/>
          </w:tcPr>
          <w:p>
            <w:pPr>
              <w:spacing w:after="0" w:line="156" w:lineRule="exact"/>
              <w:rPr>
                <w:rFonts w:ascii="Calibri" w:cs="Calibri" w:eastAsia="Calibri" w:hAnsi="Calibri"/>
                <w:sz w:val="16"/>
                <w:szCs w:val="16"/>
                <w:color w:val="0000FF"/>
              </w:rPr>
            </w:pPr>
            <w:hyperlink r:id="rId139">
              <w:r>
                <w:rPr>
                  <w:rFonts w:ascii="Calibri" w:cs="Calibri" w:eastAsia="Calibri" w:hAnsi="Calibri"/>
                  <w:sz w:val="16"/>
                  <w:szCs w:val="16"/>
                  <w:color w:val="0000FF"/>
                </w:rPr>
                <w:t>dated as of April 9, 2018.</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4.10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4"/>
          </w:tcPr>
          <w:p>
            <w:pPr>
              <w:spacing w:after="0"/>
              <w:rPr>
                <w:rFonts w:ascii="Calibri" w:cs="Calibri" w:eastAsia="Calibri" w:hAnsi="Calibri"/>
                <w:sz w:val="18"/>
                <w:szCs w:val="18"/>
                <w:color w:val="0000FF"/>
              </w:rPr>
            </w:pPr>
            <w:hyperlink r:id="rId140">
              <w:r>
                <w:rPr>
                  <w:rFonts w:ascii="Calibri" w:cs="Calibri" w:eastAsia="Calibri" w:hAnsi="Calibri"/>
                  <w:sz w:val="18"/>
                  <w:szCs w:val="18"/>
                  <w:color w:val="0000FF"/>
                </w:rPr>
                <w:t>Second Supplemental Indenture to the October 2017</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4.2</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01-25-2019</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8"/>
          </w:tcPr>
          <w:p>
            <w:pPr>
              <w:spacing w:after="0" w:line="156" w:lineRule="exact"/>
              <w:rPr>
                <w:rFonts w:ascii="Calibri" w:cs="Calibri" w:eastAsia="Calibri" w:hAnsi="Calibri"/>
                <w:sz w:val="16"/>
                <w:szCs w:val="16"/>
                <w:color w:val="0000FF"/>
              </w:rPr>
            </w:pPr>
            <w:hyperlink r:id="rId140">
              <w:r>
                <w:rPr>
                  <w:rFonts w:ascii="Calibri" w:cs="Calibri" w:eastAsia="Calibri" w:hAnsi="Calibri"/>
                  <w:sz w:val="16"/>
                  <w:szCs w:val="16"/>
                  <w:color w:val="0000FF"/>
                </w:rPr>
                <w:t>Indenture, dated as of January 25, 2019.</w:t>
              </w:r>
            </w:hyperlink>
          </w:p>
        </w:tc>
        <w:tc>
          <w:tcPr>
            <w:tcW w:w="900" w:type="dxa"/>
            <w:vAlign w:val="bottom"/>
            <w:tcBorders>
              <w:top w:val="single" w:sz="8" w:color="0000FF"/>
            </w:tcBorders>
            <w:gridSpan w:val="4"/>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4.11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4"/>
          </w:tcPr>
          <w:p>
            <w:pPr>
              <w:spacing w:after="0"/>
              <w:rPr>
                <w:rFonts w:ascii="Calibri" w:cs="Calibri" w:eastAsia="Calibri" w:hAnsi="Calibri"/>
                <w:sz w:val="18"/>
                <w:szCs w:val="18"/>
                <w:color w:val="0000FF"/>
              </w:rPr>
            </w:pPr>
            <w:hyperlink r:id="rId138">
              <w:r>
                <w:rPr>
                  <w:rFonts w:ascii="Calibri" w:cs="Calibri" w:eastAsia="Calibri" w:hAnsi="Calibri"/>
                  <w:sz w:val="18"/>
                  <w:szCs w:val="18"/>
                  <w:color w:val="0000FF"/>
                </w:rPr>
                <w:t>Form of 2.650% Senior Notes due 2023 (included in Exhibit</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001-37690</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10-17-2017</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6" w:lineRule="exact"/>
              <w:rPr>
                <w:rFonts w:ascii="Calibri" w:cs="Calibri" w:eastAsia="Calibri" w:hAnsi="Calibri"/>
                <w:sz w:val="16"/>
                <w:szCs w:val="16"/>
                <w:color w:val="0000FF"/>
              </w:rPr>
            </w:pPr>
            <w:hyperlink r:id="rId138">
              <w:r>
                <w:rPr>
                  <w:rFonts w:ascii="Calibri" w:cs="Calibri" w:eastAsia="Calibri" w:hAnsi="Calibri"/>
                  <w:sz w:val="16"/>
                  <w:szCs w:val="16"/>
                  <w:color w:val="0000FF"/>
                </w:rPr>
                <w:t>4.</w:t>
              </w:r>
              <w:r>
                <w:rPr>
                  <w:rFonts w:ascii="Calibri" w:cs="Calibri" w:eastAsia="Calibri" w:hAnsi="Calibri"/>
                  <w:sz w:val="16"/>
                  <w:szCs w:val="16"/>
                  <w:u w:val="single" w:color="auto"/>
                  <w:color w:val="0000FF"/>
                </w:rPr>
                <w:t>8)</w:t>
              </w:r>
              <w:r>
                <w:rPr>
                  <w:rFonts w:ascii="Calibri" w:cs="Calibri" w:eastAsia="Calibri" w:hAnsi="Calibri"/>
                  <w:sz w:val="16"/>
                  <w:szCs w:val="16"/>
                  <w:color w:val="0000FF"/>
                </w:rPr>
                <w:t>.</w:t>
              </w:r>
            </w:hyperlink>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4.12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4"/>
          </w:tcPr>
          <w:p>
            <w:pPr>
              <w:spacing w:after="0"/>
              <w:rPr>
                <w:rFonts w:ascii="Calibri" w:cs="Calibri" w:eastAsia="Calibri" w:hAnsi="Calibri"/>
                <w:sz w:val="18"/>
                <w:szCs w:val="18"/>
                <w:color w:val="0000FF"/>
              </w:rPr>
            </w:pPr>
            <w:hyperlink r:id="rId138">
              <w:r>
                <w:rPr>
                  <w:rFonts w:ascii="Calibri" w:cs="Calibri" w:eastAsia="Calibri" w:hAnsi="Calibri"/>
                  <w:sz w:val="18"/>
                  <w:szCs w:val="18"/>
                  <w:color w:val="0000FF"/>
                </w:rPr>
                <w:t>Form of 3.125% Senior Notes due 2025 (included in Exhibit</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001-37690</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10-17-2017</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6" w:lineRule="exact"/>
              <w:rPr>
                <w:rFonts w:ascii="Calibri" w:cs="Calibri" w:eastAsia="Calibri" w:hAnsi="Calibri"/>
                <w:sz w:val="16"/>
                <w:szCs w:val="16"/>
                <w:color w:val="0000FF"/>
              </w:rPr>
            </w:pPr>
            <w:hyperlink r:id="rId138">
              <w:r>
                <w:rPr>
                  <w:rFonts w:ascii="Calibri" w:cs="Calibri" w:eastAsia="Calibri" w:hAnsi="Calibri"/>
                  <w:sz w:val="16"/>
                  <w:szCs w:val="16"/>
                  <w:color w:val="0000FF"/>
                </w:rPr>
                <w:t>4.</w:t>
              </w:r>
              <w:r>
                <w:rPr>
                  <w:rFonts w:ascii="Calibri" w:cs="Calibri" w:eastAsia="Calibri" w:hAnsi="Calibri"/>
                  <w:sz w:val="16"/>
                  <w:szCs w:val="16"/>
                  <w:u w:val="single" w:color="auto"/>
                  <w:color w:val="0000FF"/>
                </w:rPr>
                <w:t>8)</w:t>
              </w:r>
              <w:r>
                <w:rPr>
                  <w:rFonts w:ascii="Calibri" w:cs="Calibri" w:eastAsia="Calibri" w:hAnsi="Calibri"/>
                  <w:sz w:val="16"/>
                  <w:szCs w:val="16"/>
                  <w:color w:val="0000FF"/>
                </w:rPr>
                <w:t>.</w:t>
              </w:r>
            </w:hyperlink>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4.13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4"/>
          </w:tcPr>
          <w:p>
            <w:pPr>
              <w:spacing w:after="0"/>
              <w:rPr>
                <w:rFonts w:ascii="Calibri" w:cs="Calibri" w:eastAsia="Calibri" w:hAnsi="Calibri"/>
                <w:sz w:val="18"/>
                <w:szCs w:val="18"/>
                <w:color w:val="0000FF"/>
              </w:rPr>
            </w:pPr>
            <w:hyperlink r:id="rId138">
              <w:r>
                <w:rPr>
                  <w:rFonts w:ascii="Calibri" w:cs="Calibri" w:eastAsia="Calibri" w:hAnsi="Calibri"/>
                  <w:sz w:val="18"/>
                  <w:szCs w:val="18"/>
                  <w:color w:val="0000FF"/>
                </w:rPr>
                <w:t>Form of 3.500% Senior Notes due 2028 (included in Exhibit</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001-37690</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10-17-2017</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6" w:lineRule="exact"/>
              <w:rPr>
                <w:rFonts w:ascii="Calibri" w:cs="Calibri" w:eastAsia="Calibri" w:hAnsi="Calibri"/>
                <w:sz w:val="16"/>
                <w:szCs w:val="16"/>
                <w:color w:val="0000FF"/>
              </w:rPr>
            </w:pPr>
            <w:hyperlink r:id="rId138">
              <w:r>
                <w:rPr>
                  <w:rFonts w:ascii="Calibri" w:cs="Calibri" w:eastAsia="Calibri" w:hAnsi="Calibri"/>
                  <w:sz w:val="16"/>
                  <w:szCs w:val="16"/>
                  <w:color w:val="0000FF"/>
                </w:rPr>
                <w:t>4.</w:t>
              </w:r>
              <w:r>
                <w:rPr>
                  <w:rFonts w:ascii="Calibri" w:cs="Calibri" w:eastAsia="Calibri" w:hAnsi="Calibri"/>
                  <w:sz w:val="16"/>
                  <w:szCs w:val="16"/>
                  <w:u w:val="single" w:color="auto"/>
                  <w:color w:val="0000FF"/>
                </w:rPr>
                <w:t>8)</w:t>
              </w:r>
              <w:r>
                <w:rPr>
                  <w:rFonts w:ascii="Calibri" w:cs="Calibri" w:eastAsia="Calibri" w:hAnsi="Calibri"/>
                  <w:sz w:val="16"/>
                  <w:szCs w:val="16"/>
                  <w:color w:val="0000FF"/>
                </w:rPr>
                <w:t>.</w:t>
              </w:r>
            </w:hyperlink>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4.14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20" w:type="dxa"/>
            <w:vAlign w:val="bottom"/>
            <w:tcBorders>
              <w:bottom w:val="single" w:sz="8" w:color="0000FF"/>
            </w:tcBorders>
            <w:gridSpan w:val="16"/>
          </w:tcPr>
          <w:p>
            <w:pPr>
              <w:spacing w:after="0"/>
              <w:rPr>
                <w:rFonts w:ascii="Calibri" w:cs="Calibri" w:eastAsia="Calibri" w:hAnsi="Calibri"/>
                <w:sz w:val="18"/>
                <w:szCs w:val="18"/>
                <w:color w:val="0000FF"/>
                <w:w w:val="97"/>
              </w:rPr>
            </w:pPr>
            <w:hyperlink r:id="rId141">
              <w:r>
                <w:rPr>
                  <w:rFonts w:ascii="Calibri" w:cs="Calibri" w:eastAsia="Calibri" w:hAnsi="Calibri"/>
                  <w:sz w:val="18"/>
                  <w:szCs w:val="18"/>
                  <w:color w:val="0000FF"/>
                  <w:w w:val="97"/>
                </w:rPr>
                <w:t>Indenture, dated as of April 5, 2019, by and among the</w:t>
              </w:r>
            </w:hyperlink>
          </w:p>
        </w:tc>
        <w:tc>
          <w:tcPr>
            <w:tcW w:w="640" w:type="dxa"/>
            <w:vAlign w:val="bottom"/>
            <w:gridSpan w:val="8"/>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04-05-2019</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24"/>
          </w:tcPr>
          <w:p>
            <w:pPr>
              <w:spacing w:after="0" w:line="156" w:lineRule="exact"/>
              <w:rPr>
                <w:rFonts w:ascii="Calibri" w:cs="Calibri" w:eastAsia="Calibri" w:hAnsi="Calibri"/>
                <w:sz w:val="16"/>
                <w:szCs w:val="16"/>
                <w:color w:val="0000FF"/>
              </w:rPr>
            </w:pPr>
            <w:hyperlink r:id="rId141">
              <w:r>
                <w:rPr>
                  <w:rFonts w:ascii="Calibri" w:cs="Calibri" w:eastAsia="Calibri" w:hAnsi="Calibri"/>
                  <w:sz w:val="16"/>
                  <w:szCs w:val="16"/>
                  <w:color w:val="0000FF"/>
                </w:rPr>
                <w:t>Company as Issuer, Broadcom Technologies Inc., Broadcom</w:t>
              </w:r>
            </w:hyperlink>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0" w:type="dxa"/>
            <w:vAlign w:val="bottom"/>
            <w:tcBorders>
              <w:top w:val="single" w:sz="8" w:color="0000FF"/>
            </w:tcBorders>
            <w:gridSpan w:val="21"/>
          </w:tcPr>
          <w:p>
            <w:pPr>
              <w:spacing w:after="0" w:line="169" w:lineRule="exact"/>
              <w:rPr>
                <w:rFonts w:ascii="Calibri" w:cs="Calibri" w:eastAsia="Calibri" w:hAnsi="Calibri"/>
                <w:sz w:val="18"/>
                <w:szCs w:val="18"/>
                <w:color w:val="0000FF"/>
              </w:rPr>
            </w:pPr>
            <w:hyperlink r:id="rId141">
              <w:r>
                <w:rPr>
                  <w:rFonts w:ascii="Calibri" w:cs="Calibri" w:eastAsia="Calibri" w:hAnsi="Calibri"/>
                  <w:sz w:val="18"/>
                  <w:szCs w:val="18"/>
                  <w:color w:val="0000FF"/>
                </w:rPr>
                <w:t>Corporaton and Broadcom Cayman Finance Limited, and</w:t>
              </w:r>
            </w:hyperlink>
          </w:p>
        </w:tc>
        <w:tc>
          <w:tcPr>
            <w:tcW w:w="360" w:type="dxa"/>
            <w:vAlign w:val="bottom"/>
            <w:gridSpan w:val="3"/>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9"/>
          </w:tcPr>
          <w:p>
            <w:pPr>
              <w:spacing w:after="0" w:line="156" w:lineRule="exact"/>
              <w:rPr>
                <w:rFonts w:ascii="Calibri" w:cs="Calibri" w:eastAsia="Calibri" w:hAnsi="Calibri"/>
                <w:sz w:val="16"/>
                <w:szCs w:val="16"/>
                <w:color w:val="0000FF"/>
              </w:rPr>
            </w:pPr>
            <w:hyperlink r:id="rId141">
              <w:r>
                <w:rPr>
                  <w:rFonts w:ascii="Calibri" w:cs="Calibri" w:eastAsia="Calibri" w:hAnsi="Calibri"/>
                  <w:sz w:val="16"/>
                  <w:szCs w:val="16"/>
                  <w:color w:val="0000FF"/>
                </w:rPr>
                <w:t>Wilmington Trust, Natonal Associaton, as trustee.</w:t>
              </w:r>
            </w:hyperlink>
          </w:p>
        </w:tc>
        <w:tc>
          <w:tcPr>
            <w:tcW w:w="46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gridSpan w:val="4"/>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4.15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4"/>
          </w:tcPr>
          <w:p>
            <w:pPr>
              <w:spacing w:after="0" w:line="209" w:lineRule="exact"/>
              <w:rPr>
                <w:rFonts w:ascii="Calibri" w:cs="Calibri" w:eastAsia="Calibri" w:hAnsi="Calibri"/>
                <w:sz w:val="18"/>
                <w:szCs w:val="18"/>
                <w:color w:val="0000FF"/>
              </w:rPr>
            </w:pPr>
            <w:hyperlink r:id="rId141">
              <w:r>
                <w:rPr>
                  <w:rFonts w:ascii="Calibri" w:cs="Calibri" w:eastAsia="Calibri" w:hAnsi="Calibri"/>
                  <w:sz w:val="18"/>
                  <w:szCs w:val="18"/>
                  <w:color w:val="0000FF"/>
                </w:rPr>
                <w:t>Form of 3.625% Senior Notes due 2024 (included in Exhibit</w:t>
              </w:r>
            </w:hyperlink>
          </w:p>
        </w:tc>
        <w:tc>
          <w:tcPr>
            <w:tcW w:w="10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line="209" w:lineRule="exact"/>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04-05-2019</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Calibri" w:cs="Calibri" w:eastAsia="Calibri" w:hAnsi="Calibri"/>
                <w:sz w:val="16"/>
                <w:szCs w:val="16"/>
                <w:color w:val="0000FF"/>
              </w:rPr>
            </w:pPr>
            <w:hyperlink r:id="rId141">
              <w:r>
                <w:rPr>
                  <w:rFonts w:ascii="Calibri" w:cs="Calibri" w:eastAsia="Calibri" w:hAnsi="Calibri"/>
                  <w:sz w:val="16"/>
                  <w:szCs w:val="16"/>
                  <w:color w:val="0000FF"/>
                </w:rPr>
                <w:t>4.</w:t>
              </w:r>
              <w:r>
                <w:rPr>
                  <w:rFonts w:ascii="Calibri" w:cs="Calibri" w:eastAsia="Calibri" w:hAnsi="Calibri"/>
                  <w:sz w:val="16"/>
                  <w:szCs w:val="16"/>
                  <w:u w:val="single" w:color="auto"/>
                  <w:color w:val="0000FF"/>
                </w:rPr>
                <w:t>14)</w:t>
              </w:r>
              <w:r>
                <w:rPr>
                  <w:rFonts w:ascii="Calibri" w:cs="Calibri" w:eastAsia="Calibri" w:hAnsi="Calibri"/>
                  <w:sz w:val="16"/>
                  <w:szCs w:val="16"/>
                  <w:color w:val="0000FF"/>
                </w:rPr>
                <w:t>.</w:t>
              </w:r>
            </w:hyperlink>
          </w:p>
        </w:tc>
        <w:tc>
          <w:tcPr>
            <w:tcW w:w="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4.16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4"/>
          </w:tcPr>
          <w:p>
            <w:pPr>
              <w:spacing w:after="0"/>
              <w:rPr>
                <w:rFonts w:ascii="Calibri" w:cs="Calibri" w:eastAsia="Calibri" w:hAnsi="Calibri"/>
                <w:sz w:val="18"/>
                <w:szCs w:val="18"/>
                <w:color w:val="0000FF"/>
              </w:rPr>
            </w:pPr>
            <w:hyperlink r:id="rId141">
              <w:r>
                <w:rPr>
                  <w:rFonts w:ascii="Calibri" w:cs="Calibri" w:eastAsia="Calibri" w:hAnsi="Calibri"/>
                  <w:sz w:val="18"/>
                  <w:szCs w:val="18"/>
                  <w:color w:val="0000FF"/>
                </w:rPr>
                <w:t>Form of 4.750% Senior Notes due 2029 (included in Exhibit</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04-05-2019</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3"/>
          </w:tcPr>
          <w:p>
            <w:pPr>
              <w:spacing w:after="0" w:line="156" w:lineRule="exact"/>
              <w:rPr>
                <w:rFonts w:ascii="Calibri" w:cs="Calibri" w:eastAsia="Calibri" w:hAnsi="Calibri"/>
                <w:sz w:val="16"/>
                <w:szCs w:val="16"/>
                <w:color w:val="0000FF"/>
              </w:rPr>
            </w:pPr>
            <w:hyperlink r:id="rId141">
              <w:r>
                <w:rPr>
                  <w:rFonts w:ascii="Calibri" w:cs="Calibri" w:eastAsia="Calibri" w:hAnsi="Calibri"/>
                  <w:sz w:val="16"/>
                  <w:szCs w:val="16"/>
                  <w:color w:val="0000FF"/>
                </w:rPr>
                <w:t>4.</w:t>
              </w:r>
              <w:r>
                <w:rPr>
                  <w:rFonts w:ascii="Calibri" w:cs="Calibri" w:eastAsia="Calibri" w:hAnsi="Calibri"/>
                  <w:sz w:val="16"/>
                  <w:szCs w:val="16"/>
                  <w:u w:val="single" w:color="auto"/>
                  <w:color w:val="0000FF"/>
                </w:rPr>
                <w:t>14)</w:t>
              </w:r>
              <w:r>
                <w:rPr>
                  <w:rFonts w:ascii="Calibri" w:cs="Calibri" w:eastAsia="Calibri" w:hAnsi="Calibri"/>
                  <w:sz w:val="16"/>
                  <w:szCs w:val="16"/>
                  <w:color w:val="0000FF"/>
                </w:rPr>
                <w:t>.</w:t>
              </w:r>
            </w:hyperlink>
          </w:p>
        </w:tc>
        <w:tc>
          <w:tcPr>
            <w:tcW w:w="1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4.17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4"/>
          </w:tcPr>
          <w:p>
            <w:pPr>
              <w:spacing w:after="0"/>
              <w:rPr>
                <w:rFonts w:ascii="Calibri" w:cs="Calibri" w:eastAsia="Calibri" w:hAnsi="Calibri"/>
                <w:sz w:val="18"/>
                <w:szCs w:val="18"/>
                <w:color w:val="0000FF"/>
              </w:rPr>
            </w:pPr>
            <w:hyperlink r:id="rId142">
              <w:r>
                <w:rPr>
                  <w:rFonts w:ascii="Calibri" w:cs="Calibri" w:eastAsia="Calibri" w:hAnsi="Calibri"/>
                  <w:sz w:val="18"/>
                  <w:szCs w:val="18"/>
                  <w:color w:val="0000FF"/>
                </w:rPr>
                <w:t>Indenture, dated as of April 9, 2020, by and among the</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04-09-2020</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top w:val="single" w:sz="8" w:color="0000FF"/>
            </w:tcBorders>
            <w:gridSpan w:val="15"/>
          </w:tcPr>
          <w:p>
            <w:pPr>
              <w:spacing w:after="0" w:line="156" w:lineRule="exact"/>
              <w:rPr>
                <w:rFonts w:ascii="Calibri" w:cs="Calibri" w:eastAsia="Calibri" w:hAnsi="Calibri"/>
                <w:sz w:val="16"/>
                <w:szCs w:val="16"/>
                <w:color w:val="0000FF"/>
              </w:rPr>
            </w:pPr>
            <w:hyperlink r:id="rId142">
              <w:r>
                <w:rPr>
                  <w:rFonts w:ascii="Calibri" w:cs="Calibri" w:eastAsia="Calibri" w:hAnsi="Calibri"/>
                  <w:sz w:val="16"/>
                  <w:szCs w:val="16"/>
                  <w:color w:val="0000FF"/>
                </w:rPr>
                <w:t>Company, as Issuer, Broadcom Technologies Inc. and</w:t>
              </w:r>
            </w:hyperlink>
          </w:p>
        </w:tc>
        <w:tc>
          <w:tcPr>
            <w:tcW w:w="6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460" w:type="dxa"/>
            <w:vAlign w:val="bottom"/>
            <w:gridSpan w:val="4"/>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20" w:type="dxa"/>
            <w:vAlign w:val="bottom"/>
            <w:tcBorders>
              <w:top w:val="single" w:sz="8" w:color="0000FF"/>
              <w:bottom w:val="single" w:sz="8" w:color="0000FF"/>
            </w:tcBorders>
            <w:gridSpan w:val="10"/>
          </w:tcPr>
          <w:p>
            <w:pPr>
              <w:spacing w:after="0" w:line="169" w:lineRule="exact"/>
              <w:rPr>
                <w:rFonts w:ascii="Calibri" w:cs="Calibri" w:eastAsia="Calibri" w:hAnsi="Calibri"/>
                <w:sz w:val="18"/>
                <w:szCs w:val="18"/>
                <w:color w:val="0000FF"/>
                <w:w w:val="97"/>
              </w:rPr>
            </w:pPr>
            <w:hyperlink r:id="rId142">
              <w:r>
                <w:rPr>
                  <w:rFonts w:ascii="Calibri" w:cs="Calibri" w:eastAsia="Calibri" w:hAnsi="Calibri"/>
                  <w:sz w:val="18"/>
                  <w:szCs w:val="18"/>
                  <w:color w:val="0000FF"/>
                  <w:w w:val="97"/>
                </w:rPr>
                <w:t>Broadcom Corporaton (the “2020 Guarantors”), and</w:t>
              </w:r>
            </w:hyperlink>
          </w:p>
        </w:tc>
        <w:tc>
          <w:tcPr>
            <w:tcW w:w="20" w:type="dxa"/>
            <w:vAlign w:val="bottom"/>
            <w:tcBorders>
              <w:bottom w:val="single" w:sz="8" w:color="0000FF"/>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40" w:type="dxa"/>
            <w:vAlign w:val="bottom"/>
            <w:gridSpan w:val="3"/>
          </w:tcPr>
          <w:p>
            <w:pPr>
              <w:spacing w:after="0"/>
              <w:rPr>
                <w:sz w:val="14"/>
                <w:szCs w:val="14"/>
                <w:color w:val="auto"/>
              </w:rPr>
            </w:pPr>
          </w:p>
        </w:tc>
        <w:tc>
          <w:tcPr>
            <w:tcW w:w="460" w:type="dxa"/>
            <w:vAlign w:val="bottom"/>
            <w:gridSpan w:val="4"/>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bottom w:val="single" w:sz="8" w:color="0000FF"/>
            </w:tcBorders>
            <w:gridSpan w:val="9"/>
          </w:tcPr>
          <w:p>
            <w:pPr>
              <w:spacing w:after="0" w:line="156" w:lineRule="exact"/>
              <w:rPr>
                <w:rFonts w:ascii="Calibri" w:cs="Calibri" w:eastAsia="Calibri" w:hAnsi="Calibri"/>
                <w:sz w:val="16"/>
                <w:szCs w:val="16"/>
                <w:color w:val="0000FF"/>
              </w:rPr>
            </w:pPr>
            <w:hyperlink r:id="rId142">
              <w:r>
                <w:rPr>
                  <w:rFonts w:ascii="Calibri" w:cs="Calibri" w:eastAsia="Calibri" w:hAnsi="Calibri"/>
                  <w:sz w:val="16"/>
                  <w:szCs w:val="16"/>
                  <w:color w:val="0000FF"/>
                </w:rPr>
                <w:t>Wilmington Trust, Natonal Associaton, as trustee.</w:t>
              </w:r>
            </w:hyperlink>
          </w:p>
        </w:tc>
        <w:tc>
          <w:tcPr>
            <w:tcW w:w="1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40" w:type="dxa"/>
            <w:vAlign w:val="bottom"/>
            <w:gridSpan w:val="3"/>
          </w:tcPr>
          <w:p>
            <w:pPr>
              <w:spacing w:after="0"/>
              <w:rPr>
                <w:sz w:val="13"/>
                <w:szCs w:val="13"/>
                <w:color w:val="auto"/>
              </w:rPr>
            </w:pPr>
          </w:p>
        </w:tc>
        <w:tc>
          <w:tcPr>
            <w:tcW w:w="460" w:type="dxa"/>
            <w:vAlign w:val="bottom"/>
            <w:gridSpan w:val="4"/>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4.18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4"/>
          </w:tcPr>
          <w:p>
            <w:pPr>
              <w:spacing w:after="0" w:line="209" w:lineRule="exact"/>
              <w:rPr>
                <w:rFonts w:ascii="Calibri" w:cs="Calibri" w:eastAsia="Calibri" w:hAnsi="Calibri"/>
                <w:sz w:val="18"/>
                <w:szCs w:val="18"/>
                <w:color w:val="0000FF"/>
              </w:rPr>
            </w:pPr>
            <w:hyperlink r:id="rId142">
              <w:r>
                <w:rPr>
                  <w:rFonts w:ascii="Calibri" w:cs="Calibri" w:eastAsia="Calibri" w:hAnsi="Calibri"/>
                  <w:sz w:val="18"/>
                  <w:szCs w:val="18"/>
                  <w:color w:val="0000FF"/>
                </w:rPr>
                <w:t>Form of 5.000% Senior Notes due 2030 (included in Exhibit</w:t>
              </w:r>
            </w:hyperlink>
          </w:p>
        </w:tc>
        <w:tc>
          <w:tcPr>
            <w:tcW w:w="10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line="209" w:lineRule="exact"/>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04-09-2020</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3"/>
          </w:tcPr>
          <w:p>
            <w:pPr>
              <w:spacing w:after="0" w:line="156" w:lineRule="exact"/>
              <w:rPr>
                <w:rFonts w:ascii="Calibri" w:cs="Calibri" w:eastAsia="Calibri" w:hAnsi="Calibri"/>
                <w:sz w:val="16"/>
                <w:szCs w:val="16"/>
                <w:color w:val="0000FF"/>
              </w:rPr>
            </w:pPr>
            <w:hyperlink r:id="rId142">
              <w:r>
                <w:rPr>
                  <w:rFonts w:ascii="Calibri" w:cs="Calibri" w:eastAsia="Calibri" w:hAnsi="Calibri"/>
                  <w:sz w:val="16"/>
                  <w:szCs w:val="16"/>
                  <w:color w:val="0000FF"/>
                </w:rPr>
                <w:t>4.</w:t>
              </w:r>
              <w:r>
                <w:rPr>
                  <w:rFonts w:ascii="Calibri" w:cs="Calibri" w:eastAsia="Calibri" w:hAnsi="Calibri"/>
                  <w:sz w:val="16"/>
                  <w:szCs w:val="16"/>
                  <w:u w:val="single" w:color="auto"/>
                  <w:color w:val="0000FF"/>
                </w:rPr>
                <w:t>17)</w:t>
              </w:r>
              <w:r>
                <w:rPr>
                  <w:rFonts w:ascii="Calibri" w:cs="Calibri" w:eastAsia="Calibri" w:hAnsi="Calibri"/>
                  <w:sz w:val="16"/>
                  <w:szCs w:val="16"/>
                  <w:color w:val="0000FF"/>
                </w:rPr>
                <w:t>.</w:t>
              </w:r>
            </w:hyperlink>
          </w:p>
        </w:tc>
        <w:tc>
          <w:tcPr>
            <w:tcW w:w="1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4.19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tcBorders>
              <w:bottom w:val="single" w:sz="8" w:color="0000FF"/>
            </w:tcBorders>
            <w:gridSpan w:val="14"/>
          </w:tcPr>
          <w:p>
            <w:pPr>
              <w:spacing w:after="0"/>
              <w:rPr>
                <w:rFonts w:ascii="Calibri" w:cs="Calibri" w:eastAsia="Calibri" w:hAnsi="Calibri"/>
                <w:sz w:val="18"/>
                <w:szCs w:val="18"/>
                <w:color w:val="0000FF"/>
                <w:w w:val="97"/>
              </w:rPr>
            </w:pPr>
            <w:hyperlink r:id="rId143">
              <w:r>
                <w:rPr>
                  <w:rFonts w:ascii="Calibri" w:cs="Calibri" w:eastAsia="Calibri" w:hAnsi="Calibri"/>
                  <w:sz w:val="18"/>
                  <w:szCs w:val="18"/>
                  <w:color w:val="0000FF"/>
                  <w:w w:val="97"/>
                </w:rPr>
                <w:t>Indenture, dated as of May 8, 2020, by and among the</w:t>
              </w:r>
            </w:hyperlink>
          </w:p>
        </w:tc>
        <w:tc>
          <w:tcPr>
            <w:tcW w:w="680" w:type="dxa"/>
            <w:vAlign w:val="bottom"/>
            <w:gridSpan w:val="10"/>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05-08-2020</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24"/>
          </w:tcPr>
          <w:p>
            <w:pPr>
              <w:spacing w:after="0" w:line="156" w:lineRule="exact"/>
              <w:rPr>
                <w:rFonts w:ascii="Calibri" w:cs="Calibri" w:eastAsia="Calibri" w:hAnsi="Calibri"/>
                <w:sz w:val="16"/>
                <w:szCs w:val="16"/>
                <w:color w:val="0000FF"/>
              </w:rPr>
            </w:pPr>
            <w:hyperlink r:id="rId143">
              <w:r>
                <w:rPr>
                  <w:rFonts w:ascii="Calibri" w:cs="Calibri" w:eastAsia="Calibri" w:hAnsi="Calibri"/>
                  <w:sz w:val="16"/>
                  <w:szCs w:val="16"/>
                  <w:color w:val="0000FF"/>
                </w:rPr>
                <w:t>Company as Issuer, the 2020 Guarantors, and Wilmington</w:t>
              </w:r>
            </w:hyperlink>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00" w:type="dxa"/>
            <w:vAlign w:val="bottom"/>
            <w:tcBorders>
              <w:top w:val="single" w:sz="8" w:color="0000FF"/>
            </w:tcBorders>
            <w:gridSpan w:val="20"/>
          </w:tcPr>
          <w:p>
            <w:pPr>
              <w:spacing w:after="0" w:line="169" w:lineRule="exact"/>
              <w:rPr>
                <w:rFonts w:ascii="Calibri" w:cs="Calibri" w:eastAsia="Calibri" w:hAnsi="Calibri"/>
                <w:sz w:val="18"/>
                <w:szCs w:val="18"/>
                <w:color w:val="0000FF"/>
              </w:rPr>
            </w:pPr>
            <w:hyperlink r:id="rId143">
              <w:r>
                <w:rPr>
                  <w:rFonts w:ascii="Calibri" w:cs="Calibri" w:eastAsia="Calibri" w:hAnsi="Calibri"/>
                  <w:sz w:val="18"/>
                  <w:szCs w:val="18"/>
                  <w:color w:val="0000FF"/>
                </w:rPr>
                <w:t>Trust, Natonal Associaton, as trustee.</w:t>
              </w:r>
            </w:hyperlink>
          </w:p>
        </w:tc>
        <w:tc>
          <w:tcPr>
            <w:tcW w:w="460" w:type="dxa"/>
            <w:vAlign w:val="bottom"/>
            <w:gridSpan w:val="4"/>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4.20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4"/>
          </w:tcPr>
          <w:p>
            <w:pPr>
              <w:spacing w:after="0" w:line="209" w:lineRule="exact"/>
              <w:rPr>
                <w:rFonts w:ascii="Calibri" w:cs="Calibri" w:eastAsia="Calibri" w:hAnsi="Calibri"/>
                <w:sz w:val="18"/>
                <w:szCs w:val="18"/>
                <w:color w:val="0000FF"/>
              </w:rPr>
            </w:pPr>
            <w:hyperlink r:id="rId143">
              <w:r>
                <w:rPr>
                  <w:rFonts w:ascii="Calibri" w:cs="Calibri" w:eastAsia="Calibri" w:hAnsi="Calibri"/>
                  <w:sz w:val="18"/>
                  <w:szCs w:val="18"/>
                  <w:color w:val="0000FF"/>
                </w:rPr>
                <w:t>Form of 2.250% Senior Notes due 2023 (included in Exhibit</w:t>
              </w:r>
            </w:hyperlink>
          </w:p>
        </w:tc>
        <w:tc>
          <w:tcPr>
            <w:tcW w:w="10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line="209" w:lineRule="exact"/>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05-08-2020</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Calibri" w:cs="Calibri" w:eastAsia="Calibri" w:hAnsi="Calibri"/>
                <w:sz w:val="16"/>
                <w:szCs w:val="16"/>
                <w:color w:val="0000FF"/>
              </w:rPr>
            </w:pPr>
            <w:hyperlink r:id="rId143">
              <w:r>
                <w:rPr>
                  <w:rFonts w:ascii="Calibri" w:cs="Calibri" w:eastAsia="Calibri" w:hAnsi="Calibri"/>
                  <w:sz w:val="16"/>
                  <w:szCs w:val="16"/>
                  <w:color w:val="0000FF"/>
                </w:rPr>
                <w:t>4.</w:t>
              </w:r>
              <w:r>
                <w:rPr>
                  <w:rFonts w:ascii="Calibri" w:cs="Calibri" w:eastAsia="Calibri" w:hAnsi="Calibri"/>
                  <w:sz w:val="16"/>
                  <w:szCs w:val="16"/>
                  <w:u w:val="single" w:color="auto"/>
                  <w:color w:val="0000FF"/>
                </w:rPr>
                <w:t>19)</w:t>
              </w:r>
              <w:r>
                <w:rPr>
                  <w:rFonts w:ascii="Calibri" w:cs="Calibri" w:eastAsia="Calibri" w:hAnsi="Calibri"/>
                  <w:sz w:val="16"/>
                  <w:szCs w:val="16"/>
                  <w:color w:val="0000FF"/>
                </w:rPr>
                <w:t>.</w:t>
              </w:r>
            </w:hyperlink>
          </w:p>
        </w:tc>
        <w:tc>
          <w:tcPr>
            <w:tcW w:w="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4"/>
          </w:tcPr>
          <w:p>
            <w:pPr>
              <w:spacing w:after="0"/>
              <w:rPr>
                <w:rFonts w:ascii="Calibri" w:cs="Calibri" w:eastAsia="Calibri" w:hAnsi="Calibri"/>
                <w:sz w:val="18"/>
                <w:szCs w:val="18"/>
                <w:color w:val="0000FF"/>
              </w:rPr>
            </w:pPr>
            <w:hyperlink r:id="rId143">
              <w:r>
                <w:rPr>
                  <w:rFonts w:ascii="Calibri" w:cs="Calibri" w:eastAsia="Calibri" w:hAnsi="Calibri"/>
                  <w:sz w:val="18"/>
                  <w:szCs w:val="18"/>
                  <w:color w:val="0000FF"/>
                </w:rPr>
                <w:t>Form of 3.150% Senior Notes due 2025 (included in Exhibit</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05-08-2020</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Calibri" w:cs="Calibri" w:eastAsia="Calibri" w:hAnsi="Calibri"/>
                <w:sz w:val="16"/>
                <w:szCs w:val="16"/>
                <w:color w:val="0000FF"/>
              </w:rPr>
            </w:pPr>
            <w:hyperlink r:id="rId143">
              <w:r>
                <w:rPr>
                  <w:rFonts w:ascii="Calibri" w:cs="Calibri" w:eastAsia="Calibri" w:hAnsi="Calibri"/>
                  <w:sz w:val="16"/>
                  <w:szCs w:val="16"/>
                  <w:color w:val="0000FF"/>
                </w:rPr>
                <w:t>4.</w:t>
              </w:r>
              <w:r>
                <w:rPr>
                  <w:rFonts w:ascii="Calibri" w:cs="Calibri" w:eastAsia="Calibri" w:hAnsi="Calibri"/>
                  <w:sz w:val="16"/>
                  <w:szCs w:val="16"/>
                  <w:u w:val="single" w:color="auto"/>
                  <w:color w:val="0000FF"/>
                </w:rPr>
                <w:t>19)</w:t>
              </w:r>
              <w:r>
                <w:rPr>
                  <w:rFonts w:ascii="Calibri" w:cs="Calibri" w:eastAsia="Calibri" w:hAnsi="Calibri"/>
                  <w:sz w:val="16"/>
                  <w:szCs w:val="16"/>
                  <w:color w:val="0000FF"/>
                </w:rPr>
                <w:t>.</w:t>
              </w:r>
            </w:hyperlink>
          </w:p>
        </w:tc>
        <w:tc>
          <w:tcPr>
            <w:tcW w:w="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4.22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4"/>
          </w:tcPr>
          <w:p>
            <w:pPr>
              <w:spacing w:after="0"/>
              <w:rPr>
                <w:rFonts w:ascii="Calibri" w:cs="Calibri" w:eastAsia="Calibri" w:hAnsi="Calibri"/>
                <w:sz w:val="18"/>
                <w:szCs w:val="18"/>
                <w:color w:val="0000FF"/>
              </w:rPr>
            </w:pPr>
            <w:hyperlink r:id="rId143">
              <w:r>
                <w:rPr>
                  <w:rFonts w:ascii="Calibri" w:cs="Calibri" w:eastAsia="Calibri" w:hAnsi="Calibri"/>
                  <w:sz w:val="18"/>
                  <w:szCs w:val="18"/>
                  <w:color w:val="0000FF"/>
                </w:rPr>
                <w:t>Form of 4.150% Senior Notes due 2030 (included in Exhibit</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05-08-2020</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Calibri" w:cs="Calibri" w:eastAsia="Calibri" w:hAnsi="Calibri"/>
                <w:sz w:val="16"/>
                <w:szCs w:val="16"/>
                <w:color w:val="0000FF"/>
              </w:rPr>
            </w:pPr>
            <w:hyperlink r:id="rId143">
              <w:r>
                <w:rPr>
                  <w:rFonts w:ascii="Calibri" w:cs="Calibri" w:eastAsia="Calibri" w:hAnsi="Calibri"/>
                  <w:sz w:val="16"/>
                  <w:szCs w:val="16"/>
                  <w:color w:val="0000FF"/>
                </w:rPr>
                <w:t>4.</w:t>
              </w:r>
              <w:r>
                <w:rPr>
                  <w:rFonts w:ascii="Calibri" w:cs="Calibri" w:eastAsia="Calibri" w:hAnsi="Calibri"/>
                  <w:sz w:val="16"/>
                  <w:szCs w:val="16"/>
                  <w:u w:val="single" w:color="auto"/>
                  <w:color w:val="0000FF"/>
                </w:rPr>
                <w:t>19)</w:t>
              </w:r>
              <w:r>
                <w:rPr>
                  <w:rFonts w:ascii="Calibri" w:cs="Calibri" w:eastAsia="Calibri" w:hAnsi="Calibri"/>
                  <w:sz w:val="16"/>
                  <w:szCs w:val="16"/>
                  <w:color w:val="0000FF"/>
                </w:rPr>
                <w:t>.</w:t>
              </w:r>
            </w:hyperlink>
          </w:p>
        </w:tc>
        <w:tc>
          <w:tcPr>
            <w:tcW w:w="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4.23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4"/>
          </w:tcPr>
          <w:p>
            <w:pPr>
              <w:spacing w:after="0"/>
              <w:rPr>
                <w:rFonts w:ascii="Calibri" w:cs="Calibri" w:eastAsia="Calibri" w:hAnsi="Calibri"/>
                <w:sz w:val="18"/>
                <w:szCs w:val="18"/>
                <w:color w:val="0000FF"/>
              </w:rPr>
            </w:pPr>
            <w:hyperlink r:id="rId143">
              <w:r>
                <w:rPr>
                  <w:rFonts w:ascii="Calibri" w:cs="Calibri" w:eastAsia="Calibri" w:hAnsi="Calibri"/>
                  <w:sz w:val="18"/>
                  <w:szCs w:val="18"/>
                  <w:color w:val="0000FF"/>
                </w:rPr>
                <w:t>Form of 4.300% Senior Notes due 2032 (included in Exhibit</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05-08-2020</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3"/>
          </w:tcPr>
          <w:p>
            <w:pPr>
              <w:spacing w:after="0" w:line="156" w:lineRule="exact"/>
              <w:rPr>
                <w:rFonts w:ascii="Calibri" w:cs="Calibri" w:eastAsia="Calibri" w:hAnsi="Calibri"/>
                <w:sz w:val="16"/>
                <w:szCs w:val="16"/>
                <w:color w:val="0000FF"/>
              </w:rPr>
            </w:pPr>
            <w:hyperlink r:id="rId143">
              <w:r>
                <w:rPr>
                  <w:rFonts w:ascii="Calibri" w:cs="Calibri" w:eastAsia="Calibri" w:hAnsi="Calibri"/>
                  <w:sz w:val="16"/>
                  <w:szCs w:val="16"/>
                  <w:color w:val="0000FF"/>
                </w:rPr>
                <w:t>4.</w:t>
              </w:r>
              <w:r>
                <w:rPr>
                  <w:rFonts w:ascii="Calibri" w:cs="Calibri" w:eastAsia="Calibri" w:hAnsi="Calibri"/>
                  <w:sz w:val="16"/>
                  <w:szCs w:val="16"/>
                  <w:u w:val="single" w:color="auto"/>
                  <w:color w:val="0000FF"/>
                </w:rPr>
                <w:t>19)</w:t>
              </w:r>
              <w:r>
                <w:rPr>
                  <w:rFonts w:ascii="Calibri" w:cs="Calibri" w:eastAsia="Calibri" w:hAnsi="Calibri"/>
                  <w:sz w:val="16"/>
                  <w:szCs w:val="16"/>
                  <w:color w:val="0000FF"/>
                </w:rPr>
                <w:t>.</w:t>
              </w:r>
            </w:hyperlink>
          </w:p>
        </w:tc>
        <w:tc>
          <w:tcPr>
            <w:tcW w:w="1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4.24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4"/>
          </w:tcPr>
          <w:p>
            <w:pPr>
              <w:spacing w:after="0"/>
              <w:rPr>
                <w:rFonts w:ascii="Calibri" w:cs="Calibri" w:eastAsia="Calibri" w:hAnsi="Calibri"/>
                <w:sz w:val="18"/>
                <w:szCs w:val="18"/>
                <w:color w:val="0000FF"/>
              </w:rPr>
            </w:pPr>
            <w:hyperlink r:id="rId144">
              <w:r>
                <w:rPr>
                  <w:rFonts w:ascii="Calibri" w:cs="Calibri" w:eastAsia="Calibri" w:hAnsi="Calibri"/>
                  <w:sz w:val="18"/>
                  <w:szCs w:val="18"/>
                  <w:color w:val="0000FF"/>
                </w:rPr>
                <w:t>Indenture, dated as of May 21, 2020, by and among the</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05-21-2020</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tcBorders>
            <w:gridSpan w:val="17"/>
          </w:tcPr>
          <w:p>
            <w:pPr>
              <w:spacing w:after="0" w:line="156" w:lineRule="exact"/>
              <w:rPr>
                <w:rFonts w:ascii="Calibri" w:cs="Calibri" w:eastAsia="Calibri" w:hAnsi="Calibri"/>
                <w:sz w:val="16"/>
                <w:szCs w:val="16"/>
                <w:color w:val="0000FF"/>
              </w:rPr>
            </w:pPr>
            <w:hyperlink r:id="rId144">
              <w:r>
                <w:rPr>
                  <w:rFonts w:ascii="Calibri" w:cs="Calibri" w:eastAsia="Calibri" w:hAnsi="Calibri"/>
                  <w:sz w:val="16"/>
                  <w:szCs w:val="16"/>
                  <w:color w:val="0000FF"/>
                </w:rPr>
                <w:t>Company, the 2020 Guarantors and Wilmington Trust,</w:t>
              </w:r>
            </w:hyperlink>
          </w:p>
        </w:tc>
        <w:tc>
          <w:tcPr>
            <w:tcW w:w="600" w:type="dxa"/>
            <w:vAlign w:val="bottom"/>
            <w:gridSpan w:val="7"/>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6"/>
          </w:tcPr>
          <w:p>
            <w:pPr>
              <w:spacing w:after="0" w:line="169" w:lineRule="exact"/>
              <w:rPr>
                <w:rFonts w:ascii="Calibri" w:cs="Calibri" w:eastAsia="Calibri" w:hAnsi="Calibri"/>
                <w:sz w:val="18"/>
                <w:szCs w:val="18"/>
                <w:color w:val="0000FF"/>
              </w:rPr>
            </w:pPr>
            <w:hyperlink r:id="rId144">
              <w:r>
                <w:rPr>
                  <w:rFonts w:ascii="Calibri" w:cs="Calibri" w:eastAsia="Calibri" w:hAnsi="Calibri"/>
                  <w:sz w:val="18"/>
                  <w:szCs w:val="18"/>
                  <w:color w:val="0000FF"/>
                </w:rPr>
                <w:t>Natonal Associaton, as trustee.</w:t>
              </w:r>
            </w:hyperlink>
          </w:p>
        </w:tc>
        <w:tc>
          <w:tcPr>
            <w:tcW w:w="1540" w:type="dxa"/>
            <w:vAlign w:val="bottom"/>
            <w:tcBorders>
              <w:top w:val="single" w:sz="8" w:color="0000FF"/>
            </w:tcBorders>
            <w:gridSpan w:val="7"/>
          </w:tcPr>
          <w:p>
            <w:pPr>
              <w:spacing w:after="0"/>
              <w:rPr>
                <w:sz w:val="14"/>
                <w:szCs w:val="14"/>
                <w:color w:val="auto"/>
              </w:rPr>
            </w:pPr>
          </w:p>
        </w:tc>
        <w:tc>
          <w:tcPr>
            <w:tcW w:w="720" w:type="dxa"/>
            <w:vAlign w:val="bottom"/>
            <w:gridSpan w:val="11"/>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4.25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4"/>
          </w:tcPr>
          <w:p>
            <w:pPr>
              <w:spacing w:after="0" w:line="209" w:lineRule="exact"/>
              <w:rPr>
                <w:rFonts w:ascii="Calibri" w:cs="Calibri" w:eastAsia="Calibri" w:hAnsi="Calibri"/>
                <w:sz w:val="18"/>
                <w:szCs w:val="18"/>
                <w:color w:val="0000FF"/>
              </w:rPr>
            </w:pPr>
            <w:hyperlink r:id="rId144">
              <w:r>
                <w:rPr>
                  <w:rFonts w:ascii="Calibri" w:cs="Calibri" w:eastAsia="Calibri" w:hAnsi="Calibri"/>
                  <w:sz w:val="18"/>
                  <w:szCs w:val="18"/>
                  <w:color w:val="0000FF"/>
                </w:rPr>
                <w:t>Form of 3.459% Senior Notes due 2026 (included in Exhibit</w:t>
              </w:r>
            </w:hyperlink>
          </w:p>
        </w:tc>
        <w:tc>
          <w:tcPr>
            <w:tcW w:w="10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line="209" w:lineRule="exact"/>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05-21-2020</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Calibri" w:cs="Calibri" w:eastAsia="Calibri" w:hAnsi="Calibri"/>
                <w:sz w:val="16"/>
                <w:szCs w:val="16"/>
                <w:color w:val="0000FF"/>
              </w:rPr>
            </w:pPr>
            <w:hyperlink r:id="rId144">
              <w:r>
                <w:rPr>
                  <w:rFonts w:ascii="Calibri" w:cs="Calibri" w:eastAsia="Calibri" w:hAnsi="Calibri"/>
                  <w:sz w:val="16"/>
                  <w:szCs w:val="16"/>
                  <w:color w:val="0000FF"/>
                </w:rPr>
                <w:t>4.</w:t>
              </w:r>
              <w:r>
                <w:rPr>
                  <w:rFonts w:ascii="Calibri" w:cs="Calibri" w:eastAsia="Calibri" w:hAnsi="Calibri"/>
                  <w:sz w:val="16"/>
                  <w:szCs w:val="16"/>
                  <w:u w:val="single" w:color="auto"/>
                  <w:color w:val="0000FF"/>
                </w:rPr>
                <w:t>24)</w:t>
              </w:r>
              <w:r>
                <w:rPr>
                  <w:rFonts w:ascii="Calibri" w:cs="Calibri" w:eastAsia="Calibri" w:hAnsi="Calibri"/>
                  <w:sz w:val="16"/>
                  <w:szCs w:val="16"/>
                  <w:color w:val="0000FF"/>
                </w:rPr>
                <w:t>.</w:t>
              </w:r>
            </w:hyperlink>
          </w:p>
        </w:tc>
        <w:tc>
          <w:tcPr>
            <w:tcW w:w="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8"/>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80" w:type="dxa"/>
            <w:vAlign w:val="bottom"/>
            <w:gridSpan w:val="25"/>
          </w:tcPr>
          <w:p>
            <w:pPr>
              <w:jc w:val="right"/>
              <w:ind w:right="20"/>
              <w:spacing w:after="0"/>
              <w:rPr>
                <w:sz w:val="20"/>
                <w:szCs w:val="20"/>
                <w:color w:val="auto"/>
              </w:rPr>
            </w:pPr>
            <w:r>
              <w:rPr>
                <w:rFonts w:ascii="Calibri" w:cs="Calibri" w:eastAsia="Calibri" w:hAnsi="Calibri"/>
                <w:sz w:val="18"/>
                <w:szCs w:val="18"/>
                <w:color w:val="auto"/>
              </w:rPr>
              <w:t>96</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Filed</w:t>
      </w:r>
    </w:p>
    <w:p>
      <w:pPr>
        <w:jc w:val="center"/>
        <w:spacing w:after="0" w:line="208" w:lineRule="auto"/>
        <w:rPr>
          <w:sz w:val="20"/>
          <w:szCs w:val="20"/>
          <w:color w:val="auto"/>
        </w:rPr>
      </w:pPr>
      <w:r>
        <w:rPr>
          <w:rFonts w:ascii="Calibri" w:cs="Calibri" w:eastAsia="Calibri" w:hAnsi="Calibri"/>
          <w:sz w:val="14"/>
          <w:szCs w:val="14"/>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21590</wp:posOffset>
            </wp:positionV>
            <wp:extent cx="5060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ectPr>
          <w:pgSz w:w="11900" w:h="16838" w:orient="portrait"/>
          <w:cols w:equalWidth="0" w:num="2">
            <w:col w:w="10340" w:space="240"/>
            <w:col w:w="540"/>
          </w:cols>
          <w:pgMar w:left="320" w:top="112" w:right="459" w:bottom="1440" w:gutter="0" w:footer="0" w:header="0"/>
        </w:sectPr>
      </w:pPr>
    </w:p>
    <w:bookmarkStart w:id="98" w:name="page99"/>
    <w:bookmarkEnd w:id="9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4"/>
          </w:tcPr>
          <w:p>
            <w:pPr>
              <w:ind w:left="460"/>
              <w:spacing w:after="0"/>
              <w:rPr>
                <w:sz w:val="20"/>
                <w:szCs w:val="20"/>
                <w:color w:val="auto"/>
              </w:rPr>
            </w:pPr>
            <w:r>
              <w:rPr>
                <w:rFonts w:ascii="Calibri" w:cs="Calibri" w:eastAsia="Calibri" w:hAnsi="Calibri"/>
                <w:sz w:val="14"/>
                <w:szCs w:val="14"/>
                <w:color w:val="auto"/>
              </w:rPr>
              <w:t>Incorporated by Reference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160" w:type="dxa"/>
            <w:vAlign w:val="bottom"/>
            <w:gridSpan w:val="2"/>
            <w:vMerge w:val="restart"/>
          </w:tcPr>
          <w:p>
            <w:pPr>
              <w:jc w:val="center"/>
              <w:ind w:right="280"/>
              <w:spacing w:after="0"/>
              <w:rPr>
                <w:sz w:val="20"/>
                <w:szCs w:val="20"/>
                <w:color w:val="auto"/>
              </w:rPr>
            </w:pPr>
            <w:r>
              <w:rPr>
                <w:rFonts w:ascii="Calibri" w:cs="Calibri" w:eastAsia="Calibri" w:hAnsi="Calibri"/>
                <w:sz w:val="14"/>
                <w:szCs w:val="14"/>
                <w:color w:val="auto"/>
              </w:rPr>
              <w:t>Exhibit</w:t>
            </w: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11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80" w:type="dxa"/>
            <w:vAlign w:val="bottom"/>
            <w:gridSpan w:val="25"/>
            <w:vMerge w:val="restart"/>
          </w:tcPr>
          <w:p>
            <w:pPr>
              <w:jc w:val="right"/>
              <w:ind w:right="2020"/>
              <w:spacing w:after="0"/>
              <w:rPr>
                <w:sz w:val="20"/>
                <w:szCs w:val="20"/>
                <w:color w:val="auto"/>
              </w:rPr>
            </w:pPr>
            <w:r>
              <w:rPr>
                <w:rFonts w:ascii="Calibri" w:cs="Calibri" w:eastAsia="Calibri" w:hAnsi="Calibri"/>
                <w:sz w:val="14"/>
                <w:szCs w:val="14"/>
                <w:color w:val="auto"/>
              </w:rPr>
              <w:t>Descripton</w:t>
            </w:r>
          </w:p>
        </w:tc>
        <w:tc>
          <w:tcPr>
            <w:tcW w:w="1060" w:type="dxa"/>
            <w:vAlign w:val="bottom"/>
            <w:gridSpan w:val="2"/>
            <w:vMerge w:val="restart"/>
          </w:tcPr>
          <w:p>
            <w:pPr>
              <w:ind w:left="320"/>
              <w:spacing w:after="0"/>
              <w:rPr>
                <w:sz w:val="20"/>
                <w:szCs w:val="20"/>
                <w:color w:val="auto"/>
              </w:rPr>
            </w:pPr>
            <w:r>
              <w:rPr>
                <w:rFonts w:ascii="Calibri" w:cs="Calibri" w:eastAsia="Calibri" w:hAnsi="Calibri"/>
                <w:sz w:val="14"/>
                <w:szCs w:val="14"/>
                <w:color w:val="auto"/>
              </w:rPr>
              <w:t>Form</w:t>
            </w:r>
          </w:p>
        </w:tc>
        <w:tc>
          <w:tcPr>
            <w:tcW w:w="1260" w:type="dxa"/>
            <w:vAlign w:val="bottom"/>
            <w:gridSpan w:val="2"/>
            <w:vMerge w:val="restart"/>
          </w:tcPr>
          <w:p>
            <w:pPr>
              <w:ind w:left="360"/>
              <w:spacing w:after="0"/>
              <w:rPr>
                <w:sz w:val="20"/>
                <w:szCs w:val="20"/>
                <w:color w:val="auto"/>
              </w:rPr>
            </w:pPr>
            <w:r>
              <w:rPr>
                <w:rFonts w:ascii="Calibri" w:cs="Calibri" w:eastAsia="Calibri" w:hAnsi="Calibri"/>
                <w:sz w:val="14"/>
                <w:szCs w:val="14"/>
                <w:color w:val="auto"/>
              </w:rPr>
              <w:t>File No.</w:t>
            </w:r>
          </w:p>
        </w:tc>
        <w:tc>
          <w:tcPr>
            <w:tcW w:w="1120" w:type="dxa"/>
            <w:vAlign w:val="bottom"/>
            <w:gridSpan w:val="2"/>
            <w:vMerge w:val="restart"/>
          </w:tcPr>
          <w:p>
            <w:pPr>
              <w:jc w:val="center"/>
              <w:ind w:right="120"/>
              <w:spacing w:after="0"/>
              <w:rPr>
                <w:sz w:val="20"/>
                <w:szCs w:val="20"/>
                <w:color w:val="auto"/>
              </w:rPr>
            </w:pPr>
            <w:r>
              <w:rPr>
                <w:rFonts w:ascii="Calibri" w:cs="Calibri" w:eastAsia="Calibri" w:hAnsi="Calibri"/>
                <w:sz w:val="14"/>
                <w:szCs w:val="14"/>
                <w:color w:val="auto"/>
              </w:rPr>
              <w:t>Exhibit</w:t>
            </w:r>
          </w:p>
        </w:tc>
        <w:tc>
          <w:tcPr>
            <w:tcW w:w="1160" w:type="dxa"/>
            <w:vAlign w:val="bottom"/>
            <w:vMerge w:val="restart"/>
          </w:tcPr>
          <w:p>
            <w:pPr>
              <w:jc w:val="right"/>
              <w:ind w:right="191"/>
              <w:spacing w:after="0"/>
              <w:rPr>
                <w:sz w:val="20"/>
                <w:szCs w:val="20"/>
                <w:color w:val="auto"/>
              </w:rPr>
            </w:pPr>
            <w:r>
              <w:rPr>
                <w:rFonts w:ascii="Calibri" w:cs="Calibri" w:eastAsia="Calibri" w:hAnsi="Calibri"/>
                <w:sz w:val="14"/>
                <w:szCs w:val="14"/>
                <w:color w:val="auto"/>
              </w:rPr>
              <w:t>Filing Date</w:t>
            </w:r>
          </w:p>
        </w:tc>
        <w:tc>
          <w:tcPr>
            <w:tcW w:w="0" w:type="dxa"/>
            <w:vAlign w:val="bottom"/>
          </w:tcPr>
          <w:p>
            <w:pPr>
              <w:spacing w:after="0"/>
              <w:rPr>
                <w:sz w:val="1"/>
                <w:szCs w:val="1"/>
                <w:color w:val="auto"/>
              </w:rPr>
            </w:pPr>
          </w:p>
        </w:tc>
      </w:tr>
      <w:tr>
        <w:trPr>
          <w:trHeight w:val="170"/>
        </w:trPr>
        <w:tc>
          <w:tcPr>
            <w:tcW w:w="1160" w:type="dxa"/>
            <w:vAlign w:val="bottom"/>
            <w:gridSpan w:val="2"/>
          </w:tcPr>
          <w:p>
            <w:pPr>
              <w:jc w:val="center"/>
              <w:ind w:right="280"/>
              <w:spacing w:after="0"/>
              <w:rPr>
                <w:sz w:val="20"/>
                <w:szCs w:val="20"/>
                <w:color w:val="auto"/>
              </w:rPr>
            </w:pPr>
            <w:r>
              <w:rPr>
                <w:rFonts w:ascii="Calibri" w:cs="Calibri" w:eastAsia="Calibri" w:hAnsi="Calibri"/>
                <w:sz w:val="14"/>
                <w:szCs w:val="14"/>
                <w:color w:val="auto"/>
              </w:rPr>
              <w:t>Number</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gridSpan w:val="25"/>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60" w:type="dxa"/>
            <w:vAlign w:val="bottom"/>
          </w:tcPr>
          <w:p>
            <w:pPr>
              <w:jc w:val="right"/>
              <w:spacing w:after="0" w:line="169" w:lineRule="exact"/>
              <w:rPr>
                <w:sz w:val="20"/>
                <w:szCs w:val="20"/>
                <w:color w:val="auto"/>
              </w:rPr>
            </w:pPr>
            <w:r>
              <w:rPr>
                <w:rFonts w:ascii="Calibri" w:cs="Calibri" w:eastAsia="Calibri" w:hAnsi="Calibri"/>
                <w:sz w:val="18"/>
                <w:szCs w:val="18"/>
                <w:color w:val="auto"/>
              </w:rPr>
              <w:t>4.26</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40" w:type="dxa"/>
            <w:vAlign w:val="bottom"/>
            <w:gridSpan w:val="28"/>
          </w:tcPr>
          <w:p>
            <w:pPr>
              <w:spacing w:after="0" w:line="169" w:lineRule="exact"/>
              <w:rPr>
                <w:rFonts w:ascii="Calibri" w:cs="Calibri" w:eastAsia="Calibri" w:hAnsi="Calibri"/>
                <w:sz w:val="18"/>
                <w:szCs w:val="18"/>
                <w:color w:val="0000FF"/>
              </w:rPr>
            </w:pPr>
            <w:hyperlink r:id="rId144">
              <w:r>
                <w:rPr>
                  <w:rFonts w:ascii="Calibri" w:cs="Calibri" w:eastAsia="Calibri" w:hAnsi="Calibri"/>
                  <w:sz w:val="18"/>
                  <w:szCs w:val="18"/>
                  <w:color w:val="0000FF"/>
                </w:rPr>
                <w:t>Form of 4.110% Senior Notes due 2028 (included in Exhibit</w:t>
              </w:r>
            </w:hyperlink>
          </w:p>
        </w:tc>
        <w:tc>
          <w:tcPr>
            <w:tcW w:w="120" w:type="dxa"/>
            <w:vAlign w:val="bottom"/>
          </w:tcPr>
          <w:p>
            <w:pPr>
              <w:spacing w:after="0"/>
              <w:rPr>
                <w:sz w:val="14"/>
                <w:szCs w:val="14"/>
                <w:color w:val="auto"/>
              </w:rPr>
            </w:pPr>
          </w:p>
        </w:tc>
        <w:tc>
          <w:tcPr>
            <w:tcW w:w="960" w:type="dxa"/>
            <w:vAlign w:val="bottom"/>
          </w:tcPr>
          <w:p>
            <w:pPr>
              <w:ind w:left="20"/>
              <w:spacing w:after="0" w:line="169" w:lineRule="exact"/>
              <w:rPr>
                <w:sz w:val="20"/>
                <w:szCs w:val="20"/>
                <w:color w:val="auto"/>
              </w:rPr>
            </w:pPr>
            <w:r>
              <w:rPr>
                <w:rFonts w:ascii="Calibri" w:cs="Calibri" w:eastAsia="Calibri" w:hAnsi="Calibri"/>
                <w:sz w:val="18"/>
                <w:szCs w:val="18"/>
                <w:color w:val="auto"/>
              </w:rPr>
              <w:t>8-K</w:t>
            </w:r>
          </w:p>
        </w:tc>
        <w:tc>
          <w:tcPr>
            <w:tcW w:w="100" w:type="dxa"/>
            <w:vAlign w:val="bottom"/>
          </w:tcPr>
          <w:p>
            <w:pPr>
              <w:spacing w:after="0"/>
              <w:rPr>
                <w:sz w:val="14"/>
                <w:szCs w:val="14"/>
                <w:color w:val="auto"/>
              </w:rPr>
            </w:pPr>
          </w:p>
        </w:tc>
        <w:tc>
          <w:tcPr>
            <w:tcW w:w="1180" w:type="dxa"/>
            <w:vAlign w:val="bottom"/>
          </w:tcPr>
          <w:p>
            <w:pPr>
              <w:jc w:val="right"/>
              <w:ind w:right="312"/>
              <w:spacing w:after="0" w:line="169" w:lineRule="exact"/>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4"/>
                <w:szCs w:val="14"/>
                <w:color w:val="auto"/>
              </w:rPr>
            </w:pPr>
          </w:p>
        </w:tc>
        <w:tc>
          <w:tcPr>
            <w:tcW w:w="1160" w:type="dxa"/>
            <w:vAlign w:val="bottom"/>
          </w:tcPr>
          <w:p>
            <w:pPr>
              <w:jc w:val="right"/>
              <w:ind w:right="231"/>
              <w:spacing w:after="0" w:line="169" w:lineRule="exact"/>
              <w:rPr>
                <w:sz w:val="20"/>
                <w:szCs w:val="20"/>
                <w:color w:val="auto"/>
              </w:rPr>
            </w:pPr>
            <w:r>
              <w:rPr>
                <w:rFonts w:ascii="Calibri" w:cs="Calibri" w:eastAsia="Calibri" w:hAnsi="Calibri"/>
                <w:sz w:val="18"/>
                <w:szCs w:val="18"/>
                <w:color w:val="auto"/>
                <w:w w:val="97"/>
              </w:rPr>
              <w:t>05-21-2020</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2"/>
          </w:tcPr>
          <w:p>
            <w:pPr>
              <w:spacing w:after="0" w:line="156" w:lineRule="exact"/>
              <w:rPr>
                <w:rFonts w:ascii="Calibri" w:cs="Calibri" w:eastAsia="Calibri" w:hAnsi="Calibri"/>
                <w:sz w:val="16"/>
                <w:szCs w:val="16"/>
                <w:color w:val="0000FF"/>
              </w:rPr>
            </w:pPr>
            <w:hyperlink r:id="rId144">
              <w:r>
                <w:rPr>
                  <w:rFonts w:ascii="Calibri" w:cs="Calibri" w:eastAsia="Calibri" w:hAnsi="Calibri"/>
                  <w:sz w:val="16"/>
                  <w:szCs w:val="16"/>
                  <w:color w:val="0000FF"/>
                </w:rPr>
                <w:t>4.</w:t>
              </w:r>
              <w:r>
                <w:rPr>
                  <w:rFonts w:ascii="Calibri" w:cs="Calibri" w:eastAsia="Calibri" w:hAnsi="Calibri"/>
                  <w:sz w:val="16"/>
                  <w:szCs w:val="16"/>
                  <w:u w:val="single" w:color="auto"/>
                  <w:color w:val="0000FF"/>
                </w:rPr>
                <w:t>24)</w:t>
              </w:r>
              <w:r>
                <w:rPr>
                  <w:rFonts w:ascii="Calibri" w:cs="Calibri" w:eastAsia="Calibri" w:hAnsi="Calibri"/>
                  <w:sz w:val="16"/>
                  <w:szCs w:val="16"/>
                  <w:color w:val="0000FF"/>
                </w:rPr>
                <w:t>.</w:t>
              </w:r>
            </w:hyperlink>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4.27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9"/>
          </w:tcPr>
          <w:p>
            <w:pPr>
              <w:spacing w:after="0"/>
              <w:rPr>
                <w:rFonts w:ascii="Calibri" w:cs="Calibri" w:eastAsia="Calibri" w:hAnsi="Calibri"/>
                <w:sz w:val="18"/>
                <w:szCs w:val="18"/>
                <w:color w:val="0000FF"/>
              </w:rPr>
            </w:pPr>
            <w:hyperlink r:id="rId147">
              <w:r>
                <w:rPr>
                  <w:rFonts w:ascii="Calibri" w:cs="Calibri" w:eastAsia="Calibri" w:hAnsi="Calibri"/>
                  <w:sz w:val="18"/>
                  <w:szCs w:val="18"/>
                  <w:color w:val="0000FF"/>
                </w:rPr>
                <w:t>Indenture, dated as of January 19, 2021, by and among the</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01-19-2021</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tcBorders>
            <w:gridSpan w:val="17"/>
          </w:tcPr>
          <w:p>
            <w:pPr>
              <w:spacing w:after="0" w:line="156" w:lineRule="exact"/>
              <w:rPr>
                <w:rFonts w:ascii="Calibri" w:cs="Calibri" w:eastAsia="Calibri" w:hAnsi="Calibri"/>
                <w:sz w:val="16"/>
                <w:szCs w:val="16"/>
                <w:color w:val="0000FF"/>
              </w:rPr>
            </w:pPr>
            <w:hyperlink r:id="rId147">
              <w:r>
                <w:rPr>
                  <w:rFonts w:ascii="Calibri" w:cs="Calibri" w:eastAsia="Calibri" w:hAnsi="Calibri"/>
                  <w:sz w:val="16"/>
                  <w:szCs w:val="16"/>
                  <w:color w:val="0000FF"/>
                </w:rPr>
                <w:t>Company, the 2020 Guarantors and Wilmington Trust,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40" w:type="dxa"/>
            <w:vAlign w:val="bottom"/>
            <w:tcBorders>
              <w:top w:val="single" w:sz="8" w:color="0000FF"/>
            </w:tcBorders>
            <w:gridSpan w:val="8"/>
          </w:tcPr>
          <w:p>
            <w:pPr>
              <w:spacing w:after="0" w:line="169" w:lineRule="exact"/>
              <w:rPr>
                <w:rFonts w:ascii="Calibri" w:cs="Calibri" w:eastAsia="Calibri" w:hAnsi="Calibri"/>
                <w:sz w:val="18"/>
                <w:szCs w:val="18"/>
                <w:color w:val="0000FF"/>
              </w:rPr>
            </w:pPr>
            <w:hyperlink r:id="rId147">
              <w:r>
                <w:rPr>
                  <w:rFonts w:ascii="Calibri" w:cs="Calibri" w:eastAsia="Calibri" w:hAnsi="Calibri"/>
                  <w:sz w:val="18"/>
                  <w:szCs w:val="18"/>
                  <w:color w:val="0000FF"/>
                </w:rPr>
                <w:t>Natonal Associaton, as Trustee.</w:t>
              </w:r>
            </w:hyperlink>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4.28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9"/>
          </w:tcPr>
          <w:p>
            <w:pPr>
              <w:spacing w:after="0" w:line="209" w:lineRule="exact"/>
              <w:rPr>
                <w:rFonts w:ascii="Calibri" w:cs="Calibri" w:eastAsia="Calibri" w:hAnsi="Calibri"/>
                <w:sz w:val="18"/>
                <w:szCs w:val="18"/>
                <w:color w:val="0000FF"/>
              </w:rPr>
            </w:pPr>
            <w:hyperlink r:id="rId147">
              <w:r>
                <w:rPr>
                  <w:rFonts w:ascii="Calibri" w:cs="Calibri" w:eastAsia="Calibri" w:hAnsi="Calibri"/>
                  <w:sz w:val="18"/>
                  <w:szCs w:val="18"/>
                  <w:color w:val="0000FF"/>
                </w:rPr>
                <w:t>Form of 1.950% Senior Notes due 2028 (included in Exhibit</w:t>
              </w:r>
            </w:hyperlink>
          </w:p>
        </w:tc>
        <w:tc>
          <w:tcPr>
            <w:tcW w:w="10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line="209" w:lineRule="exact"/>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01-19-2021</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Calibri" w:cs="Calibri" w:eastAsia="Calibri" w:hAnsi="Calibri"/>
                <w:sz w:val="16"/>
                <w:szCs w:val="16"/>
                <w:color w:val="0000FF"/>
              </w:rPr>
            </w:pPr>
            <w:hyperlink r:id="rId147">
              <w:r>
                <w:rPr>
                  <w:rFonts w:ascii="Calibri" w:cs="Calibri" w:eastAsia="Calibri" w:hAnsi="Calibri"/>
                  <w:sz w:val="16"/>
                  <w:szCs w:val="16"/>
                  <w:color w:val="0000FF"/>
                </w:rPr>
                <w:t>4.</w:t>
              </w:r>
              <w:r>
                <w:rPr>
                  <w:rFonts w:ascii="Calibri" w:cs="Calibri" w:eastAsia="Calibri" w:hAnsi="Calibri"/>
                  <w:sz w:val="16"/>
                  <w:szCs w:val="16"/>
                  <w:u w:val="single" w:color="auto"/>
                  <w:color w:val="0000FF"/>
                </w:rPr>
                <w:t>27)</w:t>
              </w:r>
              <w:r>
                <w:rPr>
                  <w:rFonts w:ascii="Calibri" w:cs="Calibri" w:eastAsia="Calibri" w:hAnsi="Calibri"/>
                  <w:sz w:val="16"/>
                  <w:szCs w:val="16"/>
                  <w:color w:val="0000FF"/>
                </w:rPr>
                <w:t>.</w:t>
              </w:r>
            </w:hyperlink>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4.29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9"/>
          </w:tcPr>
          <w:p>
            <w:pPr>
              <w:spacing w:after="0"/>
              <w:rPr>
                <w:rFonts w:ascii="Calibri" w:cs="Calibri" w:eastAsia="Calibri" w:hAnsi="Calibri"/>
                <w:sz w:val="18"/>
                <w:szCs w:val="18"/>
                <w:color w:val="0000FF"/>
              </w:rPr>
            </w:pPr>
            <w:hyperlink r:id="rId147">
              <w:r>
                <w:rPr>
                  <w:rFonts w:ascii="Calibri" w:cs="Calibri" w:eastAsia="Calibri" w:hAnsi="Calibri"/>
                  <w:sz w:val="18"/>
                  <w:szCs w:val="18"/>
                  <w:color w:val="0000FF"/>
                </w:rPr>
                <w:t>Form of 2.450% Senior Notes due 2031 (included in Exhibit</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01-19-2021</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Calibri" w:cs="Calibri" w:eastAsia="Calibri" w:hAnsi="Calibri"/>
                <w:sz w:val="16"/>
                <w:szCs w:val="16"/>
                <w:color w:val="0000FF"/>
              </w:rPr>
            </w:pPr>
            <w:hyperlink r:id="rId147">
              <w:r>
                <w:rPr>
                  <w:rFonts w:ascii="Calibri" w:cs="Calibri" w:eastAsia="Calibri" w:hAnsi="Calibri"/>
                  <w:sz w:val="16"/>
                  <w:szCs w:val="16"/>
                  <w:color w:val="0000FF"/>
                </w:rPr>
                <w:t>4.</w:t>
              </w:r>
              <w:r>
                <w:rPr>
                  <w:rFonts w:ascii="Calibri" w:cs="Calibri" w:eastAsia="Calibri" w:hAnsi="Calibri"/>
                  <w:sz w:val="16"/>
                  <w:szCs w:val="16"/>
                  <w:u w:val="single" w:color="auto"/>
                  <w:color w:val="0000FF"/>
                </w:rPr>
                <w:t>27)</w:t>
              </w:r>
              <w:r>
                <w:rPr>
                  <w:rFonts w:ascii="Calibri" w:cs="Calibri" w:eastAsia="Calibri" w:hAnsi="Calibri"/>
                  <w:sz w:val="16"/>
                  <w:szCs w:val="16"/>
                  <w:color w:val="0000FF"/>
                </w:rPr>
                <w:t>.</w:t>
              </w:r>
            </w:hyperlink>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4.30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9"/>
          </w:tcPr>
          <w:p>
            <w:pPr>
              <w:spacing w:after="0"/>
              <w:rPr>
                <w:rFonts w:ascii="Calibri" w:cs="Calibri" w:eastAsia="Calibri" w:hAnsi="Calibri"/>
                <w:sz w:val="18"/>
                <w:szCs w:val="18"/>
                <w:color w:val="0000FF"/>
              </w:rPr>
            </w:pPr>
            <w:hyperlink r:id="rId147">
              <w:r>
                <w:rPr>
                  <w:rFonts w:ascii="Calibri" w:cs="Calibri" w:eastAsia="Calibri" w:hAnsi="Calibri"/>
                  <w:sz w:val="18"/>
                  <w:szCs w:val="18"/>
                  <w:color w:val="0000FF"/>
                </w:rPr>
                <w:t>Form of 2.600% Senior Notes due 2033 (included in Exhibit</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01-19-2021</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Calibri" w:cs="Calibri" w:eastAsia="Calibri" w:hAnsi="Calibri"/>
                <w:sz w:val="16"/>
                <w:szCs w:val="16"/>
                <w:color w:val="0000FF"/>
              </w:rPr>
            </w:pPr>
            <w:hyperlink r:id="rId147">
              <w:r>
                <w:rPr>
                  <w:rFonts w:ascii="Calibri" w:cs="Calibri" w:eastAsia="Calibri" w:hAnsi="Calibri"/>
                  <w:sz w:val="16"/>
                  <w:szCs w:val="16"/>
                  <w:color w:val="0000FF"/>
                </w:rPr>
                <w:t>4.</w:t>
              </w:r>
              <w:r>
                <w:rPr>
                  <w:rFonts w:ascii="Calibri" w:cs="Calibri" w:eastAsia="Calibri" w:hAnsi="Calibri"/>
                  <w:sz w:val="16"/>
                  <w:szCs w:val="16"/>
                  <w:u w:val="single" w:color="auto"/>
                  <w:color w:val="0000FF"/>
                </w:rPr>
                <w:t>27)</w:t>
              </w:r>
              <w:r>
                <w:rPr>
                  <w:rFonts w:ascii="Calibri" w:cs="Calibri" w:eastAsia="Calibri" w:hAnsi="Calibri"/>
                  <w:sz w:val="16"/>
                  <w:szCs w:val="16"/>
                  <w:color w:val="0000FF"/>
                </w:rPr>
                <w:t>.</w:t>
              </w:r>
            </w:hyperlink>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4.31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9"/>
          </w:tcPr>
          <w:p>
            <w:pPr>
              <w:spacing w:after="0"/>
              <w:rPr>
                <w:rFonts w:ascii="Calibri" w:cs="Calibri" w:eastAsia="Calibri" w:hAnsi="Calibri"/>
                <w:sz w:val="18"/>
                <w:szCs w:val="18"/>
                <w:color w:val="0000FF"/>
              </w:rPr>
            </w:pPr>
            <w:hyperlink r:id="rId147">
              <w:r>
                <w:rPr>
                  <w:rFonts w:ascii="Calibri" w:cs="Calibri" w:eastAsia="Calibri" w:hAnsi="Calibri"/>
                  <w:sz w:val="18"/>
                  <w:szCs w:val="18"/>
                  <w:color w:val="0000FF"/>
                </w:rPr>
                <w:t>Form of 3.500% Senior Notes due 2041 (included in Exhibit</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01-19-2021</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Calibri" w:cs="Calibri" w:eastAsia="Calibri" w:hAnsi="Calibri"/>
                <w:sz w:val="16"/>
                <w:szCs w:val="16"/>
                <w:color w:val="0000FF"/>
              </w:rPr>
            </w:pPr>
            <w:hyperlink r:id="rId147">
              <w:r>
                <w:rPr>
                  <w:rFonts w:ascii="Calibri" w:cs="Calibri" w:eastAsia="Calibri" w:hAnsi="Calibri"/>
                  <w:sz w:val="16"/>
                  <w:szCs w:val="16"/>
                  <w:color w:val="0000FF"/>
                </w:rPr>
                <w:t>4.</w:t>
              </w:r>
              <w:r>
                <w:rPr>
                  <w:rFonts w:ascii="Calibri" w:cs="Calibri" w:eastAsia="Calibri" w:hAnsi="Calibri"/>
                  <w:sz w:val="16"/>
                  <w:szCs w:val="16"/>
                  <w:u w:val="single" w:color="auto"/>
                  <w:color w:val="0000FF"/>
                </w:rPr>
                <w:t>27)</w:t>
              </w:r>
              <w:r>
                <w:rPr>
                  <w:rFonts w:ascii="Calibri" w:cs="Calibri" w:eastAsia="Calibri" w:hAnsi="Calibri"/>
                  <w:sz w:val="16"/>
                  <w:szCs w:val="16"/>
                  <w:color w:val="0000FF"/>
                </w:rPr>
                <w:t>.</w:t>
              </w:r>
            </w:hyperlink>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4.32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9"/>
          </w:tcPr>
          <w:p>
            <w:pPr>
              <w:spacing w:after="0"/>
              <w:rPr>
                <w:rFonts w:ascii="Calibri" w:cs="Calibri" w:eastAsia="Calibri" w:hAnsi="Calibri"/>
                <w:sz w:val="18"/>
                <w:szCs w:val="18"/>
                <w:color w:val="0000FF"/>
              </w:rPr>
            </w:pPr>
            <w:hyperlink r:id="rId147">
              <w:r>
                <w:rPr>
                  <w:rFonts w:ascii="Calibri" w:cs="Calibri" w:eastAsia="Calibri" w:hAnsi="Calibri"/>
                  <w:sz w:val="18"/>
                  <w:szCs w:val="18"/>
                  <w:color w:val="0000FF"/>
                </w:rPr>
                <w:t>Form of 3.750% Senior Notes due 2051 (included in Exhibit</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01-19-2021</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2"/>
          </w:tcPr>
          <w:p>
            <w:pPr>
              <w:spacing w:after="0" w:line="156" w:lineRule="exact"/>
              <w:rPr>
                <w:rFonts w:ascii="Calibri" w:cs="Calibri" w:eastAsia="Calibri" w:hAnsi="Calibri"/>
                <w:sz w:val="16"/>
                <w:szCs w:val="16"/>
                <w:color w:val="0000FF"/>
              </w:rPr>
            </w:pPr>
            <w:hyperlink r:id="rId147">
              <w:r>
                <w:rPr>
                  <w:rFonts w:ascii="Calibri" w:cs="Calibri" w:eastAsia="Calibri" w:hAnsi="Calibri"/>
                  <w:sz w:val="16"/>
                  <w:szCs w:val="16"/>
                  <w:color w:val="0000FF"/>
                </w:rPr>
                <w:t>4.</w:t>
              </w:r>
              <w:r>
                <w:rPr>
                  <w:rFonts w:ascii="Calibri" w:cs="Calibri" w:eastAsia="Calibri" w:hAnsi="Calibri"/>
                  <w:sz w:val="16"/>
                  <w:szCs w:val="16"/>
                  <w:u w:val="single" w:color="auto"/>
                  <w:color w:val="0000FF"/>
                </w:rPr>
                <w:t>27)</w:t>
              </w:r>
              <w:r>
                <w:rPr>
                  <w:rFonts w:ascii="Calibri" w:cs="Calibri" w:eastAsia="Calibri" w:hAnsi="Calibri"/>
                  <w:sz w:val="16"/>
                  <w:szCs w:val="16"/>
                  <w:color w:val="0000FF"/>
                </w:rPr>
                <w:t>.</w:t>
              </w:r>
            </w:hyperlink>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4.33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9"/>
          </w:tcPr>
          <w:p>
            <w:pPr>
              <w:spacing w:after="0"/>
              <w:rPr>
                <w:rFonts w:ascii="Calibri" w:cs="Calibri" w:eastAsia="Calibri" w:hAnsi="Calibri"/>
                <w:sz w:val="18"/>
                <w:szCs w:val="18"/>
                <w:color w:val="0000FF"/>
              </w:rPr>
            </w:pPr>
            <w:hyperlink r:id="rId148">
              <w:r>
                <w:rPr>
                  <w:rFonts w:ascii="Calibri" w:cs="Calibri" w:eastAsia="Calibri" w:hAnsi="Calibri"/>
                  <w:sz w:val="18"/>
                  <w:szCs w:val="18"/>
                  <w:color w:val="0000FF"/>
                </w:rPr>
                <w:t>Registraton Rights Agreement, dated as of January 19, 2021,</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4.7</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01-19-2021</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9"/>
          </w:tcPr>
          <w:p>
            <w:pPr>
              <w:spacing w:after="0" w:line="156" w:lineRule="exact"/>
              <w:rPr>
                <w:rFonts w:ascii="Calibri" w:cs="Calibri" w:eastAsia="Calibri" w:hAnsi="Calibri"/>
                <w:sz w:val="16"/>
                <w:szCs w:val="16"/>
                <w:color w:val="0000FF"/>
              </w:rPr>
            </w:pPr>
            <w:hyperlink r:id="rId148">
              <w:r>
                <w:rPr>
                  <w:rFonts w:ascii="Calibri" w:cs="Calibri" w:eastAsia="Calibri" w:hAnsi="Calibri"/>
                  <w:sz w:val="16"/>
                  <w:szCs w:val="16"/>
                  <w:color w:val="0000FF"/>
                </w:rPr>
                <w:t>by and among the Company, the 2020 Guarantors and</w:t>
              </w:r>
            </w:hyperlink>
          </w:p>
        </w:tc>
        <w:tc>
          <w:tcPr>
            <w:tcW w:w="5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29"/>
          </w:tcPr>
          <w:p>
            <w:pPr>
              <w:spacing w:after="0" w:line="169" w:lineRule="exact"/>
              <w:rPr>
                <w:rFonts w:ascii="Calibri" w:cs="Calibri" w:eastAsia="Calibri" w:hAnsi="Calibri"/>
                <w:sz w:val="18"/>
                <w:szCs w:val="18"/>
                <w:color w:val="0000FF"/>
              </w:rPr>
            </w:pPr>
            <w:hyperlink r:id="rId148">
              <w:r>
                <w:rPr>
                  <w:rFonts w:ascii="Calibri" w:cs="Calibri" w:eastAsia="Calibri" w:hAnsi="Calibri"/>
                  <w:sz w:val="18"/>
                  <w:szCs w:val="18"/>
                  <w:color w:val="0000FF"/>
                </w:rPr>
                <w:t>Morgan Stanley &amp; Co. LLC, BNP Paribas Securites Corp., RBC</w:t>
              </w:r>
            </w:hyperlink>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tcBorders>
            <w:gridSpan w:val="21"/>
          </w:tcPr>
          <w:p>
            <w:pPr>
              <w:spacing w:after="0" w:line="156" w:lineRule="exact"/>
              <w:rPr>
                <w:rFonts w:ascii="Calibri" w:cs="Calibri" w:eastAsia="Calibri" w:hAnsi="Calibri"/>
                <w:sz w:val="16"/>
                <w:szCs w:val="16"/>
                <w:color w:val="0000FF"/>
              </w:rPr>
            </w:pPr>
            <w:hyperlink r:id="rId148">
              <w:r>
                <w:rPr>
                  <w:rFonts w:ascii="Calibri" w:cs="Calibri" w:eastAsia="Calibri" w:hAnsi="Calibri"/>
                  <w:sz w:val="16"/>
                  <w:szCs w:val="16"/>
                  <w:color w:val="0000FF"/>
                </w:rPr>
                <w:t>Capital Markets, LLC, SMBC Nikko Securites America,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13"/>
          </w:tcPr>
          <w:p>
            <w:pPr>
              <w:spacing w:after="0" w:line="156" w:lineRule="exact"/>
              <w:rPr>
                <w:rFonts w:ascii="Calibri" w:cs="Calibri" w:eastAsia="Calibri" w:hAnsi="Calibri"/>
                <w:sz w:val="16"/>
                <w:szCs w:val="16"/>
                <w:color w:val="0000FF"/>
              </w:rPr>
            </w:pPr>
            <w:hyperlink r:id="rId148">
              <w:r>
                <w:rPr>
                  <w:rFonts w:ascii="Calibri" w:cs="Calibri" w:eastAsia="Calibri" w:hAnsi="Calibri"/>
                  <w:sz w:val="16"/>
                  <w:szCs w:val="16"/>
                  <w:color w:val="0000FF"/>
                </w:rPr>
                <w:t>and Truist Securites, Inc., as representatves of the several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60" w:type="dxa"/>
            <w:vAlign w:val="bottom"/>
            <w:gridSpan w:val="15"/>
          </w:tcPr>
          <w:p>
            <w:pPr>
              <w:spacing w:after="0" w:line="169" w:lineRule="exact"/>
              <w:rPr>
                <w:rFonts w:ascii="Calibri" w:cs="Calibri" w:eastAsia="Calibri" w:hAnsi="Calibri"/>
                <w:sz w:val="18"/>
                <w:szCs w:val="18"/>
                <w:color w:val="0000FF"/>
              </w:rPr>
            </w:pPr>
            <w:hyperlink r:id="rId148">
              <w:r>
                <w:rPr>
                  <w:rFonts w:ascii="Calibri" w:cs="Calibri" w:eastAsia="Calibri" w:hAnsi="Calibri"/>
                  <w:sz w:val="18"/>
                  <w:szCs w:val="18"/>
                  <w:color w:val="0000FF"/>
                </w:rPr>
                <w:t>inital purchasers of the January 2021 Senior Notes.</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4.34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9"/>
          </w:tcPr>
          <w:p>
            <w:pPr>
              <w:spacing w:after="0" w:line="209" w:lineRule="exact"/>
              <w:rPr>
                <w:rFonts w:ascii="Calibri" w:cs="Calibri" w:eastAsia="Calibri" w:hAnsi="Calibri"/>
                <w:sz w:val="18"/>
                <w:szCs w:val="18"/>
                <w:color w:val="0000FF"/>
              </w:rPr>
            </w:pPr>
            <w:hyperlink r:id="rId149">
              <w:r>
                <w:rPr>
                  <w:rFonts w:ascii="Calibri" w:cs="Calibri" w:eastAsia="Calibri" w:hAnsi="Calibri"/>
                  <w:sz w:val="18"/>
                  <w:szCs w:val="18"/>
                  <w:color w:val="0000FF"/>
                </w:rPr>
                <w:t>Indenture, dated as of March 31, 2021, by and between the</w:t>
              </w:r>
            </w:hyperlink>
          </w:p>
        </w:tc>
        <w:tc>
          <w:tcPr>
            <w:tcW w:w="10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line="209" w:lineRule="exact"/>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03-31-2021</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tcBorders>
            <w:gridSpan w:val="20"/>
          </w:tcPr>
          <w:p>
            <w:pPr>
              <w:spacing w:after="0" w:line="156" w:lineRule="exact"/>
              <w:rPr>
                <w:rFonts w:ascii="Calibri" w:cs="Calibri" w:eastAsia="Calibri" w:hAnsi="Calibri"/>
                <w:sz w:val="16"/>
                <w:szCs w:val="16"/>
                <w:color w:val="0000FF"/>
              </w:rPr>
            </w:pPr>
            <w:hyperlink r:id="rId149">
              <w:r>
                <w:rPr>
                  <w:rFonts w:ascii="Calibri" w:cs="Calibri" w:eastAsia="Calibri" w:hAnsi="Calibri"/>
                  <w:sz w:val="16"/>
                  <w:szCs w:val="16"/>
                  <w:color w:val="0000FF"/>
                </w:rPr>
                <w:t>Company and Wilmington Trust, Natonal Associaton, as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top w:val="single" w:sz="8" w:color="0000FF"/>
              <w:bottom w:val="single" w:sz="8" w:color="0000FF"/>
            </w:tcBorders>
            <w:gridSpan w:val="3"/>
          </w:tcPr>
          <w:p>
            <w:pPr>
              <w:spacing w:after="0" w:line="169" w:lineRule="exact"/>
              <w:rPr>
                <w:rFonts w:ascii="Calibri" w:cs="Calibri" w:eastAsia="Calibri" w:hAnsi="Calibri"/>
                <w:sz w:val="18"/>
                <w:szCs w:val="18"/>
                <w:color w:val="0000FF"/>
                <w:w w:val="93"/>
              </w:rPr>
            </w:pPr>
            <w:hyperlink r:id="rId149">
              <w:r>
                <w:rPr>
                  <w:rFonts w:ascii="Calibri" w:cs="Calibri" w:eastAsia="Calibri" w:hAnsi="Calibri"/>
                  <w:sz w:val="18"/>
                  <w:szCs w:val="18"/>
                  <w:color w:val="0000FF"/>
                  <w:w w:val="93"/>
                </w:rPr>
                <w:t>Trustee.</w:t>
              </w:r>
            </w:hyperlink>
          </w:p>
        </w:tc>
        <w:tc>
          <w:tcPr>
            <w:tcW w:w="3440" w:type="dxa"/>
            <w:vAlign w:val="bottom"/>
            <w:tcBorders>
              <w:top w:val="single" w:sz="8" w:color="0000FF"/>
            </w:tcBorders>
            <w:gridSpan w:val="7"/>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4.35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9"/>
          </w:tcPr>
          <w:p>
            <w:pPr>
              <w:spacing w:after="0" w:line="209" w:lineRule="exact"/>
              <w:rPr>
                <w:rFonts w:ascii="Calibri" w:cs="Calibri" w:eastAsia="Calibri" w:hAnsi="Calibri"/>
                <w:sz w:val="18"/>
                <w:szCs w:val="18"/>
                <w:color w:val="0000FF"/>
              </w:rPr>
            </w:pPr>
            <w:hyperlink r:id="rId149">
              <w:r>
                <w:rPr>
                  <w:rFonts w:ascii="Calibri" w:cs="Calibri" w:eastAsia="Calibri" w:hAnsi="Calibri"/>
                  <w:sz w:val="18"/>
                  <w:szCs w:val="18"/>
                  <w:color w:val="0000FF"/>
                </w:rPr>
                <w:t>Form of 3.419% Senior Notes due 2033 (included in Exhibit</w:t>
              </w:r>
            </w:hyperlink>
          </w:p>
        </w:tc>
        <w:tc>
          <w:tcPr>
            <w:tcW w:w="10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line="209" w:lineRule="exact"/>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03-31-2021</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Calibri" w:cs="Calibri" w:eastAsia="Calibri" w:hAnsi="Calibri"/>
                <w:sz w:val="16"/>
                <w:szCs w:val="16"/>
                <w:color w:val="0000FF"/>
              </w:rPr>
            </w:pPr>
            <w:hyperlink r:id="rId149">
              <w:r>
                <w:rPr>
                  <w:rFonts w:ascii="Calibri" w:cs="Calibri" w:eastAsia="Calibri" w:hAnsi="Calibri"/>
                  <w:sz w:val="16"/>
                  <w:szCs w:val="16"/>
                  <w:color w:val="0000FF"/>
                </w:rPr>
                <w:t>4.</w:t>
              </w:r>
              <w:r>
                <w:rPr>
                  <w:rFonts w:ascii="Calibri" w:cs="Calibri" w:eastAsia="Calibri" w:hAnsi="Calibri"/>
                  <w:sz w:val="16"/>
                  <w:szCs w:val="16"/>
                  <w:u w:val="single" w:color="auto"/>
                  <w:color w:val="0000FF"/>
                </w:rPr>
                <w:t>34)</w:t>
              </w:r>
              <w:r>
                <w:rPr>
                  <w:rFonts w:ascii="Calibri" w:cs="Calibri" w:eastAsia="Calibri" w:hAnsi="Calibri"/>
                  <w:sz w:val="16"/>
                  <w:szCs w:val="16"/>
                  <w:color w:val="0000FF"/>
                </w:rPr>
                <w:t>.</w:t>
              </w:r>
            </w:hyperlink>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4.36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9"/>
          </w:tcPr>
          <w:p>
            <w:pPr>
              <w:spacing w:after="0"/>
              <w:rPr>
                <w:rFonts w:ascii="Calibri" w:cs="Calibri" w:eastAsia="Calibri" w:hAnsi="Calibri"/>
                <w:sz w:val="18"/>
                <w:szCs w:val="18"/>
                <w:color w:val="0000FF"/>
              </w:rPr>
            </w:pPr>
            <w:hyperlink r:id="rId149">
              <w:r>
                <w:rPr>
                  <w:rFonts w:ascii="Calibri" w:cs="Calibri" w:eastAsia="Calibri" w:hAnsi="Calibri"/>
                  <w:sz w:val="18"/>
                  <w:szCs w:val="18"/>
                  <w:color w:val="0000FF"/>
                </w:rPr>
                <w:t>Form of 3.469% Senior Notes due 2034 (included in Exhibit</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03-31-2021</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2"/>
          </w:tcPr>
          <w:p>
            <w:pPr>
              <w:spacing w:after="0" w:line="156" w:lineRule="exact"/>
              <w:rPr>
                <w:rFonts w:ascii="Calibri" w:cs="Calibri" w:eastAsia="Calibri" w:hAnsi="Calibri"/>
                <w:sz w:val="16"/>
                <w:szCs w:val="16"/>
                <w:color w:val="0000FF"/>
              </w:rPr>
            </w:pPr>
            <w:hyperlink r:id="rId149">
              <w:r>
                <w:rPr>
                  <w:rFonts w:ascii="Calibri" w:cs="Calibri" w:eastAsia="Calibri" w:hAnsi="Calibri"/>
                  <w:sz w:val="16"/>
                  <w:szCs w:val="16"/>
                  <w:color w:val="0000FF"/>
                </w:rPr>
                <w:t>4.</w:t>
              </w:r>
              <w:r>
                <w:rPr>
                  <w:rFonts w:ascii="Calibri" w:cs="Calibri" w:eastAsia="Calibri" w:hAnsi="Calibri"/>
                  <w:sz w:val="16"/>
                  <w:szCs w:val="16"/>
                  <w:u w:val="single" w:color="auto"/>
                  <w:color w:val="0000FF"/>
                </w:rPr>
                <w:t>34)</w:t>
              </w:r>
              <w:r>
                <w:rPr>
                  <w:rFonts w:ascii="Calibri" w:cs="Calibri" w:eastAsia="Calibri" w:hAnsi="Calibri"/>
                  <w:sz w:val="16"/>
                  <w:szCs w:val="16"/>
                  <w:color w:val="0000FF"/>
                </w:rPr>
                <w:t>.</w:t>
              </w:r>
            </w:hyperlink>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4.37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9"/>
          </w:tcPr>
          <w:p>
            <w:pPr>
              <w:spacing w:after="0"/>
              <w:rPr>
                <w:rFonts w:ascii="Calibri" w:cs="Calibri" w:eastAsia="Calibri" w:hAnsi="Calibri"/>
                <w:sz w:val="18"/>
                <w:szCs w:val="18"/>
                <w:color w:val="0000FF"/>
              </w:rPr>
            </w:pPr>
            <w:hyperlink r:id="rId150">
              <w:r>
                <w:rPr>
                  <w:rFonts w:ascii="Calibri" w:cs="Calibri" w:eastAsia="Calibri" w:hAnsi="Calibri"/>
                  <w:sz w:val="18"/>
                  <w:szCs w:val="18"/>
                  <w:color w:val="0000FF"/>
                </w:rPr>
                <w:t>Registraton Rights Agreement, dated as of March 31, 2021,</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4.4</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03-31-2021</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11"/>
          </w:tcPr>
          <w:p>
            <w:pPr>
              <w:spacing w:after="0" w:line="156" w:lineRule="exact"/>
              <w:rPr>
                <w:rFonts w:ascii="Calibri" w:cs="Calibri" w:eastAsia="Calibri" w:hAnsi="Calibri"/>
                <w:sz w:val="16"/>
                <w:szCs w:val="16"/>
                <w:color w:val="0000FF"/>
              </w:rPr>
            </w:pPr>
            <w:hyperlink r:id="rId150">
              <w:r>
                <w:rPr>
                  <w:rFonts w:ascii="Calibri" w:cs="Calibri" w:eastAsia="Calibri" w:hAnsi="Calibri"/>
                  <w:sz w:val="16"/>
                  <w:szCs w:val="16"/>
                  <w:color w:val="0000FF"/>
                </w:rPr>
                <w:t>by and among the Company and BofA Securites, Inc. and</w:t>
              </w:r>
            </w:hyperlink>
          </w:p>
        </w:tc>
        <w:tc>
          <w:tcPr>
            <w:tcW w:w="1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29"/>
          </w:tcPr>
          <w:p>
            <w:pPr>
              <w:spacing w:after="0" w:line="169" w:lineRule="exact"/>
              <w:rPr>
                <w:rFonts w:ascii="Calibri" w:cs="Calibri" w:eastAsia="Calibri" w:hAnsi="Calibri"/>
                <w:sz w:val="18"/>
                <w:szCs w:val="18"/>
                <w:color w:val="0000FF"/>
              </w:rPr>
            </w:pPr>
            <w:hyperlink r:id="rId150">
              <w:r>
                <w:rPr>
                  <w:rFonts w:ascii="Calibri" w:cs="Calibri" w:eastAsia="Calibri" w:hAnsi="Calibri"/>
                  <w:sz w:val="18"/>
                  <w:szCs w:val="18"/>
                  <w:color w:val="0000FF"/>
                </w:rPr>
                <w:t>HSBC Securites (USA) Inc., as dealer-managers in connecton</w:t>
              </w:r>
            </w:hyperlink>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6"/>
          </w:tcPr>
          <w:p>
            <w:pPr>
              <w:spacing w:after="0" w:line="156" w:lineRule="exact"/>
              <w:rPr>
                <w:rFonts w:ascii="Calibri" w:cs="Calibri" w:eastAsia="Calibri" w:hAnsi="Calibri"/>
                <w:sz w:val="16"/>
                <w:szCs w:val="16"/>
                <w:color w:val="0000FF"/>
              </w:rPr>
            </w:pPr>
            <w:hyperlink r:id="rId150">
              <w:r>
                <w:rPr>
                  <w:rFonts w:ascii="Calibri" w:cs="Calibri" w:eastAsia="Calibri" w:hAnsi="Calibri"/>
                  <w:sz w:val="16"/>
                  <w:szCs w:val="16"/>
                  <w:color w:val="0000FF"/>
                </w:rPr>
                <w:t>with the March 2021 Exchange Ofer.</w:t>
              </w:r>
            </w:hyperlink>
          </w:p>
        </w:tc>
        <w:tc>
          <w:tcPr>
            <w:tcW w:w="174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4.38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9"/>
          </w:tcPr>
          <w:p>
            <w:pPr>
              <w:spacing w:after="0" w:line="209" w:lineRule="exact"/>
              <w:rPr>
                <w:rFonts w:ascii="Calibri" w:cs="Calibri" w:eastAsia="Calibri" w:hAnsi="Calibri"/>
                <w:sz w:val="18"/>
                <w:szCs w:val="18"/>
                <w:color w:val="0000FF"/>
              </w:rPr>
            </w:pPr>
            <w:hyperlink r:id="rId151">
              <w:r>
                <w:rPr>
                  <w:rFonts w:ascii="Calibri" w:cs="Calibri" w:eastAsia="Calibri" w:hAnsi="Calibri"/>
                  <w:sz w:val="18"/>
                  <w:szCs w:val="18"/>
                  <w:color w:val="0000FF"/>
                </w:rPr>
                <w:t>Indenture, dated as of September 30, 2021, by and between</w:t>
              </w:r>
            </w:hyperlink>
          </w:p>
        </w:tc>
        <w:tc>
          <w:tcPr>
            <w:tcW w:w="10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line="209" w:lineRule="exact"/>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09-30-2021</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22"/>
          </w:tcPr>
          <w:p>
            <w:pPr>
              <w:spacing w:after="0" w:line="156" w:lineRule="exact"/>
              <w:rPr>
                <w:rFonts w:ascii="Calibri" w:cs="Calibri" w:eastAsia="Calibri" w:hAnsi="Calibri"/>
                <w:sz w:val="16"/>
                <w:szCs w:val="16"/>
                <w:color w:val="0000FF"/>
              </w:rPr>
            </w:pPr>
            <w:hyperlink r:id="rId151">
              <w:r>
                <w:rPr>
                  <w:rFonts w:ascii="Calibri" w:cs="Calibri" w:eastAsia="Calibri" w:hAnsi="Calibri"/>
                  <w:sz w:val="16"/>
                  <w:szCs w:val="16"/>
                  <w:color w:val="0000FF"/>
                </w:rPr>
                <w:t>the Company and Wilmington Trust, Natonal Associaton, as</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0000FF"/>
            </w:tcBorders>
            <w:gridSpan w:val="3"/>
          </w:tcPr>
          <w:p>
            <w:pPr>
              <w:spacing w:after="0" w:line="169" w:lineRule="exact"/>
              <w:rPr>
                <w:rFonts w:ascii="Calibri" w:cs="Calibri" w:eastAsia="Calibri" w:hAnsi="Calibri"/>
                <w:sz w:val="18"/>
                <w:szCs w:val="18"/>
                <w:color w:val="0000FF"/>
                <w:w w:val="93"/>
              </w:rPr>
            </w:pPr>
            <w:hyperlink r:id="rId151">
              <w:r>
                <w:rPr>
                  <w:rFonts w:ascii="Calibri" w:cs="Calibri" w:eastAsia="Calibri" w:hAnsi="Calibri"/>
                  <w:sz w:val="18"/>
                  <w:szCs w:val="18"/>
                  <w:color w:val="0000FF"/>
                  <w:w w:val="93"/>
                </w:rPr>
                <w:t>Trustee.</w:t>
              </w:r>
            </w:hyperlink>
          </w:p>
        </w:tc>
        <w:tc>
          <w:tcPr>
            <w:tcW w:w="3760" w:type="dxa"/>
            <w:vAlign w:val="bottom"/>
            <w:gridSpan w:val="20"/>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4.39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9"/>
          </w:tcPr>
          <w:p>
            <w:pPr>
              <w:spacing w:after="0" w:line="209" w:lineRule="exact"/>
              <w:rPr>
                <w:rFonts w:ascii="Calibri" w:cs="Calibri" w:eastAsia="Calibri" w:hAnsi="Calibri"/>
                <w:sz w:val="18"/>
                <w:szCs w:val="18"/>
                <w:color w:val="0000FF"/>
              </w:rPr>
            </w:pPr>
            <w:hyperlink r:id="rId151">
              <w:r>
                <w:rPr>
                  <w:rFonts w:ascii="Calibri" w:cs="Calibri" w:eastAsia="Calibri" w:hAnsi="Calibri"/>
                  <w:sz w:val="18"/>
                  <w:szCs w:val="18"/>
                  <w:color w:val="0000FF"/>
                </w:rPr>
                <w:t>Form of 3.137% Senior Notes due 2035 (included in Exhibit</w:t>
              </w:r>
            </w:hyperlink>
          </w:p>
        </w:tc>
        <w:tc>
          <w:tcPr>
            <w:tcW w:w="10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line="209" w:lineRule="exact"/>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09-30-2021</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Calibri" w:cs="Calibri" w:eastAsia="Calibri" w:hAnsi="Calibri"/>
                <w:sz w:val="16"/>
                <w:szCs w:val="16"/>
                <w:color w:val="0000FF"/>
              </w:rPr>
            </w:pPr>
            <w:hyperlink r:id="rId151">
              <w:r>
                <w:rPr>
                  <w:rFonts w:ascii="Calibri" w:cs="Calibri" w:eastAsia="Calibri" w:hAnsi="Calibri"/>
                  <w:sz w:val="16"/>
                  <w:szCs w:val="16"/>
                  <w:color w:val="0000FF"/>
                </w:rPr>
                <w:t>4.</w:t>
              </w:r>
              <w:r>
                <w:rPr>
                  <w:rFonts w:ascii="Calibri" w:cs="Calibri" w:eastAsia="Calibri" w:hAnsi="Calibri"/>
                  <w:sz w:val="16"/>
                  <w:szCs w:val="16"/>
                  <w:u w:val="single" w:color="auto"/>
                  <w:color w:val="0000FF"/>
                </w:rPr>
                <w:t>38)</w:t>
              </w:r>
              <w:r>
                <w:rPr>
                  <w:rFonts w:ascii="Calibri" w:cs="Calibri" w:eastAsia="Calibri" w:hAnsi="Calibri"/>
                  <w:sz w:val="16"/>
                  <w:szCs w:val="16"/>
                  <w:color w:val="0000FF"/>
                </w:rPr>
                <w:t>.</w:t>
              </w:r>
            </w:hyperlink>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4.40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9"/>
          </w:tcPr>
          <w:p>
            <w:pPr>
              <w:spacing w:after="0"/>
              <w:rPr>
                <w:rFonts w:ascii="Calibri" w:cs="Calibri" w:eastAsia="Calibri" w:hAnsi="Calibri"/>
                <w:sz w:val="18"/>
                <w:szCs w:val="18"/>
                <w:color w:val="0000FF"/>
              </w:rPr>
            </w:pPr>
            <w:hyperlink r:id="rId151">
              <w:r>
                <w:rPr>
                  <w:rFonts w:ascii="Calibri" w:cs="Calibri" w:eastAsia="Calibri" w:hAnsi="Calibri"/>
                  <w:sz w:val="18"/>
                  <w:szCs w:val="18"/>
                  <w:color w:val="0000FF"/>
                </w:rPr>
                <w:t>Form of 3.187% Senior Notes due 2036 (included in Exhibit</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09-30-2021</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2"/>
          </w:tcPr>
          <w:p>
            <w:pPr>
              <w:spacing w:after="0" w:line="156" w:lineRule="exact"/>
              <w:rPr>
                <w:rFonts w:ascii="Calibri" w:cs="Calibri" w:eastAsia="Calibri" w:hAnsi="Calibri"/>
                <w:sz w:val="16"/>
                <w:szCs w:val="16"/>
                <w:color w:val="0000FF"/>
              </w:rPr>
            </w:pPr>
            <w:hyperlink r:id="rId151">
              <w:r>
                <w:rPr>
                  <w:rFonts w:ascii="Calibri" w:cs="Calibri" w:eastAsia="Calibri" w:hAnsi="Calibri"/>
                  <w:sz w:val="16"/>
                  <w:szCs w:val="16"/>
                  <w:color w:val="0000FF"/>
                </w:rPr>
                <w:t>4.</w:t>
              </w:r>
              <w:r>
                <w:rPr>
                  <w:rFonts w:ascii="Calibri" w:cs="Calibri" w:eastAsia="Calibri" w:hAnsi="Calibri"/>
                  <w:sz w:val="16"/>
                  <w:szCs w:val="16"/>
                  <w:u w:val="single" w:color="auto"/>
                  <w:color w:val="0000FF"/>
                </w:rPr>
                <w:t>38)</w:t>
              </w:r>
              <w:r>
                <w:rPr>
                  <w:rFonts w:ascii="Calibri" w:cs="Calibri" w:eastAsia="Calibri" w:hAnsi="Calibri"/>
                  <w:sz w:val="16"/>
                  <w:szCs w:val="16"/>
                  <w:color w:val="0000FF"/>
                </w:rPr>
                <w:t>.</w:t>
              </w:r>
            </w:hyperlink>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4.41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tcBorders>
              <w:bottom w:val="single" w:sz="8" w:color="0000FF"/>
            </w:tcBorders>
            <w:gridSpan w:val="14"/>
          </w:tcPr>
          <w:p>
            <w:pPr>
              <w:spacing w:after="0"/>
              <w:rPr>
                <w:rFonts w:ascii="Calibri" w:cs="Calibri" w:eastAsia="Calibri" w:hAnsi="Calibri"/>
                <w:sz w:val="18"/>
                <w:szCs w:val="18"/>
                <w:color w:val="0000FF"/>
                <w:w w:val="97"/>
              </w:rPr>
            </w:pPr>
            <w:hyperlink r:id="rId152">
              <w:r>
                <w:rPr>
                  <w:rFonts w:ascii="Calibri" w:cs="Calibri" w:eastAsia="Calibri" w:hAnsi="Calibri"/>
                  <w:sz w:val="18"/>
                  <w:szCs w:val="18"/>
                  <w:color w:val="0000FF"/>
                  <w:w w:val="97"/>
                </w:rPr>
                <w:t>Registraton Rights Agreement, dated as of September 30,</w:t>
              </w:r>
            </w:hyperlink>
          </w:p>
        </w:tc>
        <w:tc>
          <w:tcPr>
            <w:tcW w:w="420" w:type="dxa"/>
            <w:vAlign w:val="bottom"/>
            <w:gridSpan w:val="15"/>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4.4</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09-30-2021</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29"/>
          </w:tcPr>
          <w:p>
            <w:pPr>
              <w:spacing w:after="0" w:line="156" w:lineRule="exact"/>
              <w:rPr>
                <w:rFonts w:ascii="Calibri" w:cs="Calibri" w:eastAsia="Calibri" w:hAnsi="Calibri"/>
                <w:sz w:val="16"/>
                <w:szCs w:val="16"/>
                <w:color w:val="0000FF"/>
              </w:rPr>
            </w:pPr>
            <w:hyperlink r:id="rId152">
              <w:r>
                <w:rPr>
                  <w:rFonts w:ascii="Calibri" w:cs="Calibri" w:eastAsia="Calibri" w:hAnsi="Calibri"/>
                  <w:sz w:val="16"/>
                  <w:szCs w:val="16"/>
                  <w:color w:val="0000FF"/>
                </w:rPr>
                <w:t>2021, by and among the Company and BNP Paribas Securites</w:t>
              </w:r>
            </w:hyperlink>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tcBorders>
              <w:top w:val="single" w:sz="8" w:color="0000FF"/>
            </w:tcBorders>
            <w:gridSpan w:val="27"/>
          </w:tcPr>
          <w:p>
            <w:pPr>
              <w:spacing w:after="0" w:line="169" w:lineRule="exact"/>
              <w:rPr>
                <w:rFonts w:ascii="Calibri" w:cs="Calibri" w:eastAsia="Calibri" w:hAnsi="Calibri"/>
                <w:sz w:val="18"/>
                <w:szCs w:val="18"/>
                <w:color w:val="0000FF"/>
              </w:rPr>
            </w:pPr>
            <w:hyperlink r:id="rId152">
              <w:r>
                <w:rPr>
                  <w:rFonts w:ascii="Calibri" w:cs="Calibri" w:eastAsia="Calibri" w:hAnsi="Calibri"/>
                  <w:sz w:val="18"/>
                  <w:szCs w:val="18"/>
                  <w:color w:val="0000FF"/>
                </w:rPr>
                <w:t>Corp., J.P. Morgan Securites LLC and TD Securites (USA) LLC,</w:t>
              </w:r>
            </w:hyperlink>
          </w:p>
        </w:tc>
        <w:tc>
          <w:tcPr>
            <w:tcW w:w="14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24"/>
          </w:tcPr>
          <w:p>
            <w:pPr>
              <w:spacing w:after="0" w:line="156" w:lineRule="exact"/>
              <w:rPr>
                <w:rFonts w:ascii="Calibri" w:cs="Calibri" w:eastAsia="Calibri" w:hAnsi="Calibri"/>
                <w:sz w:val="16"/>
                <w:szCs w:val="16"/>
                <w:color w:val="0000FF"/>
              </w:rPr>
            </w:pPr>
            <w:hyperlink r:id="rId152">
              <w:r>
                <w:rPr>
                  <w:rFonts w:ascii="Calibri" w:cs="Calibri" w:eastAsia="Calibri" w:hAnsi="Calibri"/>
                  <w:sz w:val="16"/>
                  <w:szCs w:val="16"/>
                  <w:color w:val="0000FF"/>
                </w:rPr>
                <w:t>as dealer-mangers in connecton with the September 2021</w:t>
              </w:r>
            </w:hyperlink>
          </w:p>
        </w:tc>
        <w:tc>
          <w:tcPr>
            <w:tcW w:w="200" w:type="dxa"/>
            <w:vAlign w:val="bottom"/>
            <w:gridSpan w:val="5"/>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tcBorders>
            <w:gridSpan w:val="16"/>
          </w:tcPr>
          <w:p>
            <w:pPr>
              <w:spacing w:after="0" w:line="156" w:lineRule="exact"/>
              <w:rPr>
                <w:rFonts w:ascii="Calibri" w:cs="Calibri" w:eastAsia="Calibri" w:hAnsi="Calibri"/>
                <w:sz w:val="16"/>
                <w:szCs w:val="16"/>
                <w:color w:val="0000FF"/>
              </w:rPr>
            </w:pPr>
            <w:hyperlink r:id="rId152">
              <w:r>
                <w:rPr>
                  <w:rFonts w:ascii="Calibri" w:cs="Calibri" w:eastAsia="Calibri" w:hAnsi="Calibri"/>
                  <w:sz w:val="16"/>
                  <w:szCs w:val="16"/>
                  <w:color w:val="0000FF"/>
                </w:rPr>
                <w:t>exchange ofer.</w:t>
              </w:r>
            </w:hyperlink>
          </w:p>
        </w:tc>
        <w:tc>
          <w:tcPr>
            <w:tcW w:w="80" w:type="dxa"/>
            <w:vAlign w:val="bottom"/>
            <w:gridSpan w:val="3"/>
          </w:tcPr>
          <w:p>
            <w:pPr>
              <w:spacing w:after="0"/>
              <w:rPr>
                <w:sz w:val="13"/>
                <w:szCs w:val="13"/>
                <w:color w:val="auto"/>
              </w:rPr>
            </w:pPr>
          </w:p>
        </w:tc>
        <w:tc>
          <w:tcPr>
            <w:tcW w:w="300" w:type="dxa"/>
            <w:vAlign w:val="bottom"/>
            <w:gridSpan w:val="10"/>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4.42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9"/>
          </w:tcPr>
          <w:p>
            <w:pPr>
              <w:spacing w:after="0"/>
              <w:rPr>
                <w:rFonts w:ascii="Calibri" w:cs="Calibri" w:eastAsia="Calibri" w:hAnsi="Calibri"/>
                <w:sz w:val="18"/>
                <w:szCs w:val="18"/>
                <w:color w:val="0000FF"/>
              </w:rPr>
            </w:pPr>
            <w:hyperlink r:id="rId153">
              <w:r>
                <w:rPr>
                  <w:rFonts w:ascii="Calibri" w:cs="Calibri" w:eastAsia="Calibri" w:hAnsi="Calibri"/>
                  <w:sz w:val="18"/>
                  <w:szCs w:val="18"/>
                  <w:color w:val="0000FF"/>
                </w:rPr>
                <w:t>Indenture, dated April 14, 2022, between the Company and</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04-15-2022</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7"/>
          </w:tcPr>
          <w:p>
            <w:pPr>
              <w:spacing w:after="0" w:line="156" w:lineRule="exact"/>
              <w:rPr>
                <w:rFonts w:ascii="Calibri" w:cs="Calibri" w:eastAsia="Calibri" w:hAnsi="Calibri"/>
                <w:sz w:val="16"/>
                <w:szCs w:val="16"/>
                <w:color w:val="0000FF"/>
              </w:rPr>
            </w:pPr>
            <w:hyperlink r:id="rId153">
              <w:r>
                <w:rPr>
                  <w:rFonts w:ascii="Calibri" w:cs="Calibri" w:eastAsia="Calibri" w:hAnsi="Calibri"/>
                  <w:sz w:val="16"/>
                  <w:szCs w:val="16"/>
                  <w:color w:val="0000FF"/>
                </w:rPr>
                <w:t>Wilmington Trust, Natonal Associaton, as trustee.</w:t>
              </w:r>
            </w:hyperlink>
          </w:p>
        </w:tc>
        <w:tc>
          <w:tcPr>
            <w:tcW w:w="600" w:type="dxa"/>
            <w:vAlign w:val="bottom"/>
            <w:tcBorders>
              <w:top w:val="single" w:sz="8" w:color="0000FF"/>
            </w:tcBorders>
            <w:gridSpan w:val="12"/>
          </w:tcPr>
          <w:p>
            <w:pPr>
              <w:spacing w:after="0"/>
              <w:rPr>
                <w:sz w:val="13"/>
                <w:szCs w:val="13"/>
                <w:color w:val="auto"/>
              </w:rPr>
            </w:pPr>
          </w:p>
        </w:tc>
        <w:tc>
          <w:tcPr>
            <w:tcW w:w="300" w:type="dxa"/>
            <w:vAlign w:val="bottom"/>
            <w:gridSpan w:val="10"/>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4.43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9"/>
          </w:tcPr>
          <w:p>
            <w:pPr>
              <w:spacing w:after="0"/>
              <w:rPr>
                <w:rFonts w:ascii="Calibri" w:cs="Calibri" w:eastAsia="Calibri" w:hAnsi="Calibri"/>
                <w:sz w:val="18"/>
                <w:szCs w:val="18"/>
                <w:color w:val="0000FF"/>
              </w:rPr>
            </w:pPr>
            <w:hyperlink r:id="rId153">
              <w:r>
                <w:rPr>
                  <w:rFonts w:ascii="Calibri" w:cs="Calibri" w:eastAsia="Calibri" w:hAnsi="Calibri"/>
                  <w:sz w:val="18"/>
                  <w:szCs w:val="18"/>
                  <w:color w:val="0000FF"/>
                </w:rPr>
                <w:t>Form of 4.00% Senior Notes due 2029 (included in Exhibit</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04-15-2022</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Calibri" w:cs="Calibri" w:eastAsia="Calibri" w:hAnsi="Calibri"/>
                <w:sz w:val="16"/>
                <w:szCs w:val="16"/>
                <w:color w:val="0000FF"/>
              </w:rPr>
            </w:pPr>
            <w:hyperlink r:id="rId153">
              <w:r>
                <w:rPr>
                  <w:rFonts w:ascii="Calibri" w:cs="Calibri" w:eastAsia="Calibri" w:hAnsi="Calibri"/>
                  <w:sz w:val="16"/>
                  <w:szCs w:val="16"/>
                  <w:color w:val="0000FF"/>
                </w:rPr>
                <w:t>4.</w:t>
              </w:r>
              <w:r>
                <w:rPr>
                  <w:rFonts w:ascii="Calibri" w:cs="Calibri" w:eastAsia="Calibri" w:hAnsi="Calibri"/>
                  <w:sz w:val="16"/>
                  <w:szCs w:val="16"/>
                  <w:u w:val="single" w:color="auto"/>
                  <w:color w:val="0000FF"/>
                </w:rPr>
                <w:t>42)</w:t>
              </w:r>
              <w:r>
                <w:rPr>
                  <w:rFonts w:ascii="Calibri" w:cs="Calibri" w:eastAsia="Calibri" w:hAnsi="Calibri"/>
                  <w:sz w:val="16"/>
                  <w:szCs w:val="16"/>
                  <w:color w:val="0000FF"/>
                </w:rPr>
                <w:t>.</w:t>
              </w:r>
            </w:hyperlink>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8"/>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80" w:type="dxa"/>
            <w:vAlign w:val="bottom"/>
            <w:gridSpan w:val="30"/>
          </w:tcPr>
          <w:p>
            <w:pPr>
              <w:jc w:val="right"/>
              <w:ind w:right="20"/>
              <w:spacing w:after="0"/>
              <w:rPr>
                <w:sz w:val="20"/>
                <w:szCs w:val="20"/>
                <w:color w:val="auto"/>
              </w:rPr>
            </w:pPr>
            <w:r>
              <w:rPr>
                <w:rFonts w:ascii="Calibri" w:cs="Calibri" w:eastAsia="Calibri" w:hAnsi="Calibri"/>
                <w:sz w:val="18"/>
                <w:szCs w:val="18"/>
                <w:color w:val="auto"/>
              </w:rPr>
              <w:t>97</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Filed</w:t>
      </w:r>
    </w:p>
    <w:p>
      <w:pPr>
        <w:jc w:val="center"/>
        <w:spacing w:after="0" w:line="208" w:lineRule="auto"/>
        <w:rPr>
          <w:sz w:val="20"/>
          <w:szCs w:val="20"/>
          <w:color w:val="auto"/>
        </w:rPr>
      </w:pPr>
      <w:r>
        <w:rPr>
          <w:rFonts w:ascii="Calibri" w:cs="Calibri" w:eastAsia="Calibri" w:hAnsi="Calibri"/>
          <w:sz w:val="14"/>
          <w:szCs w:val="14"/>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21590</wp:posOffset>
            </wp:positionV>
            <wp:extent cx="5060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ectPr>
          <w:pgSz w:w="11900" w:h="16838" w:orient="portrait"/>
          <w:cols w:equalWidth="0" w:num="2">
            <w:col w:w="10340" w:space="240"/>
            <w:col w:w="540"/>
          </w:cols>
          <w:pgMar w:left="320" w:top="112" w:right="459" w:bottom="1440" w:gutter="0" w:footer="0" w:header="0"/>
        </w:sectPr>
      </w:pPr>
    </w:p>
    <w:bookmarkStart w:id="99" w:name="page100"/>
    <w:bookmarkEnd w:id="9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4"/>
          </w:tcPr>
          <w:p>
            <w:pPr>
              <w:ind w:left="460"/>
              <w:spacing w:after="0"/>
              <w:rPr>
                <w:sz w:val="20"/>
                <w:szCs w:val="20"/>
                <w:color w:val="auto"/>
              </w:rPr>
            </w:pPr>
            <w:r>
              <w:rPr>
                <w:rFonts w:ascii="Calibri" w:cs="Calibri" w:eastAsia="Calibri" w:hAnsi="Calibri"/>
                <w:sz w:val="14"/>
                <w:szCs w:val="14"/>
                <w:color w:val="auto"/>
              </w:rPr>
              <w:t>Incorporated by Reference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160" w:type="dxa"/>
            <w:vAlign w:val="bottom"/>
            <w:gridSpan w:val="2"/>
            <w:vMerge w:val="restart"/>
          </w:tcPr>
          <w:p>
            <w:pPr>
              <w:jc w:val="center"/>
              <w:ind w:right="280"/>
              <w:spacing w:after="0"/>
              <w:rPr>
                <w:sz w:val="20"/>
                <w:szCs w:val="20"/>
                <w:color w:val="auto"/>
              </w:rPr>
            </w:pPr>
            <w:r>
              <w:rPr>
                <w:rFonts w:ascii="Calibri" w:cs="Calibri" w:eastAsia="Calibri" w:hAnsi="Calibri"/>
                <w:sz w:val="14"/>
                <w:szCs w:val="14"/>
                <w:color w:val="auto"/>
              </w:rPr>
              <w:t>Exhibit</w:t>
            </w: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11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60" w:type="dxa"/>
            <w:vAlign w:val="bottom"/>
            <w:gridSpan w:val="24"/>
            <w:vMerge w:val="restart"/>
          </w:tcPr>
          <w:p>
            <w:pPr>
              <w:ind w:left="180"/>
              <w:spacing w:after="0"/>
              <w:rPr>
                <w:sz w:val="20"/>
                <w:szCs w:val="20"/>
                <w:color w:val="auto"/>
              </w:rPr>
            </w:pPr>
            <w:r>
              <w:rPr>
                <w:rFonts w:ascii="Calibri" w:cs="Calibri" w:eastAsia="Calibri" w:hAnsi="Calibri"/>
                <w:sz w:val="14"/>
                <w:szCs w:val="14"/>
                <w:color w:val="auto"/>
              </w:rPr>
              <w:t>Descripton</w:t>
            </w:r>
          </w:p>
        </w:tc>
        <w:tc>
          <w:tcPr>
            <w:tcW w:w="1060" w:type="dxa"/>
            <w:vAlign w:val="bottom"/>
            <w:gridSpan w:val="2"/>
            <w:vMerge w:val="restart"/>
          </w:tcPr>
          <w:p>
            <w:pPr>
              <w:ind w:left="320"/>
              <w:spacing w:after="0"/>
              <w:rPr>
                <w:sz w:val="20"/>
                <w:szCs w:val="20"/>
                <w:color w:val="auto"/>
              </w:rPr>
            </w:pPr>
            <w:r>
              <w:rPr>
                <w:rFonts w:ascii="Calibri" w:cs="Calibri" w:eastAsia="Calibri" w:hAnsi="Calibri"/>
                <w:sz w:val="14"/>
                <w:szCs w:val="14"/>
                <w:color w:val="auto"/>
              </w:rPr>
              <w:t>Form</w:t>
            </w:r>
          </w:p>
        </w:tc>
        <w:tc>
          <w:tcPr>
            <w:tcW w:w="1260" w:type="dxa"/>
            <w:vAlign w:val="bottom"/>
            <w:gridSpan w:val="2"/>
            <w:vMerge w:val="restart"/>
          </w:tcPr>
          <w:p>
            <w:pPr>
              <w:ind w:left="360"/>
              <w:spacing w:after="0"/>
              <w:rPr>
                <w:sz w:val="20"/>
                <w:szCs w:val="20"/>
                <w:color w:val="auto"/>
              </w:rPr>
            </w:pPr>
            <w:r>
              <w:rPr>
                <w:rFonts w:ascii="Calibri" w:cs="Calibri" w:eastAsia="Calibri" w:hAnsi="Calibri"/>
                <w:sz w:val="14"/>
                <w:szCs w:val="14"/>
                <w:color w:val="auto"/>
              </w:rPr>
              <w:t>File No.</w:t>
            </w:r>
          </w:p>
        </w:tc>
        <w:tc>
          <w:tcPr>
            <w:tcW w:w="1120" w:type="dxa"/>
            <w:vAlign w:val="bottom"/>
            <w:gridSpan w:val="2"/>
            <w:vMerge w:val="restart"/>
          </w:tcPr>
          <w:p>
            <w:pPr>
              <w:ind w:left="300"/>
              <w:spacing w:after="0"/>
              <w:rPr>
                <w:sz w:val="20"/>
                <w:szCs w:val="20"/>
                <w:color w:val="auto"/>
              </w:rPr>
            </w:pPr>
            <w:r>
              <w:rPr>
                <w:rFonts w:ascii="Calibri" w:cs="Calibri" w:eastAsia="Calibri" w:hAnsi="Calibri"/>
                <w:sz w:val="14"/>
                <w:szCs w:val="14"/>
                <w:color w:val="auto"/>
              </w:rPr>
              <w:t>Exhibit</w:t>
            </w:r>
          </w:p>
        </w:tc>
        <w:tc>
          <w:tcPr>
            <w:tcW w:w="1160" w:type="dxa"/>
            <w:vAlign w:val="bottom"/>
            <w:vMerge w:val="restart"/>
          </w:tcPr>
          <w:p>
            <w:pPr>
              <w:jc w:val="right"/>
              <w:ind w:right="191"/>
              <w:spacing w:after="0"/>
              <w:rPr>
                <w:sz w:val="20"/>
                <w:szCs w:val="20"/>
                <w:color w:val="auto"/>
              </w:rPr>
            </w:pPr>
            <w:r>
              <w:rPr>
                <w:rFonts w:ascii="Calibri" w:cs="Calibri" w:eastAsia="Calibri" w:hAnsi="Calibri"/>
                <w:sz w:val="14"/>
                <w:szCs w:val="14"/>
                <w:color w:val="auto"/>
              </w:rPr>
              <w:t>Filing Date</w:t>
            </w:r>
          </w:p>
        </w:tc>
        <w:tc>
          <w:tcPr>
            <w:tcW w:w="0" w:type="dxa"/>
            <w:vAlign w:val="bottom"/>
          </w:tcPr>
          <w:p>
            <w:pPr>
              <w:spacing w:after="0"/>
              <w:rPr>
                <w:sz w:val="1"/>
                <w:szCs w:val="1"/>
                <w:color w:val="auto"/>
              </w:rPr>
            </w:pPr>
          </w:p>
        </w:tc>
      </w:tr>
      <w:tr>
        <w:trPr>
          <w:trHeight w:val="170"/>
        </w:trPr>
        <w:tc>
          <w:tcPr>
            <w:tcW w:w="1160" w:type="dxa"/>
            <w:vAlign w:val="bottom"/>
            <w:gridSpan w:val="2"/>
          </w:tcPr>
          <w:p>
            <w:pPr>
              <w:jc w:val="center"/>
              <w:ind w:right="280"/>
              <w:spacing w:after="0"/>
              <w:rPr>
                <w:sz w:val="20"/>
                <w:szCs w:val="20"/>
                <w:color w:val="auto"/>
              </w:rPr>
            </w:pPr>
            <w:r>
              <w:rPr>
                <w:rFonts w:ascii="Calibri" w:cs="Calibri" w:eastAsia="Calibri" w:hAnsi="Calibri"/>
                <w:sz w:val="14"/>
                <w:szCs w:val="14"/>
                <w:color w:val="auto"/>
              </w:rPr>
              <w:t>Number</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60" w:type="dxa"/>
            <w:vAlign w:val="bottom"/>
            <w:gridSpan w:val="24"/>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60" w:type="dxa"/>
            <w:vAlign w:val="bottom"/>
          </w:tcPr>
          <w:p>
            <w:pPr>
              <w:jc w:val="right"/>
              <w:spacing w:after="0" w:line="169" w:lineRule="exact"/>
              <w:rPr>
                <w:sz w:val="20"/>
                <w:szCs w:val="20"/>
                <w:color w:val="auto"/>
              </w:rPr>
            </w:pPr>
            <w:r>
              <w:rPr>
                <w:rFonts w:ascii="Calibri" w:cs="Calibri" w:eastAsia="Calibri" w:hAnsi="Calibri"/>
                <w:sz w:val="18"/>
                <w:szCs w:val="18"/>
                <w:color w:val="auto"/>
              </w:rPr>
              <w:t>4.44</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40" w:type="dxa"/>
            <w:vAlign w:val="bottom"/>
            <w:gridSpan w:val="30"/>
          </w:tcPr>
          <w:p>
            <w:pPr>
              <w:spacing w:after="0" w:line="169" w:lineRule="exact"/>
              <w:rPr>
                <w:rFonts w:ascii="Calibri" w:cs="Calibri" w:eastAsia="Calibri" w:hAnsi="Calibri"/>
                <w:sz w:val="18"/>
                <w:szCs w:val="18"/>
                <w:color w:val="0000FF"/>
              </w:rPr>
            </w:pPr>
            <w:hyperlink r:id="rId153">
              <w:r>
                <w:rPr>
                  <w:rFonts w:ascii="Calibri" w:cs="Calibri" w:eastAsia="Calibri" w:hAnsi="Calibri"/>
                  <w:sz w:val="18"/>
                  <w:szCs w:val="18"/>
                  <w:color w:val="0000FF"/>
                </w:rPr>
                <w:t>Form of 4.15% Senior Notes due 2032 (included in Exhibit</w:t>
              </w:r>
            </w:hyperlink>
          </w:p>
        </w:tc>
        <w:tc>
          <w:tcPr>
            <w:tcW w:w="120" w:type="dxa"/>
            <w:vAlign w:val="bottom"/>
          </w:tcPr>
          <w:p>
            <w:pPr>
              <w:spacing w:after="0"/>
              <w:rPr>
                <w:sz w:val="14"/>
                <w:szCs w:val="14"/>
                <w:color w:val="auto"/>
              </w:rPr>
            </w:pPr>
          </w:p>
        </w:tc>
        <w:tc>
          <w:tcPr>
            <w:tcW w:w="960" w:type="dxa"/>
            <w:vAlign w:val="bottom"/>
          </w:tcPr>
          <w:p>
            <w:pPr>
              <w:ind w:left="20"/>
              <w:spacing w:after="0" w:line="169" w:lineRule="exact"/>
              <w:rPr>
                <w:sz w:val="20"/>
                <w:szCs w:val="20"/>
                <w:color w:val="auto"/>
              </w:rPr>
            </w:pPr>
            <w:r>
              <w:rPr>
                <w:rFonts w:ascii="Calibri" w:cs="Calibri" w:eastAsia="Calibri" w:hAnsi="Calibri"/>
                <w:sz w:val="18"/>
                <w:szCs w:val="18"/>
                <w:color w:val="auto"/>
              </w:rPr>
              <w:t>8-K</w:t>
            </w:r>
          </w:p>
        </w:tc>
        <w:tc>
          <w:tcPr>
            <w:tcW w:w="100" w:type="dxa"/>
            <w:vAlign w:val="bottom"/>
          </w:tcPr>
          <w:p>
            <w:pPr>
              <w:spacing w:after="0"/>
              <w:rPr>
                <w:sz w:val="14"/>
                <w:szCs w:val="14"/>
                <w:color w:val="auto"/>
              </w:rPr>
            </w:pPr>
          </w:p>
        </w:tc>
        <w:tc>
          <w:tcPr>
            <w:tcW w:w="1180" w:type="dxa"/>
            <w:vAlign w:val="bottom"/>
          </w:tcPr>
          <w:p>
            <w:pPr>
              <w:jc w:val="right"/>
              <w:ind w:right="312"/>
              <w:spacing w:after="0" w:line="169" w:lineRule="exact"/>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4"/>
                <w:szCs w:val="14"/>
                <w:color w:val="auto"/>
              </w:rPr>
            </w:pPr>
          </w:p>
        </w:tc>
        <w:tc>
          <w:tcPr>
            <w:tcW w:w="1160" w:type="dxa"/>
            <w:vAlign w:val="bottom"/>
          </w:tcPr>
          <w:p>
            <w:pPr>
              <w:jc w:val="right"/>
              <w:ind w:right="231"/>
              <w:spacing w:after="0" w:line="169" w:lineRule="exact"/>
              <w:rPr>
                <w:sz w:val="20"/>
                <w:szCs w:val="20"/>
                <w:color w:val="auto"/>
              </w:rPr>
            </w:pPr>
            <w:r>
              <w:rPr>
                <w:rFonts w:ascii="Calibri" w:cs="Calibri" w:eastAsia="Calibri" w:hAnsi="Calibri"/>
                <w:sz w:val="18"/>
                <w:szCs w:val="18"/>
                <w:color w:val="auto"/>
                <w:w w:val="97"/>
              </w:rPr>
              <w:t>04-15-2022</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3"/>
          </w:tcPr>
          <w:p>
            <w:pPr>
              <w:spacing w:after="0" w:line="156" w:lineRule="exact"/>
              <w:rPr>
                <w:rFonts w:ascii="Calibri" w:cs="Calibri" w:eastAsia="Calibri" w:hAnsi="Calibri"/>
                <w:sz w:val="16"/>
                <w:szCs w:val="16"/>
                <w:color w:val="0000FF"/>
              </w:rPr>
            </w:pPr>
            <w:hyperlink r:id="rId153">
              <w:r>
                <w:rPr>
                  <w:rFonts w:ascii="Calibri" w:cs="Calibri" w:eastAsia="Calibri" w:hAnsi="Calibri"/>
                  <w:sz w:val="16"/>
                  <w:szCs w:val="16"/>
                  <w:color w:val="0000FF"/>
                </w:rPr>
                <w:t>4.</w:t>
              </w:r>
              <w:r>
                <w:rPr>
                  <w:rFonts w:ascii="Calibri" w:cs="Calibri" w:eastAsia="Calibri" w:hAnsi="Calibri"/>
                  <w:sz w:val="16"/>
                  <w:szCs w:val="16"/>
                  <w:u w:val="single" w:color="auto"/>
                  <w:color w:val="0000FF"/>
                </w:rPr>
                <w:t>42)</w:t>
              </w:r>
              <w:r>
                <w:rPr>
                  <w:rFonts w:ascii="Calibri" w:cs="Calibri" w:eastAsia="Calibri" w:hAnsi="Calibri"/>
                  <w:sz w:val="16"/>
                  <w:szCs w:val="16"/>
                  <w:color w:val="0000FF"/>
                </w:rPr>
                <w:t>.</w:t>
              </w:r>
            </w:hyperlink>
          </w:p>
        </w:tc>
        <w:tc>
          <w:tcPr>
            <w:tcW w:w="1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4.45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1"/>
          </w:tcPr>
          <w:p>
            <w:pPr>
              <w:spacing w:after="0"/>
              <w:rPr>
                <w:rFonts w:ascii="Calibri" w:cs="Calibri" w:eastAsia="Calibri" w:hAnsi="Calibri"/>
                <w:sz w:val="18"/>
                <w:szCs w:val="18"/>
                <w:color w:val="0000FF"/>
              </w:rPr>
            </w:pPr>
            <w:hyperlink r:id="rId156">
              <w:r>
                <w:rPr>
                  <w:rFonts w:ascii="Calibri" w:cs="Calibri" w:eastAsia="Calibri" w:hAnsi="Calibri"/>
                  <w:sz w:val="18"/>
                  <w:szCs w:val="18"/>
                  <w:color w:val="0000FF"/>
                </w:rPr>
                <w:t>Registraton Rights Agreement, dated as of April 14, 2022,</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4.4</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04-15-2022</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tcBorders>
            <w:gridSpan w:val="17"/>
          </w:tcPr>
          <w:p>
            <w:pPr>
              <w:spacing w:after="0" w:line="156" w:lineRule="exact"/>
              <w:rPr>
                <w:rFonts w:ascii="Calibri" w:cs="Calibri" w:eastAsia="Calibri" w:hAnsi="Calibri"/>
                <w:sz w:val="16"/>
                <w:szCs w:val="16"/>
                <w:color w:val="0000FF"/>
              </w:rPr>
            </w:pPr>
            <w:hyperlink r:id="rId156">
              <w:r>
                <w:rPr>
                  <w:rFonts w:ascii="Calibri" w:cs="Calibri" w:eastAsia="Calibri" w:hAnsi="Calibri"/>
                  <w:sz w:val="16"/>
                  <w:szCs w:val="16"/>
                  <w:color w:val="0000FF"/>
                </w:rPr>
                <w:t>between the Company and BofA Securites, Inc., HSBC</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40" w:type="dxa"/>
            <w:vAlign w:val="bottom"/>
            <w:tcBorders>
              <w:top w:val="single" w:sz="8" w:color="0000FF"/>
            </w:tcBorders>
            <w:gridSpan w:val="11"/>
          </w:tcPr>
          <w:p>
            <w:pPr>
              <w:spacing w:after="0" w:line="169" w:lineRule="exact"/>
              <w:rPr>
                <w:rFonts w:ascii="Calibri" w:cs="Calibri" w:eastAsia="Calibri" w:hAnsi="Calibri"/>
                <w:sz w:val="18"/>
                <w:szCs w:val="18"/>
                <w:color w:val="0000FF"/>
                <w:w w:val="98"/>
              </w:rPr>
            </w:pPr>
            <w:hyperlink r:id="rId156">
              <w:r>
                <w:rPr>
                  <w:rFonts w:ascii="Calibri" w:cs="Calibri" w:eastAsia="Calibri" w:hAnsi="Calibri"/>
                  <w:sz w:val="18"/>
                  <w:szCs w:val="18"/>
                  <w:color w:val="0000FF"/>
                  <w:w w:val="98"/>
                </w:rPr>
                <w:t>Securites (USA) Inc., and RBC Capital Markets, LLC, as</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tcBorders>
            <w:gridSpan w:val="10"/>
          </w:tcPr>
          <w:p>
            <w:pPr>
              <w:spacing w:after="0" w:line="156" w:lineRule="exact"/>
              <w:rPr>
                <w:rFonts w:ascii="Calibri" w:cs="Calibri" w:eastAsia="Calibri" w:hAnsi="Calibri"/>
                <w:sz w:val="16"/>
                <w:szCs w:val="16"/>
                <w:color w:val="0000FF"/>
              </w:rPr>
            </w:pPr>
            <w:hyperlink r:id="rId156">
              <w:r>
                <w:rPr>
                  <w:rFonts w:ascii="Calibri" w:cs="Calibri" w:eastAsia="Calibri" w:hAnsi="Calibri"/>
                  <w:sz w:val="16"/>
                  <w:szCs w:val="16"/>
                  <w:color w:val="0000FF"/>
                </w:rPr>
                <w:t>representatves of the several inital purchasers of the</w:t>
              </w:r>
            </w:hyperlink>
          </w:p>
        </w:tc>
        <w:tc>
          <w:tcPr>
            <w:tcW w:w="740" w:type="dxa"/>
            <w:vAlign w:val="bottom"/>
            <w:gridSpan w:val="21"/>
          </w:tcPr>
          <w:p>
            <w:pPr>
              <w:ind w:left="40"/>
              <w:spacing w:after="0" w:line="156" w:lineRule="exact"/>
              <w:rPr>
                <w:rFonts w:ascii="Calibri" w:cs="Calibri" w:eastAsia="Calibri" w:hAnsi="Calibri"/>
                <w:sz w:val="16"/>
                <w:szCs w:val="16"/>
                <w:color w:val="0000FF"/>
              </w:rPr>
            </w:pPr>
            <w:hyperlink r:id="rId156">
              <w:r>
                <w:rPr>
                  <w:rFonts w:ascii="Calibri" w:cs="Calibri" w:eastAsia="Calibri" w:hAnsi="Calibri"/>
                  <w:sz w:val="16"/>
                  <w:szCs w:val="16"/>
                  <w:color w:val="0000FF"/>
                </w:rPr>
                <w:t>April</w:t>
              </w:r>
            </w:hyperlink>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21"/>
          </w:tcPr>
          <w:p>
            <w:pPr>
              <w:spacing w:after="0" w:line="156" w:lineRule="exact"/>
              <w:rPr>
                <w:rFonts w:ascii="Calibri" w:cs="Calibri" w:eastAsia="Calibri" w:hAnsi="Calibri"/>
                <w:sz w:val="16"/>
                <w:szCs w:val="16"/>
                <w:color w:val="0000FF"/>
              </w:rPr>
            </w:pPr>
            <w:hyperlink r:id="rId156">
              <w:r>
                <w:rPr>
                  <w:rFonts w:ascii="Calibri" w:cs="Calibri" w:eastAsia="Calibri" w:hAnsi="Calibri"/>
                  <w:sz w:val="16"/>
                  <w:szCs w:val="16"/>
                  <w:color w:val="0000FF"/>
                </w:rPr>
                <w:t>2022 Senior Notes.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4.46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1"/>
          </w:tcPr>
          <w:p>
            <w:pPr>
              <w:spacing w:after="0"/>
              <w:rPr>
                <w:rFonts w:ascii="Calibri" w:cs="Calibri" w:eastAsia="Calibri" w:hAnsi="Calibri"/>
                <w:sz w:val="18"/>
                <w:szCs w:val="18"/>
                <w:color w:val="0000FF"/>
              </w:rPr>
            </w:pPr>
            <w:hyperlink r:id="rId157">
              <w:r>
                <w:rPr>
                  <w:rFonts w:ascii="Calibri" w:cs="Calibri" w:eastAsia="Calibri" w:hAnsi="Calibri"/>
                  <w:sz w:val="18"/>
                  <w:szCs w:val="18"/>
                  <w:color w:val="0000FF"/>
                </w:rPr>
                <w:t>Indenture, dated April 18, 2022, between the Company and</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04-18-2022</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9"/>
          </w:tcPr>
          <w:p>
            <w:pPr>
              <w:spacing w:after="0" w:line="156" w:lineRule="exact"/>
              <w:rPr>
                <w:rFonts w:ascii="Calibri" w:cs="Calibri" w:eastAsia="Calibri" w:hAnsi="Calibri"/>
                <w:sz w:val="16"/>
                <w:szCs w:val="16"/>
                <w:color w:val="0000FF"/>
              </w:rPr>
            </w:pPr>
            <w:hyperlink r:id="rId157">
              <w:r>
                <w:rPr>
                  <w:rFonts w:ascii="Calibri" w:cs="Calibri" w:eastAsia="Calibri" w:hAnsi="Calibri"/>
                  <w:sz w:val="16"/>
                  <w:szCs w:val="16"/>
                  <w:color w:val="0000FF"/>
                </w:rPr>
                <w:t>Wilmington Trust, Natonal Associaton, as trustee.</w:t>
              </w:r>
            </w:hyperlink>
          </w:p>
        </w:tc>
        <w:tc>
          <w:tcPr>
            <w:tcW w:w="68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4.47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1"/>
          </w:tcPr>
          <w:p>
            <w:pPr>
              <w:spacing w:after="0"/>
              <w:rPr>
                <w:rFonts w:ascii="Calibri" w:cs="Calibri" w:eastAsia="Calibri" w:hAnsi="Calibri"/>
                <w:sz w:val="18"/>
                <w:szCs w:val="18"/>
                <w:color w:val="0000FF"/>
              </w:rPr>
            </w:pPr>
            <w:hyperlink r:id="rId157">
              <w:r>
                <w:rPr>
                  <w:rFonts w:ascii="Calibri" w:cs="Calibri" w:eastAsia="Calibri" w:hAnsi="Calibri"/>
                  <w:sz w:val="18"/>
                  <w:szCs w:val="18"/>
                  <w:color w:val="0000FF"/>
                </w:rPr>
                <w:t>Form of 4.926% Senior Notes due 2037 (included in Exhibit</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04-18-2022</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3"/>
          </w:tcPr>
          <w:p>
            <w:pPr>
              <w:spacing w:after="0" w:line="156" w:lineRule="exact"/>
              <w:rPr>
                <w:rFonts w:ascii="Calibri" w:cs="Calibri" w:eastAsia="Calibri" w:hAnsi="Calibri"/>
                <w:sz w:val="16"/>
                <w:szCs w:val="16"/>
                <w:color w:val="0000FF"/>
              </w:rPr>
            </w:pPr>
            <w:hyperlink r:id="rId157">
              <w:r>
                <w:rPr>
                  <w:rFonts w:ascii="Calibri" w:cs="Calibri" w:eastAsia="Calibri" w:hAnsi="Calibri"/>
                  <w:sz w:val="16"/>
                  <w:szCs w:val="16"/>
                  <w:color w:val="0000FF"/>
                </w:rPr>
                <w:t>4.</w:t>
              </w:r>
              <w:r>
                <w:rPr>
                  <w:rFonts w:ascii="Calibri" w:cs="Calibri" w:eastAsia="Calibri" w:hAnsi="Calibri"/>
                  <w:sz w:val="16"/>
                  <w:szCs w:val="16"/>
                  <w:u w:val="single" w:color="auto"/>
                  <w:color w:val="0000FF"/>
                </w:rPr>
                <w:t>46)</w:t>
              </w:r>
              <w:r>
                <w:rPr>
                  <w:rFonts w:ascii="Calibri" w:cs="Calibri" w:eastAsia="Calibri" w:hAnsi="Calibri"/>
                  <w:sz w:val="16"/>
                  <w:szCs w:val="16"/>
                  <w:color w:val="0000FF"/>
                </w:rPr>
                <w:t>.</w:t>
              </w:r>
            </w:hyperlink>
          </w:p>
        </w:tc>
        <w:tc>
          <w:tcPr>
            <w:tcW w:w="1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4.48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1"/>
          </w:tcPr>
          <w:p>
            <w:pPr>
              <w:spacing w:after="0"/>
              <w:rPr>
                <w:rFonts w:ascii="Calibri" w:cs="Calibri" w:eastAsia="Calibri" w:hAnsi="Calibri"/>
                <w:sz w:val="18"/>
                <w:szCs w:val="18"/>
                <w:color w:val="0000FF"/>
              </w:rPr>
            </w:pPr>
            <w:hyperlink r:id="rId158">
              <w:r>
                <w:rPr>
                  <w:rFonts w:ascii="Calibri" w:cs="Calibri" w:eastAsia="Calibri" w:hAnsi="Calibri"/>
                  <w:sz w:val="18"/>
                  <w:szCs w:val="18"/>
                  <w:color w:val="0000FF"/>
                </w:rPr>
                <w:t>Registraton Rights Agreement, dated April 18, 2022, between</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4.3</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04-18-2022</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28"/>
          </w:tcPr>
          <w:p>
            <w:pPr>
              <w:spacing w:after="0" w:line="156" w:lineRule="exact"/>
              <w:rPr>
                <w:rFonts w:ascii="Calibri" w:cs="Calibri" w:eastAsia="Calibri" w:hAnsi="Calibri"/>
                <w:sz w:val="16"/>
                <w:szCs w:val="16"/>
                <w:color w:val="0000FF"/>
              </w:rPr>
            </w:pPr>
            <w:hyperlink r:id="rId158">
              <w:r>
                <w:rPr>
                  <w:rFonts w:ascii="Calibri" w:cs="Calibri" w:eastAsia="Calibri" w:hAnsi="Calibri"/>
                  <w:sz w:val="16"/>
                  <w:szCs w:val="16"/>
                  <w:color w:val="0000FF"/>
                </w:rPr>
                <w:t>the Company and Barclays Capital Inc., BBVA Securites Inc.,</w:t>
              </w:r>
            </w:hyperlink>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tcBorders>
              <w:top w:val="single" w:sz="8" w:color="0000FF"/>
            </w:tcBorders>
            <w:gridSpan w:val="22"/>
          </w:tcPr>
          <w:p>
            <w:pPr>
              <w:spacing w:after="0" w:line="169" w:lineRule="exact"/>
              <w:rPr>
                <w:rFonts w:ascii="Calibri" w:cs="Calibri" w:eastAsia="Calibri" w:hAnsi="Calibri"/>
                <w:sz w:val="18"/>
                <w:szCs w:val="18"/>
                <w:color w:val="0000FF"/>
                <w:w w:val="98"/>
              </w:rPr>
            </w:pPr>
            <w:hyperlink r:id="rId158">
              <w:r>
                <w:rPr>
                  <w:rFonts w:ascii="Calibri" w:cs="Calibri" w:eastAsia="Calibri" w:hAnsi="Calibri"/>
                  <w:sz w:val="18"/>
                  <w:szCs w:val="18"/>
                  <w:color w:val="0000FF"/>
                  <w:w w:val="98"/>
                </w:rPr>
                <w:t>BNP Paribas Securites Corp. and J.P. Morgan Securites LLC,</w:t>
              </w:r>
            </w:hyperlink>
          </w:p>
        </w:tc>
        <w:tc>
          <w:tcPr>
            <w:tcW w:w="20" w:type="dxa"/>
            <w:vAlign w:val="bottom"/>
          </w:tcPr>
          <w:p>
            <w:pPr>
              <w:spacing w:after="0"/>
              <w:rPr>
                <w:sz w:val="14"/>
                <w:szCs w:val="14"/>
                <w:color w:val="auto"/>
              </w:rPr>
            </w:pPr>
          </w:p>
        </w:tc>
        <w:tc>
          <w:tcPr>
            <w:tcW w:w="300" w:type="dxa"/>
            <w:vAlign w:val="bottom"/>
            <w:gridSpan w:val="8"/>
          </w:tcPr>
          <w:p>
            <w:pPr>
              <w:spacing w:after="0" w:line="169" w:lineRule="exact"/>
              <w:rPr>
                <w:rFonts w:ascii="Calibri" w:cs="Calibri" w:eastAsia="Calibri" w:hAnsi="Calibri"/>
                <w:sz w:val="18"/>
                <w:szCs w:val="18"/>
                <w:color w:val="0000FF"/>
              </w:rPr>
            </w:pPr>
            <w:hyperlink r:id="rId158">
              <w:r>
                <w:rPr>
                  <w:rFonts w:ascii="Calibri" w:cs="Calibri" w:eastAsia="Calibri" w:hAnsi="Calibri"/>
                  <w:sz w:val="18"/>
                  <w:szCs w:val="18"/>
                  <w:color w:val="0000FF"/>
                </w:rPr>
                <w:t>as</w:t>
              </w:r>
            </w:hyperlink>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tcBorders>
            <w:gridSpan w:val="29"/>
          </w:tcPr>
          <w:p>
            <w:pPr>
              <w:spacing w:after="0" w:line="156" w:lineRule="exact"/>
              <w:rPr>
                <w:rFonts w:ascii="Calibri" w:cs="Calibri" w:eastAsia="Calibri" w:hAnsi="Calibri"/>
                <w:sz w:val="16"/>
                <w:szCs w:val="16"/>
                <w:color w:val="0000FF"/>
              </w:rPr>
            </w:pPr>
            <w:hyperlink r:id="rId158">
              <w:r>
                <w:rPr>
                  <w:rFonts w:ascii="Calibri" w:cs="Calibri" w:eastAsia="Calibri" w:hAnsi="Calibri"/>
                  <w:sz w:val="16"/>
                  <w:szCs w:val="16"/>
                  <w:color w:val="0000FF"/>
                </w:rPr>
                <w:t>dealer-managers in connecton with the April 2022 Exchange</w:t>
              </w:r>
            </w:hyperlink>
          </w:p>
        </w:tc>
        <w:tc>
          <w:tcPr>
            <w:tcW w:w="14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Calibri" w:cs="Calibri" w:eastAsia="Calibri" w:hAnsi="Calibri"/>
                <w:sz w:val="16"/>
                <w:szCs w:val="16"/>
                <w:color w:val="0000FF"/>
              </w:rPr>
            </w:pPr>
            <w:hyperlink r:id="rId158">
              <w:r>
                <w:rPr>
                  <w:rFonts w:ascii="Calibri" w:cs="Calibri" w:eastAsia="Calibri" w:hAnsi="Calibri"/>
                  <w:sz w:val="16"/>
                  <w:szCs w:val="16"/>
                  <w:color w:val="0000FF"/>
                </w:rPr>
                <w:t>Ofer.</w:t>
              </w:r>
            </w:hyperlink>
          </w:p>
        </w:tc>
        <w:tc>
          <w:tcPr>
            <w:tcW w:w="392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4.49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1"/>
          </w:tcPr>
          <w:p>
            <w:pPr>
              <w:spacing w:after="0"/>
              <w:rPr>
                <w:rFonts w:ascii="Calibri" w:cs="Calibri" w:eastAsia="Calibri" w:hAnsi="Calibri"/>
                <w:sz w:val="18"/>
                <w:szCs w:val="18"/>
                <w:color w:val="0000FF"/>
              </w:rPr>
            </w:pPr>
            <w:hyperlink r:id="rId159">
              <w:r>
                <w:rPr>
                  <w:rFonts w:ascii="Calibri" w:cs="Calibri" w:eastAsia="Calibri" w:hAnsi="Calibri"/>
                  <w:sz w:val="18"/>
                  <w:szCs w:val="18"/>
                  <w:color w:val="0000FF"/>
                </w:rPr>
                <w:t>Indenture, dated July 12, 2024, between the Company and</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07-12-2024</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9"/>
          </w:tcPr>
          <w:p>
            <w:pPr>
              <w:spacing w:after="0" w:line="156" w:lineRule="exact"/>
              <w:rPr>
                <w:rFonts w:ascii="Calibri" w:cs="Calibri" w:eastAsia="Calibri" w:hAnsi="Calibri"/>
                <w:sz w:val="16"/>
                <w:szCs w:val="16"/>
                <w:color w:val="0000FF"/>
              </w:rPr>
            </w:pPr>
            <w:hyperlink r:id="rId159">
              <w:r>
                <w:rPr>
                  <w:rFonts w:ascii="Calibri" w:cs="Calibri" w:eastAsia="Calibri" w:hAnsi="Calibri"/>
                  <w:sz w:val="16"/>
                  <w:szCs w:val="16"/>
                  <w:color w:val="0000FF"/>
                </w:rPr>
                <w:t>Wilmington Trust, Natonal Associaton, as trustee.</w:t>
              </w:r>
            </w:hyperlink>
          </w:p>
        </w:tc>
        <w:tc>
          <w:tcPr>
            <w:tcW w:w="5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4"/>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4.50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1"/>
          </w:tcPr>
          <w:p>
            <w:pPr>
              <w:spacing w:after="0"/>
              <w:rPr>
                <w:rFonts w:ascii="Calibri" w:cs="Calibri" w:eastAsia="Calibri" w:hAnsi="Calibri"/>
                <w:sz w:val="18"/>
                <w:szCs w:val="18"/>
                <w:color w:val="0000FF"/>
              </w:rPr>
            </w:pPr>
            <w:hyperlink r:id="rId160">
              <w:r>
                <w:rPr>
                  <w:rFonts w:ascii="Calibri" w:cs="Calibri" w:eastAsia="Calibri" w:hAnsi="Calibri"/>
                  <w:sz w:val="18"/>
                  <w:szCs w:val="18"/>
                  <w:color w:val="0000FF"/>
                </w:rPr>
                <w:t>Supplemental Indenture No. 1, dated July 12, 2024, between</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4.2</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07-12-2024</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27"/>
          </w:tcPr>
          <w:p>
            <w:pPr>
              <w:spacing w:after="0" w:line="156" w:lineRule="exact"/>
              <w:rPr>
                <w:rFonts w:ascii="Calibri" w:cs="Calibri" w:eastAsia="Calibri" w:hAnsi="Calibri"/>
                <w:sz w:val="16"/>
                <w:szCs w:val="16"/>
                <w:color w:val="0000FF"/>
              </w:rPr>
            </w:pPr>
            <w:hyperlink r:id="rId160">
              <w:r>
                <w:rPr>
                  <w:rFonts w:ascii="Calibri" w:cs="Calibri" w:eastAsia="Calibri" w:hAnsi="Calibri"/>
                  <w:sz w:val="16"/>
                  <w:szCs w:val="16"/>
                  <w:color w:val="0000FF"/>
                </w:rPr>
                <w:t>the Company and Wilmington Trust, Natonal Associaton, as</w:t>
              </w:r>
            </w:hyperlink>
          </w:p>
        </w:tc>
        <w:tc>
          <w:tcPr>
            <w:tcW w:w="220" w:type="dxa"/>
            <w:vAlign w:val="bottom"/>
            <w:gridSpan w:val="4"/>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tcBorders>
              <w:top w:val="single" w:sz="8" w:color="0000FF"/>
            </w:tcBorders>
            <w:gridSpan w:val="25"/>
          </w:tcPr>
          <w:p>
            <w:pPr>
              <w:spacing w:after="0" w:line="169" w:lineRule="exact"/>
              <w:rPr>
                <w:rFonts w:ascii="Calibri" w:cs="Calibri" w:eastAsia="Calibri" w:hAnsi="Calibri"/>
                <w:sz w:val="18"/>
                <w:szCs w:val="18"/>
                <w:color w:val="0000FF"/>
              </w:rPr>
            </w:pPr>
            <w:hyperlink r:id="rId160">
              <w:r>
                <w:rPr>
                  <w:rFonts w:ascii="Calibri" w:cs="Calibri" w:eastAsia="Calibri" w:hAnsi="Calibri"/>
                  <w:sz w:val="18"/>
                  <w:szCs w:val="18"/>
                  <w:color w:val="0000FF"/>
                </w:rPr>
                <w:t>trustee.</w:t>
              </w:r>
            </w:hyperlink>
          </w:p>
        </w:tc>
        <w:tc>
          <w:tcPr>
            <w:tcW w:w="260" w:type="dxa"/>
            <w:vAlign w:val="bottom"/>
            <w:gridSpan w:val="6"/>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4.51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31"/>
          </w:tcPr>
          <w:p>
            <w:pPr>
              <w:spacing w:after="0" w:line="209" w:lineRule="exact"/>
              <w:rPr>
                <w:rFonts w:ascii="Calibri" w:cs="Calibri" w:eastAsia="Calibri" w:hAnsi="Calibri"/>
                <w:sz w:val="18"/>
                <w:szCs w:val="18"/>
                <w:color w:val="0000FF"/>
              </w:rPr>
            </w:pPr>
            <w:hyperlink r:id="rId160">
              <w:r>
                <w:rPr>
                  <w:rFonts w:ascii="Calibri" w:cs="Calibri" w:eastAsia="Calibri" w:hAnsi="Calibri"/>
                  <w:sz w:val="18"/>
                  <w:szCs w:val="18"/>
                  <w:color w:val="0000FF"/>
                </w:rPr>
                <w:t>Form of 5.050% Senior Notes due 2027 (included in Exhibit</w:t>
              </w:r>
            </w:hyperlink>
          </w:p>
        </w:tc>
        <w:tc>
          <w:tcPr>
            <w:tcW w:w="10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line="209" w:lineRule="exact"/>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4.2</w:t>
            </w:r>
          </w:p>
        </w:tc>
        <w:tc>
          <w:tcPr>
            <w:tcW w:w="12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07-12-2024</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Calibri" w:cs="Calibri" w:eastAsia="Calibri" w:hAnsi="Calibri"/>
                <w:sz w:val="16"/>
                <w:szCs w:val="16"/>
                <w:color w:val="0000FF"/>
              </w:rPr>
            </w:pPr>
            <w:hyperlink r:id="rId160">
              <w:r>
                <w:rPr>
                  <w:rFonts w:ascii="Calibri" w:cs="Calibri" w:eastAsia="Calibri" w:hAnsi="Calibri"/>
                  <w:sz w:val="16"/>
                  <w:szCs w:val="16"/>
                  <w:color w:val="0000FF"/>
                </w:rPr>
                <w:t>4.</w:t>
              </w:r>
              <w:r>
                <w:rPr>
                  <w:rFonts w:ascii="Calibri" w:cs="Calibri" w:eastAsia="Calibri" w:hAnsi="Calibri"/>
                  <w:sz w:val="16"/>
                  <w:szCs w:val="16"/>
                  <w:u w:val="single" w:color="auto"/>
                  <w:color w:val="0000FF"/>
                </w:rPr>
                <w:t>50)</w:t>
              </w:r>
              <w:r>
                <w:rPr>
                  <w:rFonts w:ascii="Calibri" w:cs="Calibri" w:eastAsia="Calibri" w:hAnsi="Calibri"/>
                  <w:sz w:val="16"/>
                  <w:szCs w:val="16"/>
                  <w:color w:val="0000FF"/>
                </w:rPr>
                <w:t>.</w:t>
              </w:r>
            </w:hyperlink>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4.52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1"/>
          </w:tcPr>
          <w:p>
            <w:pPr>
              <w:spacing w:after="0"/>
              <w:rPr>
                <w:rFonts w:ascii="Calibri" w:cs="Calibri" w:eastAsia="Calibri" w:hAnsi="Calibri"/>
                <w:sz w:val="18"/>
                <w:szCs w:val="18"/>
                <w:color w:val="0000FF"/>
              </w:rPr>
            </w:pPr>
            <w:hyperlink r:id="rId160">
              <w:r>
                <w:rPr>
                  <w:rFonts w:ascii="Calibri" w:cs="Calibri" w:eastAsia="Calibri" w:hAnsi="Calibri"/>
                  <w:sz w:val="18"/>
                  <w:szCs w:val="18"/>
                  <w:color w:val="0000FF"/>
                </w:rPr>
                <w:t>Form of 5.050% Senior Notes due 2029 (included in Exhibit</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4.2</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07-12-2024</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Calibri" w:cs="Calibri" w:eastAsia="Calibri" w:hAnsi="Calibri"/>
                <w:sz w:val="16"/>
                <w:szCs w:val="16"/>
                <w:color w:val="0000FF"/>
              </w:rPr>
            </w:pPr>
            <w:hyperlink r:id="rId160">
              <w:r>
                <w:rPr>
                  <w:rFonts w:ascii="Calibri" w:cs="Calibri" w:eastAsia="Calibri" w:hAnsi="Calibri"/>
                  <w:sz w:val="16"/>
                  <w:szCs w:val="16"/>
                  <w:color w:val="0000FF"/>
                </w:rPr>
                <w:t>4.</w:t>
              </w:r>
              <w:r>
                <w:rPr>
                  <w:rFonts w:ascii="Calibri" w:cs="Calibri" w:eastAsia="Calibri" w:hAnsi="Calibri"/>
                  <w:sz w:val="16"/>
                  <w:szCs w:val="16"/>
                  <w:u w:val="single" w:color="auto"/>
                  <w:color w:val="0000FF"/>
                </w:rPr>
                <w:t>50)</w:t>
              </w:r>
              <w:r>
                <w:rPr>
                  <w:rFonts w:ascii="Calibri" w:cs="Calibri" w:eastAsia="Calibri" w:hAnsi="Calibri"/>
                  <w:sz w:val="16"/>
                  <w:szCs w:val="16"/>
                  <w:color w:val="0000FF"/>
                </w:rPr>
                <w:t>.</w:t>
              </w:r>
            </w:hyperlink>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4.53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1"/>
          </w:tcPr>
          <w:p>
            <w:pPr>
              <w:spacing w:after="0"/>
              <w:rPr>
                <w:rFonts w:ascii="Calibri" w:cs="Calibri" w:eastAsia="Calibri" w:hAnsi="Calibri"/>
                <w:sz w:val="18"/>
                <w:szCs w:val="18"/>
                <w:color w:val="0000FF"/>
              </w:rPr>
            </w:pPr>
            <w:hyperlink r:id="rId160">
              <w:r>
                <w:rPr>
                  <w:rFonts w:ascii="Calibri" w:cs="Calibri" w:eastAsia="Calibri" w:hAnsi="Calibri"/>
                  <w:sz w:val="18"/>
                  <w:szCs w:val="18"/>
                  <w:color w:val="0000FF"/>
                </w:rPr>
                <w:t>Form of 5.150% Senior Notes due 2031 (included in Exhibit</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4.2</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07-12-2024</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3"/>
          </w:tcPr>
          <w:p>
            <w:pPr>
              <w:spacing w:after="0" w:line="156" w:lineRule="exact"/>
              <w:rPr>
                <w:rFonts w:ascii="Calibri" w:cs="Calibri" w:eastAsia="Calibri" w:hAnsi="Calibri"/>
                <w:sz w:val="16"/>
                <w:szCs w:val="16"/>
                <w:color w:val="0000FF"/>
              </w:rPr>
            </w:pPr>
            <w:hyperlink r:id="rId160">
              <w:r>
                <w:rPr>
                  <w:rFonts w:ascii="Calibri" w:cs="Calibri" w:eastAsia="Calibri" w:hAnsi="Calibri"/>
                  <w:sz w:val="16"/>
                  <w:szCs w:val="16"/>
                  <w:color w:val="0000FF"/>
                </w:rPr>
                <w:t>4.</w:t>
              </w:r>
              <w:r>
                <w:rPr>
                  <w:rFonts w:ascii="Calibri" w:cs="Calibri" w:eastAsia="Calibri" w:hAnsi="Calibri"/>
                  <w:sz w:val="16"/>
                  <w:szCs w:val="16"/>
                  <w:u w:val="single" w:color="auto"/>
                  <w:color w:val="0000FF"/>
                </w:rPr>
                <w:t>50)</w:t>
              </w:r>
              <w:r>
                <w:rPr>
                  <w:rFonts w:ascii="Calibri" w:cs="Calibri" w:eastAsia="Calibri" w:hAnsi="Calibri"/>
                  <w:sz w:val="16"/>
                  <w:szCs w:val="16"/>
                  <w:color w:val="0000FF"/>
                </w:rPr>
                <w:t>.</w:t>
              </w:r>
            </w:hyperlink>
          </w:p>
        </w:tc>
        <w:tc>
          <w:tcPr>
            <w:tcW w:w="1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4.54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1"/>
          </w:tcPr>
          <w:p>
            <w:pPr>
              <w:spacing w:after="0"/>
              <w:rPr>
                <w:rFonts w:ascii="Calibri" w:cs="Calibri" w:eastAsia="Calibri" w:hAnsi="Calibri"/>
                <w:sz w:val="18"/>
                <w:szCs w:val="18"/>
                <w:color w:val="0000FF"/>
              </w:rPr>
            </w:pPr>
            <w:hyperlink r:id="rId161">
              <w:r>
                <w:rPr>
                  <w:rFonts w:ascii="Calibri" w:cs="Calibri" w:eastAsia="Calibri" w:hAnsi="Calibri"/>
                  <w:sz w:val="18"/>
                  <w:szCs w:val="18"/>
                  <w:color w:val="0000FF"/>
                </w:rPr>
                <w:t>Supplemental Indenture No. 2, dated October 2, 2024,</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4.2</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10-02-2024</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12"/>
          </w:tcPr>
          <w:p>
            <w:pPr>
              <w:spacing w:after="0" w:line="156" w:lineRule="exact"/>
              <w:rPr>
                <w:rFonts w:ascii="Calibri" w:cs="Calibri" w:eastAsia="Calibri" w:hAnsi="Calibri"/>
                <w:sz w:val="16"/>
                <w:szCs w:val="16"/>
                <w:color w:val="0000FF"/>
              </w:rPr>
            </w:pPr>
            <w:hyperlink r:id="rId161">
              <w:r>
                <w:rPr>
                  <w:rFonts w:ascii="Calibri" w:cs="Calibri" w:eastAsia="Calibri" w:hAnsi="Calibri"/>
                  <w:sz w:val="16"/>
                  <w:szCs w:val="16"/>
                  <w:color w:val="0000FF"/>
                </w:rPr>
                <w:t>between the Company and Wilmington Trust, Natonal</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300" w:type="dxa"/>
            <w:vAlign w:val="bottom"/>
            <w:gridSpan w:val="8"/>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gridSpan w:val="13"/>
          </w:tcPr>
          <w:p>
            <w:pPr>
              <w:spacing w:after="0" w:line="169" w:lineRule="exact"/>
              <w:rPr>
                <w:rFonts w:ascii="Calibri" w:cs="Calibri" w:eastAsia="Calibri" w:hAnsi="Calibri"/>
                <w:sz w:val="18"/>
                <w:szCs w:val="18"/>
                <w:color w:val="0000FF"/>
              </w:rPr>
            </w:pPr>
            <w:hyperlink r:id="rId161">
              <w:r>
                <w:rPr>
                  <w:rFonts w:ascii="Calibri" w:cs="Calibri" w:eastAsia="Calibri" w:hAnsi="Calibri"/>
                  <w:sz w:val="18"/>
                  <w:szCs w:val="18"/>
                  <w:color w:val="0000FF"/>
                </w:rPr>
                <w:t>Associaton, as trustee.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300" w:type="dxa"/>
            <w:vAlign w:val="bottom"/>
            <w:gridSpan w:val="8"/>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4.55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31"/>
          </w:tcPr>
          <w:p>
            <w:pPr>
              <w:spacing w:after="0" w:line="209" w:lineRule="exact"/>
              <w:rPr>
                <w:rFonts w:ascii="Calibri" w:cs="Calibri" w:eastAsia="Calibri" w:hAnsi="Calibri"/>
                <w:sz w:val="18"/>
                <w:szCs w:val="18"/>
                <w:color w:val="0000FF"/>
              </w:rPr>
            </w:pPr>
            <w:hyperlink r:id="rId162">
              <w:r>
                <w:rPr>
                  <w:rFonts w:ascii="Calibri" w:cs="Calibri" w:eastAsia="Calibri" w:hAnsi="Calibri"/>
                  <w:sz w:val="18"/>
                  <w:szCs w:val="18"/>
                  <w:color w:val="0000FF"/>
                </w:rPr>
                <w:t>Form of 4.150% Senior Notes due 2028 (included in Exhibit</w:t>
              </w:r>
            </w:hyperlink>
          </w:p>
        </w:tc>
        <w:tc>
          <w:tcPr>
            <w:tcW w:w="10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line="209" w:lineRule="exact"/>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4.2</w:t>
            </w:r>
          </w:p>
        </w:tc>
        <w:tc>
          <w:tcPr>
            <w:tcW w:w="12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10-02-2024</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Calibri" w:cs="Calibri" w:eastAsia="Calibri" w:hAnsi="Calibri"/>
                <w:sz w:val="16"/>
                <w:szCs w:val="16"/>
                <w:color w:val="0000FF"/>
              </w:rPr>
            </w:pPr>
            <w:hyperlink r:id="rId162">
              <w:r>
                <w:rPr>
                  <w:rFonts w:ascii="Calibri" w:cs="Calibri" w:eastAsia="Calibri" w:hAnsi="Calibri"/>
                  <w:sz w:val="16"/>
                  <w:szCs w:val="16"/>
                  <w:color w:val="0000FF"/>
                </w:rPr>
                <w:t>4.</w:t>
              </w:r>
              <w:r>
                <w:rPr>
                  <w:rFonts w:ascii="Calibri" w:cs="Calibri" w:eastAsia="Calibri" w:hAnsi="Calibri"/>
                  <w:sz w:val="16"/>
                  <w:szCs w:val="16"/>
                  <w:u w:val="single" w:color="auto"/>
                  <w:color w:val="0000FF"/>
                </w:rPr>
                <w:t>54)</w:t>
              </w:r>
              <w:r>
                <w:rPr>
                  <w:rFonts w:ascii="Calibri" w:cs="Calibri" w:eastAsia="Calibri" w:hAnsi="Calibri"/>
                  <w:sz w:val="16"/>
                  <w:szCs w:val="16"/>
                  <w:color w:val="0000FF"/>
                </w:rPr>
                <w:t>.</w:t>
              </w:r>
            </w:hyperlink>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4.56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1"/>
          </w:tcPr>
          <w:p>
            <w:pPr>
              <w:spacing w:after="0"/>
              <w:rPr>
                <w:rFonts w:ascii="Calibri" w:cs="Calibri" w:eastAsia="Calibri" w:hAnsi="Calibri"/>
                <w:sz w:val="18"/>
                <w:szCs w:val="18"/>
                <w:color w:val="0000FF"/>
              </w:rPr>
            </w:pPr>
            <w:hyperlink r:id="rId162">
              <w:r>
                <w:rPr>
                  <w:rFonts w:ascii="Calibri" w:cs="Calibri" w:eastAsia="Calibri" w:hAnsi="Calibri"/>
                  <w:sz w:val="18"/>
                  <w:szCs w:val="18"/>
                  <w:color w:val="0000FF"/>
                </w:rPr>
                <w:t>Form of 4.350% Senior Notes due 2030 (included in Exhibit</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4.2</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10-02-2024</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Calibri" w:cs="Calibri" w:eastAsia="Calibri" w:hAnsi="Calibri"/>
                <w:sz w:val="16"/>
                <w:szCs w:val="16"/>
                <w:color w:val="0000FF"/>
              </w:rPr>
            </w:pPr>
            <w:hyperlink r:id="rId162">
              <w:r>
                <w:rPr>
                  <w:rFonts w:ascii="Calibri" w:cs="Calibri" w:eastAsia="Calibri" w:hAnsi="Calibri"/>
                  <w:sz w:val="16"/>
                  <w:szCs w:val="16"/>
                  <w:color w:val="0000FF"/>
                </w:rPr>
                <w:t>4.</w:t>
              </w:r>
              <w:r>
                <w:rPr>
                  <w:rFonts w:ascii="Calibri" w:cs="Calibri" w:eastAsia="Calibri" w:hAnsi="Calibri"/>
                  <w:sz w:val="16"/>
                  <w:szCs w:val="16"/>
                  <w:u w:val="single" w:color="auto"/>
                  <w:color w:val="0000FF"/>
                </w:rPr>
                <w:t>54)</w:t>
              </w:r>
              <w:r>
                <w:rPr>
                  <w:rFonts w:ascii="Calibri" w:cs="Calibri" w:eastAsia="Calibri" w:hAnsi="Calibri"/>
                  <w:sz w:val="16"/>
                  <w:szCs w:val="16"/>
                  <w:color w:val="0000FF"/>
                </w:rPr>
                <w:t>.</w:t>
              </w:r>
            </w:hyperlink>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4.57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1"/>
          </w:tcPr>
          <w:p>
            <w:pPr>
              <w:spacing w:after="0"/>
              <w:rPr>
                <w:rFonts w:ascii="Calibri" w:cs="Calibri" w:eastAsia="Calibri" w:hAnsi="Calibri"/>
                <w:sz w:val="18"/>
                <w:szCs w:val="18"/>
                <w:color w:val="0000FF"/>
              </w:rPr>
            </w:pPr>
            <w:hyperlink r:id="rId162">
              <w:r>
                <w:rPr>
                  <w:rFonts w:ascii="Calibri" w:cs="Calibri" w:eastAsia="Calibri" w:hAnsi="Calibri"/>
                  <w:sz w:val="18"/>
                  <w:szCs w:val="18"/>
                  <w:color w:val="0000FF"/>
                </w:rPr>
                <w:t>Form of 4.550% Senior Notes due 2032 (included in Exhibit</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4.2</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10-02-2024</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Calibri" w:cs="Calibri" w:eastAsia="Calibri" w:hAnsi="Calibri"/>
                <w:sz w:val="16"/>
                <w:szCs w:val="16"/>
                <w:color w:val="0000FF"/>
              </w:rPr>
            </w:pPr>
            <w:hyperlink r:id="rId162">
              <w:r>
                <w:rPr>
                  <w:rFonts w:ascii="Calibri" w:cs="Calibri" w:eastAsia="Calibri" w:hAnsi="Calibri"/>
                  <w:sz w:val="16"/>
                  <w:szCs w:val="16"/>
                  <w:color w:val="0000FF"/>
                </w:rPr>
                <w:t>4.</w:t>
              </w:r>
              <w:r>
                <w:rPr>
                  <w:rFonts w:ascii="Calibri" w:cs="Calibri" w:eastAsia="Calibri" w:hAnsi="Calibri"/>
                  <w:sz w:val="16"/>
                  <w:szCs w:val="16"/>
                  <w:u w:val="single" w:color="auto"/>
                  <w:color w:val="0000FF"/>
                </w:rPr>
                <w:t>54)</w:t>
              </w:r>
              <w:r>
                <w:rPr>
                  <w:rFonts w:ascii="Calibri" w:cs="Calibri" w:eastAsia="Calibri" w:hAnsi="Calibri"/>
                  <w:sz w:val="16"/>
                  <w:szCs w:val="16"/>
                  <w:color w:val="0000FF"/>
                </w:rPr>
                <w:t>.</w:t>
              </w:r>
            </w:hyperlink>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4.58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1"/>
          </w:tcPr>
          <w:p>
            <w:pPr>
              <w:spacing w:after="0"/>
              <w:rPr>
                <w:rFonts w:ascii="Calibri" w:cs="Calibri" w:eastAsia="Calibri" w:hAnsi="Calibri"/>
                <w:sz w:val="18"/>
                <w:szCs w:val="18"/>
                <w:color w:val="0000FF"/>
              </w:rPr>
            </w:pPr>
            <w:hyperlink r:id="rId162">
              <w:r>
                <w:rPr>
                  <w:rFonts w:ascii="Calibri" w:cs="Calibri" w:eastAsia="Calibri" w:hAnsi="Calibri"/>
                  <w:sz w:val="18"/>
                  <w:szCs w:val="18"/>
                  <w:color w:val="0000FF"/>
                </w:rPr>
                <w:t>Form of 4.800% Senior Notes due 2034 (included in Exhibit</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6"/>
              </w:rPr>
              <w:t>4.2</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10-02-2024</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Calibri" w:cs="Calibri" w:eastAsia="Calibri" w:hAnsi="Calibri"/>
                <w:sz w:val="16"/>
                <w:szCs w:val="16"/>
                <w:color w:val="0000FF"/>
              </w:rPr>
            </w:pPr>
            <w:hyperlink r:id="rId162">
              <w:r>
                <w:rPr>
                  <w:rFonts w:ascii="Calibri" w:cs="Calibri" w:eastAsia="Calibri" w:hAnsi="Calibri"/>
                  <w:sz w:val="16"/>
                  <w:szCs w:val="16"/>
                  <w:color w:val="0000FF"/>
                </w:rPr>
                <w:t>4.</w:t>
              </w:r>
              <w:r>
                <w:rPr>
                  <w:rFonts w:ascii="Calibri" w:cs="Calibri" w:eastAsia="Calibri" w:hAnsi="Calibri"/>
                  <w:sz w:val="16"/>
                  <w:szCs w:val="16"/>
                  <w:u w:val="single" w:color="auto"/>
                  <w:color w:val="0000FF"/>
                </w:rPr>
                <w:t>54)</w:t>
              </w:r>
              <w:r>
                <w:rPr>
                  <w:rFonts w:ascii="Calibri" w:cs="Calibri" w:eastAsia="Calibri" w:hAnsi="Calibri"/>
                  <w:sz w:val="16"/>
                  <w:szCs w:val="16"/>
                  <w:color w:val="0000FF"/>
                </w:rPr>
                <w:t>.</w:t>
              </w:r>
            </w:hyperlink>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10.1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1"/>
          </w:tcPr>
          <w:p>
            <w:pPr>
              <w:spacing w:after="0"/>
              <w:rPr>
                <w:rFonts w:ascii="Calibri" w:cs="Calibri" w:eastAsia="Calibri" w:hAnsi="Calibri"/>
                <w:sz w:val="18"/>
                <w:szCs w:val="18"/>
                <w:color w:val="0000FF"/>
              </w:rPr>
            </w:pPr>
            <w:hyperlink r:id="rId163">
              <w:r>
                <w:rPr>
                  <w:rFonts w:ascii="Calibri" w:cs="Calibri" w:eastAsia="Calibri" w:hAnsi="Calibri"/>
                  <w:sz w:val="18"/>
                  <w:szCs w:val="18"/>
                  <w:color w:val="0000FF"/>
                </w:rPr>
                <w:t>Form of Indemnifcaton and Advancement Agreement</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8-K12B</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3"/>
              </w:rPr>
              <w:t>10.1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04-04-2018</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14"/>
          </w:tcPr>
          <w:p>
            <w:pPr>
              <w:spacing w:after="0" w:line="156" w:lineRule="exact"/>
              <w:rPr>
                <w:rFonts w:ascii="Calibri" w:cs="Calibri" w:eastAsia="Calibri" w:hAnsi="Calibri"/>
                <w:sz w:val="16"/>
                <w:szCs w:val="16"/>
                <w:color w:val="0000FF"/>
              </w:rPr>
            </w:pPr>
            <w:hyperlink r:id="rId163">
              <w:r>
                <w:rPr>
                  <w:rFonts w:ascii="Calibri" w:cs="Calibri" w:eastAsia="Calibri" w:hAnsi="Calibri"/>
                  <w:sz w:val="16"/>
                  <w:szCs w:val="16"/>
                  <w:color w:val="0000FF"/>
                </w:rPr>
                <w:t>(efectve April 4, 2018).</w:t>
              </w:r>
            </w:hyperlink>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300" w:type="dxa"/>
            <w:vAlign w:val="bottom"/>
            <w:gridSpan w:val="8"/>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7"/>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10.2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1"/>
          </w:tcPr>
          <w:p>
            <w:pPr>
              <w:spacing w:after="0"/>
              <w:rPr>
                <w:rFonts w:ascii="Calibri" w:cs="Calibri" w:eastAsia="Calibri" w:hAnsi="Calibri"/>
                <w:sz w:val="18"/>
                <w:szCs w:val="18"/>
                <w:color w:val="0000FF"/>
              </w:rPr>
            </w:pPr>
            <w:hyperlink r:id="rId164">
              <w:r>
                <w:rPr>
                  <w:rFonts w:ascii="Calibri" w:cs="Calibri" w:eastAsia="Calibri" w:hAnsi="Calibri"/>
                  <w:sz w:val="18"/>
                  <w:szCs w:val="18"/>
                  <w:color w:val="0000FF"/>
                </w:rPr>
                <w:t>Credit Agreement, dated as of January 19, 2021, among the</w:t>
              </w:r>
            </w:hyperlink>
          </w:p>
        </w:tc>
        <w:tc>
          <w:tcPr>
            <w:tcW w:w="106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80" w:type="dxa"/>
            <w:vAlign w:val="bottom"/>
          </w:tcPr>
          <w:p>
            <w:pPr>
              <w:jc w:val="right"/>
              <w:ind w:right="312"/>
              <w:spacing w:after="0"/>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3"/>
              </w:rPr>
              <w:t>10.1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01-19-2021</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23"/>
          </w:tcPr>
          <w:p>
            <w:pPr>
              <w:spacing w:after="0" w:line="156" w:lineRule="exact"/>
              <w:rPr>
                <w:rFonts w:ascii="Calibri" w:cs="Calibri" w:eastAsia="Calibri" w:hAnsi="Calibri"/>
                <w:sz w:val="16"/>
                <w:szCs w:val="16"/>
                <w:color w:val="0000FF"/>
              </w:rPr>
            </w:pPr>
            <w:hyperlink r:id="rId164">
              <w:r>
                <w:rPr>
                  <w:rFonts w:ascii="Calibri" w:cs="Calibri" w:eastAsia="Calibri" w:hAnsi="Calibri"/>
                  <w:sz w:val="16"/>
                  <w:szCs w:val="16"/>
                  <w:color w:val="0000FF"/>
                </w:rPr>
                <w:t>Company, the lenders and other partes party thereto, and</w:t>
              </w:r>
            </w:hyperlink>
          </w:p>
        </w:tc>
        <w:tc>
          <w:tcPr>
            <w:tcW w:w="300" w:type="dxa"/>
            <w:vAlign w:val="bottom"/>
            <w:gridSpan w:val="8"/>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80" w:type="dxa"/>
            <w:vAlign w:val="bottom"/>
            <w:tcBorders>
              <w:top w:val="single" w:sz="8" w:color="0000FF"/>
              <w:bottom w:val="single" w:sz="8" w:color="0000FF"/>
            </w:tcBorders>
            <w:gridSpan w:val="8"/>
          </w:tcPr>
          <w:p>
            <w:pPr>
              <w:spacing w:after="0" w:line="169" w:lineRule="exact"/>
              <w:rPr>
                <w:rFonts w:ascii="Calibri" w:cs="Calibri" w:eastAsia="Calibri" w:hAnsi="Calibri"/>
                <w:sz w:val="18"/>
                <w:szCs w:val="18"/>
                <w:color w:val="0000FF"/>
                <w:w w:val="98"/>
              </w:rPr>
            </w:pPr>
            <w:hyperlink r:id="rId164">
              <w:r>
                <w:rPr>
                  <w:rFonts w:ascii="Calibri" w:cs="Calibri" w:eastAsia="Calibri" w:hAnsi="Calibri"/>
                  <w:sz w:val="18"/>
                  <w:szCs w:val="18"/>
                  <w:color w:val="0000FF"/>
                  <w:w w:val="98"/>
                </w:rPr>
                <w:t>Bank of America, N.A., as Administratve Agent.</w:t>
              </w:r>
            </w:hyperlink>
          </w:p>
        </w:tc>
        <w:tc>
          <w:tcPr>
            <w:tcW w:w="780" w:type="dxa"/>
            <w:vAlign w:val="bottom"/>
            <w:tcBorders>
              <w:top w:val="single" w:sz="8" w:color="0000FF"/>
            </w:tcBorders>
            <w:gridSpan w:val="10"/>
          </w:tcPr>
          <w:p>
            <w:pPr>
              <w:spacing w:after="0"/>
              <w:rPr>
                <w:sz w:val="14"/>
                <w:szCs w:val="14"/>
                <w:color w:val="auto"/>
              </w:rPr>
            </w:pPr>
          </w:p>
        </w:tc>
        <w:tc>
          <w:tcPr>
            <w:tcW w:w="40" w:type="dxa"/>
            <w:vAlign w:val="bottom"/>
            <w:gridSpan w:val="2"/>
          </w:tcPr>
          <w:p>
            <w:pPr>
              <w:spacing w:after="0"/>
              <w:rPr>
                <w:sz w:val="14"/>
                <w:szCs w:val="14"/>
                <w:color w:val="auto"/>
              </w:rPr>
            </w:pPr>
          </w:p>
        </w:tc>
        <w:tc>
          <w:tcPr>
            <w:tcW w:w="360" w:type="dxa"/>
            <w:vAlign w:val="bottom"/>
            <w:gridSpan w:val="11"/>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10.3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31"/>
          </w:tcPr>
          <w:p>
            <w:pPr>
              <w:spacing w:after="0" w:line="209" w:lineRule="exact"/>
              <w:rPr>
                <w:rFonts w:ascii="Calibri" w:cs="Calibri" w:eastAsia="Calibri" w:hAnsi="Calibri"/>
                <w:sz w:val="18"/>
                <w:szCs w:val="18"/>
                <w:color w:val="0000FF"/>
              </w:rPr>
            </w:pPr>
            <w:hyperlink r:id="rId165">
              <w:r>
                <w:rPr>
                  <w:rFonts w:ascii="Calibri" w:cs="Calibri" w:eastAsia="Calibri" w:hAnsi="Calibri"/>
                  <w:sz w:val="18"/>
                  <w:szCs w:val="18"/>
                  <w:color w:val="0000FF"/>
                </w:rPr>
                <w:t>Amendment No. 1, dated April 18, 2023, among Broadcom</w:t>
              </w:r>
            </w:hyperlink>
          </w:p>
        </w:tc>
        <w:tc>
          <w:tcPr>
            <w:tcW w:w="10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10-Q</w:t>
            </w:r>
          </w:p>
        </w:tc>
        <w:tc>
          <w:tcPr>
            <w:tcW w:w="1180" w:type="dxa"/>
            <w:vAlign w:val="bottom"/>
          </w:tcPr>
          <w:p>
            <w:pPr>
              <w:jc w:val="right"/>
              <w:ind w:right="312"/>
              <w:spacing w:after="0" w:line="209" w:lineRule="exact"/>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3"/>
              </w:rPr>
              <w:t>10.1</w:t>
            </w:r>
          </w:p>
        </w:tc>
        <w:tc>
          <w:tcPr>
            <w:tcW w:w="12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06-07-2023</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15"/>
          </w:tcPr>
          <w:p>
            <w:pPr>
              <w:spacing w:after="0" w:line="156" w:lineRule="exact"/>
              <w:rPr>
                <w:rFonts w:ascii="Calibri" w:cs="Calibri" w:eastAsia="Calibri" w:hAnsi="Calibri"/>
                <w:sz w:val="16"/>
                <w:szCs w:val="16"/>
                <w:color w:val="0000FF"/>
              </w:rPr>
            </w:pPr>
            <w:hyperlink r:id="rId165">
              <w:r>
                <w:rPr>
                  <w:rFonts w:ascii="Calibri" w:cs="Calibri" w:eastAsia="Calibri" w:hAnsi="Calibri"/>
                  <w:sz w:val="16"/>
                  <w:szCs w:val="16"/>
                  <w:color w:val="0000FF"/>
                </w:rPr>
                <w:t>Inc., the lenders and other partes thereto, and Bank of</w:t>
              </w:r>
            </w:hyperlink>
          </w:p>
        </w:tc>
        <w:tc>
          <w:tcPr>
            <w:tcW w:w="260" w:type="dxa"/>
            <w:vAlign w:val="bottom"/>
            <w:tcBorders>
              <w:top w:val="single" w:sz="8" w:color="0000FF"/>
            </w:tcBorders>
            <w:gridSpan w:val="5"/>
          </w:tcPr>
          <w:p>
            <w:pPr>
              <w:spacing w:after="0"/>
              <w:rPr>
                <w:sz w:val="13"/>
                <w:szCs w:val="13"/>
                <w:color w:val="auto"/>
              </w:rPr>
            </w:pPr>
          </w:p>
        </w:tc>
        <w:tc>
          <w:tcPr>
            <w:tcW w:w="360" w:type="dxa"/>
            <w:vAlign w:val="bottom"/>
            <w:gridSpan w:val="11"/>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180"/>
        <w:spacing w:after="0" w:line="221" w:lineRule="auto"/>
        <w:rPr>
          <w:rFonts w:ascii="Calibri" w:cs="Calibri" w:eastAsia="Calibri" w:hAnsi="Calibri"/>
          <w:sz w:val="18"/>
          <w:szCs w:val="18"/>
          <w:u w:val="single" w:color="auto"/>
          <w:color w:val="0000FF"/>
        </w:rPr>
      </w:pPr>
      <w:hyperlink r:id="rId165">
        <w:r>
          <w:rPr>
            <w:rFonts w:ascii="Calibri" w:cs="Calibri" w:eastAsia="Calibri" w:hAnsi="Calibri"/>
            <w:sz w:val="18"/>
            <w:szCs w:val="18"/>
            <w:u w:val="single" w:color="auto"/>
            <w:color w:val="0000FF"/>
          </w:rPr>
          <w:t>America, N.A., as Administratve Agent, to the Credit</w:t>
        </w:r>
      </w:hyperlink>
    </w:p>
    <w:p>
      <w:pPr>
        <w:ind w:left="1180"/>
        <w:spacing w:after="0" w:line="195" w:lineRule="auto"/>
        <w:rPr>
          <w:rFonts w:ascii="Calibri" w:cs="Calibri" w:eastAsia="Calibri" w:hAnsi="Calibri"/>
          <w:sz w:val="18"/>
          <w:szCs w:val="18"/>
          <w:color w:val="0000FF"/>
        </w:rPr>
      </w:pPr>
      <w:hyperlink r:id="rId165">
        <w:r>
          <w:rPr>
            <w:rFonts w:ascii="Calibri" w:cs="Calibri" w:eastAsia="Calibri" w:hAnsi="Calibri"/>
            <w:sz w:val="18"/>
            <w:szCs w:val="18"/>
            <w:u w:val="single" w:color="auto"/>
            <w:color w:val="0000FF"/>
          </w:rPr>
          <w:t>Agreement, dated as of January 19, 2021</w:t>
        </w:r>
        <w:r>
          <w:rPr>
            <w:rFonts w:ascii="Calibri" w:cs="Calibri" w:eastAsia="Calibri" w:hAnsi="Calibri"/>
            <w:sz w:val="18"/>
            <w:szCs w:val="18"/>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Filed</w:t>
      </w:r>
    </w:p>
    <w:p>
      <w:pPr>
        <w:jc w:val="center"/>
        <w:spacing w:after="0" w:line="208" w:lineRule="auto"/>
        <w:rPr>
          <w:sz w:val="20"/>
          <w:szCs w:val="20"/>
          <w:color w:val="auto"/>
        </w:rPr>
      </w:pPr>
      <w:r>
        <w:rPr>
          <w:rFonts w:ascii="Calibri" w:cs="Calibri" w:eastAsia="Calibri" w:hAnsi="Calibri"/>
          <w:sz w:val="14"/>
          <w:szCs w:val="14"/>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21590</wp:posOffset>
            </wp:positionV>
            <wp:extent cx="5060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ectPr>
          <w:pgSz w:w="11900" w:h="16838" w:orient="portrait"/>
          <w:cols w:equalWidth="0" w:num="2">
            <w:col w:w="10340" w:space="240"/>
            <w:col w:w="540"/>
          </w:cols>
          <w:pgMar w:left="320" w:top="112" w:right="459" w:bottom="1440" w:gutter="0" w:footer="0" w:header="0"/>
        </w:sectPr>
      </w:pPr>
    </w:p>
    <w:bookmarkStart w:id="100" w:name="page101"/>
    <w:bookmarkEnd w:id="10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4"/>
          </w:tcPr>
          <w:p>
            <w:pPr>
              <w:ind w:left="460"/>
              <w:spacing w:after="0"/>
              <w:rPr>
                <w:sz w:val="20"/>
                <w:szCs w:val="20"/>
                <w:color w:val="auto"/>
              </w:rPr>
            </w:pPr>
            <w:r>
              <w:rPr>
                <w:rFonts w:ascii="Calibri" w:cs="Calibri" w:eastAsia="Calibri" w:hAnsi="Calibri"/>
                <w:sz w:val="14"/>
                <w:szCs w:val="14"/>
                <w:color w:val="auto"/>
              </w:rPr>
              <w:t>Incorporated by Reference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860" w:type="dxa"/>
            <w:vAlign w:val="bottom"/>
            <w:vMerge w:val="restart"/>
          </w:tcPr>
          <w:p>
            <w:pPr>
              <w:jc w:val="right"/>
              <w:ind w:right="132"/>
              <w:spacing w:after="0"/>
              <w:rPr>
                <w:sz w:val="20"/>
                <w:szCs w:val="20"/>
                <w:color w:val="auto"/>
              </w:rPr>
            </w:pPr>
            <w:r>
              <w:rPr>
                <w:rFonts w:ascii="Calibri" w:cs="Calibri" w:eastAsia="Calibri" w:hAnsi="Calibri"/>
                <w:sz w:val="14"/>
                <w:szCs w:val="14"/>
                <w:color w:val="auto"/>
              </w:rPr>
              <w:t>Exhibit</w:t>
            </w: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8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80" w:type="dxa"/>
            <w:vAlign w:val="bottom"/>
            <w:gridSpan w:val="35"/>
            <w:vMerge w:val="restart"/>
          </w:tcPr>
          <w:p>
            <w:pPr>
              <w:jc w:val="right"/>
              <w:ind w:right="2000"/>
              <w:spacing w:after="0"/>
              <w:rPr>
                <w:sz w:val="20"/>
                <w:szCs w:val="20"/>
                <w:color w:val="auto"/>
              </w:rPr>
            </w:pPr>
            <w:r>
              <w:rPr>
                <w:rFonts w:ascii="Calibri" w:cs="Calibri" w:eastAsia="Calibri" w:hAnsi="Calibri"/>
                <w:sz w:val="14"/>
                <w:szCs w:val="14"/>
                <w:color w:val="auto"/>
              </w:rPr>
              <w:t>Descripton</w:t>
            </w:r>
          </w:p>
        </w:tc>
        <w:tc>
          <w:tcPr>
            <w:tcW w:w="1060" w:type="dxa"/>
            <w:vAlign w:val="bottom"/>
            <w:gridSpan w:val="2"/>
            <w:vMerge w:val="restart"/>
          </w:tcPr>
          <w:p>
            <w:pPr>
              <w:ind w:left="320"/>
              <w:spacing w:after="0"/>
              <w:rPr>
                <w:sz w:val="20"/>
                <w:szCs w:val="20"/>
                <w:color w:val="auto"/>
              </w:rPr>
            </w:pPr>
            <w:r>
              <w:rPr>
                <w:rFonts w:ascii="Calibri" w:cs="Calibri" w:eastAsia="Calibri" w:hAnsi="Calibri"/>
                <w:sz w:val="14"/>
                <w:szCs w:val="14"/>
                <w:color w:val="auto"/>
              </w:rPr>
              <w:t>Form</w:t>
            </w:r>
          </w:p>
        </w:tc>
        <w:tc>
          <w:tcPr>
            <w:tcW w:w="1280" w:type="dxa"/>
            <w:vAlign w:val="bottom"/>
            <w:gridSpan w:val="2"/>
            <w:vMerge w:val="restart"/>
          </w:tcPr>
          <w:p>
            <w:pPr>
              <w:ind w:left="380"/>
              <w:spacing w:after="0"/>
              <w:rPr>
                <w:sz w:val="20"/>
                <w:szCs w:val="20"/>
                <w:color w:val="auto"/>
              </w:rPr>
            </w:pPr>
            <w:r>
              <w:rPr>
                <w:rFonts w:ascii="Calibri" w:cs="Calibri" w:eastAsia="Calibri" w:hAnsi="Calibri"/>
                <w:sz w:val="14"/>
                <w:szCs w:val="14"/>
                <w:color w:val="auto"/>
              </w:rPr>
              <w:t>File No.</w:t>
            </w:r>
          </w:p>
        </w:tc>
        <w:tc>
          <w:tcPr>
            <w:tcW w:w="1120" w:type="dxa"/>
            <w:vAlign w:val="bottom"/>
            <w:gridSpan w:val="2"/>
            <w:vMerge w:val="restart"/>
          </w:tcPr>
          <w:p>
            <w:pPr>
              <w:jc w:val="center"/>
              <w:ind w:right="120"/>
              <w:spacing w:after="0"/>
              <w:rPr>
                <w:sz w:val="20"/>
                <w:szCs w:val="20"/>
                <w:color w:val="auto"/>
              </w:rPr>
            </w:pPr>
            <w:r>
              <w:rPr>
                <w:rFonts w:ascii="Calibri" w:cs="Calibri" w:eastAsia="Calibri" w:hAnsi="Calibri"/>
                <w:sz w:val="14"/>
                <w:szCs w:val="14"/>
                <w:color w:val="auto"/>
              </w:rPr>
              <w:t>Exhibit</w:t>
            </w:r>
          </w:p>
        </w:tc>
        <w:tc>
          <w:tcPr>
            <w:tcW w:w="1160" w:type="dxa"/>
            <w:vAlign w:val="bottom"/>
            <w:vMerge w:val="restart"/>
          </w:tcPr>
          <w:p>
            <w:pPr>
              <w:jc w:val="right"/>
              <w:ind w:right="191"/>
              <w:spacing w:after="0"/>
              <w:rPr>
                <w:sz w:val="20"/>
                <w:szCs w:val="20"/>
                <w:color w:val="auto"/>
              </w:rPr>
            </w:pPr>
            <w:r>
              <w:rPr>
                <w:rFonts w:ascii="Calibri" w:cs="Calibri" w:eastAsia="Calibri" w:hAnsi="Calibri"/>
                <w:sz w:val="14"/>
                <w:szCs w:val="14"/>
                <w:color w:val="auto"/>
              </w:rPr>
              <w:t>Filing Date</w:t>
            </w:r>
          </w:p>
        </w:tc>
        <w:tc>
          <w:tcPr>
            <w:tcW w:w="0" w:type="dxa"/>
            <w:vAlign w:val="bottom"/>
          </w:tcPr>
          <w:p>
            <w:pPr>
              <w:spacing w:after="0"/>
              <w:rPr>
                <w:sz w:val="1"/>
                <w:szCs w:val="1"/>
                <w:color w:val="auto"/>
              </w:rPr>
            </w:pPr>
          </w:p>
        </w:tc>
      </w:tr>
      <w:tr>
        <w:trPr>
          <w:trHeight w:val="170"/>
        </w:trPr>
        <w:tc>
          <w:tcPr>
            <w:tcW w:w="860" w:type="dxa"/>
            <w:vAlign w:val="bottom"/>
          </w:tcPr>
          <w:p>
            <w:pPr>
              <w:jc w:val="right"/>
              <w:ind w:right="92"/>
              <w:spacing w:after="0"/>
              <w:rPr>
                <w:sz w:val="20"/>
                <w:szCs w:val="20"/>
                <w:color w:val="auto"/>
              </w:rPr>
            </w:pPr>
            <w:r>
              <w:rPr>
                <w:rFonts w:ascii="Calibri" w:cs="Calibri" w:eastAsia="Calibri" w:hAnsi="Calibri"/>
                <w:sz w:val="14"/>
                <w:szCs w:val="14"/>
                <w:color w:val="auto"/>
              </w:rPr>
              <w:t>Number</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80" w:type="dxa"/>
            <w:vAlign w:val="bottom"/>
            <w:gridSpan w:val="35"/>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60" w:type="dxa"/>
            <w:vAlign w:val="bottom"/>
          </w:tcPr>
          <w:p>
            <w:pPr>
              <w:jc w:val="right"/>
              <w:spacing w:after="0" w:line="169" w:lineRule="exact"/>
              <w:rPr>
                <w:sz w:val="20"/>
                <w:szCs w:val="20"/>
                <w:color w:val="auto"/>
              </w:rPr>
            </w:pPr>
            <w:r>
              <w:rPr>
                <w:rFonts w:ascii="Calibri" w:cs="Calibri" w:eastAsia="Calibri" w:hAnsi="Calibri"/>
                <w:sz w:val="18"/>
                <w:szCs w:val="18"/>
                <w:color w:val="auto"/>
              </w:rPr>
              <w:t>10.4</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gridSpan w:val="39"/>
          </w:tcPr>
          <w:p>
            <w:pPr>
              <w:spacing w:after="0" w:line="169" w:lineRule="exact"/>
              <w:rPr>
                <w:rFonts w:ascii="Calibri" w:cs="Calibri" w:eastAsia="Calibri" w:hAnsi="Calibri"/>
                <w:sz w:val="18"/>
                <w:szCs w:val="18"/>
                <w:color w:val="0000FF"/>
              </w:rPr>
            </w:pPr>
            <w:hyperlink r:id="rId168">
              <w:r>
                <w:rPr>
                  <w:rFonts w:ascii="Calibri" w:cs="Calibri" w:eastAsia="Calibri" w:hAnsi="Calibri"/>
                  <w:sz w:val="18"/>
                  <w:szCs w:val="18"/>
                  <w:color w:val="0000FF"/>
                </w:rPr>
                <w:t>Credit Agreement, dated as of August 15, 2023, among</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line="169" w:lineRule="exact"/>
              <w:rPr>
                <w:sz w:val="20"/>
                <w:szCs w:val="20"/>
                <w:color w:val="auto"/>
              </w:rPr>
            </w:pPr>
            <w:r>
              <w:rPr>
                <w:rFonts w:ascii="Calibri" w:cs="Calibri" w:eastAsia="Calibri" w:hAnsi="Calibri"/>
                <w:sz w:val="18"/>
                <w:szCs w:val="18"/>
                <w:color w:val="auto"/>
              </w:rPr>
              <w:t>8-K</w:t>
            </w:r>
          </w:p>
        </w:tc>
        <w:tc>
          <w:tcPr>
            <w:tcW w:w="80" w:type="dxa"/>
            <w:vAlign w:val="bottom"/>
          </w:tcPr>
          <w:p>
            <w:pPr>
              <w:spacing w:after="0"/>
              <w:rPr>
                <w:sz w:val="14"/>
                <w:szCs w:val="14"/>
                <w:color w:val="auto"/>
              </w:rPr>
            </w:pPr>
          </w:p>
        </w:tc>
        <w:tc>
          <w:tcPr>
            <w:tcW w:w="1180" w:type="dxa"/>
            <w:vAlign w:val="bottom"/>
          </w:tcPr>
          <w:p>
            <w:pPr>
              <w:ind w:left="20"/>
              <w:spacing w:after="0" w:line="169"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Calibri" w:cs="Calibri" w:eastAsia="Calibri" w:hAnsi="Calibri"/>
                <w:sz w:val="18"/>
                <w:szCs w:val="18"/>
                <w:color w:val="auto"/>
              </w:rPr>
              <w:t>10.1</w:t>
            </w:r>
          </w:p>
        </w:tc>
        <w:tc>
          <w:tcPr>
            <w:tcW w:w="120" w:type="dxa"/>
            <w:vAlign w:val="bottom"/>
          </w:tcPr>
          <w:p>
            <w:pPr>
              <w:spacing w:after="0"/>
              <w:rPr>
                <w:sz w:val="14"/>
                <w:szCs w:val="14"/>
                <w:color w:val="auto"/>
              </w:rPr>
            </w:pPr>
          </w:p>
        </w:tc>
        <w:tc>
          <w:tcPr>
            <w:tcW w:w="1160" w:type="dxa"/>
            <w:vAlign w:val="bottom"/>
          </w:tcPr>
          <w:p>
            <w:pPr>
              <w:jc w:val="right"/>
              <w:ind w:right="231"/>
              <w:spacing w:after="0" w:line="169" w:lineRule="exact"/>
              <w:rPr>
                <w:sz w:val="20"/>
                <w:szCs w:val="20"/>
                <w:color w:val="auto"/>
              </w:rPr>
            </w:pPr>
            <w:r>
              <w:rPr>
                <w:rFonts w:ascii="Calibri" w:cs="Calibri" w:eastAsia="Calibri" w:hAnsi="Calibri"/>
                <w:sz w:val="18"/>
                <w:szCs w:val="18"/>
                <w:color w:val="auto"/>
                <w:w w:val="97"/>
              </w:rPr>
              <w:t>08-16-2023</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20"/>
          </w:tcPr>
          <w:p>
            <w:pPr>
              <w:spacing w:after="0" w:line="156" w:lineRule="exact"/>
              <w:rPr>
                <w:rFonts w:ascii="Calibri" w:cs="Calibri" w:eastAsia="Calibri" w:hAnsi="Calibri"/>
                <w:sz w:val="16"/>
                <w:szCs w:val="16"/>
                <w:color w:val="0000FF"/>
              </w:rPr>
            </w:pPr>
            <w:hyperlink r:id="rId168">
              <w:r>
                <w:rPr>
                  <w:rFonts w:ascii="Calibri" w:cs="Calibri" w:eastAsia="Calibri" w:hAnsi="Calibri"/>
                  <w:sz w:val="16"/>
                  <w:szCs w:val="16"/>
                  <w:color w:val="0000FF"/>
                </w:rPr>
                <w:t>Broadcom, the lenders and other partes party thereto,</w:t>
              </w:r>
            </w:hyperlink>
          </w:p>
        </w:tc>
        <w:tc>
          <w:tcPr>
            <w:tcW w:w="20" w:type="dxa"/>
            <w:vAlign w:val="bottom"/>
          </w:tcPr>
          <w:p>
            <w:pPr>
              <w:spacing w:after="0"/>
              <w:rPr>
                <w:sz w:val="13"/>
                <w:szCs w:val="13"/>
                <w:color w:val="auto"/>
              </w:rPr>
            </w:pPr>
          </w:p>
        </w:tc>
        <w:tc>
          <w:tcPr>
            <w:tcW w:w="600" w:type="dxa"/>
            <w:vAlign w:val="bottom"/>
            <w:gridSpan w:val="20"/>
          </w:tcPr>
          <w:p>
            <w:pPr>
              <w:jc w:val="right"/>
              <w:ind w:right="300"/>
              <w:spacing w:after="0" w:line="156" w:lineRule="exact"/>
              <w:rPr>
                <w:rFonts w:ascii="Calibri" w:cs="Calibri" w:eastAsia="Calibri" w:hAnsi="Calibri"/>
                <w:sz w:val="16"/>
                <w:szCs w:val="16"/>
                <w:color w:val="0000FF"/>
              </w:rPr>
            </w:pPr>
            <w:hyperlink r:id="rId168">
              <w:r>
                <w:rPr>
                  <w:rFonts w:ascii="Calibri" w:cs="Calibri" w:eastAsia="Calibri" w:hAnsi="Calibri"/>
                  <w:sz w:val="16"/>
                  <w:szCs w:val="16"/>
                  <w:color w:val="0000FF"/>
                </w:rPr>
                <w:t>and</w:t>
              </w:r>
            </w:hyperlink>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80" w:type="dxa"/>
            <w:vAlign w:val="bottom"/>
            <w:tcBorders>
              <w:top w:val="single" w:sz="8" w:color="0000FF"/>
              <w:bottom w:val="single" w:sz="8" w:color="0000FF"/>
            </w:tcBorders>
            <w:gridSpan w:val="11"/>
          </w:tcPr>
          <w:p>
            <w:pPr>
              <w:spacing w:after="0" w:line="169" w:lineRule="exact"/>
              <w:rPr>
                <w:rFonts w:ascii="Calibri" w:cs="Calibri" w:eastAsia="Calibri" w:hAnsi="Calibri"/>
                <w:sz w:val="18"/>
                <w:szCs w:val="18"/>
                <w:color w:val="0000FF"/>
                <w:w w:val="98"/>
              </w:rPr>
            </w:pPr>
            <w:hyperlink r:id="rId168">
              <w:r>
                <w:rPr>
                  <w:rFonts w:ascii="Calibri" w:cs="Calibri" w:eastAsia="Calibri" w:hAnsi="Calibri"/>
                  <w:sz w:val="18"/>
                  <w:szCs w:val="18"/>
                  <w:color w:val="0000FF"/>
                  <w:w w:val="98"/>
                </w:rPr>
                <w:t>Bank of America, N.A., as Administratve Agent.</w:t>
              </w:r>
            </w:hyperlink>
          </w:p>
        </w:tc>
        <w:tc>
          <w:tcPr>
            <w:tcW w:w="860" w:type="dxa"/>
            <w:vAlign w:val="bottom"/>
            <w:tcBorders>
              <w:top w:val="single" w:sz="8" w:color="0000FF"/>
            </w:tcBorders>
            <w:gridSpan w:val="20"/>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10.5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40" w:type="dxa"/>
            <w:vAlign w:val="bottom"/>
            <w:gridSpan w:val="41"/>
          </w:tcPr>
          <w:p>
            <w:pPr>
              <w:spacing w:after="0" w:line="209" w:lineRule="exact"/>
              <w:rPr>
                <w:rFonts w:ascii="Calibri" w:cs="Calibri" w:eastAsia="Calibri" w:hAnsi="Calibri"/>
                <w:sz w:val="18"/>
                <w:szCs w:val="18"/>
                <w:color w:val="0000FF"/>
              </w:rPr>
            </w:pPr>
            <w:hyperlink r:id="rId169">
              <w:r>
                <w:rPr>
                  <w:rFonts w:ascii="Calibri" w:cs="Calibri" w:eastAsia="Calibri" w:hAnsi="Calibri"/>
                  <w:sz w:val="18"/>
                  <w:szCs w:val="18"/>
                  <w:color w:val="0000FF"/>
                </w:rPr>
                <w:t>First Amendment to Credit Agreement, dated as of December</w:t>
              </w:r>
            </w:hyperlink>
          </w:p>
        </w:tc>
        <w:tc>
          <w:tcPr>
            <w:tcW w:w="1060" w:type="dxa"/>
            <w:vAlign w:val="bottom"/>
            <w:gridSpan w:val="2"/>
          </w:tcPr>
          <w:p>
            <w:pPr>
              <w:spacing w:after="0" w:line="209" w:lineRule="exact"/>
              <w:rPr>
                <w:sz w:val="20"/>
                <w:szCs w:val="20"/>
                <w:color w:val="auto"/>
              </w:rPr>
            </w:pPr>
            <w:r>
              <w:rPr>
                <w:rFonts w:ascii="Calibri" w:cs="Calibri" w:eastAsia="Calibri" w:hAnsi="Calibri"/>
                <w:sz w:val="18"/>
                <w:szCs w:val="18"/>
                <w:color w:val="auto"/>
              </w:rPr>
              <w:t>10-Q</w:t>
            </w:r>
          </w:p>
        </w:tc>
        <w:tc>
          <w:tcPr>
            <w:tcW w:w="1180" w:type="dxa"/>
            <w:vAlign w:val="bottom"/>
          </w:tcPr>
          <w:p>
            <w:pPr>
              <w:ind w:left="20"/>
              <w:spacing w:after="0" w:line="209"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rPr>
              <w:t>10.5</w:t>
            </w:r>
          </w:p>
        </w:tc>
        <w:tc>
          <w:tcPr>
            <w:tcW w:w="12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03-14-2024</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38"/>
          </w:tcPr>
          <w:p>
            <w:pPr>
              <w:spacing w:after="0" w:line="156" w:lineRule="exact"/>
              <w:rPr>
                <w:rFonts w:ascii="Calibri" w:cs="Calibri" w:eastAsia="Calibri" w:hAnsi="Calibri"/>
                <w:sz w:val="16"/>
                <w:szCs w:val="16"/>
                <w:color w:val="0000FF"/>
              </w:rPr>
            </w:pPr>
            <w:hyperlink r:id="rId169">
              <w:r>
                <w:rPr>
                  <w:rFonts w:ascii="Calibri" w:cs="Calibri" w:eastAsia="Calibri" w:hAnsi="Calibri"/>
                  <w:sz w:val="16"/>
                  <w:szCs w:val="16"/>
                  <w:color w:val="0000FF"/>
                </w:rPr>
                <w:t>1, 2023, amending the Credit Agreement, dated as of August</w:t>
              </w:r>
            </w:hyperlink>
          </w:p>
        </w:tc>
        <w:tc>
          <w:tcPr>
            <w:tcW w:w="140" w:type="dxa"/>
            <w:vAlign w:val="bottom"/>
            <w:gridSpan w:val="3"/>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40" w:type="dxa"/>
            <w:vAlign w:val="bottom"/>
            <w:tcBorders>
              <w:top w:val="single" w:sz="8" w:color="0000FF"/>
              <w:bottom w:val="single" w:sz="8" w:color="0000FF"/>
            </w:tcBorders>
            <w:gridSpan w:val="26"/>
          </w:tcPr>
          <w:p>
            <w:pPr>
              <w:spacing w:after="0" w:line="169" w:lineRule="exact"/>
              <w:rPr>
                <w:rFonts w:ascii="Calibri" w:cs="Calibri" w:eastAsia="Calibri" w:hAnsi="Calibri"/>
                <w:sz w:val="18"/>
                <w:szCs w:val="18"/>
                <w:color w:val="0000FF"/>
                <w:w w:val="98"/>
              </w:rPr>
            </w:pPr>
            <w:hyperlink r:id="rId169">
              <w:r>
                <w:rPr>
                  <w:rFonts w:ascii="Calibri" w:cs="Calibri" w:eastAsia="Calibri" w:hAnsi="Calibri"/>
                  <w:sz w:val="18"/>
                  <w:szCs w:val="18"/>
                  <w:color w:val="0000FF"/>
                  <w:w w:val="98"/>
                </w:rPr>
                <w:t>15, 2023, among Broadcom, the lenders and other partes</w:t>
              </w:r>
            </w:hyperlink>
          </w:p>
        </w:tc>
        <w:tc>
          <w:tcPr>
            <w:tcW w:w="18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bottom w:val="single" w:sz="8" w:color="0000FF"/>
            </w:tcBorders>
            <w:gridSpan w:val="33"/>
          </w:tcPr>
          <w:p>
            <w:pPr>
              <w:spacing w:after="0" w:line="156" w:lineRule="exact"/>
              <w:rPr>
                <w:rFonts w:ascii="Calibri" w:cs="Calibri" w:eastAsia="Calibri" w:hAnsi="Calibri"/>
                <w:sz w:val="16"/>
                <w:szCs w:val="16"/>
                <w:color w:val="0000FF"/>
              </w:rPr>
            </w:pPr>
            <w:hyperlink r:id="rId169">
              <w:r>
                <w:rPr>
                  <w:rFonts w:ascii="Calibri" w:cs="Calibri" w:eastAsia="Calibri" w:hAnsi="Calibri"/>
                  <w:sz w:val="16"/>
                  <w:szCs w:val="16"/>
                  <w:color w:val="0000FF"/>
                </w:rPr>
                <w:t>thereto, and Bank of America, N.A., as Administratve Agent.</w:t>
              </w:r>
            </w:hyperlink>
          </w:p>
        </w:tc>
        <w:tc>
          <w:tcPr>
            <w:tcW w:w="240" w:type="dxa"/>
            <w:vAlign w:val="bottom"/>
            <w:gridSpan w:val="8"/>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10.6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40" w:type="dxa"/>
            <w:vAlign w:val="bottom"/>
            <w:gridSpan w:val="41"/>
          </w:tcPr>
          <w:p>
            <w:pPr>
              <w:spacing w:after="0" w:line="209" w:lineRule="exact"/>
              <w:rPr>
                <w:rFonts w:ascii="Calibri" w:cs="Calibri" w:eastAsia="Calibri" w:hAnsi="Calibri"/>
                <w:sz w:val="18"/>
                <w:szCs w:val="18"/>
                <w:color w:val="0000FF"/>
              </w:rPr>
            </w:pPr>
            <w:hyperlink r:id="rId170">
              <w:r>
                <w:rPr>
                  <w:rFonts w:ascii="Calibri" w:cs="Calibri" w:eastAsia="Calibri" w:hAnsi="Calibri"/>
                  <w:sz w:val="18"/>
                  <w:szCs w:val="18"/>
                  <w:color w:val="0000FF"/>
                </w:rPr>
                <w:t>Lease Agreement dated August 10, 2017 between Five Point</w:t>
              </w:r>
            </w:hyperlink>
          </w:p>
        </w:tc>
        <w:tc>
          <w:tcPr>
            <w:tcW w:w="1060" w:type="dxa"/>
            <w:vAlign w:val="bottom"/>
            <w:gridSpan w:val="2"/>
          </w:tcPr>
          <w:p>
            <w:pPr>
              <w:spacing w:after="0" w:line="209" w:lineRule="exact"/>
              <w:rPr>
                <w:sz w:val="20"/>
                <w:szCs w:val="20"/>
                <w:color w:val="auto"/>
              </w:rPr>
            </w:pPr>
            <w:r>
              <w:rPr>
                <w:rFonts w:ascii="Calibri" w:cs="Calibri" w:eastAsia="Calibri" w:hAnsi="Calibri"/>
                <w:sz w:val="18"/>
                <w:szCs w:val="18"/>
                <w:color w:val="auto"/>
              </w:rPr>
              <w:t>10-K</w:t>
            </w:r>
          </w:p>
        </w:tc>
        <w:tc>
          <w:tcPr>
            <w:tcW w:w="1180" w:type="dxa"/>
            <w:vAlign w:val="bottom"/>
          </w:tcPr>
          <w:p>
            <w:pPr>
              <w:ind w:left="20"/>
              <w:spacing w:after="0" w:line="209" w:lineRule="exact"/>
              <w:rPr>
                <w:sz w:val="20"/>
                <w:szCs w:val="20"/>
                <w:color w:val="auto"/>
              </w:rPr>
            </w:pPr>
            <w:r>
              <w:rPr>
                <w:rFonts w:ascii="Calibri" w:cs="Calibri" w:eastAsia="Calibri" w:hAnsi="Calibri"/>
                <w:sz w:val="18"/>
                <w:szCs w:val="18"/>
                <w:color w:val="auto"/>
              </w:rPr>
              <w:t>001-37690</w:t>
            </w:r>
          </w:p>
        </w:tc>
        <w:tc>
          <w:tcPr>
            <w:tcW w:w="10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10.29</w:t>
            </w:r>
          </w:p>
        </w:tc>
        <w:tc>
          <w:tcPr>
            <w:tcW w:w="12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12-21-2017</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12"/>
          </w:tcPr>
          <w:p>
            <w:pPr>
              <w:spacing w:after="0" w:line="156" w:lineRule="exact"/>
              <w:rPr>
                <w:rFonts w:ascii="Calibri" w:cs="Calibri" w:eastAsia="Calibri" w:hAnsi="Calibri"/>
                <w:sz w:val="16"/>
                <w:szCs w:val="16"/>
                <w:color w:val="0000FF"/>
              </w:rPr>
            </w:pPr>
            <w:hyperlink r:id="rId170">
              <w:r>
                <w:rPr>
                  <w:rFonts w:ascii="Calibri" w:cs="Calibri" w:eastAsia="Calibri" w:hAnsi="Calibri"/>
                  <w:sz w:val="16"/>
                  <w:szCs w:val="16"/>
                  <w:color w:val="0000FF"/>
                </w:rPr>
                <w:t>Ofce Venture I, LLC and Broadcom Corporaton.</w:t>
              </w:r>
            </w:hyperlink>
          </w:p>
        </w:tc>
        <w:tc>
          <w:tcPr>
            <w:tcW w:w="820" w:type="dxa"/>
            <w:vAlign w:val="bottom"/>
            <w:tcBorders>
              <w:top w:val="single" w:sz="8" w:color="0000FF"/>
            </w:tcBorders>
            <w:gridSpan w:val="20"/>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10.7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41"/>
          </w:tcPr>
          <w:p>
            <w:pPr>
              <w:spacing w:after="0"/>
              <w:rPr>
                <w:rFonts w:ascii="Calibri" w:cs="Calibri" w:eastAsia="Calibri" w:hAnsi="Calibri"/>
                <w:sz w:val="18"/>
                <w:szCs w:val="18"/>
                <w:color w:val="0000FF"/>
              </w:rPr>
            </w:pPr>
            <w:hyperlink r:id="rId171">
              <w:r>
                <w:rPr>
                  <w:rFonts w:ascii="Calibri" w:cs="Calibri" w:eastAsia="Calibri" w:hAnsi="Calibri"/>
                  <w:sz w:val="18"/>
                  <w:szCs w:val="18"/>
                  <w:color w:val="0000FF"/>
                </w:rPr>
                <w:t>First Amendment to Lease Agreement by and between Five</w:t>
              </w:r>
            </w:hyperlink>
          </w:p>
        </w:tc>
        <w:tc>
          <w:tcPr>
            <w:tcW w:w="1060" w:type="dxa"/>
            <w:vAlign w:val="bottom"/>
            <w:gridSpan w:val="2"/>
          </w:tcPr>
          <w:p>
            <w:pPr>
              <w:spacing w:after="0"/>
              <w:rPr>
                <w:sz w:val="20"/>
                <w:szCs w:val="20"/>
                <w:color w:val="auto"/>
              </w:rPr>
            </w:pPr>
            <w:r>
              <w:rPr>
                <w:rFonts w:ascii="Calibri" w:cs="Calibri" w:eastAsia="Calibri" w:hAnsi="Calibri"/>
                <w:sz w:val="18"/>
                <w:szCs w:val="18"/>
                <w:color w:val="auto"/>
              </w:rPr>
              <w:t>10-K</w:t>
            </w:r>
          </w:p>
        </w:tc>
        <w:tc>
          <w:tcPr>
            <w:tcW w:w="1180" w:type="dxa"/>
            <w:vAlign w:val="bottom"/>
          </w:tcPr>
          <w:p>
            <w:pPr>
              <w:ind w:left="20"/>
              <w:spacing w:after="0"/>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7"/>
              </w:rPr>
              <w:t>10.18</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12-18-2020</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30"/>
          </w:tcPr>
          <w:p>
            <w:pPr>
              <w:spacing w:after="0" w:line="156" w:lineRule="exact"/>
              <w:rPr>
                <w:rFonts w:ascii="Calibri" w:cs="Calibri" w:eastAsia="Calibri" w:hAnsi="Calibri"/>
                <w:sz w:val="16"/>
                <w:szCs w:val="16"/>
                <w:color w:val="0000FF"/>
              </w:rPr>
            </w:pPr>
            <w:hyperlink r:id="rId171">
              <w:r>
                <w:rPr>
                  <w:rFonts w:ascii="Calibri" w:cs="Calibri" w:eastAsia="Calibri" w:hAnsi="Calibri"/>
                  <w:sz w:val="16"/>
                  <w:szCs w:val="16"/>
                  <w:color w:val="0000FF"/>
                </w:rPr>
                <w:t>Point Ofce Venture 1, LLC and Broadcom Corporaton.</w:t>
              </w:r>
            </w:hyperlink>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10.8</w:t>
            </w:r>
          </w:p>
        </w:tc>
        <w:tc>
          <w:tcPr>
            <w:tcW w:w="300" w:type="dxa"/>
            <w:vAlign w:val="bottom"/>
          </w:tcPr>
          <w:p>
            <w:pPr>
              <w:jc w:val="right"/>
              <w:ind w:right="70"/>
              <w:spacing w:after="0"/>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4540" w:type="dxa"/>
            <w:vAlign w:val="bottom"/>
            <w:gridSpan w:val="41"/>
          </w:tcPr>
          <w:p>
            <w:pPr>
              <w:spacing w:after="0"/>
              <w:rPr>
                <w:rFonts w:ascii="Calibri" w:cs="Calibri" w:eastAsia="Calibri" w:hAnsi="Calibri"/>
                <w:sz w:val="18"/>
                <w:szCs w:val="18"/>
                <w:color w:val="0000FF"/>
              </w:rPr>
            </w:pPr>
            <w:hyperlink r:id="rId172">
              <w:r>
                <w:rPr>
                  <w:rFonts w:ascii="Calibri" w:cs="Calibri" w:eastAsia="Calibri" w:hAnsi="Calibri"/>
                  <w:sz w:val="18"/>
                  <w:szCs w:val="18"/>
                  <w:color w:val="0000FF"/>
                </w:rPr>
                <w:t>Setlement and Patent License and Non-Assert Agreement by</w:t>
              </w:r>
            </w:hyperlink>
          </w:p>
        </w:tc>
        <w:tc>
          <w:tcPr>
            <w:tcW w:w="1060" w:type="dxa"/>
            <w:vAlign w:val="bottom"/>
            <w:gridSpan w:val="2"/>
          </w:tcPr>
          <w:p>
            <w:pPr>
              <w:spacing w:after="0"/>
              <w:rPr>
                <w:sz w:val="20"/>
                <w:szCs w:val="20"/>
                <w:color w:val="auto"/>
              </w:rPr>
            </w:pPr>
            <w:r>
              <w:rPr>
                <w:rFonts w:ascii="Calibri" w:cs="Calibri" w:eastAsia="Calibri" w:hAnsi="Calibri"/>
                <w:sz w:val="18"/>
                <w:szCs w:val="18"/>
                <w:color w:val="auto"/>
              </w:rPr>
              <w:t>8-K/A</w:t>
            </w:r>
          </w:p>
        </w:tc>
        <w:tc>
          <w:tcPr>
            <w:tcW w:w="1180" w:type="dxa"/>
            <w:vAlign w:val="bottom"/>
          </w:tcPr>
          <w:p>
            <w:pPr>
              <w:ind w:left="20"/>
              <w:spacing w:after="0"/>
              <w:rPr>
                <w:sz w:val="20"/>
                <w:szCs w:val="20"/>
                <w:color w:val="auto"/>
              </w:rPr>
            </w:pPr>
            <w:r>
              <w:rPr>
                <w:rFonts w:ascii="Calibri" w:cs="Calibri" w:eastAsia="Calibri" w:hAnsi="Calibri"/>
                <w:sz w:val="18"/>
                <w:szCs w:val="18"/>
                <w:color w:val="auto"/>
              </w:rPr>
              <w:t>000-23993</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rPr>
              <w:t>10.1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07-23-2009</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36"/>
          </w:tcPr>
          <w:p>
            <w:pPr>
              <w:spacing w:after="0" w:line="156" w:lineRule="exact"/>
              <w:rPr>
                <w:rFonts w:ascii="Calibri" w:cs="Calibri" w:eastAsia="Calibri" w:hAnsi="Calibri"/>
                <w:sz w:val="16"/>
                <w:szCs w:val="16"/>
                <w:color w:val="0000FF"/>
              </w:rPr>
            </w:pPr>
            <w:hyperlink r:id="rId172">
              <w:r>
                <w:rPr>
                  <w:rFonts w:ascii="Calibri" w:cs="Calibri" w:eastAsia="Calibri" w:hAnsi="Calibri"/>
                  <w:sz w:val="16"/>
                  <w:szCs w:val="16"/>
                  <w:color w:val="0000FF"/>
                </w:rPr>
                <w:t>and between Qualcomm Incorporated and Broadcom</w:t>
              </w:r>
            </w:hyperlink>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tcBorders>
              <w:top w:val="single" w:sz="8" w:color="0000FF"/>
            </w:tcBorders>
            <w:gridSpan w:val="17"/>
          </w:tcPr>
          <w:p>
            <w:pPr>
              <w:spacing w:after="0" w:line="169" w:lineRule="exact"/>
              <w:rPr>
                <w:rFonts w:ascii="Calibri" w:cs="Calibri" w:eastAsia="Calibri" w:hAnsi="Calibri"/>
                <w:sz w:val="18"/>
                <w:szCs w:val="18"/>
                <w:color w:val="0000FF"/>
              </w:rPr>
            </w:pPr>
            <w:hyperlink r:id="rId172">
              <w:r>
                <w:rPr>
                  <w:rFonts w:ascii="Calibri" w:cs="Calibri" w:eastAsia="Calibri" w:hAnsi="Calibri"/>
                  <w:sz w:val="18"/>
                  <w:szCs w:val="18"/>
                  <w:color w:val="0000FF"/>
                </w:rPr>
                <w:t>Corporaton.</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4"/>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10.9</w:t>
            </w:r>
          </w:p>
        </w:tc>
        <w:tc>
          <w:tcPr>
            <w:tcW w:w="300" w:type="dxa"/>
            <w:vAlign w:val="bottom"/>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4540" w:type="dxa"/>
            <w:vAlign w:val="bottom"/>
            <w:gridSpan w:val="41"/>
          </w:tcPr>
          <w:p>
            <w:pPr>
              <w:spacing w:after="0" w:line="209" w:lineRule="exact"/>
              <w:rPr>
                <w:rFonts w:ascii="Calibri" w:cs="Calibri" w:eastAsia="Calibri" w:hAnsi="Calibri"/>
                <w:sz w:val="18"/>
                <w:szCs w:val="18"/>
                <w:color w:val="0000FF"/>
              </w:rPr>
            </w:pPr>
            <w:hyperlink r:id="rId173">
              <w:r>
                <w:rPr>
                  <w:rFonts w:ascii="Calibri" w:cs="Calibri" w:eastAsia="Calibri" w:hAnsi="Calibri"/>
                  <w:sz w:val="18"/>
                  <w:szCs w:val="18"/>
                  <w:color w:val="0000FF"/>
                </w:rPr>
                <w:t>Avago Technologies Limited 2009 Equity Incentve Award</w:t>
              </w:r>
            </w:hyperlink>
          </w:p>
        </w:tc>
        <w:tc>
          <w:tcPr>
            <w:tcW w:w="1060" w:type="dxa"/>
            <w:vAlign w:val="bottom"/>
            <w:gridSpan w:val="2"/>
          </w:tcPr>
          <w:p>
            <w:pPr>
              <w:spacing w:after="0" w:line="209" w:lineRule="exact"/>
              <w:rPr>
                <w:sz w:val="20"/>
                <w:szCs w:val="20"/>
                <w:color w:val="auto"/>
              </w:rPr>
            </w:pPr>
            <w:r>
              <w:rPr>
                <w:rFonts w:ascii="Calibri" w:cs="Calibri" w:eastAsia="Calibri" w:hAnsi="Calibri"/>
                <w:sz w:val="18"/>
                <w:szCs w:val="18"/>
                <w:color w:val="auto"/>
              </w:rPr>
              <w:t>S-1/A</w:t>
            </w:r>
          </w:p>
        </w:tc>
        <w:tc>
          <w:tcPr>
            <w:tcW w:w="1180" w:type="dxa"/>
            <w:vAlign w:val="bottom"/>
          </w:tcPr>
          <w:p>
            <w:pPr>
              <w:ind w:left="20"/>
              <w:spacing w:after="0" w:line="209" w:lineRule="exact"/>
              <w:rPr>
                <w:sz w:val="20"/>
                <w:szCs w:val="20"/>
                <w:color w:val="auto"/>
              </w:rPr>
            </w:pPr>
            <w:r>
              <w:rPr>
                <w:rFonts w:ascii="Calibri" w:cs="Calibri" w:eastAsia="Calibri" w:hAnsi="Calibri"/>
                <w:sz w:val="18"/>
                <w:szCs w:val="18"/>
                <w:color w:val="auto"/>
              </w:rPr>
              <w:t>333-153127</w:t>
            </w:r>
          </w:p>
        </w:tc>
        <w:tc>
          <w:tcPr>
            <w:tcW w:w="10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10.18</w:t>
            </w:r>
          </w:p>
        </w:tc>
        <w:tc>
          <w:tcPr>
            <w:tcW w:w="12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07-27-2009</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Calibri" w:cs="Calibri" w:eastAsia="Calibri" w:hAnsi="Calibri"/>
                <w:sz w:val="16"/>
                <w:szCs w:val="16"/>
                <w:color w:val="0000FF"/>
              </w:rPr>
            </w:pPr>
            <w:hyperlink r:id="rId173">
              <w:r>
                <w:rPr>
                  <w:rFonts w:ascii="Calibri" w:cs="Calibri" w:eastAsia="Calibri" w:hAnsi="Calibri"/>
                  <w:sz w:val="16"/>
                  <w:szCs w:val="16"/>
                  <w:color w:val="0000FF"/>
                </w:rPr>
                <w:t>Plan.</w:t>
              </w:r>
            </w:hyperlink>
          </w:p>
        </w:tc>
        <w:tc>
          <w:tcPr>
            <w:tcW w:w="36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10.10</w:t>
            </w:r>
          </w:p>
        </w:tc>
        <w:tc>
          <w:tcPr>
            <w:tcW w:w="300" w:type="dxa"/>
            <w:vAlign w:val="bottom"/>
          </w:tcPr>
          <w:p>
            <w:pPr>
              <w:jc w:val="right"/>
              <w:ind w:right="70"/>
              <w:spacing w:after="0"/>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4540" w:type="dxa"/>
            <w:vAlign w:val="bottom"/>
            <w:gridSpan w:val="41"/>
          </w:tcPr>
          <w:p>
            <w:pPr>
              <w:spacing w:after="0"/>
              <w:rPr>
                <w:rFonts w:ascii="Calibri" w:cs="Calibri" w:eastAsia="Calibri" w:hAnsi="Calibri"/>
                <w:sz w:val="18"/>
                <w:szCs w:val="18"/>
                <w:color w:val="0000FF"/>
              </w:rPr>
            </w:pPr>
            <w:hyperlink r:id="rId174">
              <w:r>
                <w:rPr>
                  <w:rFonts w:ascii="Calibri" w:cs="Calibri" w:eastAsia="Calibri" w:hAnsi="Calibri"/>
                  <w:sz w:val="18"/>
                  <w:szCs w:val="18"/>
                  <w:color w:val="0000FF"/>
                </w:rPr>
                <w:t>Broadcom Inc. Employee Stock Purchase Plan (as amended</w:t>
              </w:r>
            </w:hyperlink>
          </w:p>
        </w:tc>
        <w:tc>
          <w:tcPr>
            <w:tcW w:w="1060" w:type="dxa"/>
            <w:vAlign w:val="bottom"/>
            <w:gridSpan w:val="2"/>
          </w:tcPr>
          <w:p>
            <w:pPr>
              <w:spacing w:after="0"/>
              <w:rPr>
                <w:sz w:val="20"/>
                <w:szCs w:val="20"/>
                <w:color w:val="auto"/>
              </w:rPr>
            </w:pPr>
            <w:r>
              <w:rPr>
                <w:rFonts w:ascii="Calibri" w:cs="Calibri" w:eastAsia="Calibri" w:hAnsi="Calibri"/>
                <w:sz w:val="18"/>
                <w:szCs w:val="18"/>
                <w:color w:val="auto"/>
              </w:rPr>
              <w:t>Schedule</w:t>
            </w:r>
          </w:p>
        </w:tc>
        <w:tc>
          <w:tcPr>
            <w:tcW w:w="1180" w:type="dxa"/>
            <w:vAlign w:val="bottom"/>
          </w:tcPr>
          <w:p>
            <w:pPr>
              <w:ind w:left="20"/>
              <w:spacing w:after="0"/>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9"/>
                <w:szCs w:val="19"/>
                <w:color w:val="auto"/>
              </w:rPr>
            </w:pPr>
          </w:p>
        </w:tc>
        <w:tc>
          <w:tcPr>
            <w:tcW w:w="1120" w:type="dxa"/>
            <w:vAlign w:val="bottom"/>
            <w:gridSpan w:val="2"/>
          </w:tcPr>
          <w:p>
            <w:pPr>
              <w:jc w:val="center"/>
              <w:ind w:right="120"/>
              <w:spacing w:after="0"/>
              <w:rPr>
                <w:sz w:val="20"/>
                <w:szCs w:val="20"/>
                <w:color w:val="auto"/>
              </w:rPr>
            </w:pPr>
            <w:r>
              <w:rPr>
                <w:rFonts w:ascii="Calibri" w:cs="Calibri" w:eastAsia="Calibri" w:hAnsi="Calibri"/>
                <w:sz w:val="18"/>
                <w:szCs w:val="18"/>
                <w:color w:val="auto"/>
                <w:w w:val="98"/>
              </w:rPr>
              <w:t>Appendix B-1</w:t>
            </w: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02-19-2019</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tcBorders>
            <w:gridSpan w:val="29"/>
          </w:tcPr>
          <w:p>
            <w:pPr>
              <w:spacing w:after="0" w:line="156" w:lineRule="exact"/>
              <w:rPr>
                <w:rFonts w:ascii="Calibri" w:cs="Calibri" w:eastAsia="Calibri" w:hAnsi="Calibri"/>
                <w:sz w:val="16"/>
                <w:szCs w:val="16"/>
                <w:color w:val="0000FF"/>
              </w:rPr>
            </w:pPr>
            <w:hyperlink r:id="rId174">
              <w:r>
                <w:rPr>
                  <w:rFonts w:ascii="Calibri" w:cs="Calibri" w:eastAsia="Calibri" w:hAnsi="Calibri"/>
                  <w:sz w:val="16"/>
                  <w:szCs w:val="16"/>
                  <w:color w:val="0000FF"/>
                </w:rPr>
                <w:t>and restated on April 1, 2019).</w:t>
              </w:r>
            </w:hyperlink>
          </w:p>
        </w:tc>
        <w:tc>
          <w:tcPr>
            <w:tcW w:w="14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1060" w:type="dxa"/>
            <w:vAlign w:val="bottom"/>
            <w:gridSpan w:val="2"/>
          </w:tcPr>
          <w:p>
            <w:pPr>
              <w:spacing w:after="0" w:line="156" w:lineRule="exact"/>
              <w:rPr>
                <w:sz w:val="20"/>
                <w:szCs w:val="20"/>
                <w:color w:val="auto"/>
              </w:rPr>
            </w:pPr>
            <w:r>
              <w:rPr>
                <w:rFonts w:ascii="Calibri" w:cs="Calibri" w:eastAsia="Calibri" w:hAnsi="Calibri"/>
                <w:sz w:val="16"/>
                <w:szCs w:val="16"/>
                <w:color w:val="auto"/>
              </w:rPr>
              <w:t>14A</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10.11</w:t>
            </w:r>
          </w:p>
        </w:tc>
        <w:tc>
          <w:tcPr>
            <w:tcW w:w="300" w:type="dxa"/>
            <w:vAlign w:val="bottom"/>
          </w:tcPr>
          <w:p>
            <w:pPr>
              <w:jc w:val="right"/>
              <w:ind w:right="70"/>
              <w:spacing w:after="0"/>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4020" w:type="dxa"/>
            <w:vAlign w:val="bottom"/>
            <w:tcBorders>
              <w:bottom w:val="single" w:sz="8" w:color="0000FF"/>
            </w:tcBorders>
            <w:gridSpan w:val="22"/>
          </w:tcPr>
          <w:p>
            <w:pPr>
              <w:spacing w:after="0"/>
              <w:rPr>
                <w:rFonts w:ascii="Calibri" w:cs="Calibri" w:eastAsia="Calibri" w:hAnsi="Calibri"/>
                <w:sz w:val="18"/>
                <w:szCs w:val="18"/>
                <w:color w:val="0000FF"/>
                <w:w w:val="98"/>
              </w:rPr>
            </w:pPr>
            <w:hyperlink r:id="rId175">
              <w:r>
                <w:rPr>
                  <w:rFonts w:ascii="Calibri" w:cs="Calibri" w:eastAsia="Calibri" w:hAnsi="Calibri"/>
                  <w:sz w:val="18"/>
                  <w:szCs w:val="18"/>
                  <w:color w:val="0000FF"/>
                  <w:w w:val="98"/>
                </w:rPr>
                <w:t>LSI Corporaton 2003 Equity Incentve Plan, as amended.</w:t>
              </w:r>
            </w:hyperlink>
          </w:p>
        </w:tc>
        <w:tc>
          <w:tcPr>
            <w:tcW w:w="520" w:type="dxa"/>
            <w:vAlign w:val="bottom"/>
            <w:gridSpan w:val="19"/>
          </w:tcPr>
          <w:p>
            <w:pPr>
              <w:spacing w:after="0"/>
              <w:rPr>
                <w:sz w:val="19"/>
                <w:szCs w:val="19"/>
                <w:color w:val="auto"/>
              </w:rPr>
            </w:pPr>
          </w:p>
        </w:tc>
        <w:tc>
          <w:tcPr>
            <w:tcW w:w="1060" w:type="dxa"/>
            <w:vAlign w:val="bottom"/>
            <w:gridSpan w:val="2"/>
          </w:tcPr>
          <w:p>
            <w:pPr>
              <w:spacing w:after="0"/>
              <w:rPr>
                <w:sz w:val="20"/>
                <w:szCs w:val="20"/>
                <w:color w:val="auto"/>
              </w:rPr>
            </w:pPr>
            <w:r>
              <w:rPr>
                <w:rFonts w:ascii="Calibri" w:cs="Calibri" w:eastAsia="Calibri" w:hAnsi="Calibri"/>
                <w:sz w:val="18"/>
                <w:szCs w:val="18"/>
                <w:color w:val="auto"/>
              </w:rPr>
              <w:t>S-8</w:t>
            </w:r>
          </w:p>
        </w:tc>
        <w:tc>
          <w:tcPr>
            <w:tcW w:w="1180" w:type="dxa"/>
            <w:vAlign w:val="bottom"/>
          </w:tcPr>
          <w:p>
            <w:pPr>
              <w:ind w:left="20"/>
              <w:spacing w:after="0"/>
              <w:rPr>
                <w:sz w:val="20"/>
                <w:szCs w:val="20"/>
                <w:color w:val="auto"/>
              </w:rPr>
            </w:pPr>
            <w:r>
              <w:rPr>
                <w:rFonts w:ascii="Calibri" w:cs="Calibri" w:eastAsia="Calibri" w:hAnsi="Calibri"/>
                <w:sz w:val="18"/>
                <w:szCs w:val="18"/>
                <w:color w:val="auto"/>
              </w:rPr>
              <w:t>333-195741</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05-06-2014</w:t>
            </w: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10.12</w:t>
            </w:r>
          </w:p>
        </w:tc>
        <w:tc>
          <w:tcPr>
            <w:tcW w:w="300" w:type="dxa"/>
            <w:vAlign w:val="bottom"/>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4540" w:type="dxa"/>
            <w:vAlign w:val="bottom"/>
            <w:gridSpan w:val="41"/>
          </w:tcPr>
          <w:p>
            <w:pPr>
              <w:spacing w:after="0" w:line="209" w:lineRule="exact"/>
              <w:rPr>
                <w:rFonts w:ascii="Calibri" w:cs="Calibri" w:eastAsia="Calibri" w:hAnsi="Calibri"/>
                <w:sz w:val="18"/>
                <w:szCs w:val="18"/>
                <w:color w:val="0000FF"/>
              </w:rPr>
            </w:pPr>
            <w:hyperlink r:id="rId176">
              <w:r>
                <w:rPr>
                  <w:rFonts w:ascii="Calibri" w:cs="Calibri" w:eastAsia="Calibri" w:hAnsi="Calibri"/>
                  <w:sz w:val="18"/>
                  <w:szCs w:val="18"/>
                  <w:color w:val="0000FF"/>
                </w:rPr>
                <w:t>Amendment to the LSI Corporaton 2003 Equity Incentve</w:t>
              </w:r>
            </w:hyperlink>
          </w:p>
        </w:tc>
        <w:tc>
          <w:tcPr>
            <w:tcW w:w="1060" w:type="dxa"/>
            <w:vAlign w:val="bottom"/>
            <w:gridSpan w:val="2"/>
          </w:tcPr>
          <w:p>
            <w:pPr>
              <w:spacing w:after="0" w:line="209" w:lineRule="exact"/>
              <w:rPr>
                <w:sz w:val="20"/>
                <w:szCs w:val="20"/>
                <w:color w:val="auto"/>
              </w:rPr>
            </w:pPr>
            <w:r>
              <w:rPr>
                <w:rFonts w:ascii="Calibri" w:cs="Calibri" w:eastAsia="Calibri" w:hAnsi="Calibri"/>
                <w:sz w:val="18"/>
                <w:szCs w:val="18"/>
                <w:color w:val="auto"/>
              </w:rPr>
              <w:t>10-K</w:t>
            </w:r>
          </w:p>
        </w:tc>
        <w:tc>
          <w:tcPr>
            <w:tcW w:w="1180" w:type="dxa"/>
            <w:vAlign w:val="bottom"/>
          </w:tcPr>
          <w:p>
            <w:pPr>
              <w:ind w:left="20"/>
              <w:spacing w:after="0" w:line="209" w:lineRule="exact"/>
              <w:rPr>
                <w:sz w:val="20"/>
                <w:szCs w:val="20"/>
                <w:color w:val="auto"/>
              </w:rPr>
            </w:pPr>
            <w:r>
              <w:rPr>
                <w:rFonts w:ascii="Calibri" w:cs="Calibri" w:eastAsia="Calibri" w:hAnsi="Calibri"/>
                <w:sz w:val="18"/>
                <w:szCs w:val="18"/>
                <w:color w:val="auto"/>
              </w:rPr>
              <w:t>001-37690</w:t>
            </w:r>
          </w:p>
        </w:tc>
        <w:tc>
          <w:tcPr>
            <w:tcW w:w="10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10.45</w:t>
            </w:r>
          </w:p>
        </w:tc>
        <w:tc>
          <w:tcPr>
            <w:tcW w:w="12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12-23-2016</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9"/>
          </w:tcPr>
          <w:p>
            <w:pPr>
              <w:spacing w:after="0" w:line="156" w:lineRule="exact"/>
              <w:rPr>
                <w:rFonts w:ascii="Calibri" w:cs="Calibri" w:eastAsia="Calibri" w:hAnsi="Calibri"/>
                <w:sz w:val="16"/>
                <w:szCs w:val="16"/>
                <w:color w:val="0000FF"/>
              </w:rPr>
            </w:pPr>
            <w:hyperlink r:id="rId176">
              <w:r>
                <w:rPr>
                  <w:rFonts w:ascii="Calibri" w:cs="Calibri" w:eastAsia="Calibri" w:hAnsi="Calibri"/>
                  <w:sz w:val="16"/>
                  <w:szCs w:val="16"/>
                  <w:color w:val="0000FF"/>
                </w:rPr>
                <w:t>Plan (efectve February 1, 2016).</w:t>
              </w:r>
            </w:hyperlink>
          </w:p>
        </w:tc>
        <w:tc>
          <w:tcPr>
            <w:tcW w:w="1700" w:type="dxa"/>
            <w:vAlign w:val="bottom"/>
            <w:tcBorders>
              <w:top w:val="single" w:sz="8" w:color="0000FF"/>
            </w:tcBorders>
            <w:gridSpan w:val="15"/>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10.13</w:t>
            </w:r>
          </w:p>
        </w:tc>
        <w:tc>
          <w:tcPr>
            <w:tcW w:w="300" w:type="dxa"/>
            <w:vAlign w:val="bottom"/>
          </w:tcPr>
          <w:p>
            <w:pPr>
              <w:jc w:val="right"/>
              <w:ind w:right="70"/>
              <w:spacing w:after="0"/>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4540" w:type="dxa"/>
            <w:vAlign w:val="bottom"/>
            <w:gridSpan w:val="41"/>
          </w:tcPr>
          <w:p>
            <w:pPr>
              <w:spacing w:after="0"/>
              <w:rPr>
                <w:rFonts w:ascii="Calibri" w:cs="Calibri" w:eastAsia="Calibri" w:hAnsi="Calibri"/>
                <w:sz w:val="18"/>
                <w:szCs w:val="18"/>
                <w:color w:val="0000FF"/>
              </w:rPr>
            </w:pPr>
            <w:hyperlink r:id="rId177">
              <w:r>
                <w:rPr>
                  <w:rFonts w:ascii="Calibri" w:cs="Calibri" w:eastAsia="Calibri" w:hAnsi="Calibri"/>
                  <w:sz w:val="18"/>
                  <w:szCs w:val="18"/>
                  <w:color w:val="0000FF"/>
                </w:rPr>
                <w:t>Amendment to the LSI Corporaton 2003 Equity Incentve</w:t>
              </w:r>
            </w:hyperlink>
          </w:p>
        </w:tc>
        <w:tc>
          <w:tcPr>
            <w:tcW w:w="1060" w:type="dxa"/>
            <w:vAlign w:val="bottom"/>
            <w:gridSpan w:val="2"/>
          </w:tcPr>
          <w:p>
            <w:pPr>
              <w:spacing w:after="0"/>
              <w:rPr>
                <w:sz w:val="20"/>
                <w:szCs w:val="20"/>
                <w:color w:val="auto"/>
              </w:rPr>
            </w:pPr>
            <w:r>
              <w:rPr>
                <w:rFonts w:ascii="Calibri" w:cs="Calibri" w:eastAsia="Calibri" w:hAnsi="Calibri"/>
                <w:sz w:val="18"/>
                <w:szCs w:val="18"/>
                <w:color w:val="auto"/>
              </w:rPr>
              <w:t>8-K12B</w:t>
            </w:r>
          </w:p>
        </w:tc>
        <w:tc>
          <w:tcPr>
            <w:tcW w:w="1180" w:type="dxa"/>
            <w:vAlign w:val="bottom"/>
          </w:tcPr>
          <w:p>
            <w:pPr>
              <w:ind w:left="20"/>
              <w:spacing w:after="0"/>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7"/>
              </w:rPr>
              <w:t>10.10</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04-04-2018</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7"/>
          </w:tcPr>
          <w:p>
            <w:pPr>
              <w:spacing w:after="0" w:line="156" w:lineRule="exact"/>
              <w:rPr>
                <w:rFonts w:ascii="Calibri" w:cs="Calibri" w:eastAsia="Calibri" w:hAnsi="Calibri"/>
                <w:sz w:val="16"/>
                <w:szCs w:val="16"/>
                <w:color w:val="0000FF"/>
              </w:rPr>
            </w:pPr>
            <w:hyperlink r:id="rId177">
              <w:r>
                <w:rPr>
                  <w:rFonts w:ascii="Calibri" w:cs="Calibri" w:eastAsia="Calibri" w:hAnsi="Calibri"/>
                  <w:sz w:val="16"/>
                  <w:szCs w:val="16"/>
                  <w:color w:val="0000FF"/>
                </w:rPr>
                <w:t>Plan (efectve April 4, 2018).</w:t>
              </w:r>
            </w:hyperlink>
          </w:p>
        </w:tc>
        <w:tc>
          <w:tcPr>
            <w:tcW w:w="2000" w:type="dxa"/>
            <w:vAlign w:val="bottom"/>
            <w:tcBorders>
              <w:top w:val="single" w:sz="8" w:color="0000FF"/>
            </w:tcBorders>
            <w:gridSpan w:val="17"/>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10.14</w:t>
            </w:r>
          </w:p>
        </w:tc>
        <w:tc>
          <w:tcPr>
            <w:tcW w:w="300" w:type="dxa"/>
            <w:vAlign w:val="bottom"/>
          </w:tcPr>
          <w:p>
            <w:pPr>
              <w:jc w:val="right"/>
              <w:ind w:right="70"/>
              <w:spacing w:after="0"/>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4540" w:type="dxa"/>
            <w:vAlign w:val="bottom"/>
            <w:gridSpan w:val="41"/>
          </w:tcPr>
          <w:p>
            <w:pPr>
              <w:spacing w:after="0"/>
              <w:rPr>
                <w:rFonts w:ascii="Calibri" w:cs="Calibri" w:eastAsia="Calibri" w:hAnsi="Calibri"/>
                <w:sz w:val="18"/>
                <w:szCs w:val="18"/>
                <w:color w:val="0000FF"/>
              </w:rPr>
            </w:pPr>
            <w:hyperlink r:id="rId178">
              <w:r>
                <w:rPr>
                  <w:rFonts w:ascii="Calibri" w:cs="Calibri" w:eastAsia="Calibri" w:hAnsi="Calibri"/>
                  <w:sz w:val="18"/>
                  <w:szCs w:val="18"/>
                  <w:color w:val="0000FF"/>
                </w:rPr>
                <w:t>Broadcom Inc. 2012 Stock Incentve Plan (as amended and</w:t>
              </w:r>
            </w:hyperlink>
          </w:p>
        </w:tc>
        <w:tc>
          <w:tcPr>
            <w:tcW w:w="1060" w:type="dxa"/>
            <w:vAlign w:val="bottom"/>
            <w:gridSpan w:val="2"/>
          </w:tcPr>
          <w:p>
            <w:pPr>
              <w:spacing w:after="0"/>
              <w:rPr>
                <w:sz w:val="20"/>
                <w:szCs w:val="20"/>
                <w:color w:val="auto"/>
              </w:rPr>
            </w:pPr>
            <w:r>
              <w:rPr>
                <w:rFonts w:ascii="Calibri" w:cs="Calibri" w:eastAsia="Calibri" w:hAnsi="Calibri"/>
                <w:sz w:val="18"/>
                <w:szCs w:val="18"/>
                <w:color w:val="auto"/>
              </w:rPr>
              <w:t>10-Q</w:t>
            </w:r>
          </w:p>
        </w:tc>
        <w:tc>
          <w:tcPr>
            <w:tcW w:w="1180" w:type="dxa"/>
            <w:vAlign w:val="bottom"/>
          </w:tcPr>
          <w:p>
            <w:pPr>
              <w:ind w:left="20"/>
              <w:spacing w:after="0"/>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rPr>
              <w:t>10.1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06-11-2021</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tcBorders>
            <w:gridSpan w:val="27"/>
          </w:tcPr>
          <w:p>
            <w:pPr>
              <w:spacing w:after="0" w:line="156" w:lineRule="exact"/>
              <w:rPr>
                <w:rFonts w:ascii="Calibri" w:cs="Calibri" w:eastAsia="Calibri" w:hAnsi="Calibri"/>
                <w:sz w:val="16"/>
                <w:szCs w:val="16"/>
                <w:color w:val="0000FF"/>
              </w:rPr>
            </w:pPr>
            <w:hyperlink r:id="rId178">
              <w:r>
                <w:rPr>
                  <w:rFonts w:ascii="Calibri" w:cs="Calibri" w:eastAsia="Calibri" w:hAnsi="Calibri"/>
                  <w:sz w:val="16"/>
                  <w:szCs w:val="16"/>
                  <w:color w:val="0000FF"/>
                </w:rPr>
                <w:t>restated on April 5, 2021).</w:t>
              </w:r>
            </w:hyperlink>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10.15</w:t>
            </w:r>
          </w:p>
        </w:tc>
        <w:tc>
          <w:tcPr>
            <w:tcW w:w="300" w:type="dxa"/>
            <w:vAlign w:val="bottom"/>
          </w:tcPr>
          <w:p>
            <w:pPr>
              <w:jc w:val="right"/>
              <w:ind w:right="70"/>
              <w:spacing w:after="0"/>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4540" w:type="dxa"/>
            <w:vAlign w:val="bottom"/>
            <w:gridSpan w:val="41"/>
          </w:tcPr>
          <w:p>
            <w:pPr>
              <w:spacing w:after="0"/>
              <w:rPr>
                <w:rFonts w:ascii="Calibri" w:cs="Calibri" w:eastAsia="Calibri" w:hAnsi="Calibri"/>
                <w:sz w:val="18"/>
                <w:szCs w:val="18"/>
                <w:color w:val="0000FF"/>
              </w:rPr>
            </w:pPr>
            <w:hyperlink r:id="rId179">
              <w:r>
                <w:rPr>
                  <w:rFonts w:ascii="Calibri" w:cs="Calibri" w:eastAsia="Calibri" w:hAnsi="Calibri"/>
                  <w:sz w:val="18"/>
                  <w:szCs w:val="18"/>
                  <w:color w:val="0000FF"/>
                </w:rPr>
                <w:t>VMware, Inc. Amended and Restated 2007 Equity and</w:t>
              </w:r>
            </w:hyperlink>
          </w:p>
        </w:tc>
        <w:tc>
          <w:tcPr>
            <w:tcW w:w="1060" w:type="dxa"/>
            <w:vAlign w:val="bottom"/>
            <w:gridSpan w:val="2"/>
          </w:tcPr>
          <w:p>
            <w:pPr>
              <w:spacing w:after="0"/>
              <w:rPr>
                <w:sz w:val="20"/>
                <w:szCs w:val="20"/>
                <w:color w:val="auto"/>
              </w:rPr>
            </w:pPr>
            <w:r>
              <w:rPr>
                <w:rFonts w:ascii="Calibri" w:cs="Calibri" w:eastAsia="Calibri" w:hAnsi="Calibri"/>
                <w:sz w:val="18"/>
                <w:szCs w:val="18"/>
                <w:color w:val="auto"/>
              </w:rPr>
              <w:t>S-8</w:t>
            </w:r>
          </w:p>
        </w:tc>
        <w:tc>
          <w:tcPr>
            <w:tcW w:w="1180" w:type="dxa"/>
            <w:vAlign w:val="bottom"/>
          </w:tcPr>
          <w:p>
            <w:pPr>
              <w:ind w:left="20"/>
              <w:spacing w:after="0"/>
              <w:rPr>
                <w:sz w:val="20"/>
                <w:szCs w:val="20"/>
                <w:color w:val="auto"/>
              </w:rPr>
            </w:pPr>
            <w:r>
              <w:rPr>
                <w:rFonts w:ascii="Calibri" w:cs="Calibri" w:eastAsia="Calibri" w:hAnsi="Calibri"/>
                <w:sz w:val="18"/>
                <w:szCs w:val="18"/>
                <w:color w:val="auto"/>
              </w:rPr>
              <w:t>333-275702</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rPr>
              <w:t>99.1</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11-22-2023</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4"/>
          </w:tcPr>
          <w:p>
            <w:pPr>
              <w:spacing w:after="0" w:line="156" w:lineRule="exact"/>
              <w:rPr>
                <w:rFonts w:ascii="Calibri" w:cs="Calibri" w:eastAsia="Calibri" w:hAnsi="Calibri"/>
                <w:sz w:val="16"/>
                <w:szCs w:val="16"/>
                <w:color w:val="0000FF"/>
              </w:rPr>
            </w:pPr>
            <w:hyperlink r:id="rId179">
              <w:r>
                <w:rPr>
                  <w:rFonts w:ascii="Calibri" w:cs="Calibri" w:eastAsia="Calibri" w:hAnsi="Calibri"/>
                  <w:sz w:val="16"/>
                  <w:szCs w:val="16"/>
                  <w:color w:val="0000FF"/>
                </w:rPr>
                <w:t>Incentve Plan.</w:t>
              </w:r>
            </w:hyperlink>
          </w:p>
        </w:tc>
        <w:tc>
          <w:tcPr>
            <w:tcW w:w="2780" w:type="dxa"/>
            <w:vAlign w:val="bottom"/>
            <w:tcBorders>
              <w:top w:val="single" w:sz="8" w:color="0000FF"/>
            </w:tcBorders>
            <w:gridSpan w:val="14"/>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10.16</w:t>
            </w:r>
          </w:p>
        </w:tc>
        <w:tc>
          <w:tcPr>
            <w:tcW w:w="300" w:type="dxa"/>
            <w:vAlign w:val="bottom"/>
          </w:tcPr>
          <w:p>
            <w:pPr>
              <w:jc w:val="right"/>
              <w:ind w:right="70"/>
              <w:spacing w:after="0"/>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3760" w:type="dxa"/>
            <w:vAlign w:val="bottom"/>
            <w:tcBorders>
              <w:bottom w:val="single" w:sz="8" w:color="0000FF"/>
            </w:tcBorders>
            <w:gridSpan w:val="16"/>
          </w:tcPr>
          <w:p>
            <w:pPr>
              <w:spacing w:after="0"/>
              <w:rPr>
                <w:rFonts w:ascii="Calibri" w:cs="Calibri" w:eastAsia="Calibri" w:hAnsi="Calibri"/>
                <w:sz w:val="18"/>
                <w:szCs w:val="18"/>
                <w:color w:val="0000FF"/>
                <w:w w:val="98"/>
              </w:rPr>
            </w:pPr>
            <w:hyperlink r:id="rId180">
              <w:r>
                <w:rPr>
                  <w:rFonts w:ascii="Calibri" w:cs="Calibri" w:eastAsia="Calibri" w:hAnsi="Calibri"/>
                  <w:sz w:val="18"/>
                  <w:szCs w:val="18"/>
                  <w:color w:val="0000FF"/>
                  <w:w w:val="98"/>
                </w:rPr>
                <w:t>Form of Annual Bonus Plan for Executve Employees.</w:t>
              </w:r>
            </w:hyperlink>
          </w:p>
        </w:tc>
        <w:tc>
          <w:tcPr>
            <w:tcW w:w="780" w:type="dxa"/>
            <w:vAlign w:val="bottom"/>
            <w:gridSpan w:val="25"/>
          </w:tcPr>
          <w:p>
            <w:pPr>
              <w:spacing w:after="0"/>
              <w:rPr>
                <w:sz w:val="19"/>
                <w:szCs w:val="19"/>
                <w:color w:val="auto"/>
              </w:rPr>
            </w:pPr>
          </w:p>
        </w:tc>
        <w:tc>
          <w:tcPr>
            <w:tcW w:w="1060" w:type="dxa"/>
            <w:vAlign w:val="bottom"/>
            <w:gridSpan w:val="2"/>
          </w:tcPr>
          <w:p>
            <w:pPr>
              <w:spacing w:after="0"/>
              <w:rPr>
                <w:sz w:val="20"/>
                <w:szCs w:val="20"/>
                <w:color w:val="auto"/>
              </w:rPr>
            </w:pPr>
            <w:r>
              <w:rPr>
                <w:rFonts w:ascii="Calibri" w:cs="Calibri" w:eastAsia="Calibri" w:hAnsi="Calibri"/>
                <w:sz w:val="18"/>
                <w:szCs w:val="18"/>
                <w:color w:val="auto"/>
              </w:rPr>
              <w:t>10-K</w:t>
            </w:r>
          </w:p>
        </w:tc>
        <w:tc>
          <w:tcPr>
            <w:tcW w:w="1180" w:type="dxa"/>
            <w:vAlign w:val="bottom"/>
          </w:tcPr>
          <w:p>
            <w:pPr>
              <w:ind w:left="20"/>
              <w:spacing w:after="0"/>
              <w:rPr>
                <w:sz w:val="20"/>
                <w:szCs w:val="20"/>
                <w:color w:val="auto"/>
              </w:rPr>
            </w:pPr>
            <w:r>
              <w:rPr>
                <w:rFonts w:ascii="Calibri" w:cs="Calibri" w:eastAsia="Calibri" w:hAnsi="Calibri"/>
                <w:sz w:val="18"/>
                <w:szCs w:val="18"/>
                <w:color w:val="auto"/>
              </w:rPr>
              <w:t>001-37690</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w w:val="97"/>
              </w:rPr>
              <w:t>10.53</w:t>
            </w:r>
          </w:p>
        </w:tc>
        <w:tc>
          <w:tcPr>
            <w:tcW w:w="1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12-23-2016</w:t>
            </w: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10.17</w:t>
            </w:r>
          </w:p>
        </w:tc>
        <w:tc>
          <w:tcPr>
            <w:tcW w:w="300" w:type="dxa"/>
            <w:vAlign w:val="bottom"/>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4540" w:type="dxa"/>
            <w:vAlign w:val="bottom"/>
            <w:gridSpan w:val="41"/>
          </w:tcPr>
          <w:p>
            <w:pPr>
              <w:spacing w:after="0" w:line="209" w:lineRule="exact"/>
              <w:rPr>
                <w:rFonts w:ascii="Calibri" w:cs="Calibri" w:eastAsia="Calibri" w:hAnsi="Calibri"/>
                <w:sz w:val="18"/>
                <w:szCs w:val="18"/>
                <w:color w:val="0000FF"/>
              </w:rPr>
            </w:pPr>
            <w:hyperlink r:id="rId181">
              <w:r>
                <w:rPr>
                  <w:rFonts w:ascii="Calibri" w:cs="Calibri" w:eastAsia="Calibri" w:hAnsi="Calibri"/>
                  <w:sz w:val="18"/>
                  <w:szCs w:val="18"/>
                  <w:color w:val="0000FF"/>
                </w:rPr>
                <w:t>Form of Agreement for Mult-Year Equity Award of Restricted</w:t>
              </w:r>
            </w:hyperlink>
          </w:p>
        </w:tc>
        <w:tc>
          <w:tcPr>
            <w:tcW w:w="1060" w:type="dxa"/>
            <w:vAlign w:val="bottom"/>
            <w:gridSpan w:val="2"/>
          </w:tcPr>
          <w:p>
            <w:pPr>
              <w:spacing w:after="0" w:line="209" w:lineRule="exact"/>
              <w:rPr>
                <w:sz w:val="20"/>
                <w:szCs w:val="20"/>
                <w:color w:val="auto"/>
              </w:rPr>
            </w:pPr>
            <w:r>
              <w:rPr>
                <w:rFonts w:ascii="Calibri" w:cs="Calibri" w:eastAsia="Calibri" w:hAnsi="Calibri"/>
                <w:sz w:val="18"/>
                <w:szCs w:val="18"/>
                <w:color w:val="auto"/>
              </w:rPr>
              <w:t>8-K</w:t>
            </w:r>
          </w:p>
        </w:tc>
        <w:tc>
          <w:tcPr>
            <w:tcW w:w="1180" w:type="dxa"/>
            <w:vAlign w:val="bottom"/>
          </w:tcPr>
          <w:p>
            <w:pPr>
              <w:ind w:left="20"/>
              <w:spacing w:after="0" w:line="209"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rPr>
              <w:t>10.1</w:t>
            </w:r>
          </w:p>
        </w:tc>
        <w:tc>
          <w:tcPr>
            <w:tcW w:w="12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12-06-2018</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bottom w:val="single" w:sz="8" w:color="0000FF"/>
            </w:tcBorders>
            <w:gridSpan w:val="35"/>
          </w:tcPr>
          <w:p>
            <w:pPr>
              <w:spacing w:after="0" w:line="156" w:lineRule="exact"/>
              <w:rPr>
                <w:rFonts w:ascii="Calibri" w:cs="Calibri" w:eastAsia="Calibri" w:hAnsi="Calibri"/>
                <w:sz w:val="16"/>
                <w:szCs w:val="16"/>
                <w:color w:val="0000FF"/>
              </w:rPr>
            </w:pPr>
            <w:hyperlink r:id="rId181">
              <w:r>
                <w:rPr>
                  <w:rFonts w:ascii="Calibri" w:cs="Calibri" w:eastAsia="Calibri" w:hAnsi="Calibri"/>
                  <w:sz w:val="16"/>
                  <w:szCs w:val="16"/>
                  <w:color w:val="0000FF"/>
                </w:rPr>
                <w:t>Stock Unit Award under the Avago Technologies Limited 2009</w:t>
              </w:r>
            </w:hyperlink>
          </w:p>
        </w:tc>
        <w:tc>
          <w:tcPr>
            <w:tcW w:w="40" w:type="dxa"/>
            <w:vAlign w:val="bottom"/>
            <w:tcBorders>
              <w:bottom w:val="single" w:sz="8" w:color="0000FF"/>
            </w:tcBorders>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40" w:type="dxa"/>
            <w:vAlign w:val="bottom"/>
            <w:tcBorders>
              <w:bottom w:val="single" w:sz="8" w:color="0000FF"/>
            </w:tcBorders>
            <w:gridSpan w:val="26"/>
          </w:tcPr>
          <w:p>
            <w:pPr>
              <w:spacing w:after="0" w:line="169" w:lineRule="exact"/>
              <w:rPr>
                <w:rFonts w:ascii="Calibri" w:cs="Calibri" w:eastAsia="Calibri" w:hAnsi="Calibri"/>
                <w:sz w:val="18"/>
                <w:szCs w:val="18"/>
                <w:color w:val="0000FF"/>
                <w:w w:val="99"/>
              </w:rPr>
            </w:pPr>
            <w:hyperlink r:id="rId181">
              <w:r>
                <w:rPr>
                  <w:rFonts w:ascii="Calibri" w:cs="Calibri" w:eastAsia="Calibri" w:hAnsi="Calibri"/>
                  <w:sz w:val="18"/>
                  <w:szCs w:val="18"/>
                  <w:color w:val="0000FF"/>
                  <w:w w:val="99"/>
                </w:rPr>
                <w:t>Equity Incentve Award Plan (efectve December 5, 2017).</w:t>
              </w:r>
            </w:hyperlink>
          </w:p>
        </w:tc>
        <w:tc>
          <w:tcPr>
            <w:tcW w:w="240" w:type="dxa"/>
            <w:vAlign w:val="bottom"/>
            <w:gridSpan w:val="11"/>
          </w:tcPr>
          <w:p>
            <w:pPr>
              <w:spacing w:after="0"/>
              <w:rPr>
                <w:sz w:val="14"/>
                <w:szCs w:val="14"/>
                <w:color w:val="auto"/>
              </w:rPr>
            </w:pPr>
          </w:p>
        </w:tc>
        <w:tc>
          <w:tcPr>
            <w:tcW w:w="160" w:type="dxa"/>
            <w:vAlign w:val="bottom"/>
            <w:gridSpan w:val="4"/>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10.18</w:t>
            </w:r>
          </w:p>
        </w:tc>
        <w:tc>
          <w:tcPr>
            <w:tcW w:w="300" w:type="dxa"/>
            <w:vAlign w:val="bottom"/>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3600" w:type="dxa"/>
            <w:vAlign w:val="bottom"/>
            <w:tcBorders>
              <w:bottom w:val="single" w:sz="8" w:color="0000FF"/>
            </w:tcBorders>
            <w:gridSpan w:val="13"/>
          </w:tcPr>
          <w:p>
            <w:pPr>
              <w:spacing w:after="0" w:line="209" w:lineRule="exact"/>
              <w:rPr>
                <w:rFonts w:ascii="Calibri" w:cs="Calibri" w:eastAsia="Calibri" w:hAnsi="Calibri"/>
                <w:sz w:val="18"/>
                <w:szCs w:val="18"/>
                <w:color w:val="0000FF"/>
                <w:w w:val="97"/>
              </w:rPr>
            </w:pPr>
            <w:hyperlink r:id="rId182">
              <w:r>
                <w:rPr>
                  <w:rFonts w:ascii="Calibri" w:cs="Calibri" w:eastAsia="Calibri" w:hAnsi="Calibri"/>
                  <w:sz w:val="18"/>
                  <w:szCs w:val="18"/>
                  <w:color w:val="0000FF"/>
                  <w:w w:val="97"/>
                </w:rPr>
                <w:t>Form of Agreement for Mult-Year Equity Award of</w:t>
              </w:r>
            </w:hyperlink>
          </w:p>
        </w:tc>
        <w:tc>
          <w:tcPr>
            <w:tcW w:w="940" w:type="dxa"/>
            <w:vAlign w:val="bottom"/>
            <w:gridSpan w:val="28"/>
          </w:tcPr>
          <w:p>
            <w:pPr>
              <w:spacing w:after="0"/>
              <w:rPr>
                <w:sz w:val="18"/>
                <w:szCs w:val="18"/>
                <w:color w:val="auto"/>
              </w:rPr>
            </w:pPr>
          </w:p>
        </w:tc>
        <w:tc>
          <w:tcPr>
            <w:tcW w:w="1060" w:type="dxa"/>
            <w:vAlign w:val="bottom"/>
            <w:gridSpan w:val="2"/>
          </w:tcPr>
          <w:p>
            <w:pPr>
              <w:spacing w:after="0" w:line="209" w:lineRule="exact"/>
              <w:rPr>
                <w:sz w:val="20"/>
                <w:szCs w:val="20"/>
                <w:color w:val="auto"/>
              </w:rPr>
            </w:pPr>
            <w:r>
              <w:rPr>
                <w:rFonts w:ascii="Calibri" w:cs="Calibri" w:eastAsia="Calibri" w:hAnsi="Calibri"/>
                <w:sz w:val="18"/>
                <w:szCs w:val="18"/>
                <w:color w:val="auto"/>
              </w:rPr>
              <w:t>8-K</w:t>
            </w:r>
          </w:p>
        </w:tc>
        <w:tc>
          <w:tcPr>
            <w:tcW w:w="1180" w:type="dxa"/>
            <w:vAlign w:val="bottom"/>
          </w:tcPr>
          <w:p>
            <w:pPr>
              <w:ind w:left="20"/>
              <w:spacing w:after="0" w:line="209"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rPr>
              <w:t>10.2</w:t>
            </w:r>
          </w:p>
        </w:tc>
        <w:tc>
          <w:tcPr>
            <w:tcW w:w="12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12-06-2018</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bottom w:val="single" w:sz="8" w:color="0000FF"/>
            </w:tcBorders>
            <w:gridSpan w:val="21"/>
          </w:tcPr>
          <w:p>
            <w:pPr>
              <w:spacing w:after="0" w:line="156" w:lineRule="exact"/>
              <w:rPr>
                <w:rFonts w:ascii="Calibri" w:cs="Calibri" w:eastAsia="Calibri" w:hAnsi="Calibri"/>
                <w:sz w:val="16"/>
                <w:szCs w:val="16"/>
                <w:color w:val="0000FF"/>
              </w:rPr>
            </w:pPr>
            <w:hyperlink r:id="rId182">
              <w:r>
                <w:rPr>
                  <w:rFonts w:ascii="Calibri" w:cs="Calibri" w:eastAsia="Calibri" w:hAnsi="Calibri"/>
                  <w:sz w:val="16"/>
                  <w:szCs w:val="16"/>
                  <w:color w:val="0000FF"/>
                </w:rPr>
                <w:t>Performance Stock Units under the Avago Technologies</w:t>
              </w:r>
            </w:hyperlink>
          </w:p>
        </w:tc>
        <w:tc>
          <w:tcPr>
            <w:tcW w:w="600" w:type="dxa"/>
            <w:vAlign w:val="bottom"/>
            <w:gridSpan w:val="20"/>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40" w:type="dxa"/>
            <w:vAlign w:val="bottom"/>
            <w:gridSpan w:val="41"/>
          </w:tcPr>
          <w:p>
            <w:pPr>
              <w:spacing w:after="0" w:line="169" w:lineRule="exact"/>
              <w:rPr>
                <w:rFonts w:ascii="Calibri" w:cs="Calibri" w:eastAsia="Calibri" w:hAnsi="Calibri"/>
                <w:sz w:val="18"/>
                <w:szCs w:val="18"/>
                <w:color w:val="0000FF"/>
              </w:rPr>
            </w:pPr>
            <w:hyperlink r:id="rId182">
              <w:r>
                <w:rPr>
                  <w:rFonts w:ascii="Calibri" w:cs="Calibri" w:eastAsia="Calibri" w:hAnsi="Calibri"/>
                  <w:sz w:val="18"/>
                  <w:szCs w:val="18"/>
                  <w:color w:val="0000FF"/>
                </w:rPr>
                <w:t>Limited 2009 Equity Incentve Award Plan (efectve March</w:t>
              </w:r>
            </w:hyperlink>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0000FF"/>
              <w:bottom w:val="single" w:sz="8" w:color="0000FF"/>
            </w:tcBorders>
            <w:gridSpan w:val="2"/>
          </w:tcPr>
          <w:p>
            <w:pPr>
              <w:spacing w:after="0" w:line="156" w:lineRule="exact"/>
              <w:rPr>
                <w:rFonts w:ascii="Calibri" w:cs="Calibri" w:eastAsia="Calibri" w:hAnsi="Calibri"/>
                <w:sz w:val="16"/>
                <w:szCs w:val="16"/>
                <w:color w:val="0000FF"/>
              </w:rPr>
            </w:pPr>
            <w:hyperlink r:id="rId182">
              <w:r>
                <w:rPr>
                  <w:rFonts w:ascii="Calibri" w:cs="Calibri" w:eastAsia="Calibri" w:hAnsi="Calibri"/>
                  <w:sz w:val="16"/>
                  <w:szCs w:val="16"/>
                  <w:color w:val="0000FF"/>
                </w:rPr>
                <w:t>13, 2018).</w:t>
              </w:r>
            </w:hyperlink>
          </w:p>
        </w:tc>
        <w:tc>
          <w:tcPr>
            <w:tcW w:w="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10.19</w:t>
            </w:r>
          </w:p>
        </w:tc>
        <w:tc>
          <w:tcPr>
            <w:tcW w:w="300" w:type="dxa"/>
            <w:vAlign w:val="bottom"/>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4540" w:type="dxa"/>
            <w:vAlign w:val="bottom"/>
            <w:gridSpan w:val="41"/>
          </w:tcPr>
          <w:p>
            <w:pPr>
              <w:spacing w:after="0" w:line="209" w:lineRule="exact"/>
              <w:rPr>
                <w:rFonts w:ascii="Calibri" w:cs="Calibri" w:eastAsia="Calibri" w:hAnsi="Calibri"/>
                <w:sz w:val="18"/>
                <w:szCs w:val="18"/>
                <w:color w:val="0000FF"/>
              </w:rPr>
            </w:pPr>
            <w:hyperlink r:id="rId183">
              <w:r>
                <w:rPr>
                  <w:rFonts w:ascii="Calibri" w:cs="Calibri" w:eastAsia="Calibri" w:hAnsi="Calibri"/>
                  <w:sz w:val="18"/>
                  <w:szCs w:val="18"/>
                  <w:color w:val="0000FF"/>
                </w:rPr>
                <w:t>Form of Restricted Stock Unit Award Agreement under LSI</w:t>
              </w:r>
            </w:hyperlink>
          </w:p>
        </w:tc>
        <w:tc>
          <w:tcPr>
            <w:tcW w:w="1060" w:type="dxa"/>
            <w:vAlign w:val="bottom"/>
            <w:gridSpan w:val="2"/>
          </w:tcPr>
          <w:p>
            <w:pPr>
              <w:spacing w:after="0" w:line="209" w:lineRule="exact"/>
              <w:rPr>
                <w:sz w:val="20"/>
                <w:szCs w:val="20"/>
                <w:color w:val="auto"/>
              </w:rPr>
            </w:pPr>
            <w:r>
              <w:rPr>
                <w:rFonts w:ascii="Calibri" w:cs="Calibri" w:eastAsia="Calibri" w:hAnsi="Calibri"/>
                <w:sz w:val="18"/>
                <w:szCs w:val="18"/>
                <w:color w:val="auto"/>
              </w:rPr>
              <w:t>10-K</w:t>
            </w:r>
          </w:p>
        </w:tc>
        <w:tc>
          <w:tcPr>
            <w:tcW w:w="1180" w:type="dxa"/>
            <w:vAlign w:val="bottom"/>
          </w:tcPr>
          <w:p>
            <w:pPr>
              <w:ind w:left="20"/>
              <w:spacing w:after="0" w:line="209"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10.51</w:t>
            </w:r>
          </w:p>
        </w:tc>
        <w:tc>
          <w:tcPr>
            <w:tcW w:w="12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12-18-2020</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tcBorders>
            <w:gridSpan w:val="25"/>
          </w:tcPr>
          <w:p>
            <w:pPr>
              <w:spacing w:after="0" w:line="156" w:lineRule="exact"/>
              <w:rPr>
                <w:rFonts w:ascii="Calibri" w:cs="Calibri" w:eastAsia="Calibri" w:hAnsi="Calibri"/>
                <w:sz w:val="16"/>
                <w:szCs w:val="16"/>
                <w:color w:val="0000FF"/>
              </w:rPr>
            </w:pPr>
            <w:hyperlink r:id="rId183">
              <w:r>
                <w:rPr>
                  <w:rFonts w:ascii="Calibri" w:cs="Calibri" w:eastAsia="Calibri" w:hAnsi="Calibri"/>
                  <w:sz w:val="16"/>
                  <w:szCs w:val="16"/>
                  <w:color w:val="0000FF"/>
                </w:rPr>
                <w:t>Corporaton 2003 Equity Incentve Plan, as amended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60" w:type="dxa"/>
            <w:vAlign w:val="bottom"/>
            <w:gridSpan w:val="13"/>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Borders>
              <w:top w:val="single" w:sz="8" w:color="0000FF"/>
              <w:bottom w:val="single" w:sz="8" w:color="0000FF"/>
            </w:tcBorders>
            <w:gridSpan w:val="8"/>
          </w:tcPr>
          <w:p>
            <w:pPr>
              <w:spacing w:after="0" w:line="169" w:lineRule="exact"/>
              <w:rPr>
                <w:rFonts w:ascii="Calibri" w:cs="Calibri" w:eastAsia="Calibri" w:hAnsi="Calibri"/>
                <w:sz w:val="18"/>
                <w:szCs w:val="18"/>
                <w:color w:val="0000FF"/>
              </w:rPr>
            </w:pPr>
            <w:hyperlink r:id="rId183">
              <w:r>
                <w:rPr>
                  <w:rFonts w:ascii="Calibri" w:cs="Calibri" w:eastAsia="Calibri" w:hAnsi="Calibri"/>
                  <w:sz w:val="18"/>
                  <w:szCs w:val="18"/>
                  <w:color w:val="0000FF"/>
                </w:rPr>
                <w:t>(efectve December 8, 2020).</w:t>
              </w:r>
            </w:hyperlink>
          </w:p>
        </w:tc>
        <w:tc>
          <w:tcPr>
            <w:tcW w:w="1580" w:type="dxa"/>
            <w:vAlign w:val="bottom"/>
            <w:tcBorders>
              <w:top w:val="single" w:sz="8" w:color="0000FF"/>
            </w:tcBorders>
            <w:gridSpan w:val="7"/>
          </w:tcPr>
          <w:p>
            <w:pPr>
              <w:spacing w:after="0"/>
              <w:rPr>
                <w:sz w:val="14"/>
                <w:szCs w:val="14"/>
                <w:color w:val="auto"/>
              </w:rPr>
            </w:pPr>
          </w:p>
        </w:tc>
        <w:tc>
          <w:tcPr>
            <w:tcW w:w="140" w:type="dxa"/>
            <w:vAlign w:val="bottom"/>
            <w:gridSpan w:val="4"/>
          </w:tcPr>
          <w:p>
            <w:pPr>
              <w:spacing w:after="0"/>
              <w:rPr>
                <w:sz w:val="14"/>
                <w:szCs w:val="14"/>
                <w:color w:val="auto"/>
              </w:rPr>
            </w:pPr>
          </w:p>
        </w:tc>
        <w:tc>
          <w:tcPr>
            <w:tcW w:w="26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360" w:type="dxa"/>
            <w:vAlign w:val="bottom"/>
            <w:gridSpan w:val="13"/>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10.20</w:t>
            </w:r>
          </w:p>
        </w:tc>
        <w:tc>
          <w:tcPr>
            <w:tcW w:w="300" w:type="dxa"/>
            <w:vAlign w:val="bottom"/>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4540" w:type="dxa"/>
            <w:vAlign w:val="bottom"/>
            <w:gridSpan w:val="41"/>
          </w:tcPr>
          <w:p>
            <w:pPr>
              <w:spacing w:after="0" w:line="209" w:lineRule="exact"/>
              <w:rPr>
                <w:rFonts w:ascii="Calibri" w:cs="Calibri" w:eastAsia="Calibri" w:hAnsi="Calibri"/>
                <w:sz w:val="18"/>
                <w:szCs w:val="18"/>
                <w:color w:val="0000FF"/>
              </w:rPr>
            </w:pPr>
            <w:hyperlink r:id="rId184">
              <w:r>
                <w:rPr>
                  <w:rFonts w:ascii="Calibri" w:cs="Calibri" w:eastAsia="Calibri" w:hAnsi="Calibri"/>
                  <w:sz w:val="18"/>
                  <w:szCs w:val="18"/>
                  <w:color w:val="0000FF"/>
                </w:rPr>
                <w:t>Form of Performance Stock Unit Agreement (Relatve TSR)</w:t>
              </w:r>
            </w:hyperlink>
          </w:p>
        </w:tc>
        <w:tc>
          <w:tcPr>
            <w:tcW w:w="1060" w:type="dxa"/>
            <w:vAlign w:val="bottom"/>
            <w:gridSpan w:val="2"/>
          </w:tcPr>
          <w:p>
            <w:pPr>
              <w:spacing w:after="0" w:line="209" w:lineRule="exact"/>
              <w:rPr>
                <w:sz w:val="20"/>
                <w:szCs w:val="20"/>
                <w:color w:val="auto"/>
              </w:rPr>
            </w:pPr>
            <w:r>
              <w:rPr>
                <w:rFonts w:ascii="Calibri" w:cs="Calibri" w:eastAsia="Calibri" w:hAnsi="Calibri"/>
                <w:sz w:val="18"/>
                <w:szCs w:val="18"/>
                <w:color w:val="auto"/>
              </w:rPr>
              <w:t>10-K</w:t>
            </w:r>
          </w:p>
        </w:tc>
        <w:tc>
          <w:tcPr>
            <w:tcW w:w="1180" w:type="dxa"/>
            <w:vAlign w:val="bottom"/>
          </w:tcPr>
          <w:p>
            <w:pPr>
              <w:ind w:left="20"/>
              <w:spacing w:after="0" w:line="209"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10.52</w:t>
            </w:r>
          </w:p>
        </w:tc>
        <w:tc>
          <w:tcPr>
            <w:tcW w:w="12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12-18-2020</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26"/>
          </w:tcPr>
          <w:p>
            <w:pPr>
              <w:spacing w:after="0" w:line="156" w:lineRule="exact"/>
              <w:rPr>
                <w:rFonts w:ascii="Calibri" w:cs="Calibri" w:eastAsia="Calibri" w:hAnsi="Calibri"/>
                <w:sz w:val="16"/>
                <w:szCs w:val="16"/>
                <w:color w:val="0000FF"/>
              </w:rPr>
            </w:pPr>
            <w:hyperlink r:id="rId184">
              <w:r>
                <w:rPr>
                  <w:rFonts w:ascii="Calibri" w:cs="Calibri" w:eastAsia="Calibri" w:hAnsi="Calibri"/>
                  <w:sz w:val="16"/>
                  <w:szCs w:val="16"/>
                  <w:color w:val="0000FF"/>
                </w:rPr>
                <w:t>under LSI Corporaton 2003 Equity Incentve Plan, as</w:t>
              </w:r>
            </w:hyperlink>
          </w:p>
        </w:tc>
        <w:tc>
          <w:tcPr>
            <w:tcW w:w="40" w:type="dxa"/>
            <w:vAlign w:val="bottom"/>
            <w:gridSpan w:val="2"/>
          </w:tcPr>
          <w:p>
            <w:pPr>
              <w:spacing w:after="0"/>
              <w:rPr>
                <w:sz w:val="13"/>
                <w:szCs w:val="13"/>
                <w:color w:val="auto"/>
              </w:rPr>
            </w:pPr>
          </w:p>
        </w:tc>
        <w:tc>
          <w:tcPr>
            <w:tcW w:w="360" w:type="dxa"/>
            <w:vAlign w:val="bottom"/>
            <w:gridSpan w:val="13"/>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20" w:type="dxa"/>
            <w:vAlign w:val="bottom"/>
            <w:tcBorders>
              <w:top w:val="single" w:sz="8" w:color="0000FF"/>
            </w:tcBorders>
            <w:gridSpan w:val="14"/>
          </w:tcPr>
          <w:p>
            <w:pPr>
              <w:spacing w:after="0" w:line="169" w:lineRule="exact"/>
              <w:rPr>
                <w:rFonts w:ascii="Calibri" w:cs="Calibri" w:eastAsia="Calibri" w:hAnsi="Calibri"/>
                <w:sz w:val="18"/>
                <w:szCs w:val="18"/>
                <w:color w:val="0000FF"/>
              </w:rPr>
            </w:pPr>
            <w:hyperlink r:id="rId184">
              <w:r>
                <w:rPr>
                  <w:rFonts w:ascii="Calibri" w:cs="Calibri" w:eastAsia="Calibri" w:hAnsi="Calibri"/>
                  <w:sz w:val="18"/>
                  <w:szCs w:val="18"/>
                  <w:color w:val="0000FF"/>
                </w:rPr>
                <w:t>amended (efectve December 8, 2020).</w:t>
              </w:r>
            </w:hyperlink>
          </w:p>
        </w:tc>
        <w:tc>
          <w:tcPr>
            <w:tcW w:w="160" w:type="dxa"/>
            <w:vAlign w:val="bottom"/>
            <w:gridSpan w:val="5"/>
          </w:tcPr>
          <w:p>
            <w:pPr>
              <w:spacing w:after="0"/>
              <w:rPr>
                <w:sz w:val="14"/>
                <w:szCs w:val="14"/>
                <w:color w:val="auto"/>
              </w:rPr>
            </w:pPr>
          </w:p>
        </w:tc>
        <w:tc>
          <w:tcPr>
            <w:tcW w:w="300" w:type="dxa"/>
            <w:vAlign w:val="bottom"/>
            <w:gridSpan w:val="9"/>
          </w:tcPr>
          <w:p>
            <w:pPr>
              <w:spacing w:after="0"/>
              <w:rPr>
                <w:sz w:val="14"/>
                <w:szCs w:val="14"/>
                <w:color w:val="auto"/>
              </w:rPr>
            </w:pPr>
          </w:p>
        </w:tc>
        <w:tc>
          <w:tcPr>
            <w:tcW w:w="360" w:type="dxa"/>
            <w:vAlign w:val="bottom"/>
            <w:gridSpan w:val="13"/>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360" w:type="dxa"/>
            <w:vAlign w:val="bottom"/>
            <w:gridSpan w:val="1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10.21</w:t>
            </w:r>
          </w:p>
        </w:tc>
        <w:tc>
          <w:tcPr>
            <w:tcW w:w="300" w:type="dxa"/>
            <w:vAlign w:val="bottom"/>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4540" w:type="dxa"/>
            <w:vAlign w:val="bottom"/>
            <w:gridSpan w:val="41"/>
          </w:tcPr>
          <w:p>
            <w:pPr>
              <w:spacing w:after="0" w:line="209" w:lineRule="exact"/>
              <w:rPr>
                <w:rFonts w:ascii="Calibri" w:cs="Calibri" w:eastAsia="Calibri" w:hAnsi="Calibri"/>
                <w:sz w:val="18"/>
                <w:szCs w:val="18"/>
                <w:color w:val="0000FF"/>
              </w:rPr>
            </w:pPr>
            <w:hyperlink r:id="rId185">
              <w:r>
                <w:rPr>
                  <w:rFonts w:ascii="Calibri" w:cs="Calibri" w:eastAsia="Calibri" w:hAnsi="Calibri"/>
                  <w:sz w:val="18"/>
                  <w:szCs w:val="18"/>
                  <w:color w:val="0000FF"/>
                </w:rPr>
                <w:t>Form of Restricted Stock Unit Award Agreement under</w:t>
              </w:r>
            </w:hyperlink>
          </w:p>
        </w:tc>
        <w:tc>
          <w:tcPr>
            <w:tcW w:w="1060" w:type="dxa"/>
            <w:vAlign w:val="bottom"/>
            <w:gridSpan w:val="2"/>
          </w:tcPr>
          <w:p>
            <w:pPr>
              <w:spacing w:after="0" w:line="209" w:lineRule="exact"/>
              <w:rPr>
                <w:sz w:val="20"/>
                <w:szCs w:val="20"/>
                <w:color w:val="auto"/>
              </w:rPr>
            </w:pPr>
            <w:r>
              <w:rPr>
                <w:rFonts w:ascii="Calibri" w:cs="Calibri" w:eastAsia="Calibri" w:hAnsi="Calibri"/>
                <w:sz w:val="18"/>
                <w:szCs w:val="18"/>
                <w:color w:val="auto"/>
              </w:rPr>
              <w:t>10-K</w:t>
            </w:r>
          </w:p>
        </w:tc>
        <w:tc>
          <w:tcPr>
            <w:tcW w:w="1180" w:type="dxa"/>
            <w:vAlign w:val="bottom"/>
          </w:tcPr>
          <w:p>
            <w:pPr>
              <w:ind w:left="20"/>
              <w:spacing w:after="0" w:line="209" w:lineRule="exact"/>
              <w:rPr>
                <w:sz w:val="20"/>
                <w:szCs w:val="20"/>
                <w:color w:val="auto"/>
              </w:rPr>
            </w:pPr>
            <w:r>
              <w:rPr>
                <w:rFonts w:ascii="Calibri" w:cs="Calibri" w:eastAsia="Calibri" w:hAnsi="Calibri"/>
                <w:sz w:val="18"/>
                <w:szCs w:val="18"/>
                <w:color w:val="auto"/>
              </w:rPr>
              <w:t>001-37690</w:t>
            </w:r>
          </w:p>
        </w:tc>
        <w:tc>
          <w:tcPr>
            <w:tcW w:w="10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10.61</w:t>
            </w:r>
          </w:p>
        </w:tc>
        <w:tc>
          <w:tcPr>
            <w:tcW w:w="12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12-21-2017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480" w:type="dxa"/>
            <w:vAlign w:val="bottom"/>
            <w:gridSpan w:val="14"/>
            <w:shd w:val="clear" w:color="auto" w:fill="0000FF"/>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360" w:type="dxa"/>
            <w:vAlign w:val="bottom"/>
            <w:gridSpan w:val="1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41"/>
          </w:tcPr>
          <w:p>
            <w:pPr>
              <w:spacing w:after="0" w:line="156" w:lineRule="exact"/>
              <w:rPr>
                <w:rFonts w:ascii="Calibri" w:cs="Calibri" w:eastAsia="Calibri" w:hAnsi="Calibri"/>
                <w:sz w:val="16"/>
                <w:szCs w:val="16"/>
                <w:color w:val="0000FF"/>
              </w:rPr>
            </w:pPr>
            <w:hyperlink r:id="rId185">
              <w:r>
                <w:rPr>
                  <w:rFonts w:ascii="Calibri" w:cs="Calibri" w:eastAsia="Calibri" w:hAnsi="Calibri"/>
                  <w:sz w:val="16"/>
                  <w:szCs w:val="16"/>
                  <w:color w:val="0000FF"/>
                </w:rPr>
                <w:t>Broadcom Corporaton 2012 Stock Incentve Plan (efectve</w:t>
              </w:r>
            </w:hyperlink>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80" w:type="dxa"/>
            <w:vAlign w:val="bottom"/>
            <w:tcBorders>
              <w:top w:val="single" w:sz="8" w:color="0000FF"/>
            </w:tcBorders>
            <w:gridSpan w:val="28"/>
          </w:tcPr>
          <w:p>
            <w:pPr>
              <w:spacing w:after="0" w:line="169" w:lineRule="exact"/>
              <w:rPr>
                <w:rFonts w:ascii="Calibri" w:cs="Calibri" w:eastAsia="Calibri" w:hAnsi="Calibri"/>
                <w:sz w:val="18"/>
                <w:szCs w:val="18"/>
                <w:color w:val="0000FF"/>
              </w:rPr>
            </w:pPr>
            <w:hyperlink r:id="rId185">
              <w:r>
                <w:rPr>
                  <w:rFonts w:ascii="Calibri" w:cs="Calibri" w:eastAsia="Calibri" w:hAnsi="Calibri"/>
                  <w:sz w:val="18"/>
                  <w:szCs w:val="18"/>
                  <w:color w:val="0000FF"/>
                </w:rPr>
                <w:t>December 5, 2017).</w:t>
              </w:r>
            </w:hyperlink>
          </w:p>
        </w:tc>
        <w:tc>
          <w:tcPr>
            <w:tcW w:w="360" w:type="dxa"/>
            <w:vAlign w:val="bottom"/>
            <w:gridSpan w:val="13"/>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5"/>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Borders>
              <w:top w:val="single" w:sz="8" w:color="0000FF"/>
            </w:tcBorders>
            <w:gridSpan w:val="5"/>
          </w:tcPr>
          <w:p>
            <w:pPr>
              <w:spacing w:after="0"/>
              <w:rPr>
                <w:sz w:val="24"/>
                <w:szCs w:val="24"/>
                <w:color w:val="auto"/>
              </w:rPr>
            </w:pPr>
          </w:p>
        </w:tc>
        <w:tc>
          <w:tcPr>
            <w:tcW w:w="3140" w:type="dxa"/>
            <w:vAlign w:val="bottom"/>
            <w:gridSpan w:val="36"/>
          </w:tcPr>
          <w:p>
            <w:pPr>
              <w:jc w:val="right"/>
              <w:spacing w:after="0"/>
              <w:rPr>
                <w:sz w:val="20"/>
                <w:szCs w:val="20"/>
                <w:color w:val="auto"/>
              </w:rPr>
            </w:pPr>
            <w:r>
              <w:rPr>
                <w:rFonts w:ascii="Calibri" w:cs="Calibri" w:eastAsia="Calibri" w:hAnsi="Calibri"/>
                <w:sz w:val="18"/>
                <w:szCs w:val="18"/>
                <w:color w:val="auto"/>
              </w:rPr>
              <w:t>99</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Filed</w:t>
      </w:r>
    </w:p>
    <w:p>
      <w:pPr>
        <w:jc w:val="center"/>
        <w:spacing w:after="0" w:line="208" w:lineRule="auto"/>
        <w:rPr>
          <w:sz w:val="20"/>
          <w:szCs w:val="20"/>
          <w:color w:val="auto"/>
        </w:rPr>
      </w:pPr>
      <w:r>
        <w:rPr>
          <w:rFonts w:ascii="Calibri" w:cs="Calibri" w:eastAsia="Calibri" w:hAnsi="Calibri"/>
          <w:sz w:val="14"/>
          <w:szCs w:val="14"/>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21590</wp:posOffset>
            </wp:positionV>
            <wp:extent cx="5060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7">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ectPr>
          <w:pgSz w:w="11900" w:h="16838" w:orient="portrait"/>
          <w:cols w:equalWidth="0" w:num="2">
            <w:col w:w="10340" w:space="240"/>
            <w:col w:w="540"/>
          </w:cols>
          <w:pgMar w:left="320" w:top="112" w:right="459" w:bottom="1440" w:gutter="0" w:footer="0" w:header="0"/>
        </w:sectPr>
      </w:pPr>
    </w:p>
    <w:bookmarkStart w:id="101" w:name="page102"/>
    <w:bookmarkEnd w:id="10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4"/>
          </w:tcPr>
          <w:p>
            <w:pPr>
              <w:ind w:left="440"/>
              <w:spacing w:after="0"/>
              <w:rPr>
                <w:sz w:val="20"/>
                <w:szCs w:val="20"/>
                <w:color w:val="auto"/>
              </w:rPr>
            </w:pPr>
            <w:r>
              <w:rPr>
                <w:rFonts w:ascii="Calibri" w:cs="Calibri" w:eastAsia="Calibri" w:hAnsi="Calibri"/>
                <w:sz w:val="14"/>
                <w:szCs w:val="14"/>
                <w:color w:val="auto"/>
              </w:rPr>
              <w:t>Incorporated by Reference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860" w:type="dxa"/>
            <w:vAlign w:val="bottom"/>
            <w:vMerge w:val="restart"/>
          </w:tcPr>
          <w:p>
            <w:pPr>
              <w:jc w:val="right"/>
              <w:ind w:right="132"/>
              <w:spacing w:after="0"/>
              <w:rPr>
                <w:sz w:val="20"/>
                <w:szCs w:val="20"/>
                <w:color w:val="auto"/>
              </w:rPr>
            </w:pPr>
            <w:r>
              <w:rPr>
                <w:rFonts w:ascii="Calibri" w:cs="Calibri" w:eastAsia="Calibri" w:hAnsi="Calibri"/>
                <w:sz w:val="14"/>
                <w:szCs w:val="14"/>
                <w:color w:val="auto"/>
              </w:rPr>
              <w:t>Exhibit</w:t>
            </w: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8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60" w:type="dxa"/>
            <w:vAlign w:val="bottom"/>
            <w:gridSpan w:val="33"/>
            <w:vMerge w:val="restart"/>
          </w:tcPr>
          <w:p>
            <w:pPr>
              <w:ind w:left="580"/>
              <w:spacing w:after="0"/>
              <w:rPr>
                <w:sz w:val="20"/>
                <w:szCs w:val="20"/>
                <w:color w:val="auto"/>
              </w:rPr>
            </w:pPr>
            <w:r>
              <w:rPr>
                <w:rFonts w:ascii="Calibri" w:cs="Calibri" w:eastAsia="Calibri" w:hAnsi="Calibri"/>
                <w:sz w:val="14"/>
                <w:szCs w:val="14"/>
                <w:color w:val="auto"/>
              </w:rPr>
              <w:t>Descripton</w:t>
            </w:r>
          </w:p>
        </w:tc>
        <w:tc>
          <w:tcPr>
            <w:tcW w:w="1080" w:type="dxa"/>
            <w:vAlign w:val="bottom"/>
            <w:gridSpan w:val="2"/>
            <w:vMerge w:val="restart"/>
          </w:tcPr>
          <w:p>
            <w:pPr>
              <w:ind w:left="340"/>
              <w:spacing w:after="0"/>
              <w:rPr>
                <w:sz w:val="20"/>
                <w:szCs w:val="20"/>
                <w:color w:val="auto"/>
              </w:rPr>
            </w:pPr>
            <w:r>
              <w:rPr>
                <w:rFonts w:ascii="Calibri" w:cs="Calibri" w:eastAsia="Calibri" w:hAnsi="Calibri"/>
                <w:sz w:val="14"/>
                <w:szCs w:val="14"/>
                <w:color w:val="auto"/>
              </w:rPr>
              <w:t>Form</w:t>
            </w:r>
          </w:p>
        </w:tc>
        <w:tc>
          <w:tcPr>
            <w:tcW w:w="1260" w:type="dxa"/>
            <w:vAlign w:val="bottom"/>
            <w:gridSpan w:val="2"/>
            <w:vMerge w:val="restart"/>
          </w:tcPr>
          <w:p>
            <w:pPr>
              <w:ind w:left="360"/>
              <w:spacing w:after="0"/>
              <w:rPr>
                <w:sz w:val="20"/>
                <w:szCs w:val="20"/>
                <w:color w:val="auto"/>
              </w:rPr>
            </w:pPr>
            <w:r>
              <w:rPr>
                <w:rFonts w:ascii="Calibri" w:cs="Calibri" w:eastAsia="Calibri" w:hAnsi="Calibri"/>
                <w:sz w:val="14"/>
                <w:szCs w:val="14"/>
                <w:color w:val="auto"/>
              </w:rPr>
              <w:t>File No.</w:t>
            </w:r>
          </w:p>
        </w:tc>
        <w:tc>
          <w:tcPr>
            <w:tcW w:w="1100" w:type="dxa"/>
            <w:vAlign w:val="bottom"/>
            <w:gridSpan w:val="2"/>
            <w:vMerge w:val="restart"/>
          </w:tcPr>
          <w:p>
            <w:pPr>
              <w:ind w:left="300"/>
              <w:spacing w:after="0"/>
              <w:rPr>
                <w:sz w:val="20"/>
                <w:szCs w:val="20"/>
                <w:color w:val="auto"/>
              </w:rPr>
            </w:pPr>
            <w:r>
              <w:rPr>
                <w:rFonts w:ascii="Calibri" w:cs="Calibri" w:eastAsia="Calibri" w:hAnsi="Calibri"/>
                <w:sz w:val="14"/>
                <w:szCs w:val="14"/>
                <w:color w:val="auto"/>
              </w:rPr>
              <w:t>Exhibit</w:t>
            </w:r>
          </w:p>
        </w:tc>
        <w:tc>
          <w:tcPr>
            <w:tcW w:w="1160" w:type="dxa"/>
            <w:vAlign w:val="bottom"/>
            <w:vMerge w:val="restart"/>
          </w:tcPr>
          <w:p>
            <w:pPr>
              <w:jc w:val="right"/>
              <w:ind w:right="191"/>
              <w:spacing w:after="0"/>
              <w:rPr>
                <w:sz w:val="20"/>
                <w:szCs w:val="20"/>
                <w:color w:val="auto"/>
              </w:rPr>
            </w:pPr>
            <w:r>
              <w:rPr>
                <w:rFonts w:ascii="Calibri" w:cs="Calibri" w:eastAsia="Calibri" w:hAnsi="Calibri"/>
                <w:sz w:val="14"/>
                <w:szCs w:val="14"/>
                <w:color w:val="auto"/>
              </w:rPr>
              <w:t>Filing Date</w:t>
            </w:r>
          </w:p>
        </w:tc>
        <w:tc>
          <w:tcPr>
            <w:tcW w:w="0" w:type="dxa"/>
            <w:vAlign w:val="bottom"/>
          </w:tcPr>
          <w:p>
            <w:pPr>
              <w:spacing w:after="0"/>
              <w:rPr>
                <w:sz w:val="1"/>
                <w:szCs w:val="1"/>
                <w:color w:val="auto"/>
              </w:rPr>
            </w:pPr>
          </w:p>
        </w:tc>
      </w:tr>
      <w:tr>
        <w:trPr>
          <w:trHeight w:val="170"/>
        </w:trPr>
        <w:tc>
          <w:tcPr>
            <w:tcW w:w="860" w:type="dxa"/>
            <w:vAlign w:val="bottom"/>
          </w:tcPr>
          <w:p>
            <w:pPr>
              <w:jc w:val="right"/>
              <w:ind w:right="92"/>
              <w:spacing w:after="0"/>
              <w:rPr>
                <w:sz w:val="20"/>
                <w:szCs w:val="20"/>
                <w:color w:val="auto"/>
              </w:rPr>
            </w:pPr>
            <w:r>
              <w:rPr>
                <w:rFonts w:ascii="Calibri" w:cs="Calibri" w:eastAsia="Calibri" w:hAnsi="Calibri"/>
                <w:sz w:val="14"/>
                <w:szCs w:val="14"/>
                <w:color w:val="auto"/>
              </w:rPr>
              <w:t>Number</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60" w:type="dxa"/>
            <w:vAlign w:val="bottom"/>
            <w:gridSpan w:val="33"/>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60" w:type="dxa"/>
            <w:vAlign w:val="bottom"/>
            <w:tcBorders>
              <w:bottom w:val="single" w:sz="8" w:color="auto"/>
            </w:tcBorders>
          </w:tcPr>
          <w:p>
            <w:pPr>
              <w:spacing w:after="0"/>
              <w:rPr>
                <w:sz w:val="2"/>
                <w:szCs w:val="2"/>
                <w:color w:val="auto"/>
              </w:rPr>
            </w:pPr>
          </w:p>
        </w:tc>
        <w:tc>
          <w:tcPr>
            <w:tcW w:w="300" w:type="dxa"/>
            <w:vAlign w:val="bottom"/>
            <w:vMerge w:val="restart"/>
          </w:tcPr>
          <w:p>
            <w:pPr>
              <w:jc w:val="right"/>
              <w:ind w:right="70"/>
              <w:spacing w:after="0"/>
              <w:rPr>
                <w:sz w:val="20"/>
                <w:szCs w:val="20"/>
                <w:color w:val="auto"/>
              </w:rPr>
            </w:pPr>
            <w:r>
              <w:rPr>
                <w:rFonts w:ascii="Calibri" w:cs="Calibri" w:eastAsia="Calibri" w:hAnsi="Calibri"/>
                <w:sz w:val="18"/>
                <w:szCs w:val="18"/>
                <w:color w:val="auto"/>
              </w:rPr>
              <w:t>+</w:t>
            </w: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60" w:type="dxa"/>
            <w:vAlign w:val="bottom"/>
          </w:tcPr>
          <w:p>
            <w:pPr>
              <w:jc w:val="right"/>
              <w:spacing w:after="0" w:line="169" w:lineRule="exact"/>
              <w:rPr>
                <w:sz w:val="20"/>
                <w:szCs w:val="20"/>
                <w:color w:val="auto"/>
              </w:rPr>
            </w:pPr>
            <w:r>
              <w:rPr>
                <w:rFonts w:ascii="Calibri" w:cs="Calibri" w:eastAsia="Calibri" w:hAnsi="Calibri"/>
                <w:sz w:val="18"/>
                <w:szCs w:val="18"/>
                <w:color w:val="auto"/>
              </w:rPr>
              <w:t>10.22</w:t>
            </w:r>
          </w:p>
        </w:tc>
        <w:tc>
          <w:tcPr>
            <w:tcW w:w="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460" w:type="dxa"/>
            <w:vAlign w:val="bottom"/>
            <w:gridSpan w:val="35"/>
          </w:tcPr>
          <w:p>
            <w:pPr>
              <w:spacing w:after="0" w:line="169" w:lineRule="exact"/>
              <w:rPr>
                <w:rFonts w:ascii="Calibri" w:cs="Calibri" w:eastAsia="Calibri" w:hAnsi="Calibri"/>
                <w:sz w:val="18"/>
                <w:szCs w:val="18"/>
                <w:color w:val="0000FF"/>
              </w:rPr>
            </w:pPr>
            <w:hyperlink r:id="rId188">
              <w:r>
                <w:rPr>
                  <w:rFonts w:ascii="Calibri" w:cs="Calibri" w:eastAsia="Calibri" w:hAnsi="Calibri"/>
                  <w:sz w:val="18"/>
                  <w:szCs w:val="18"/>
                  <w:color w:val="0000FF"/>
                </w:rPr>
                <w:t>Form of Restricted Stock Unit Award Agreement under</w:t>
              </w:r>
            </w:hyperlink>
          </w:p>
        </w:tc>
        <w:tc>
          <w:tcPr>
            <w:tcW w:w="100" w:type="dxa"/>
            <w:vAlign w:val="bottom"/>
          </w:tcPr>
          <w:p>
            <w:pPr>
              <w:spacing w:after="0"/>
              <w:rPr>
                <w:sz w:val="14"/>
                <w:szCs w:val="14"/>
                <w:color w:val="auto"/>
              </w:rPr>
            </w:pPr>
          </w:p>
        </w:tc>
        <w:tc>
          <w:tcPr>
            <w:tcW w:w="980" w:type="dxa"/>
            <w:vAlign w:val="bottom"/>
          </w:tcPr>
          <w:p>
            <w:pPr>
              <w:ind w:left="20"/>
              <w:spacing w:after="0" w:line="169" w:lineRule="exact"/>
              <w:rPr>
                <w:sz w:val="20"/>
                <w:szCs w:val="20"/>
                <w:color w:val="auto"/>
              </w:rPr>
            </w:pPr>
            <w:r>
              <w:rPr>
                <w:rFonts w:ascii="Calibri" w:cs="Calibri" w:eastAsia="Calibri" w:hAnsi="Calibri"/>
                <w:sz w:val="18"/>
                <w:szCs w:val="18"/>
                <w:color w:val="auto"/>
              </w:rPr>
              <w:t>10-Q</w:t>
            </w:r>
          </w:p>
        </w:tc>
        <w:tc>
          <w:tcPr>
            <w:tcW w:w="100" w:type="dxa"/>
            <w:vAlign w:val="bottom"/>
          </w:tcPr>
          <w:p>
            <w:pPr>
              <w:spacing w:after="0"/>
              <w:rPr>
                <w:sz w:val="14"/>
                <w:szCs w:val="14"/>
                <w:color w:val="auto"/>
              </w:rPr>
            </w:pPr>
          </w:p>
        </w:tc>
        <w:tc>
          <w:tcPr>
            <w:tcW w:w="1160" w:type="dxa"/>
            <w:vAlign w:val="bottom"/>
          </w:tcPr>
          <w:p>
            <w:pPr>
              <w:ind w:left="20"/>
              <w:spacing w:after="0" w:line="169"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Calibri" w:cs="Calibri" w:eastAsia="Calibri" w:hAnsi="Calibri"/>
                <w:sz w:val="18"/>
                <w:szCs w:val="18"/>
                <w:color w:val="auto"/>
              </w:rPr>
              <w:t>10.3</w:t>
            </w:r>
          </w:p>
        </w:tc>
        <w:tc>
          <w:tcPr>
            <w:tcW w:w="100" w:type="dxa"/>
            <w:vAlign w:val="bottom"/>
          </w:tcPr>
          <w:p>
            <w:pPr>
              <w:spacing w:after="0"/>
              <w:rPr>
                <w:sz w:val="14"/>
                <w:szCs w:val="14"/>
                <w:color w:val="auto"/>
              </w:rPr>
            </w:pPr>
          </w:p>
        </w:tc>
        <w:tc>
          <w:tcPr>
            <w:tcW w:w="1160" w:type="dxa"/>
            <w:vAlign w:val="bottom"/>
          </w:tcPr>
          <w:p>
            <w:pPr>
              <w:jc w:val="right"/>
              <w:ind w:right="231"/>
              <w:spacing w:after="0" w:line="169" w:lineRule="exact"/>
              <w:rPr>
                <w:sz w:val="20"/>
                <w:szCs w:val="20"/>
                <w:color w:val="auto"/>
              </w:rPr>
            </w:pPr>
            <w:r>
              <w:rPr>
                <w:rFonts w:ascii="Calibri" w:cs="Calibri" w:eastAsia="Calibri" w:hAnsi="Calibri"/>
                <w:sz w:val="18"/>
                <w:szCs w:val="18"/>
                <w:color w:val="auto"/>
                <w:w w:val="97"/>
              </w:rPr>
              <w:t>06-11-2021</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14"/>
          </w:tcPr>
          <w:p>
            <w:pPr>
              <w:spacing w:after="0" w:line="156" w:lineRule="exact"/>
              <w:rPr>
                <w:rFonts w:ascii="Calibri" w:cs="Calibri" w:eastAsia="Calibri" w:hAnsi="Calibri"/>
                <w:sz w:val="16"/>
                <w:szCs w:val="16"/>
                <w:color w:val="0000FF"/>
              </w:rPr>
            </w:pPr>
            <w:hyperlink r:id="rId188">
              <w:r>
                <w:rPr>
                  <w:rFonts w:ascii="Calibri" w:cs="Calibri" w:eastAsia="Calibri" w:hAnsi="Calibri"/>
                  <w:sz w:val="16"/>
                  <w:szCs w:val="16"/>
                  <w:color w:val="0000FF"/>
                </w:rPr>
                <w:t>Broadcom Inc. 2012 Stock Incentve Plan (efectve April</w:t>
              </w:r>
            </w:hyperlink>
          </w:p>
        </w:tc>
        <w:tc>
          <w:tcPr>
            <w:tcW w:w="280" w:type="dxa"/>
            <w:vAlign w:val="bottom"/>
            <w:tcBorders>
              <w:bottom w:val="single" w:sz="8" w:color="0000FF"/>
            </w:tcBorders>
            <w:gridSpan w:val="7"/>
          </w:tcPr>
          <w:p>
            <w:pPr>
              <w:jc w:val="right"/>
              <w:ind w:right="20"/>
              <w:spacing w:after="0" w:line="156" w:lineRule="exact"/>
              <w:rPr>
                <w:rFonts w:ascii="Calibri" w:cs="Calibri" w:eastAsia="Calibri" w:hAnsi="Calibri"/>
                <w:sz w:val="16"/>
                <w:szCs w:val="16"/>
                <w:color w:val="0000FF"/>
              </w:rPr>
            </w:pPr>
            <w:hyperlink r:id="rId188">
              <w:r>
                <w:rPr>
                  <w:rFonts w:ascii="Calibri" w:cs="Calibri" w:eastAsia="Calibri" w:hAnsi="Calibri"/>
                  <w:sz w:val="16"/>
                  <w:szCs w:val="16"/>
                  <w:color w:val="0000FF"/>
                </w:rPr>
                <w:t>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0000FF"/>
            </w:tcBorders>
          </w:tcPr>
          <w:p>
            <w:pPr>
              <w:spacing w:after="0" w:line="169" w:lineRule="exact"/>
              <w:rPr>
                <w:rFonts w:ascii="Calibri" w:cs="Calibri" w:eastAsia="Calibri" w:hAnsi="Calibri"/>
                <w:sz w:val="18"/>
                <w:szCs w:val="18"/>
                <w:color w:val="0000FF"/>
                <w:w w:val="94"/>
              </w:rPr>
            </w:pPr>
            <w:hyperlink r:id="rId188">
              <w:r>
                <w:rPr>
                  <w:rFonts w:ascii="Calibri" w:cs="Calibri" w:eastAsia="Calibri" w:hAnsi="Calibri"/>
                  <w:sz w:val="18"/>
                  <w:szCs w:val="18"/>
                  <w:color w:val="0000FF"/>
                  <w:w w:val="94"/>
                </w:rPr>
                <w:t>2021).</w:t>
              </w:r>
            </w:hyperlink>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10.23</w:t>
            </w:r>
          </w:p>
        </w:tc>
        <w:tc>
          <w:tcPr>
            <w:tcW w:w="300" w:type="dxa"/>
            <w:vAlign w:val="bottom"/>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4560" w:type="dxa"/>
            <w:vAlign w:val="bottom"/>
            <w:gridSpan w:val="36"/>
          </w:tcPr>
          <w:p>
            <w:pPr>
              <w:spacing w:after="0" w:line="209" w:lineRule="exact"/>
              <w:rPr>
                <w:rFonts w:ascii="Calibri" w:cs="Calibri" w:eastAsia="Calibri" w:hAnsi="Calibri"/>
                <w:sz w:val="18"/>
                <w:szCs w:val="18"/>
                <w:color w:val="0000FF"/>
              </w:rPr>
            </w:pPr>
            <w:hyperlink r:id="rId189">
              <w:r>
                <w:rPr>
                  <w:rFonts w:ascii="Calibri" w:cs="Calibri" w:eastAsia="Calibri" w:hAnsi="Calibri"/>
                  <w:sz w:val="18"/>
                  <w:szCs w:val="18"/>
                  <w:color w:val="0000FF"/>
                </w:rPr>
                <w:t>Form of Performance Share Unit Agreement (Relatve TSR)</w:t>
              </w:r>
            </w:hyperlink>
          </w:p>
        </w:tc>
        <w:tc>
          <w:tcPr>
            <w:tcW w:w="108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10-Q</w:t>
            </w:r>
          </w:p>
        </w:tc>
        <w:tc>
          <w:tcPr>
            <w:tcW w:w="1160" w:type="dxa"/>
            <w:vAlign w:val="bottom"/>
          </w:tcPr>
          <w:p>
            <w:pPr>
              <w:ind w:left="20"/>
              <w:spacing w:after="0" w:line="209" w:lineRule="exact"/>
              <w:rPr>
                <w:sz w:val="20"/>
                <w:szCs w:val="20"/>
                <w:color w:val="auto"/>
              </w:rPr>
            </w:pPr>
            <w:r>
              <w:rPr>
                <w:rFonts w:ascii="Calibri" w:cs="Calibri" w:eastAsia="Calibri" w:hAnsi="Calibri"/>
                <w:sz w:val="18"/>
                <w:szCs w:val="18"/>
                <w:color w:val="auto"/>
              </w:rPr>
              <w:t>001-37690</w:t>
            </w:r>
          </w:p>
        </w:tc>
        <w:tc>
          <w:tcPr>
            <w:tcW w:w="10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rPr>
              <w:t>10.5</w:t>
            </w:r>
          </w:p>
        </w:tc>
        <w:tc>
          <w:tcPr>
            <w:tcW w:w="10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03-15-2018</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tcBorders>
            <w:gridSpan w:val="21"/>
          </w:tcPr>
          <w:p>
            <w:pPr>
              <w:spacing w:after="0" w:line="156" w:lineRule="exact"/>
              <w:rPr>
                <w:rFonts w:ascii="Calibri" w:cs="Calibri" w:eastAsia="Calibri" w:hAnsi="Calibri"/>
                <w:sz w:val="16"/>
                <w:szCs w:val="16"/>
                <w:color w:val="0000FF"/>
              </w:rPr>
            </w:pPr>
            <w:hyperlink r:id="rId189">
              <w:r>
                <w:rPr>
                  <w:rFonts w:ascii="Calibri" w:cs="Calibri" w:eastAsia="Calibri" w:hAnsi="Calibri"/>
                  <w:sz w:val="16"/>
                  <w:szCs w:val="16"/>
                  <w:color w:val="0000FF"/>
                </w:rPr>
                <w:t>under Broadcom Corporaton 2012 Stock Incentve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tcBorders>
              <w:top w:val="single" w:sz="8" w:color="0000FF"/>
            </w:tcBorders>
            <w:gridSpan w:val="15"/>
          </w:tcPr>
          <w:p>
            <w:pPr>
              <w:spacing w:after="0" w:line="169" w:lineRule="exact"/>
              <w:rPr>
                <w:rFonts w:ascii="Calibri" w:cs="Calibri" w:eastAsia="Calibri" w:hAnsi="Calibri"/>
                <w:sz w:val="18"/>
                <w:szCs w:val="18"/>
                <w:color w:val="0000FF"/>
              </w:rPr>
            </w:pPr>
            <w:hyperlink r:id="rId189">
              <w:r>
                <w:rPr>
                  <w:rFonts w:ascii="Calibri" w:cs="Calibri" w:eastAsia="Calibri" w:hAnsi="Calibri"/>
                  <w:sz w:val="18"/>
                  <w:szCs w:val="18"/>
                  <w:color w:val="0000FF"/>
                </w:rPr>
                <w:t>(efectve March 15, 2018).</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10.24</w:t>
            </w:r>
          </w:p>
        </w:tc>
        <w:tc>
          <w:tcPr>
            <w:tcW w:w="300" w:type="dxa"/>
            <w:vAlign w:val="bottom"/>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4560" w:type="dxa"/>
            <w:vAlign w:val="bottom"/>
            <w:gridSpan w:val="36"/>
          </w:tcPr>
          <w:p>
            <w:pPr>
              <w:spacing w:after="0" w:line="209" w:lineRule="exact"/>
              <w:rPr>
                <w:rFonts w:ascii="Calibri" w:cs="Calibri" w:eastAsia="Calibri" w:hAnsi="Calibri"/>
                <w:sz w:val="18"/>
                <w:szCs w:val="18"/>
                <w:color w:val="0000FF"/>
              </w:rPr>
            </w:pPr>
            <w:hyperlink r:id="rId190">
              <w:r>
                <w:rPr>
                  <w:rFonts w:ascii="Calibri" w:cs="Calibri" w:eastAsia="Calibri" w:hAnsi="Calibri"/>
                  <w:sz w:val="18"/>
                  <w:szCs w:val="18"/>
                  <w:color w:val="0000FF"/>
                </w:rPr>
                <w:t>Form of Performance Stock Unit Award Agreement under the</w:t>
              </w:r>
            </w:hyperlink>
          </w:p>
        </w:tc>
        <w:tc>
          <w:tcPr>
            <w:tcW w:w="108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10-Q</w:t>
            </w:r>
          </w:p>
        </w:tc>
        <w:tc>
          <w:tcPr>
            <w:tcW w:w="1160" w:type="dxa"/>
            <w:vAlign w:val="bottom"/>
          </w:tcPr>
          <w:p>
            <w:pPr>
              <w:ind w:left="20"/>
              <w:spacing w:after="0" w:line="209"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rPr>
              <w:t>10.4</w:t>
            </w:r>
          </w:p>
        </w:tc>
        <w:tc>
          <w:tcPr>
            <w:tcW w:w="10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06-11-2021</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32"/>
          </w:tcPr>
          <w:p>
            <w:pPr>
              <w:spacing w:after="0" w:line="156" w:lineRule="exact"/>
              <w:rPr>
                <w:rFonts w:ascii="Calibri" w:cs="Calibri" w:eastAsia="Calibri" w:hAnsi="Calibri"/>
                <w:sz w:val="16"/>
                <w:szCs w:val="16"/>
                <w:color w:val="0000FF"/>
              </w:rPr>
            </w:pPr>
            <w:hyperlink r:id="rId190">
              <w:r>
                <w:rPr>
                  <w:rFonts w:ascii="Calibri" w:cs="Calibri" w:eastAsia="Calibri" w:hAnsi="Calibri"/>
                  <w:sz w:val="16"/>
                  <w:szCs w:val="16"/>
                  <w:color w:val="0000FF"/>
                </w:rPr>
                <w:t>Broadcom Inc. 2012 Stock Incentve Plan (efectve April 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Calibri" w:cs="Calibri" w:eastAsia="Calibri" w:hAnsi="Calibri"/>
                <w:sz w:val="18"/>
                <w:szCs w:val="18"/>
                <w:color w:val="0000FF"/>
                <w:w w:val="94"/>
              </w:rPr>
            </w:pPr>
            <w:hyperlink r:id="rId190">
              <w:r>
                <w:rPr>
                  <w:rFonts w:ascii="Calibri" w:cs="Calibri" w:eastAsia="Calibri" w:hAnsi="Calibri"/>
                  <w:sz w:val="18"/>
                  <w:szCs w:val="18"/>
                  <w:color w:val="0000FF"/>
                  <w:w w:val="94"/>
                </w:rPr>
                <w:t>2021).</w:t>
              </w:r>
            </w:hyperlink>
          </w:p>
        </w:tc>
        <w:tc>
          <w:tcPr>
            <w:tcW w:w="16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10.25</w:t>
            </w:r>
          </w:p>
        </w:tc>
        <w:tc>
          <w:tcPr>
            <w:tcW w:w="300" w:type="dxa"/>
            <w:vAlign w:val="bottom"/>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4560" w:type="dxa"/>
            <w:vAlign w:val="bottom"/>
            <w:gridSpan w:val="36"/>
          </w:tcPr>
          <w:p>
            <w:pPr>
              <w:spacing w:after="0" w:line="209" w:lineRule="exact"/>
              <w:rPr>
                <w:rFonts w:ascii="Calibri" w:cs="Calibri" w:eastAsia="Calibri" w:hAnsi="Calibri"/>
                <w:sz w:val="18"/>
                <w:szCs w:val="18"/>
                <w:color w:val="0000FF"/>
              </w:rPr>
            </w:pPr>
            <w:hyperlink r:id="rId191">
              <w:r>
                <w:rPr>
                  <w:rFonts w:ascii="Calibri" w:cs="Calibri" w:eastAsia="Calibri" w:hAnsi="Calibri"/>
                  <w:sz w:val="18"/>
                  <w:szCs w:val="18"/>
                  <w:color w:val="0000FF"/>
                </w:rPr>
                <w:t>Form of Performance Stock Unit Award Agreement (Price</w:t>
              </w:r>
            </w:hyperlink>
          </w:p>
        </w:tc>
        <w:tc>
          <w:tcPr>
            <w:tcW w:w="108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8-K</w:t>
            </w:r>
          </w:p>
        </w:tc>
        <w:tc>
          <w:tcPr>
            <w:tcW w:w="1160" w:type="dxa"/>
            <w:vAlign w:val="bottom"/>
          </w:tcPr>
          <w:p>
            <w:pPr>
              <w:ind w:left="20"/>
              <w:spacing w:after="0" w:line="209"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rPr>
              <w:t>10.1</w:t>
            </w:r>
          </w:p>
        </w:tc>
        <w:tc>
          <w:tcPr>
            <w:tcW w:w="10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11-02-2022</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17"/>
          </w:tcPr>
          <w:p>
            <w:pPr>
              <w:spacing w:after="0" w:line="156" w:lineRule="exact"/>
              <w:rPr>
                <w:rFonts w:ascii="Calibri" w:cs="Calibri" w:eastAsia="Calibri" w:hAnsi="Calibri"/>
                <w:sz w:val="16"/>
                <w:szCs w:val="16"/>
                <w:color w:val="0000FF"/>
              </w:rPr>
            </w:pPr>
            <w:hyperlink r:id="rId191">
              <w:r>
                <w:rPr>
                  <w:rFonts w:ascii="Calibri" w:cs="Calibri" w:eastAsia="Calibri" w:hAnsi="Calibri"/>
                  <w:sz w:val="16"/>
                  <w:szCs w:val="16"/>
                  <w:color w:val="0000FF"/>
                </w:rPr>
                <w:t>Contngency) under Broadcom Inc. 2012 Stock Incentve</w:t>
              </w:r>
            </w:hyperlink>
          </w:p>
        </w:tc>
        <w:tc>
          <w:tcPr>
            <w:tcW w:w="340" w:type="dxa"/>
            <w:vAlign w:val="bottom"/>
            <w:tcBorders>
              <w:bottom w:val="single" w:sz="8" w:color="0000FF"/>
            </w:tcBorders>
            <w:gridSpan w:val="16"/>
          </w:tcPr>
          <w:p>
            <w:pPr>
              <w:spacing w:after="0" w:line="156" w:lineRule="exact"/>
              <w:rPr>
                <w:rFonts w:ascii="Calibri" w:cs="Calibri" w:eastAsia="Calibri" w:hAnsi="Calibri"/>
                <w:sz w:val="16"/>
                <w:szCs w:val="16"/>
                <w:color w:val="0000FF"/>
                <w:w w:val="99"/>
              </w:rPr>
            </w:pPr>
            <w:hyperlink r:id="rId191">
              <w:r>
                <w:rPr>
                  <w:rFonts w:ascii="Calibri" w:cs="Calibri" w:eastAsia="Calibri" w:hAnsi="Calibri"/>
                  <w:sz w:val="16"/>
                  <w:szCs w:val="16"/>
                  <w:color w:val="0000FF"/>
                  <w:w w:val="99"/>
                </w:rPr>
                <w:t>Plan.</w:t>
              </w:r>
            </w:hyperlink>
          </w:p>
        </w:tc>
        <w:tc>
          <w:tcPr>
            <w:tcW w:w="140" w:type="dxa"/>
            <w:vAlign w:val="bottom"/>
            <w:gridSpan w:val="3"/>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10.26</w:t>
            </w:r>
          </w:p>
        </w:tc>
        <w:tc>
          <w:tcPr>
            <w:tcW w:w="300" w:type="dxa"/>
            <w:vAlign w:val="bottom"/>
          </w:tcPr>
          <w:p>
            <w:pPr>
              <w:jc w:val="right"/>
              <w:ind w:right="70"/>
              <w:spacing w:after="0"/>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4560" w:type="dxa"/>
            <w:vAlign w:val="bottom"/>
            <w:gridSpan w:val="36"/>
          </w:tcPr>
          <w:p>
            <w:pPr>
              <w:spacing w:after="0"/>
              <w:rPr>
                <w:rFonts w:ascii="Calibri" w:cs="Calibri" w:eastAsia="Calibri" w:hAnsi="Calibri"/>
                <w:sz w:val="18"/>
                <w:szCs w:val="18"/>
                <w:color w:val="0000FF"/>
              </w:rPr>
            </w:pPr>
            <w:hyperlink r:id="rId192">
              <w:r>
                <w:rPr>
                  <w:rFonts w:ascii="Calibri" w:cs="Calibri" w:eastAsia="Calibri" w:hAnsi="Calibri"/>
                  <w:sz w:val="18"/>
                  <w:szCs w:val="18"/>
                  <w:color w:val="0000FF"/>
                </w:rPr>
                <w:t>Performance Stock Unit Award Agreement, dated April 5,</w:t>
              </w:r>
            </w:hyperlink>
          </w:p>
        </w:tc>
        <w:tc>
          <w:tcPr>
            <w:tcW w:w="1080" w:type="dxa"/>
            <w:vAlign w:val="bottom"/>
            <w:gridSpan w:val="2"/>
          </w:tcPr>
          <w:p>
            <w:pPr>
              <w:ind w:left="20"/>
              <w:spacing w:after="0"/>
              <w:rPr>
                <w:sz w:val="20"/>
                <w:szCs w:val="20"/>
                <w:color w:val="auto"/>
              </w:rPr>
            </w:pPr>
            <w:r>
              <w:rPr>
                <w:rFonts w:ascii="Calibri" w:cs="Calibri" w:eastAsia="Calibri" w:hAnsi="Calibri"/>
                <w:sz w:val="18"/>
                <w:szCs w:val="18"/>
                <w:color w:val="auto"/>
              </w:rPr>
              <w:t>10-Q</w:t>
            </w:r>
          </w:p>
        </w:tc>
        <w:tc>
          <w:tcPr>
            <w:tcW w:w="1160" w:type="dxa"/>
            <w:vAlign w:val="bottom"/>
          </w:tcPr>
          <w:p>
            <w:pPr>
              <w:ind w:left="20"/>
              <w:spacing w:after="0"/>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rPr>
              <w:t>10.2</w:t>
            </w:r>
          </w:p>
        </w:tc>
        <w:tc>
          <w:tcPr>
            <w:tcW w:w="10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06-11-2021</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16"/>
          </w:tcPr>
          <w:p>
            <w:pPr>
              <w:spacing w:after="0" w:line="156" w:lineRule="exact"/>
              <w:rPr>
                <w:rFonts w:ascii="Calibri" w:cs="Calibri" w:eastAsia="Calibri" w:hAnsi="Calibri"/>
                <w:sz w:val="16"/>
                <w:szCs w:val="16"/>
                <w:color w:val="0000FF"/>
              </w:rPr>
            </w:pPr>
            <w:hyperlink r:id="rId192">
              <w:r>
                <w:rPr>
                  <w:rFonts w:ascii="Calibri" w:cs="Calibri" w:eastAsia="Calibri" w:hAnsi="Calibri"/>
                  <w:sz w:val="16"/>
                  <w:szCs w:val="16"/>
                  <w:color w:val="0000FF"/>
                </w:rPr>
                <w:t>2021, between Broadcom Inc. and Hock E. Tan.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10.27</w:t>
            </w:r>
          </w:p>
        </w:tc>
        <w:tc>
          <w:tcPr>
            <w:tcW w:w="300" w:type="dxa"/>
            <w:vAlign w:val="bottom"/>
          </w:tcPr>
          <w:p>
            <w:pPr>
              <w:jc w:val="right"/>
              <w:ind w:right="70"/>
              <w:spacing w:after="0"/>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2720" w:type="dxa"/>
            <w:vAlign w:val="bottom"/>
            <w:tcBorders>
              <w:top w:val="single" w:sz="8" w:color="0000FF"/>
              <w:bottom w:val="single" w:sz="8" w:color="0000FF"/>
            </w:tcBorders>
            <w:gridSpan w:val="8"/>
          </w:tcPr>
          <w:p>
            <w:pPr>
              <w:spacing w:after="0"/>
              <w:rPr>
                <w:rFonts w:ascii="Calibri" w:cs="Calibri" w:eastAsia="Calibri" w:hAnsi="Calibri"/>
                <w:sz w:val="18"/>
                <w:szCs w:val="18"/>
                <w:color w:val="0000FF"/>
                <w:w w:val="96"/>
              </w:rPr>
            </w:pPr>
            <w:hyperlink r:id="rId193">
              <w:r>
                <w:rPr>
                  <w:rFonts w:ascii="Calibri" w:cs="Calibri" w:eastAsia="Calibri" w:hAnsi="Calibri"/>
                  <w:sz w:val="18"/>
                  <w:szCs w:val="18"/>
                  <w:color w:val="0000FF"/>
                  <w:w w:val="96"/>
                </w:rPr>
                <w:t>Broadcom Inc. 2023 Inducement Plan.</w:t>
              </w:r>
            </w:hyperlink>
          </w:p>
        </w:tc>
        <w:tc>
          <w:tcPr>
            <w:tcW w:w="620" w:type="dxa"/>
            <w:vAlign w:val="bottom"/>
            <w:tcBorders>
              <w:top w:val="single" w:sz="8" w:color="0000FF"/>
            </w:tcBorders>
            <w:gridSpan w:val="3"/>
          </w:tcPr>
          <w:p>
            <w:pPr>
              <w:spacing w:after="0"/>
              <w:rPr>
                <w:sz w:val="19"/>
                <w:szCs w:val="19"/>
                <w:color w:val="auto"/>
              </w:rPr>
            </w:pPr>
          </w:p>
        </w:tc>
        <w:tc>
          <w:tcPr>
            <w:tcW w:w="1220" w:type="dxa"/>
            <w:vAlign w:val="bottom"/>
            <w:gridSpan w:val="25"/>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Calibri" w:cs="Calibri" w:eastAsia="Calibri" w:hAnsi="Calibri"/>
                <w:sz w:val="18"/>
                <w:szCs w:val="18"/>
                <w:color w:val="auto"/>
              </w:rPr>
              <w:t>S-8</w:t>
            </w:r>
          </w:p>
        </w:tc>
        <w:tc>
          <w:tcPr>
            <w:tcW w:w="1160" w:type="dxa"/>
            <w:vAlign w:val="bottom"/>
          </w:tcPr>
          <w:p>
            <w:pPr>
              <w:ind w:left="20"/>
              <w:spacing w:after="0"/>
              <w:rPr>
                <w:sz w:val="20"/>
                <w:szCs w:val="20"/>
                <w:color w:val="auto"/>
              </w:rPr>
            </w:pPr>
            <w:r>
              <w:rPr>
                <w:rFonts w:ascii="Calibri" w:cs="Calibri" w:eastAsia="Calibri" w:hAnsi="Calibri"/>
                <w:sz w:val="18"/>
                <w:szCs w:val="18"/>
                <w:color w:val="auto"/>
              </w:rPr>
              <w:t>333-276053</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rPr>
              <w:t>99.1</w:t>
            </w:r>
          </w:p>
        </w:tc>
        <w:tc>
          <w:tcPr>
            <w:tcW w:w="10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12-14-2023</w:t>
            </w: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10.28</w:t>
            </w:r>
          </w:p>
        </w:tc>
        <w:tc>
          <w:tcPr>
            <w:tcW w:w="300" w:type="dxa"/>
            <w:vAlign w:val="bottom"/>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4560" w:type="dxa"/>
            <w:vAlign w:val="bottom"/>
            <w:gridSpan w:val="36"/>
          </w:tcPr>
          <w:p>
            <w:pPr>
              <w:spacing w:after="0" w:line="209" w:lineRule="exact"/>
              <w:rPr>
                <w:rFonts w:ascii="Calibri" w:cs="Calibri" w:eastAsia="Calibri" w:hAnsi="Calibri"/>
                <w:sz w:val="18"/>
                <w:szCs w:val="18"/>
                <w:color w:val="0000FF"/>
              </w:rPr>
            </w:pPr>
            <w:hyperlink r:id="rId194">
              <w:r>
                <w:rPr>
                  <w:rFonts w:ascii="Calibri" w:cs="Calibri" w:eastAsia="Calibri" w:hAnsi="Calibri"/>
                  <w:sz w:val="18"/>
                  <w:szCs w:val="18"/>
                  <w:color w:val="0000FF"/>
                </w:rPr>
                <w:t>Form of Restricted Stock Unit Agreement under Broadcom</w:t>
              </w:r>
            </w:hyperlink>
          </w:p>
        </w:tc>
        <w:tc>
          <w:tcPr>
            <w:tcW w:w="108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S-8</w:t>
            </w:r>
          </w:p>
        </w:tc>
        <w:tc>
          <w:tcPr>
            <w:tcW w:w="1160" w:type="dxa"/>
            <w:vAlign w:val="bottom"/>
          </w:tcPr>
          <w:p>
            <w:pPr>
              <w:ind w:left="20"/>
              <w:spacing w:after="0" w:line="209" w:lineRule="exact"/>
              <w:rPr>
                <w:sz w:val="20"/>
                <w:szCs w:val="20"/>
                <w:color w:val="auto"/>
              </w:rPr>
            </w:pPr>
            <w:r>
              <w:rPr>
                <w:rFonts w:ascii="Calibri" w:cs="Calibri" w:eastAsia="Calibri" w:hAnsi="Calibri"/>
                <w:sz w:val="18"/>
                <w:szCs w:val="18"/>
                <w:color w:val="auto"/>
              </w:rPr>
              <w:t>333-276053</w:t>
            </w:r>
          </w:p>
        </w:tc>
        <w:tc>
          <w:tcPr>
            <w:tcW w:w="10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rPr>
              <w:t>99.2</w:t>
            </w:r>
          </w:p>
        </w:tc>
        <w:tc>
          <w:tcPr>
            <w:tcW w:w="10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12-14-2023</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tcBorders>
            <w:gridSpan w:val="23"/>
          </w:tcPr>
          <w:p>
            <w:pPr>
              <w:spacing w:after="0" w:line="156" w:lineRule="exact"/>
              <w:rPr>
                <w:rFonts w:ascii="Calibri" w:cs="Calibri" w:eastAsia="Calibri" w:hAnsi="Calibri"/>
                <w:sz w:val="16"/>
                <w:szCs w:val="16"/>
                <w:color w:val="0000FF"/>
              </w:rPr>
            </w:pPr>
            <w:hyperlink r:id="rId194">
              <w:r>
                <w:rPr>
                  <w:rFonts w:ascii="Calibri" w:cs="Calibri" w:eastAsia="Calibri" w:hAnsi="Calibri"/>
                  <w:sz w:val="16"/>
                  <w:szCs w:val="16"/>
                  <w:color w:val="0000FF"/>
                </w:rPr>
                <w:t>Inc. 2023 Inducement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10.29</w:t>
            </w:r>
          </w:p>
        </w:tc>
        <w:tc>
          <w:tcPr>
            <w:tcW w:w="300" w:type="dxa"/>
            <w:vAlign w:val="bottom"/>
          </w:tcPr>
          <w:p>
            <w:pPr>
              <w:jc w:val="right"/>
              <w:ind w:right="70"/>
              <w:spacing w:after="0"/>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4560" w:type="dxa"/>
            <w:vAlign w:val="bottom"/>
            <w:gridSpan w:val="36"/>
          </w:tcPr>
          <w:p>
            <w:pPr>
              <w:spacing w:after="0"/>
              <w:rPr>
                <w:rFonts w:ascii="Calibri" w:cs="Calibri" w:eastAsia="Calibri" w:hAnsi="Calibri"/>
                <w:sz w:val="18"/>
                <w:szCs w:val="18"/>
                <w:color w:val="0000FF"/>
              </w:rPr>
            </w:pPr>
            <w:hyperlink r:id="rId195">
              <w:r>
                <w:rPr>
                  <w:rFonts w:ascii="Calibri" w:cs="Calibri" w:eastAsia="Calibri" w:hAnsi="Calibri"/>
                  <w:sz w:val="18"/>
                  <w:szCs w:val="18"/>
                  <w:color w:val="0000FF"/>
                </w:rPr>
                <w:t>Form of Performance Stock Unit Agreement under Broadcom</w:t>
              </w:r>
            </w:hyperlink>
          </w:p>
        </w:tc>
        <w:tc>
          <w:tcPr>
            <w:tcW w:w="1080" w:type="dxa"/>
            <w:vAlign w:val="bottom"/>
            <w:gridSpan w:val="2"/>
          </w:tcPr>
          <w:p>
            <w:pPr>
              <w:ind w:left="20"/>
              <w:spacing w:after="0"/>
              <w:rPr>
                <w:sz w:val="20"/>
                <w:szCs w:val="20"/>
                <w:color w:val="auto"/>
              </w:rPr>
            </w:pPr>
            <w:r>
              <w:rPr>
                <w:rFonts w:ascii="Calibri" w:cs="Calibri" w:eastAsia="Calibri" w:hAnsi="Calibri"/>
                <w:sz w:val="18"/>
                <w:szCs w:val="18"/>
                <w:color w:val="auto"/>
              </w:rPr>
              <w:t>S-8</w:t>
            </w:r>
          </w:p>
        </w:tc>
        <w:tc>
          <w:tcPr>
            <w:tcW w:w="1160" w:type="dxa"/>
            <w:vAlign w:val="bottom"/>
          </w:tcPr>
          <w:p>
            <w:pPr>
              <w:ind w:left="20"/>
              <w:spacing w:after="0"/>
              <w:rPr>
                <w:sz w:val="20"/>
                <w:szCs w:val="20"/>
                <w:color w:val="auto"/>
              </w:rPr>
            </w:pPr>
            <w:r>
              <w:rPr>
                <w:rFonts w:ascii="Calibri" w:cs="Calibri" w:eastAsia="Calibri" w:hAnsi="Calibri"/>
                <w:sz w:val="18"/>
                <w:szCs w:val="18"/>
                <w:color w:val="auto"/>
              </w:rPr>
              <w:t>333-276053</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rPr>
              <w:t>99.3</w:t>
            </w:r>
          </w:p>
        </w:tc>
        <w:tc>
          <w:tcPr>
            <w:tcW w:w="10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12-14-2023</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31"/>
          </w:tcPr>
          <w:p>
            <w:pPr>
              <w:spacing w:after="0" w:line="156" w:lineRule="exact"/>
              <w:rPr>
                <w:rFonts w:ascii="Calibri" w:cs="Calibri" w:eastAsia="Calibri" w:hAnsi="Calibri"/>
                <w:sz w:val="16"/>
                <w:szCs w:val="16"/>
                <w:color w:val="0000FF"/>
              </w:rPr>
            </w:pPr>
            <w:hyperlink r:id="rId195">
              <w:r>
                <w:rPr>
                  <w:rFonts w:ascii="Calibri" w:cs="Calibri" w:eastAsia="Calibri" w:hAnsi="Calibri"/>
                  <w:sz w:val="16"/>
                  <w:szCs w:val="16"/>
                  <w:color w:val="0000FF"/>
                </w:rPr>
                <w:t>Inc. 2023 Inducement Plan.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10.30</w:t>
            </w:r>
          </w:p>
        </w:tc>
        <w:tc>
          <w:tcPr>
            <w:tcW w:w="300" w:type="dxa"/>
            <w:vAlign w:val="bottom"/>
          </w:tcPr>
          <w:p>
            <w:pPr>
              <w:jc w:val="right"/>
              <w:ind w:right="70"/>
              <w:spacing w:after="0"/>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4560" w:type="dxa"/>
            <w:vAlign w:val="bottom"/>
            <w:gridSpan w:val="36"/>
          </w:tcPr>
          <w:p>
            <w:pPr>
              <w:spacing w:after="0"/>
              <w:rPr>
                <w:rFonts w:ascii="Calibri" w:cs="Calibri" w:eastAsia="Calibri" w:hAnsi="Calibri"/>
                <w:sz w:val="18"/>
                <w:szCs w:val="18"/>
                <w:color w:val="0000FF"/>
              </w:rPr>
            </w:pPr>
            <w:hyperlink r:id="rId196">
              <w:r>
                <w:rPr>
                  <w:rFonts w:ascii="Calibri" w:cs="Calibri" w:eastAsia="Calibri" w:hAnsi="Calibri"/>
                  <w:sz w:val="18"/>
                  <w:szCs w:val="18"/>
                  <w:color w:val="0000FF"/>
                </w:rPr>
                <w:t>Policy on Acceleraton of Executve Staf Equity Awards in the</w:t>
              </w:r>
            </w:hyperlink>
          </w:p>
        </w:tc>
        <w:tc>
          <w:tcPr>
            <w:tcW w:w="108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60" w:type="dxa"/>
            <w:vAlign w:val="bottom"/>
          </w:tcPr>
          <w:p>
            <w:pPr>
              <w:ind w:left="20"/>
              <w:spacing w:after="0"/>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rPr>
              <w:t>10.1</w:t>
            </w:r>
          </w:p>
        </w:tc>
        <w:tc>
          <w:tcPr>
            <w:tcW w:w="10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06-03-2021</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20"/>
          </w:tcPr>
          <w:p>
            <w:pPr>
              <w:spacing w:after="0" w:line="156" w:lineRule="exact"/>
              <w:rPr>
                <w:rFonts w:ascii="Calibri" w:cs="Calibri" w:eastAsia="Calibri" w:hAnsi="Calibri"/>
                <w:sz w:val="16"/>
                <w:szCs w:val="16"/>
                <w:color w:val="0000FF"/>
              </w:rPr>
            </w:pPr>
            <w:hyperlink r:id="rId196">
              <w:r>
                <w:rPr>
                  <w:rFonts w:ascii="Calibri" w:cs="Calibri" w:eastAsia="Calibri" w:hAnsi="Calibri"/>
                  <w:sz w:val="16"/>
                  <w:szCs w:val="16"/>
                  <w:color w:val="0000FF"/>
                </w:rPr>
                <w:t>Event of Permanent Disability (as amended June 2, 2021).</w:t>
              </w:r>
            </w:hyperlink>
          </w:p>
        </w:tc>
        <w:tc>
          <w:tcPr>
            <w:tcW w:w="2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10.31</w:t>
            </w:r>
          </w:p>
        </w:tc>
        <w:tc>
          <w:tcPr>
            <w:tcW w:w="300" w:type="dxa"/>
            <w:vAlign w:val="bottom"/>
          </w:tcPr>
          <w:p>
            <w:pPr>
              <w:jc w:val="right"/>
              <w:ind w:right="70"/>
              <w:spacing w:after="0"/>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4560" w:type="dxa"/>
            <w:vAlign w:val="bottom"/>
            <w:gridSpan w:val="36"/>
          </w:tcPr>
          <w:p>
            <w:pPr>
              <w:spacing w:after="0"/>
              <w:rPr>
                <w:rFonts w:ascii="Calibri" w:cs="Calibri" w:eastAsia="Calibri" w:hAnsi="Calibri"/>
                <w:sz w:val="18"/>
                <w:szCs w:val="18"/>
                <w:color w:val="0000FF"/>
              </w:rPr>
            </w:pPr>
            <w:hyperlink r:id="rId197">
              <w:r>
                <w:rPr>
                  <w:rFonts w:ascii="Calibri" w:cs="Calibri" w:eastAsia="Calibri" w:hAnsi="Calibri"/>
                  <w:sz w:val="18"/>
                  <w:szCs w:val="18"/>
                  <w:color w:val="0000FF"/>
                </w:rPr>
                <w:t>Policy on Acceleraton of Equity Awards in the Event of Death</w:t>
              </w:r>
            </w:hyperlink>
          </w:p>
        </w:tc>
        <w:tc>
          <w:tcPr>
            <w:tcW w:w="1080" w:type="dxa"/>
            <w:vAlign w:val="bottom"/>
            <w:gridSpan w:val="2"/>
          </w:tcPr>
          <w:p>
            <w:pPr>
              <w:ind w:left="20"/>
              <w:spacing w:after="0"/>
              <w:rPr>
                <w:sz w:val="20"/>
                <w:szCs w:val="20"/>
                <w:color w:val="auto"/>
              </w:rPr>
            </w:pPr>
            <w:r>
              <w:rPr>
                <w:rFonts w:ascii="Calibri" w:cs="Calibri" w:eastAsia="Calibri" w:hAnsi="Calibri"/>
                <w:sz w:val="18"/>
                <w:szCs w:val="18"/>
                <w:color w:val="auto"/>
              </w:rPr>
              <w:t>10-Q</w:t>
            </w:r>
          </w:p>
        </w:tc>
        <w:tc>
          <w:tcPr>
            <w:tcW w:w="1160" w:type="dxa"/>
            <w:vAlign w:val="bottom"/>
          </w:tcPr>
          <w:p>
            <w:pPr>
              <w:ind w:left="20"/>
              <w:spacing w:after="0"/>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rPr>
              <w:t>10.2</w:t>
            </w:r>
          </w:p>
        </w:tc>
        <w:tc>
          <w:tcPr>
            <w:tcW w:w="10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09-06-2023</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30"/>
          </w:tcPr>
          <w:p>
            <w:pPr>
              <w:spacing w:after="0" w:line="156" w:lineRule="exact"/>
              <w:rPr>
                <w:rFonts w:ascii="Calibri" w:cs="Calibri" w:eastAsia="Calibri" w:hAnsi="Calibri"/>
                <w:sz w:val="16"/>
                <w:szCs w:val="16"/>
                <w:color w:val="0000FF"/>
              </w:rPr>
            </w:pPr>
            <w:hyperlink r:id="rId197">
              <w:r>
                <w:rPr>
                  <w:rFonts w:ascii="Calibri" w:cs="Calibri" w:eastAsia="Calibri" w:hAnsi="Calibri"/>
                  <w:sz w:val="16"/>
                  <w:szCs w:val="16"/>
                  <w:color w:val="0000FF"/>
                </w:rPr>
                <w:t>(as amended January 1, 2023).</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10.32</w:t>
            </w:r>
          </w:p>
        </w:tc>
        <w:tc>
          <w:tcPr>
            <w:tcW w:w="300" w:type="dxa"/>
            <w:vAlign w:val="bottom"/>
          </w:tcPr>
          <w:p>
            <w:pPr>
              <w:jc w:val="right"/>
              <w:ind w:right="70"/>
              <w:spacing w:after="0"/>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4560" w:type="dxa"/>
            <w:vAlign w:val="bottom"/>
            <w:gridSpan w:val="36"/>
          </w:tcPr>
          <w:p>
            <w:pPr>
              <w:spacing w:after="0"/>
              <w:rPr>
                <w:rFonts w:ascii="Calibri" w:cs="Calibri" w:eastAsia="Calibri" w:hAnsi="Calibri"/>
                <w:sz w:val="18"/>
                <w:szCs w:val="18"/>
                <w:color w:val="0000FF"/>
              </w:rPr>
            </w:pPr>
            <w:hyperlink r:id="rId198">
              <w:r>
                <w:rPr>
                  <w:rFonts w:ascii="Calibri" w:cs="Calibri" w:eastAsia="Calibri" w:hAnsi="Calibri"/>
                  <w:sz w:val="18"/>
                  <w:szCs w:val="18"/>
                  <w:color w:val="0000FF"/>
                </w:rPr>
                <w:t>Amended and Restated Severance Benefts Agreement, dated</w:t>
              </w:r>
            </w:hyperlink>
          </w:p>
        </w:tc>
        <w:tc>
          <w:tcPr>
            <w:tcW w:w="108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60" w:type="dxa"/>
            <w:vAlign w:val="bottom"/>
          </w:tcPr>
          <w:p>
            <w:pPr>
              <w:ind w:left="20"/>
              <w:spacing w:after="0"/>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rPr>
              <w:t>10.1</w:t>
            </w:r>
          </w:p>
        </w:tc>
        <w:tc>
          <w:tcPr>
            <w:tcW w:w="10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12-10-2020</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33"/>
          </w:tcPr>
          <w:p>
            <w:pPr>
              <w:spacing w:after="0" w:line="156" w:lineRule="exact"/>
              <w:rPr>
                <w:rFonts w:ascii="Calibri" w:cs="Calibri" w:eastAsia="Calibri" w:hAnsi="Calibri"/>
                <w:sz w:val="16"/>
                <w:szCs w:val="16"/>
                <w:color w:val="0000FF"/>
              </w:rPr>
            </w:pPr>
            <w:hyperlink r:id="rId198">
              <w:r>
                <w:rPr>
                  <w:rFonts w:ascii="Calibri" w:cs="Calibri" w:eastAsia="Calibri" w:hAnsi="Calibri"/>
                  <w:sz w:val="16"/>
                  <w:szCs w:val="16"/>
                  <w:color w:val="0000FF"/>
                </w:rPr>
                <w:t>December 10, 2020, between Broadcom Inc. and Hock E. Tan.</w:t>
              </w:r>
            </w:hyperlink>
          </w:p>
        </w:tc>
        <w:tc>
          <w:tcPr>
            <w:tcW w:w="20" w:type="dxa"/>
            <w:vAlign w:val="bottom"/>
            <w:tcBorders>
              <w:top w:val="single" w:sz="8" w:color="0000FF"/>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10.33</w:t>
            </w:r>
          </w:p>
        </w:tc>
        <w:tc>
          <w:tcPr>
            <w:tcW w:w="300" w:type="dxa"/>
            <w:vAlign w:val="bottom"/>
          </w:tcPr>
          <w:p>
            <w:pPr>
              <w:jc w:val="right"/>
              <w:ind w:right="70"/>
              <w:spacing w:after="0"/>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4560" w:type="dxa"/>
            <w:vAlign w:val="bottom"/>
            <w:gridSpan w:val="36"/>
          </w:tcPr>
          <w:p>
            <w:pPr>
              <w:spacing w:after="0"/>
              <w:rPr>
                <w:rFonts w:ascii="Calibri" w:cs="Calibri" w:eastAsia="Calibri" w:hAnsi="Calibri"/>
                <w:sz w:val="18"/>
                <w:szCs w:val="18"/>
                <w:color w:val="0000FF"/>
              </w:rPr>
            </w:pPr>
            <w:hyperlink r:id="rId199">
              <w:r>
                <w:rPr>
                  <w:rFonts w:ascii="Calibri" w:cs="Calibri" w:eastAsia="Calibri" w:hAnsi="Calibri"/>
                  <w:sz w:val="18"/>
                  <w:szCs w:val="18"/>
                  <w:color w:val="0000FF"/>
                </w:rPr>
                <w:t>Amended and Restated Severance Benefts Agreement, dated</w:t>
              </w:r>
            </w:hyperlink>
          </w:p>
        </w:tc>
        <w:tc>
          <w:tcPr>
            <w:tcW w:w="108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60" w:type="dxa"/>
            <w:vAlign w:val="bottom"/>
          </w:tcPr>
          <w:p>
            <w:pPr>
              <w:ind w:left="20"/>
              <w:spacing w:after="0"/>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rPr>
              <w:t>10.2</w:t>
            </w:r>
          </w:p>
        </w:tc>
        <w:tc>
          <w:tcPr>
            <w:tcW w:w="10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12-10-2020</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tcBorders>
            <w:gridSpan w:val="34"/>
          </w:tcPr>
          <w:p>
            <w:pPr>
              <w:spacing w:after="0" w:line="156" w:lineRule="exact"/>
              <w:rPr>
                <w:rFonts w:ascii="Calibri" w:cs="Calibri" w:eastAsia="Calibri" w:hAnsi="Calibri"/>
                <w:sz w:val="16"/>
                <w:szCs w:val="16"/>
                <w:color w:val="0000FF"/>
              </w:rPr>
            </w:pPr>
            <w:hyperlink r:id="rId199">
              <w:r>
                <w:rPr>
                  <w:rFonts w:ascii="Calibri" w:cs="Calibri" w:eastAsia="Calibri" w:hAnsi="Calibri"/>
                  <w:sz w:val="16"/>
                  <w:szCs w:val="16"/>
                  <w:color w:val="0000FF"/>
                </w:rPr>
                <w:t>December 10, 2020, between Broadcom Inc. and Charlie B.</w:t>
              </w:r>
            </w:hyperlink>
          </w:p>
        </w:tc>
        <w:tc>
          <w:tcPr>
            <w:tcW w:w="12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Borders>
              <w:top w:val="single" w:sz="8" w:color="0000FF"/>
            </w:tcBorders>
            <w:gridSpan w:val="27"/>
          </w:tcPr>
          <w:p>
            <w:pPr>
              <w:spacing w:after="0" w:line="169" w:lineRule="exact"/>
              <w:rPr>
                <w:rFonts w:ascii="Calibri" w:cs="Calibri" w:eastAsia="Calibri" w:hAnsi="Calibri"/>
                <w:sz w:val="18"/>
                <w:szCs w:val="18"/>
                <w:color w:val="0000FF"/>
              </w:rPr>
            </w:pPr>
            <w:hyperlink r:id="rId199">
              <w:r>
                <w:rPr>
                  <w:rFonts w:ascii="Calibri" w:cs="Calibri" w:eastAsia="Calibri" w:hAnsi="Calibri"/>
                  <w:sz w:val="18"/>
                  <w:szCs w:val="18"/>
                  <w:color w:val="0000FF"/>
                </w:rPr>
                <w:t>Kawwas.</w:t>
              </w:r>
            </w:hyperlink>
          </w:p>
        </w:tc>
        <w:tc>
          <w:tcPr>
            <w:tcW w:w="20" w:type="dxa"/>
            <w:vAlign w:val="bottom"/>
          </w:tcPr>
          <w:p>
            <w:pPr>
              <w:spacing w:after="0"/>
              <w:rPr>
                <w:sz w:val="14"/>
                <w:szCs w:val="14"/>
                <w:color w:val="auto"/>
              </w:rPr>
            </w:pPr>
          </w:p>
        </w:tc>
        <w:tc>
          <w:tcPr>
            <w:tcW w:w="260" w:type="dxa"/>
            <w:vAlign w:val="bottom"/>
            <w:gridSpan w:val="8"/>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10.34</w:t>
            </w:r>
          </w:p>
        </w:tc>
        <w:tc>
          <w:tcPr>
            <w:tcW w:w="300" w:type="dxa"/>
            <w:vAlign w:val="bottom"/>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4560" w:type="dxa"/>
            <w:vAlign w:val="bottom"/>
            <w:gridSpan w:val="36"/>
          </w:tcPr>
          <w:p>
            <w:pPr>
              <w:spacing w:after="0" w:line="209" w:lineRule="exact"/>
              <w:rPr>
                <w:rFonts w:ascii="Calibri" w:cs="Calibri" w:eastAsia="Calibri" w:hAnsi="Calibri"/>
                <w:sz w:val="18"/>
                <w:szCs w:val="18"/>
                <w:color w:val="0000FF"/>
              </w:rPr>
            </w:pPr>
            <w:hyperlink r:id="rId200">
              <w:r>
                <w:rPr>
                  <w:rFonts w:ascii="Calibri" w:cs="Calibri" w:eastAsia="Calibri" w:hAnsi="Calibri"/>
                  <w:sz w:val="18"/>
                  <w:szCs w:val="18"/>
                  <w:color w:val="0000FF"/>
                </w:rPr>
                <w:t>Severance Benefts Agreement, dated September 26, 2017,</w:t>
              </w:r>
            </w:hyperlink>
          </w:p>
        </w:tc>
        <w:tc>
          <w:tcPr>
            <w:tcW w:w="108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10-Q</w:t>
            </w:r>
          </w:p>
        </w:tc>
        <w:tc>
          <w:tcPr>
            <w:tcW w:w="1160" w:type="dxa"/>
            <w:vAlign w:val="bottom"/>
          </w:tcPr>
          <w:p>
            <w:pPr>
              <w:ind w:left="20"/>
              <w:spacing w:after="0" w:line="209"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10.18</w:t>
            </w:r>
          </w:p>
        </w:tc>
        <w:tc>
          <w:tcPr>
            <w:tcW w:w="100" w:type="dxa"/>
            <w:vAlign w:val="bottom"/>
          </w:tcPr>
          <w:p>
            <w:pPr>
              <w:spacing w:after="0"/>
              <w:rPr>
                <w:sz w:val="18"/>
                <w:szCs w:val="18"/>
                <w:color w:val="auto"/>
              </w:rPr>
            </w:pPr>
          </w:p>
        </w:tc>
        <w:tc>
          <w:tcPr>
            <w:tcW w:w="1160" w:type="dxa"/>
            <w:vAlign w:val="bottom"/>
          </w:tcPr>
          <w:p>
            <w:pPr>
              <w:jc w:val="right"/>
              <w:ind w:right="231"/>
              <w:spacing w:after="0" w:line="209" w:lineRule="exact"/>
              <w:rPr>
                <w:sz w:val="20"/>
                <w:szCs w:val="20"/>
                <w:color w:val="auto"/>
              </w:rPr>
            </w:pPr>
            <w:r>
              <w:rPr>
                <w:rFonts w:ascii="Calibri" w:cs="Calibri" w:eastAsia="Calibri" w:hAnsi="Calibri"/>
                <w:sz w:val="18"/>
                <w:szCs w:val="18"/>
                <w:color w:val="auto"/>
                <w:w w:val="97"/>
              </w:rPr>
              <w:t>06-16-2018</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00" w:type="dxa"/>
            <w:vAlign w:val="bottom"/>
            <w:tcBorders>
              <w:top w:val="single" w:sz="8" w:color="0000FF"/>
              <w:bottom w:val="single" w:sz="8" w:color="0000FF"/>
            </w:tcBorders>
            <w:gridSpan w:val="9"/>
          </w:tcPr>
          <w:p>
            <w:pPr>
              <w:spacing w:after="0" w:line="156" w:lineRule="exact"/>
              <w:rPr>
                <w:rFonts w:ascii="Calibri" w:cs="Calibri" w:eastAsia="Calibri" w:hAnsi="Calibri"/>
                <w:sz w:val="16"/>
                <w:szCs w:val="16"/>
                <w:color w:val="0000FF"/>
              </w:rPr>
            </w:pPr>
            <w:hyperlink r:id="rId200">
              <w:r>
                <w:rPr>
                  <w:rFonts w:ascii="Calibri" w:cs="Calibri" w:eastAsia="Calibri" w:hAnsi="Calibri"/>
                  <w:sz w:val="16"/>
                  <w:szCs w:val="16"/>
                  <w:color w:val="0000FF"/>
                </w:rPr>
                <w:t>between Broadcom Limited and Mark Brazeal.</w:t>
              </w:r>
            </w:hyperlink>
          </w:p>
        </w:tc>
        <w:tc>
          <w:tcPr>
            <w:tcW w:w="1000" w:type="dxa"/>
            <w:vAlign w:val="bottom"/>
            <w:tcBorders>
              <w:top w:val="single" w:sz="8" w:color="0000FF"/>
            </w:tcBorders>
            <w:gridSpan w:val="19"/>
          </w:tcPr>
          <w:p>
            <w:pPr>
              <w:spacing w:after="0"/>
              <w:rPr>
                <w:sz w:val="13"/>
                <w:szCs w:val="13"/>
                <w:color w:val="auto"/>
              </w:rPr>
            </w:pPr>
          </w:p>
        </w:tc>
        <w:tc>
          <w:tcPr>
            <w:tcW w:w="260" w:type="dxa"/>
            <w:vAlign w:val="bottom"/>
            <w:gridSpan w:val="8"/>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10.35</w:t>
            </w:r>
          </w:p>
        </w:tc>
        <w:tc>
          <w:tcPr>
            <w:tcW w:w="300" w:type="dxa"/>
            <w:vAlign w:val="bottom"/>
          </w:tcPr>
          <w:p>
            <w:pPr>
              <w:jc w:val="right"/>
              <w:ind w:right="70"/>
              <w:spacing w:after="0"/>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4560" w:type="dxa"/>
            <w:vAlign w:val="bottom"/>
            <w:gridSpan w:val="36"/>
          </w:tcPr>
          <w:p>
            <w:pPr>
              <w:spacing w:after="0"/>
              <w:rPr>
                <w:rFonts w:ascii="Calibri" w:cs="Calibri" w:eastAsia="Calibri" w:hAnsi="Calibri"/>
                <w:sz w:val="18"/>
                <w:szCs w:val="18"/>
                <w:color w:val="0000FF"/>
              </w:rPr>
            </w:pPr>
            <w:hyperlink r:id="rId201">
              <w:r>
                <w:rPr>
                  <w:rFonts w:ascii="Calibri" w:cs="Calibri" w:eastAsia="Calibri" w:hAnsi="Calibri"/>
                  <w:sz w:val="18"/>
                  <w:szCs w:val="18"/>
                  <w:color w:val="0000FF"/>
                </w:rPr>
                <w:t>Severance Benefts Agreement, dated December 10, 2020,</w:t>
              </w:r>
            </w:hyperlink>
          </w:p>
        </w:tc>
        <w:tc>
          <w:tcPr>
            <w:tcW w:w="1080" w:type="dxa"/>
            <w:vAlign w:val="bottom"/>
            <w:gridSpan w:val="2"/>
          </w:tcPr>
          <w:p>
            <w:pPr>
              <w:ind w:left="20"/>
              <w:spacing w:after="0"/>
              <w:rPr>
                <w:sz w:val="20"/>
                <w:szCs w:val="20"/>
                <w:color w:val="auto"/>
              </w:rPr>
            </w:pPr>
            <w:r>
              <w:rPr>
                <w:rFonts w:ascii="Calibri" w:cs="Calibri" w:eastAsia="Calibri" w:hAnsi="Calibri"/>
                <w:sz w:val="18"/>
                <w:szCs w:val="18"/>
                <w:color w:val="auto"/>
              </w:rPr>
              <w:t>8-K</w:t>
            </w:r>
          </w:p>
        </w:tc>
        <w:tc>
          <w:tcPr>
            <w:tcW w:w="1160" w:type="dxa"/>
            <w:vAlign w:val="bottom"/>
          </w:tcPr>
          <w:p>
            <w:pPr>
              <w:ind w:left="20"/>
              <w:spacing w:after="0"/>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Calibri" w:cs="Calibri" w:eastAsia="Calibri" w:hAnsi="Calibri"/>
                <w:sz w:val="18"/>
                <w:szCs w:val="18"/>
                <w:color w:val="auto"/>
              </w:rPr>
              <w:t>10.5</w:t>
            </w:r>
          </w:p>
        </w:tc>
        <w:tc>
          <w:tcPr>
            <w:tcW w:w="10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Calibri" w:cs="Calibri" w:eastAsia="Calibri" w:hAnsi="Calibri"/>
                <w:sz w:val="18"/>
                <w:szCs w:val="18"/>
                <w:color w:val="auto"/>
                <w:w w:val="97"/>
              </w:rPr>
              <w:t>12-10-2020</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24"/>
          </w:tcPr>
          <w:p>
            <w:pPr>
              <w:spacing w:after="0" w:line="156" w:lineRule="exact"/>
              <w:rPr>
                <w:rFonts w:ascii="Calibri" w:cs="Calibri" w:eastAsia="Calibri" w:hAnsi="Calibri"/>
                <w:sz w:val="16"/>
                <w:szCs w:val="16"/>
                <w:color w:val="0000FF"/>
              </w:rPr>
            </w:pPr>
            <w:hyperlink r:id="rId201">
              <w:r>
                <w:rPr>
                  <w:rFonts w:ascii="Calibri" w:cs="Calibri" w:eastAsia="Calibri" w:hAnsi="Calibri"/>
                  <w:sz w:val="16"/>
                  <w:szCs w:val="16"/>
                  <w:color w:val="0000FF"/>
                </w:rPr>
                <w:t>between Broadcom Inc. and Kirsten M. Spears.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10"/>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100" w:type="dxa"/>
            <w:vAlign w:val="bottom"/>
            <w:tcBorders>
              <w:left w:val="single" w:sz="8" w:color="0000FF"/>
            </w:tcBorders>
            <w:gridSpan w:val="4"/>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19.1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6"/>
          </w:tcPr>
          <w:p>
            <w:pPr>
              <w:spacing w:after="0"/>
              <w:rPr>
                <w:sz w:val="20"/>
                <w:szCs w:val="20"/>
                <w:color w:val="auto"/>
              </w:rPr>
            </w:pPr>
            <w:r>
              <w:rPr>
                <w:rFonts w:ascii="Calibri" w:cs="Calibri" w:eastAsia="Calibri" w:hAnsi="Calibri"/>
                <w:sz w:val="18"/>
                <w:szCs w:val="18"/>
                <w:color w:val="0000FF"/>
              </w:rPr>
              <w:t>Broadcom Inc. Insider Trading Compliance Policy</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21.1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tcBorders>
              <w:top w:val="single" w:sz="8" w:color="0000FF"/>
            </w:tcBorders>
            <w:gridSpan w:val="12"/>
          </w:tcPr>
          <w:p>
            <w:pPr>
              <w:spacing w:after="0" w:line="209" w:lineRule="exact"/>
              <w:rPr>
                <w:sz w:val="20"/>
                <w:szCs w:val="20"/>
                <w:color w:val="auto"/>
              </w:rPr>
            </w:pPr>
            <w:r>
              <w:rPr>
                <w:rFonts w:ascii="Calibri" w:cs="Calibri" w:eastAsia="Calibri" w:hAnsi="Calibri"/>
                <w:sz w:val="18"/>
                <w:szCs w:val="18"/>
                <w:color w:val="0000FF"/>
              </w:rPr>
              <w:t>List of Subsidiaries.</w:t>
            </w:r>
          </w:p>
        </w:tc>
        <w:tc>
          <w:tcPr>
            <w:tcW w:w="1120" w:type="dxa"/>
            <w:vAlign w:val="bottom"/>
            <w:gridSpan w:val="24"/>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100" w:type="dxa"/>
            <w:vAlign w:val="bottom"/>
            <w:tcBorders>
              <w:left w:val="single" w:sz="8" w:color="0000FF"/>
            </w:tcBorders>
            <w:gridSpan w:val="4"/>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23.1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36"/>
          </w:tcPr>
          <w:p>
            <w:pPr>
              <w:spacing w:after="0" w:line="209" w:lineRule="exact"/>
              <w:rPr>
                <w:sz w:val="20"/>
                <w:szCs w:val="20"/>
                <w:color w:val="auto"/>
              </w:rPr>
            </w:pPr>
            <w:r>
              <w:rPr>
                <w:rFonts w:ascii="Calibri" w:cs="Calibri" w:eastAsia="Calibri" w:hAnsi="Calibri"/>
                <w:sz w:val="18"/>
                <w:szCs w:val="18"/>
                <w:color w:val="0000FF"/>
              </w:rPr>
              <w:t>Consent of PricewaterhouseCoopers LLP, independent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7"/>
          </w:tcPr>
          <w:p>
            <w:pPr>
              <w:spacing w:after="0" w:line="156" w:lineRule="exact"/>
              <w:rPr>
                <w:sz w:val="20"/>
                <w:szCs w:val="20"/>
                <w:color w:val="auto"/>
              </w:rPr>
            </w:pPr>
            <w:r>
              <w:rPr>
                <w:rFonts w:ascii="Calibri" w:cs="Calibri" w:eastAsia="Calibri" w:hAnsi="Calibri"/>
                <w:sz w:val="16"/>
                <w:szCs w:val="16"/>
                <w:color w:val="0000FF"/>
              </w:rPr>
              <w:t>registered public accountng frm.</w:t>
            </w:r>
          </w:p>
        </w:tc>
        <w:tc>
          <w:tcPr>
            <w:tcW w:w="1440" w:type="dxa"/>
            <w:vAlign w:val="bottom"/>
            <w:tcBorders>
              <w:top w:val="single" w:sz="8" w:color="0000FF"/>
            </w:tcBorders>
            <w:gridSpan w:val="6"/>
          </w:tcPr>
          <w:p>
            <w:pPr>
              <w:spacing w:after="0"/>
              <w:rPr>
                <w:sz w:val="13"/>
                <w:szCs w:val="13"/>
                <w:color w:val="auto"/>
              </w:rPr>
            </w:pPr>
          </w:p>
        </w:tc>
        <w:tc>
          <w:tcPr>
            <w:tcW w:w="2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10"/>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Calibri" w:cs="Calibri" w:eastAsia="Calibri" w:hAnsi="Calibri"/>
                <w:sz w:val="18"/>
                <w:szCs w:val="18"/>
                <w:color w:val="auto"/>
              </w:rPr>
              <w:t>24.1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20" w:type="dxa"/>
            <w:vAlign w:val="bottom"/>
            <w:tcBorders>
              <w:bottom w:val="single" w:sz="8" w:color="0000FF"/>
            </w:tcBorders>
            <w:gridSpan w:val="19"/>
          </w:tcPr>
          <w:p>
            <w:pPr>
              <w:spacing w:after="0"/>
              <w:rPr>
                <w:sz w:val="20"/>
                <w:szCs w:val="20"/>
                <w:color w:val="auto"/>
              </w:rPr>
            </w:pPr>
            <w:r>
              <w:rPr>
                <w:rFonts w:ascii="Calibri" w:cs="Calibri" w:eastAsia="Calibri" w:hAnsi="Calibri"/>
                <w:sz w:val="18"/>
                <w:szCs w:val="18"/>
                <w:color w:val="0000FF"/>
                <w:w w:val="98"/>
              </w:rPr>
              <w:t>Power of Atorney (see signature page to this Form 10-K).</w:t>
            </w:r>
          </w:p>
        </w:tc>
        <w:tc>
          <w:tcPr>
            <w:tcW w:w="440" w:type="dxa"/>
            <w:vAlign w:val="bottom"/>
            <w:gridSpan w:val="17"/>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31.1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36"/>
          </w:tcPr>
          <w:p>
            <w:pPr>
              <w:spacing w:after="0" w:line="209" w:lineRule="exact"/>
              <w:rPr>
                <w:sz w:val="20"/>
                <w:szCs w:val="20"/>
                <w:color w:val="auto"/>
              </w:rPr>
            </w:pPr>
            <w:r>
              <w:rPr>
                <w:rFonts w:ascii="Calibri" w:cs="Calibri" w:eastAsia="Calibri" w:hAnsi="Calibri"/>
                <w:sz w:val="18"/>
                <w:szCs w:val="18"/>
                <w:color w:val="0000FF"/>
              </w:rPr>
              <w:t>Certfcaton of Principal Executve Ofcer of Broadcom Inc.</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26"/>
          </w:tcPr>
          <w:p>
            <w:pPr>
              <w:spacing w:after="0" w:line="156" w:lineRule="exact"/>
              <w:rPr>
                <w:sz w:val="20"/>
                <w:szCs w:val="20"/>
                <w:color w:val="auto"/>
              </w:rPr>
            </w:pPr>
            <w:r>
              <w:rPr>
                <w:rFonts w:ascii="Calibri" w:cs="Calibri" w:eastAsia="Calibri" w:hAnsi="Calibri"/>
                <w:sz w:val="16"/>
                <w:szCs w:val="16"/>
                <w:color w:val="0000FF"/>
              </w:rPr>
              <w:t>Pursuant to Rule 13a-14 of the Securites Exchange Act of</w:t>
            </w:r>
          </w:p>
        </w:tc>
        <w:tc>
          <w:tcPr>
            <w:tcW w:w="300" w:type="dxa"/>
            <w:vAlign w:val="bottom"/>
            <w:gridSpan w:val="10"/>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00" w:type="dxa"/>
            <w:vAlign w:val="bottom"/>
            <w:tcBorders>
              <w:top w:val="single" w:sz="8" w:color="0000FF"/>
            </w:tcBorders>
            <w:gridSpan w:val="18"/>
          </w:tcPr>
          <w:p>
            <w:pPr>
              <w:spacing w:after="0" w:line="169" w:lineRule="exact"/>
              <w:rPr>
                <w:sz w:val="20"/>
                <w:szCs w:val="20"/>
                <w:color w:val="auto"/>
              </w:rPr>
            </w:pPr>
            <w:r>
              <w:rPr>
                <w:rFonts w:ascii="Calibri" w:cs="Calibri" w:eastAsia="Calibri" w:hAnsi="Calibri"/>
                <w:sz w:val="18"/>
                <w:szCs w:val="18"/>
                <w:color w:val="0000FF"/>
                <w:w w:val="96"/>
              </w:rPr>
              <w:t>1934, as Adopted Pursuant to Secton 302 of the Sarbanes</w:t>
            </w:r>
          </w:p>
        </w:tc>
        <w:tc>
          <w:tcPr>
            <w:tcW w:w="460" w:type="dxa"/>
            <w:vAlign w:val="bottom"/>
            <w:gridSpan w:val="18"/>
          </w:tcPr>
          <w:p>
            <w:pPr>
              <w:jc w:val="right"/>
              <w:ind w:right="360"/>
              <w:spacing w:after="0" w:line="169" w:lineRule="exact"/>
              <w:rPr>
                <w:sz w:val="20"/>
                <w:szCs w:val="20"/>
                <w:color w:val="auto"/>
              </w:rPr>
            </w:pPr>
            <w:r>
              <w:rPr>
                <w:rFonts w:ascii="Calibri" w:cs="Calibri" w:eastAsia="Calibri" w:hAnsi="Calibri"/>
                <w:sz w:val="18"/>
                <w:szCs w:val="18"/>
                <w:color w:val="0000FF"/>
              </w:rPr>
              <w:t>-</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tcBorders>
            <w:gridSpan w:val="25"/>
          </w:tcPr>
          <w:p>
            <w:pPr>
              <w:spacing w:after="0" w:line="156" w:lineRule="exact"/>
              <w:rPr>
                <w:sz w:val="20"/>
                <w:szCs w:val="20"/>
                <w:color w:val="auto"/>
              </w:rPr>
            </w:pPr>
            <w:r>
              <w:rPr>
                <w:rFonts w:ascii="Calibri" w:cs="Calibri" w:eastAsia="Calibri" w:hAnsi="Calibri"/>
                <w:sz w:val="16"/>
                <w:szCs w:val="16"/>
                <w:color w:val="0000FF"/>
              </w:rPr>
              <w:t>Oxley Act of 2002.</w:t>
            </w:r>
          </w:p>
        </w:tc>
        <w:tc>
          <w:tcPr>
            <w:tcW w:w="320" w:type="dxa"/>
            <w:vAlign w:val="bottom"/>
            <w:gridSpan w:val="11"/>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880" w:type="dxa"/>
            <w:vAlign w:val="bottom"/>
            <w:gridSpan w:val="19"/>
          </w:tcPr>
          <w:p>
            <w:pPr>
              <w:spacing w:after="0" w:line="20" w:lineRule="exact"/>
              <w:rPr>
                <w:sz w:val="1"/>
                <w:szCs w:val="1"/>
                <w:color w:val="auto"/>
              </w:rPr>
            </w:pPr>
          </w:p>
        </w:tc>
        <w:tc>
          <w:tcPr>
            <w:tcW w:w="380" w:type="dxa"/>
            <w:vAlign w:val="bottom"/>
            <w:gridSpan w:val="1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31.2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36"/>
          </w:tcPr>
          <w:p>
            <w:pPr>
              <w:spacing w:after="0" w:line="209" w:lineRule="exact"/>
              <w:rPr>
                <w:sz w:val="20"/>
                <w:szCs w:val="20"/>
                <w:color w:val="auto"/>
              </w:rPr>
            </w:pPr>
            <w:r>
              <w:rPr>
                <w:rFonts w:ascii="Calibri" w:cs="Calibri" w:eastAsia="Calibri" w:hAnsi="Calibri"/>
                <w:sz w:val="18"/>
                <w:szCs w:val="18"/>
                <w:color w:val="0000FF"/>
              </w:rPr>
              <w:t>Certfcaton of Principal Financial Ofcer of Broadcom Inc.</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bottom w:val="single" w:sz="8" w:color="0000FF"/>
            </w:tcBorders>
            <w:gridSpan w:val="18"/>
          </w:tcPr>
          <w:p>
            <w:pPr>
              <w:spacing w:after="0" w:line="156" w:lineRule="exact"/>
              <w:rPr>
                <w:sz w:val="20"/>
                <w:szCs w:val="20"/>
                <w:color w:val="auto"/>
              </w:rPr>
            </w:pPr>
            <w:r>
              <w:rPr>
                <w:rFonts w:ascii="Calibri" w:cs="Calibri" w:eastAsia="Calibri" w:hAnsi="Calibri"/>
                <w:sz w:val="16"/>
                <w:szCs w:val="16"/>
                <w:color w:val="0000FF"/>
              </w:rPr>
              <w:t>Pursuant to Rule 13a-14 of the Securites Exchange Act of</w:t>
            </w:r>
          </w:p>
        </w:tc>
        <w:tc>
          <w:tcPr>
            <w:tcW w:w="80" w:type="dxa"/>
            <w:vAlign w:val="bottom"/>
            <w:tcBorders>
              <w:top w:val="single" w:sz="8" w:color="0000FF"/>
            </w:tcBorders>
            <w:gridSpan w:val="4"/>
          </w:tcPr>
          <w:p>
            <w:pPr>
              <w:spacing w:after="0"/>
              <w:rPr>
                <w:sz w:val="13"/>
                <w:szCs w:val="13"/>
                <w:color w:val="auto"/>
              </w:rPr>
            </w:pPr>
          </w:p>
        </w:tc>
        <w:tc>
          <w:tcPr>
            <w:tcW w:w="380" w:type="dxa"/>
            <w:vAlign w:val="bottom"/>
            <w:gridSpan w:val="14"/>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180"/>
        <w:spacing w:after="0" w:line="221" w:lineRule="auto"/>
        <w:rPr>
          <w:sz w:val="20"/>
          <w:szCs w:val="20"/>
          <w:color w:val="auto"/>
        </w:rPr>
      </w:pPr>
      <w:r>
        <w:rPr>
          <w:rFonts w:ascii="Calibri" w:cs="Calibri" w:eastAsia="Calibri" w:hAnsi="Calibri"/>
          <w:sz w:val="18"/>
          <w:szCs w:val="18"/>
          <w:u w:val="single" w:color="auto"/>
          <w:color w:val="0000FF"/>
        </w:rPr>
        <w:t>1934, as Adopted Pursuant to Secton 302 of the Sarbanes-</w:t>
      </w:r>
    </w:p>
    <w:p>
      <w:pPr>
        <w:ind w:left="1180"/>
        <w:spacing w:after="0" w:line="195" w:lineRule="auto"/>
        <w:rPr>
          <w:sz w:val="20"/>
          <w:szCs w:val="20"/>
          <w:color w:val="auto"/>
        </w:rPr>
      </w:pPr>
      <w:r>
        <w:rPr>
          <w:rFonts w:ascii="Calibri" w:cs="Calibri" w:eastAsia="Calibri" w:hAnsi="Calibri"/>
          <w:sz w:val="18"/>
          <w:szCs w:val="18"/>
          <w:u w:val="single" w:color="auto"/>
          <w:color w:val="0000FF"/>
        </w:rPr>
        <w:t>Oxley Act of 2002.</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00"/>
        <w:spacing w:after="0"/>
        <w:rPr>
          <w:sz w:val="20"/>
          <w:szCs w:val="20"/>
          <w:color w:val="auto"/>
        </w:rPr>
      </w:pPr>
      <w:r>
        <w:rPr>
          <w:rFonts w:ascii="Calibri" w:cs="Calibri" w:eastAsia="Calibri" w:hAnsi="Calibri"/>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Filed</w:t>
      </w:r>
    </w:p>
    <w:p>
      <w:pPr>
        <w:jc w:val="center"/>
        <w:spacing w:after="0" w:line="208" w:lineRule="auto"/>
        <w:rPr>
          <w:sz w:val="20"/>
          <w:szCs w:val="20"/>
          <w:color w:val="auto"/>
        </w:rPr>
      </w:pPr>
      <w:r>
        <w:rPr>
          <w:rFonts w:ascii="Calibri" w:cs="Calibri" w:eastAsia="Calibri" w:hAnsi="Calibri"/>
          <w:sz w:val="14"/>
          <w:szCs w:val="14"/>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21590</wp:posOffset>
            </wp:positionV>
            <wp:extent cx="5060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3">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Calibri" w:cs="Calibri" w:eastAsia="Calibri" w:hAnsi="Calibri"/>
          <w:sz w:val="18"/>
          <w:szCs w:val="18"/>
          <w:color w:val="auto"/>
        </w:rPr>
        <w:t>X</w:t>
      </w:r>
    </w:p>
    <w:p>
      <w:pPr>
        <w:spacing w:after="0" w:line="10" w:lineRule="exact"/>
        <w:rPr>
          <w:sz w:val="20"/>
          <w:szCs w:val="20"/>
          <w:color w:val="auto"/>
        </w:rPr>
      </w:pPr>
    </w:p>
    <w:p>
      <w:pPr>
        <w:ind w:left="220"/>
        <w:spacing w:after="0"/>
        <w:rPr>
          <w:sz w:val="20"/>
          <w:szCs w:val="20"/>
          <w:color w:val="auto"/>
        </w:rPr>
      </w:pPr>
      <w:r>
        <w:rPr>
          <w:rFonts w:ascii="Calibri" w:cs="Calibri" w:eastAsia="Calibri" w:hAnsi="Calibri"/>
          <w:sz w:val="18"/>
          <w:szCs w:val="18"/>
          <w:color w:val="auto"/>
        </w:rPr>
        <w:t>X</w:t>
      </w:r>
    </w:p>
    <w:p>
      <w:pPr>
        <w:spacing w:after="0" w:line="10" w:lineRule="exact"/>
        <w:rPr>
          <w:sz w:val="20"/>
          <w:szCs w:val="20"/>
          <w:color w:val="auto"/>
        </w:rPr>
      </w:pPr>
    </w:p>
    <w:p>
      <w:pPr>
        <w:ind w:left="220"/>
        <w:spacing w:after="0"/>
        <w:rPr>
          <w:sz w:val="20"/>
          <w:szCs w:val="20"/>
          <w:color w:val="auto"/>
        </w:rPr>
      </w:pPr>
      <w:r>
        <w:rPr>
          <w:rFonts w:ascii="Calibri" w:cs="Calibri" w:eastAsia="Calibri" w:hAnsi="Calibri"/>
          <w:sz w:val="18"/>
          <w:szCs w:val="18"/>
          <w:color w:val="auto"/>
        </w:rPr>
        <w:t>X</w:t>
      </w:r>
    </w:p>
    <w:p>
      <w:pPr>
        <w:spacing w:after="0" w:line="199" w:lineRule="exact"/>
        <w:rPr>
          <w:sz w:val="20"/>
          <w:szCs w:val="20"/>
          <w:color w:val="auto"/>
        </w:rPr>
      </w:pPr>
    </w:p>
    <w:p>
      <w:pPr>
        <w:ind w:left="220"/>
        <w:spacing w:after="0"/>
        <w:rPr>
          <w:sz w:val="20"/>
          <w:szCs w:val="20"/>
          <w:color w:val="auto"/>
        </w:rPr>
      </w:pPr>
      <w:r>
        <w:rPr>
          <w:rFonts w:ascii="Calibri" w:cs="Calibri" w:eastAsia="Calibri" w:hAnsi="Calibri"/>
          <w:sz w:val="18"/>
          <w:szCs w:val="18"/>
          <w:color w:val="auto"/>
        </w:rPr>
        <w:t>X</w:t>
      </w:r>
    </w:p>
    <w:p>
      <w:pPr>
        <w:spacing w:after="0" w:line="10" w:lineRule="exact"/>
        <w:rPr>
          <w:sz w:val="20"/>
          <w:szCs w:val="20"/>
          <w:color w:val="auto"/>
        </w:rPr>
      </w:pPr>
    </w:p>
    <w:p>
      <w:pPr>
        <w:ind w:left="220"/>
        <w:spacing w:after="0"/>
        <w:rPr>
          <w:sz w:val="20"/>
          <w:szCs w:val="20"/>
          <w:color w:val="auto"/>
        </w:rPr>
      </w:pPr>
      <w:r>
        <w:rPr>
          <w:rFonts w:ascii="Calibri" w:cs="Calibri" w:eastAsia="Calibri" w:hAnsi="Calibri"/>
          <w:sz w:val="18"/>
          <w:szCs w:val="18"/>
          <w:color w:val="auto"/>
        </w:rPr>
        <w:t>X</w:t>
      </w:r>
    </w:p>
    <w:p>
      <w:pPr>
        <w:spacing w:after="0" w:line="200" w:lineRule="exact"/>
        <w:rPr>
          <w:sz w:val="20"/>
          <w:szCs w:val="20"/>
          <w:color w:val="auto"/>
        </w:rPr>
      </w:pPr>
    </w:p>
    <w:p>
      <w:pPr>
        <w:spacing w:after="0" w:line="350" w:lineRule="exact"/>
        <w:rPr>
          <w:sz w:val="20"/>
          <w:szCs w:val="20"/>
          <w:color w:val="auto"/>
        </w:rPr>
      </w:pPr>
    </w:p>
    <w:p>
      <w:pPr>
        <w:ind w:left="220"/>
        <w:spacing w:after="0"/>
        <w:rPr>
          <w:sz w:val="20"/>
          <w:szCs w:val="20"/>
          <w:color w:val="auto"/>
        </w:rPr>
      </w:pPr>
      <w:r>
        <w:rPr>
          <w:rFonts w:ascii="Calibri" w:cs="Calibri" w:eastAsia="Calibri" w:hAnsi="Calibri"/>
          <w:sz w:val="18"/>
          <w:szCs w:val="18"/>
          <w:color w:val="auto"/>
        </w:rPr>
        <w:t>X</w:t>
      </w:r>
    </w:p>
    <w:p>
      <w:pPr>
        <w:sectPr>
          <w:pgSz w:w="11900" w:h="16838" w:orient="portrait"/>
          <w:cols w:equalWidth="0" w:num="2">
            <w:col w:w="10340" w:space="240"/>
            <w:col w:w="540"/>
          </w:cols>
          <w:pgMar w:left="320" w:top="112" w:right="459" w:bottom="1440" w:gutter="0" w:footer="0" w:header="0"/>
        </w:sectPr>
      </w:pPr>
    </w:p>
    <w:bookmarkStart w:id="102" w:name="page103"/>
    <w:bookmarkEnd w:id="10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4"/>
          </w:tcPr>
          <w:p>
            <w:pPr>
              <w:ind w:left="460"/>
              <w:spacing w:after="0"/>
              <w:rPr>
                <w:sz w:val="20"/>
                <w:szCs w:val="20"/>
                <w:color w:val="auto"/>
              </w:rPr>
            </w:pPr>
            <w:r>
              <w:rPr>
                <w:rFonts w:ascii="Calibri" w:cs="Calibri" w:eastAsia="Calibri" w:hAnsi="Calibri"/>
                <w:sz w:val="14"/>
                <w:szCs w:val="14"/>
                <w:color w:val="auto"/>
              </w:rPr>
              <w:t>Incorporated by Reference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160" w:type="dxa"/>
            <w:vAlign w:val="bottom"/>
            <w:gridSpan w:val="2"/>
            <w:vMerge w:val="restart"/>
          </w:tcPr>
          <w:p>
            <w:pPr>
              <w:jc w:val="center"/>
              <w:ind w:right="280"/>
              <w:spacing w:after="0"/>
              <w:rPr>
                <w:sz w:val="20"/>
                <w:szCs w:val="20"/>
                <w:color w:val="auto"/>
              </w:rPr>
            </w:pPr>
            <w:r>
              <w:rPr>
                <w:rFonts w:ascii="Calibri" w:cs="Calibri" w:eastAsia="Calibri" w:hAnsi="Calibri"/>
                <w:sz w:val="14"/>
                <w:szCs w:val="14"/>
                <w:color w:val="auto"/>
              </w:rPr>
              <w:t>Exhibit</w:t>
            </w: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11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00" w:type="dxa"/>
            <w:vAlign w:val="bottom"/>
            <w:gridSpan w:val="7"/>
            <w:vMerge w:val="restart"/>
          </w:tcPr>
          <w:p>
            <w:pPr>
              <w:ind w:left="720"/>
              <w:spacing w:after="0"/>
              <w:rPr>
                <w:sz w:val="20"/>
                <w:szCs w:val="20"/>
                <w:color w:val="auto"/>
              </w:rPr>
            </w:pPr>
            <w:r>
              <w:rPr>
                <w:rFonts w:ascii="Calibri" w:cs="Calibri" w:eastAsia="Calibri" w:hAnsi="Calibri"/>
                <w:sz w:val="14"/>
                <w:szCs w:val="14"/>
                <w:color w:val="auto"/>
              </w:rPr>
              <w:t>Descripton</w:t>
            </w:r>
          </w:p>
        </w:tc>
        <w:tc>
          <w:tcPr>
            <w:tcW w:w="1060" w:type="dxa"/>
            <w:vAlign w:val="bottom"/>
            <w:gridSpan w:val="2"/>
            <w:vMerge w:val="restart"/>
          </w:tcPr>
          <w:p>
            <w:pPr>
              <w:ind w:left="320"/>
              <w:spacing w:after="0"/>
              <w:rPr>
                <w:sz w:val="20"/>
                <w:szCs w:val="20"/>
                <w:color w:val="auto"/>
              </w:rPr>
            </w:pPr>
            <w:r>
              <w:rPr>
                <w:rFonts w:ascii="Calibri" w:cs="Calibri" w:eastAsia="Calibri" w:hAnsi="Calibri"/>
                <w:sz w:val="14"/>
                <w:szCs w:val="14"/>
                <w:color w:val="auto"/>
              </w:rPr>
              <w:t>Form</w:t>
            </w:r>
          </w:p>
        </w:tc>
        <w:tc>
          <w:tcPr>
            <w:tcW w:w="1260" w:type="dxa"/>
            <w:vAlign w:val="bottom"/>
            <w:gridSpan w:val="2"/>
            <w:vMerge w:val="restart"/>
          </w:tcPr>
          <w:p>
            <w:pPr>
              <w:ind w:left="360"/>
              <w:spacing w:after="0"/>
              <w:rPr>
                <w:sz w:val="20"/>
                <w:szCs w:val="20"/>
                <w:color w:val="auto"/>
              </w:rPr>
            </w:pPr>
            <w:r>
              <w:rPr>
                <w:rFonts w:ascii="Calibri" w:cs="Calibri" w:eastAsia="Calibri" w:hAnsi="Calibri"/>
                <w:sz w:val="14"/>
                <w:szCs w:val="14"/>
                <w:color w:val="auto"/>
              </w:rPr>
              <w:t>File No.</w:t>
            </w:r>
          </w:p>
        </w:tc>
        <w:tc>
          <w:tcPr>
            <w:tcW w:w="1120" w:type="dxa"/>
            <w:vAlign w:val="bottom"/>
            <w:gridSpan w:val="2"/>
            <w:vMerge w:val="restart"/>
          </w:tcPr>
          <w:p>
            <w:pPr>
              <w:jc w:val="center"/>
              <w:ind w:right="120"/>
              <w:spacing w:after="0"/>
              <w:rPr>
                <w:sz w:val="20"/>
                <w:szCs w:val="20"/>
                <w:color w:val="auto"/>
              </w:rPr>
            </w:pPr>
            <w:r>
              <w:rPr>
                <w:rFonts w:ascii="Calibri" w:cs="Calibri" w:eastAsia="Calibri" w:hAnsi="Calibri"/>
                <w:sz w:val="14"/>
                <w:szCs w:val="14"/>
                <w:color w:val="auto"/>
              </w:rPr>
              <w:t>Exhibit</w:t>
            </w:r>
          </w:p>
        </w:tc>
        <w:tc>
          <w:tcPr>
            <w:tcW w:w="1160" w:type="dxa"/>
            <w:vAlign w:val="bottom"/>
            <w:vMerge w:val="restart"/>
          </w:tcPr>
          <w:p>
            <w:pPr>
              <w:jc w:val="right"/>
              <w:ind w:right="199"/>
              <w:spacing w:after="0"/>
              <w:rPr>
                <w:sz w:val="20"/>
                <w:szCs w:val="20"/>
                <w:color w:val="auto"/>
              </w:rPr>
            </w:pPr>
            <w:r>
              <w:rPr>
                <w:rFonts w:ascii="Calibri" w:cs="Calibri" w:eastAsia="Calibri" w:hAnsi="Calibri"/>
                <w:sz w:val="14"/>
                <w:szCs w:val="14"/>
                <w:color w:val="auto"/>
              </w:rPr>
              <w:t>Filing Date</w:t>
            </w:r>
          </w:p>
        </w:tc>
        <w:tc>
          <w:tcPr>
            <w:tcW w:w="0" w:type="dxa"/>
            <w:vAlign w:val="bottom"/>
          </w:tcPr>
          <w:p>
            <w:pPr>
              <w:spacing w:after="0"/>
              <w:rPr>
                <w:sz w:val="1"/>
                <w:szCs w:val="1"/>
                <w:color w:val="auto"/>
              </w:rPr>
            </w:pPr>
          </w:p>
        </w:tc>
      </w:tr>
      <w:tr>
        <w:trPr>
          <w:trHeight w:val="170"/>
        </w:trPr>
        <w:tc>
          <w:tcPr>
            <w:tcW w:w="1160" w:type="dxa"/>
            <w:vAlign w:val="bottom"/>
            <w:gridSpan w:val="2"/>
          </w:tcPr>
          <w:p>
            <w:pPr>
              <w:jc w:val="center"/>
              <w:ind w:right="280"/>
              <w:spacing w:after="0"/>
              <w:rPr>
                <w:sz w:val="20"/>
                <w:szCs w:val="20"/>
                <w:color w:val="auto"/>
              </w:rPr>
            </w:pPr>
            <w:r>
              <w:rPr>
                <w:rFonts w:ascii="Calibri" w:cs="Calibri" w:eastAsia="Calibri" w:hAnsi="Calibri"/>
                <w:sz w:val="14"/>
                <w:szCs w:val="14"/>
                <w:color w:val="auto"/>
              </w:rPr>
              <w:t>Number</w:t>
            </w: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0" w:type="dxa"/>
            <w:vAlign w:val="bottom"/>
            <w:gridSpan w:val="7"/>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60" w:type="dxa"/>
            <w:vAlign w:val="bottom"/>
          </w:tcPr>
          <w:p>
            <w:pPr>
              <w:jc w:val="right"/>
              <w:spacing w:after="0" w:line="169" w:lineRule="exact"/>
              <w:rPr>
                <w:sz w:val="20"/>
                <w:szCs w:val="20"/>
                <w:color w:val="auto"/>
              </w:rPr>
            </w:pPr>
            <w:r>
              <w:rPr>
                <w:rFonts w:ascii="Calibri" w:cs="Calibri" w:eastAsia="Calibri" w:hAnsi="Calibri"/>
                <w:sz w:val="18"/>
                <w:szCs w:val="18"/>
                <w:color w:val="auto"/>
              </w:rPr>
              <w:t>32.1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40" w:type="dxa"/>
            <w:vAlign w:val="bottom"/>
            <w:gridSpan w:val="7"/>
          </w:tcPr>
          <w:p>
            <w:pPr>
              <w:spacing w:after="0" w:line="169" w:lineRule="exact"/>
              <w:rPr>
                <w:sz w:val="20"/>
                <w:szCs w:val="20"/>
                <w:color w:val="auto"/>
              </w:rPr>
            </w:pPr>
            <w:r>
              <w:rPr>
                <w:rFonts w:ascii="Calibri" w:cs="Calibri" w:eastAsia="Calibri" w:hAnsi="Calibri"/>
                <w:sz w:val="18"/>
                <w:szCs w:val="18"/>
                <w:color w:val="0000FF"/>
              </w:rPr>
              <w:t>Certfcaton of Principal Executve Ofcer of Broadcom Inc.</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5"/>
          </w:tcPr>
          <w:p>
            <w:pPr>
              <w:spacing w:after="0" w:line="156" w:lineRule="exact"/>
              <w:rPr>
                <w:sz w:val="20"/>
                <w:szCs w:val="20"/>
                <w:color w:val="auto"/>
              </w:rPr>
            </w:pPr>
            <w:r>
              <w:rPr>
                <w:rFonts w:ascii="Calibri" w:cs="Calibri" w:eastAsia="Calibri" w:hAnsi="Calibri"/>
                <w:sz w:val="16"/>
                <w:szCs w:val="16"/>
                <w:color w:val="0000FF"/>
              </w:rPr>
              <w:t>Pursuant to 18 U.S.C. Secton 1350, as Adopted Pursuant to</w:t>
            </w:r>
          </w:p>
        </w:tc>
        <w:tc>
          <w:tcPr>
            <w:tcW w:w="20" w:type="dxa"/>
            <w:vAlign w:val="bottom"/>
            <w:tcBorders>
              <w:bottom w:val="single" w:sz="8" w:color="0000FF"/>
            </w:tcBorders>
          </w:tcPr>
          <w:p>
            <w:pPr>
              <w:spacing w:after="0"/>
              <w:rPr>
                <w:sz w:val="13"/>
                <w:szCs w:val="13"/>
                <w:color w:val="auto"/>
              </w:rPr>
            </w:pPr>
          </w:p>
        </w:tc>
        <w:tc>
          <w:tcPr>
            <w:tcW w:w="34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60" w:type="dxa"/>
            <w:vAlign w:val="bottom"/>
            <w:tcBorders>
              <w:bottom w:val="single" w:sz="8" w:color="0000FF"/>
            </w:tcBorders>
            <w:gridSpan w:val="3"/>
          </w:tcPr>
          <w:p>
            <w:pPr>
              <w:spacing w:after="0" w:line="169" w:lineRule="exact"/>
              <w:rPr>
                <w:sz w:val="20"/>
                <w:szCs w:val="20"/>
                <w:color w:val="auto"/>
              </w:rPr>
            </w:pPr>
            <w:r>
              <w:rPr>
                <w:rFonts w:ascii="Calibri" w:cs="Calibri" w:eastAsia="Calibri" w:hAnsi="Calibri"/>
                <w:sz w:val="18"/>
                <w:szCs w:val="18"/>
                <w:color w:val="0000FF"/>
                <w:w w:val="98"/>
              </w:rPr>
              <w:t>Secton 906 of the Sarbanes-Oxley Act of 2002.</w:t>
            </w:r>
          </w:p>
        </w:tc>
        <w:tc>
          <w:tcPr>
            <w:tcW w:w="860" w:type="dxa"/>
            <w:vAlign w:val="bottom"/>
            <w:gridSpan w:val="3"/>
          </w:tcPr>
          <w:p>
            <w:pPr>
              <w:spacing w:after="0"/>
              <w:rPr>
                <w:sz w:val="14"/>
                <w:szCs w:val="14"/>
                <w:color w:val="auto"/>
              </w:rPr>
            </w:pPr>
          </w:p>
        </w:tc>
        <w:tc>
          <w:tcPr>
            <w:tcW w:w="34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32.2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Borders>
              <w:bottom w:val="single" w:sz="8" w:color="0000FF"/>
            </w:tcBorders>
            <w:gridSpan w:val="4"/>
          </w:tcPr>
          <w:p>
            <w:pPr>
              <w:spacing w:after="0" w:line="209" w:lineRule="exact"/>
              <w:rPr>
                <w:sz w:val="20"/>
                <w:szCs w:val="20"/>
                <w:color w:val="auto"/>
              </w:rPr>
            </w:pPr>
            <w:r>
              <w:rPr>
                <w:rFonts w:ascii="Calibri" w:cs="Calibri" w:eastAsia="Calibri" w:hAnsi="Calibri"/>
                <w:sz w:val="18"/>
                <w:szCs w:val="18"/>
                <w:color w:val="0000FF"/>
              </w:rPr>
              <w:t>Certfcaton of Principal Financial Ofcer of Broadcom Inc.</w:t>
            </w:r>
          </w:p>
        </w:tc>
        <w:tc>
          <w:tcPr>
            <w:tcW w:w="400" w:type="dxa"/>
            <w:vAlign w:val="bottom"/>
            <w:gridSpan w:val="4"/>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8"/>
          </w:tcPr>
          <w:p>
            <w:pPr>
              <w:spacing w:after="0" w:line="156" w:lineRule="exact"/>
              <w:rPr>
                <w:sz w:val="20"/>
                <w:szCs w:val="20"/>
                <w:color w:val="auto"/>
              </w:rPr>
            </w:pPr>
            <w:r>
              <w:rPr>
                <w:rFonts w:ascii="Calibri" w:cs="Calibri" w:eastAsia="Calibri" w:hAnsi="Calibri"/>
                <w:sz w:val="16"/>
                <w:szCs w:val="16"/>
                <w:color w:val="0000FF"/>
              </w:rPr>
              <w:t>Pursuant to 18 U.S.C. Secton 1350, as Adopted Pursuant to</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Borders>
              <w:top w:val="single" w:sz="8" w:color="0000FF"/>
            </w:tcBorders>
            <w:gridSpan w:val="6"/>
          </w:tcPr>
          <w:p>
            <w:pPr>
              <w:spacing w:after="0" w:line="169" w:lineRule="exact"/>
              <w:rPr>
                <w:sz w:val="20"/>
                <w:szCs w:val="20"/>
                <w:color w:val="auto"/>
              </w:rPr>
            </w:pPr>
            <w:r>
              <w:rPr>
                <w:rFonts w:ascii="Calibri" w:cs="Calibri" w:eastAsia="Calibri" w:hAnsi="Calibri"/>
                <w:sz w:val="18"/>
                <w:szCs w:val="18"/>
                <w:color w:val="0000FF"/>
              </w:rPr>
              <w:t>Secton 906 of the Sarbanes-Oxley Act of 2002.</w:t>
            </w:r>
          </w:p>
        </w:tc>
        <w:tc>
          <w:tcPr>
            <w:tcW w:w="34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97.1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tcBorders>
              <w:top w:val="single" w:sz="8" w:color="0000FF"/>
            </w:tcBorders>
            <w:gridSpan w:val="2"/>
          </w:tcPr>
          <w:p>
            <w:pPr>
              <w:spacing w:after="0" w:line="209" w:lineRule="exact"/>
              <w:rPr>
                <w:rFonts w:ascii="Calibri" w:cs="Calibri" w:eastAsia="Calibri" w:hAnsi="Calibri"/>
                <w:sz w:val="18"/>
                <w:szCs w:val="18"/>
                <w:color w:val="0000FF"/>
              </w:rPr>
            </w:pPr>
            <w:hyperlink r:id="rId204">
              <w:r>
                <w:rPr>
                  <w:rFonts w:ascii="Calibri" w:cs="Calibri" w:eastAsia="Calibri" w:hAnsi="Calibri"/>
                  <w:sz w:val="18"/>
                  <w:szCs w:val="18"/>
                  <w:color w:val="0000FF"/>
                </w:rPr>
                <w:t>Clawback Policy.</w:t>
              </w:r>
            </w:hyperlink>
          </w:p>
        </w:tc>
        <w:tc>
          <w:tcPr>
            <w:tcW w:w="1220" w:type="dxa"/>
            <w:vAlign w:val="bottom"/>
            <w:gridSpan w:val="6"/>
          </w:tcPr>
          <w:p>
            <w:pPr>
              <w:spacing w:after="0"/>
              <w:rPr>
                <w:sz w:val="18"/>
                <w:szCs w:val="18"/>
                <w:color w:val="auto"/>
              </w:rPr>
            </w:pPr>
          </w:p>
        </w:tc>
        <w:tc>
          <w:tcPr>
            <w:tcW w:w="10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10-K</w:t>
            </w:r>
          </w:p>
        </w:tc>
        <w:tc>
          <w:tcPr>
            <w:tcW w:w="1180" w:type="dxa"/>
            <w:vAlign w:val="bottom"/>
          </w:tcPr>
          <w:p>
            <w:pPr>
              <w:jc w:val="right"/>
              <w:ind w:right="322"/>
              <w:spacing w:after="0" w:line="209" w:lineRule="exact"/>
              <w:rPr>
                <w:sz w:val="20"/>
                <w:szCs w:val="20"/>
                <w:color w:val="auto"/>
              </w:rPr>
            </w:pPr>
            <w:r>
              <w:rPr>
                <w:rFonts w:ascii="Calibri" w:cs="Calibri" w:eastAsia="Calibri" w:hAnsi="Calibri"/>
                <w:sz w:val="18"/>
                <w:szCs w:val="18"/>
                <w:color w:val="auto"/>
                <w:w w:val="96"/>
              </w:rPr>
              <w:t>001-38449</w:t>
            </w:r>
          </w:p>
        </w:tc>
        <w:tc>
          <w:tcPr>
            <w:tcW w:w="80" w:type="dxa"/>
            <w:vAlign w:val="bottom"/>
          </w:tcPr>
          <w:p>
            <w:pPr>
              <w:spacing w:after="0"/>
              <w:rPr>
                <w:sz w:val="18"/>
                <w:szCs w:val="18"/>
                <w:color w:val="auto"/>
              </w:rPr>
            </w:pPr>
          </w:p>
        </w:tc>
        <w:tc>
          <w:tcPr>
            <w:tcW w:w="1000" w:type="dxa"/>
            <w:vAlign w:val="bottom"/>
          </w:tcPr>
          <w:p>
            <w:pPr>
              <w:jc w:val="right"/>
              <w:ind w:right="259"/>
              <w:spacing w:after="0" w:line="209" w:lineRule="exact"/>
              <w:rPr>
                <w:sz w:val="20"/>
                <w:szCs w:val="20"/>
                <w:color w:val="auto"/>
              </w:rPr>
            </w:pPr>
            <w:r>
              <w:rPr>
                <w:rFonts w:ascii="Calibri" w:cs="Calibri" w:eastAsia="Calibri" w:hAnsi="Calibri"/>
                <w:sz w:val="18"/>
                <w:szCs w:val="18"/>
                <w:color w:val="auto"/>
              </w:rPr>
              <w:t>97.1</w:t>
            </w:r>
          </w:p>
        </w:tc>
        <w:tc>
          <w:tcPr>
            <w:tcW w:w="120" w:type="dxa"/>
            <w:vAlign w:val="bottom"/>
          </w:tcPr>
          <w:p>
            <w:pPr>
              <w:spacing w:after="0"/>
              <w:rPr>
                <w:sz w:val="18"/>
                <w:szCs w:val="18"/>
                <w:color w:val="auto"/>
              </w:rPr>
            </w:pPr>
          </w:p>
        </w:tc>
        <w:tc>
          <w:tcPr>
            <w:tcW w:w="1160" w:type="dxa"/>
            <w:vAlign w:val="bottom"/>
          </w:tcPr>
          <w:p>
            <w:pPr>
              <w:jc w:val="right"/>
              <w:ind w:right="239"/>
              <w:spacing w:after="0" w:line="209" w:lineRule="exact"/>
              <w:rPr>
                <w:sz w:val="20"/>
                <w:szCs w:val="20"/>
                <w:color w:val="auto"/>
              </w:rPr>
            </w:pPr>
            <w:r>
              <w:rPr>
                <w:rFonts w:ascii="Calibri" w:cs="Calibri" w:eastAsia="Calibri" w:hAnsi="Calibri"/>
                <w:sz w:val="18"/>
                <w:szCs w:val="18"/>
                <w:color w:val="auto"/>
                <w:w w:val="97"/>
              </w:rPr>
              <w:t>12-14-2023</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160" w:type="dxa"/>
            <w:vAlign w:val="bottom"/>
            <w:gridSpan w:val="2"/>
          </w:tcPr>
          <w:p>
            <w:pPr>
              <w:jc w:val="right"/>
              <w:ind w:right="320"/>
              <w:spacing w:after="0" w:line="201" w:lineRule="exact"/>
              <w:rPr>
                <w:sz w:val="20"/>
                <w:szCs w:val="20"/>
                <w:color w:val="auto"/>
              </w:rPr>
            </w:pPr>
            <w:r>
              <w:rPr>
                <w:rFonts w:ascii="Calibri" w:cs="Calibri" w:eastAsia="Calibri" w:hAnsi="Calibri"/>
                <w:sz w:val="18"/>
                <w:szCs w:val="18"/>
                <w:color w:val="auto"/>
              </w:rPr>
              <w:t>101.INS</w:t>
            </w:r>
          </w:p>
        </w:tc>
        <w:tc>
          <w:tcPr>
            <w:tcW w:w="20" w:type="dxa"/>
            <w:vAlign w:val="bottom"/>
          </w:tcPr>
          <w:p>
            <w:pPr>
              <w:spacing w:after="0"/>
              <w:rPr>
                <w:sz w:val="17"/>
                <w:szCs w:val="17"/>
                <w:color w:val="auto"/>
              </w:rPr>
            </w:pPr>
          </w:p>
        </w:tc>
        <w:tc>
          <w:tcPr>
            <w:tcW w:w="4560" w:type="dxa"/>
            <w:vAlign w:val="bottom"/>
            <w:gridSpan w:val="8"/>
          </w:tcPr>
          <w:p>
            <w:pPr>
              <w:spacing w:after="0" w:line="201" w:lineRule="exact"/>
              <w:rPr>
                <w:sz w:val="20"/>
                <w:szCs w:val="20"/>
                <w:color w:val="auto"/>
              </w:rPr>
            </w:pPr>
            <w:r>
              <w:rPr>
                <w:rFonts w:ascii="Calibri" w:cs="Calibri" w:eastAsia="Calibri" w:hAnsi="Calibri"/>
                <w:sz w:val="18"/>
                <w:szCs w:val="18"/>
                <w:color w:val="auto"/>
              </w:rPr>
              <w:t>Inline XBRL Instance Document - the instance document does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60" w:type="dxa"/>
            <w:vAlign w:val="bottom"/>
            <w:gridSpan w:val="8"/>
          </w:tcPr>
          <w:p>
            <w:pPr>
              <w:spacing w:after="0" w:line="189" w:lineRule="exact"/>
              <w:rPr>
                <w:sz w:val="20"/>
                <w:szCs w:val="20"/>
                <w:color w:val="auto"/>
              </w:rPr>
            </w:pPr>
            <w:r>
              <w:rPr>
                <w:rFonts w:ascii="Calibri" w:cs="Calibri" w:eastAsia="Calibri" w:hAnsi="Calibri"/>
                <w:sz w:val="18"/>
                <w:szCs w:val="18"/>
                <w:color w:val="auto"/>
              </w:rPr>
              <w:t>not appear in the Interactve Data File because its XBRL tags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8"/>
          </w:tcPr>
          <w:p>
            <w:pPr>
              <w:spacing w:after="0" w:line="215" w:lineRule="exact"/>
              <w:rPr>
                <w:sz w:val="20"/>
                <w:szCs w:val="20"/>
                <w:color w:val="auto"/>
              </w:rPr>
            </w:pPr>
            <w:r>
              <w:rPr>
                <w:rFonts w:ascii="Calibri" w:cs="Calibri" w:eastAsia="Calibri" w:hAnsi="Calibri"/>
                <w:sz w:val="18"/>
                <w:szCs w:val="18"/>
                <w:color w:val="auto"/>
              </w:rPr>
              <w:t>are embedded within the Inline XBRL document.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jc w:val="right"/>
              <w:ind w:right="320"/>
              <w:spacing w:after="0"/>
              <w:rPr>
                <w:sz w:val="20"/>
                <w:szCs w:val="20"/>
                <w:color w:val="auto"/>
              </w:rPr>
            </w:pPr>
            <w:r>
              <w:rPr>
                <w:rFonts w:ascii="Calibri" w:cs="Calibri" w:eastAsia="Calibri" w:hAnsi="Calibri"/>
                <w:sz w:val="18"/>
                <w:szCs w:val="18"/>
                <w:color w:val="auto"/>
              </w:rPr>
              <w:t>101.SCH</w:t>
            </w:r>
          </w:p>
        </w:tc>
        <w:tc>
          <w:tcPr>
            <w:tcW w:w="20" w:type="dxa"/>
            <w:vAlign w:val="bottom"/>
          </w:tcPr>
          <w:p>
            <w:pPr>
              <w:spacing w:after="0"/>
              <w:rPr>
                <w:sz w:val="19"/>
                <w:szCs w:val="19"/>
                <w:color w:val="auto"/>
              </w:rPr>
            </w:pPr>
          </w:p>
        </w:tc>
        <w:tc>
          <w:tcPr>
            <w:tcW w:w="4560" w:type="dxa"/>
            <w:vAlign w:val="bottom"/>
            <w:gridSpan w:val="8"/>
          </w:tcPr>
          <w:p>
            <w:pPr>
              <w:spacing w:after="0"/>
              <w:rPr>
                <w:sz w:val="20"/>
                <w:szCs w:val="20"/>
                <w:color w:val="auto"/>
              </w:rPr>
            </w:pPr>
            <w:r>
              <w:rPr>
                <w:rFonts w:ascii="Calibri" w:cs="Calibri" w:eastAsia="Calibri" w:hAnsi="Calibri"/>
                <w:sz w:val="18"/>
                <w:szCs w:val="18"/>
                <w:color w:val="auto"/>
              </w:rPr>
              <w:t>Inline XBRL Schema Document.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gridSpan w:val="2"/>
          </w:tcPr>
          <w:p>
            <w:pPr>
              <w:jc w:val="right"/>
              <w:ind w:right="320"/>
              <w:spacing w:after="0"/>
              <w:rPr>
                <w:sz w:val="20"/>
                <w:szCs w:val="20"/>
                <w:color w:val="auto"/>
              </w:rPr>
            </w:pPr>
            <w:r>
              <w:rPr>
                <w:rFonts w:ascii="Calibri" w:cs="Calibri" w:eastAsia="Calibri" w:hAnsi="Calibri"/>
                <w:sz w:val="18"/>
                <w:szCs w:val="18"/>
                <w:color w:val="auto"/>
              </w:rPr>
              <w:t>101.CAL</w:t>
            </w:r>
          </w:p>
        </w:tc>
        <w:tc>
          <w:tcPr>
            <w:tcW w:w="20" w:type="dxa"/>
            <w:vAlign w:val="bottom"/>
          </w:tcPr>
          <w:p>
            <w:pPr>
              <w:spacing w:after="0"/>
              <w:rPr>
                <w:sz w:val="19"/>
                <w:szCs w:val="19"/>
                <w:color w:val="auto"/>
              </w:rPr>
            </w:pPr>
          </w:p>
        </w:tc>
        <w:tc>
          <w:tcPr>
            <w:tcW w:w="4560" w:type="dxa"/>
            <w:vAlign w:val="bottom"/>
            <w:gridSpan w:val="8"/>
          </w:tcPr>
          <w:p>
            <w:pPr>
              <w:spacing w:after="0"/>
              <w:rPr>
                <w:sz w:val="20"/>
                <w:szCs w:val="20"/>
                <w:color w:val="auto"/>
              </w:rPr>
            </w:pPr>
            <w:r>
              <w:rPr>
                <w:rFonts w:ascii="Calibri" w:cs="Calibri" w:eastAsia="Calibri" w:hAnsi="Calibri"/>
                <w:sz w:val="18"/>
                <w:szCs w:val="18"/>
                <w:color w:val="auto"/>
              </w:rPr>
              <w:t>Inline XBRL Calculaton Linkbase Document.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jc w:val="right"/>
              <w:ind w:right="320"/>
              <w:spacing w:after="0"/>
              <w:rPr>
                <w:sz w:val="20"/>
                <w:szCs w:val="20"/>
                <w:color w:val="auto"/>
              </w:rPr>
            </w:pPr>
            <w:r>
              <w:rPr>
                <w:rFonts w:ascii="Calibri" w:cs="Calibri" w:eastAsia="Calibri" w:hAnsi="Calibri"/>
                <w:sz w:val="18"/>
                <w:szCs w:val="18"/>
                <w:color w:val="auto"/>
              </w:rPr>
              <w:t>101.DEF</w:t>
            </w:r>
          </w:p>
        </w:tc>
        <w:tc>
          <w:tcPr>
            <w:tcW w:w="20" w:type="dxa"/>
            <w:vAlign w:val="bottom"/>
          </w:tcPr>
          <w:p>
            <w:pPr>
              <w:spacing w:after="0"/>
              <w:rPr>
                <w:sz w:val="19"/>
                <w:szCs w:val="19"/>
                <w:color w:val="auto"/>
              </w:rPr>
            </w:pPr>
          </w:p>
        </w:tc>
        <w:tc>
          <w:tcPr>
            <w:tcW w:w="4560" w:type="dxa"/>
            <w:vAlign w:val="bottom"/>
            <w:gridSpan w:val="8"/>
          </w:tcPr>
          <w:p>
            <w:pPr>
              <w:spacing w:after="0"/>
              <w:rPr>
                <w:sz w:val="20"/>
                <w:szCs w:val="20"/>
                <w:color w:val="auto"/>
              </w:rPr>
            </w:pPr>
            <w:r>
              <w:rPr>
                <w:rFonts w:ascii="Calibri" w:cs="Calibri" w:eastAsia="Calibri" w:hAnsi="Calibri"/>
                <w:sz w:val="18"/>
                <w:szCs w:val="18"/>
                <w:color w:val="auto"/>
              </w:rPr>
              <w:t>Inline XBRL Defniton Linkbase Document.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gridSpan w:val="2"/>
          </w:tcPr>
          <w:p>
            <w:pPr>
              <w:jc w:val="right"/>
              <w:ind w:right="320"/>
              <w:spacing w:after="0"/>
              <w:rPr>
                <w:sz w:val="20"/>
                <w:szCs w:val="20"/>
                <w:color w:val="auto"/>
              </w:rPr>
            </w:pPr>
            <w:r>
              <w:rPr>
                <w:rFonts w:ascii="Calibri" w:cs="Calibri" w:eastAsia="Calibri" w:hAnsi="Calibri"/>
                <w:sz w:val="18"/>
                <w:szCs w:val="18"/>
                <w:color w:val="auto"/>
              </w:rPr>
              <w:t>101.LAB</w:t>
            </w:r>
          </w:p>
        </w:tc>
        <w:tc>
          <w:tcPr>
            <w:tcW w:w="20" w:type="dxa"/>
            <w:vAlign w:val="bottom"/>
          </w:tcPr>
          <w:p>
            <w:pPr>
              <w:spacing w:after="0"/>
              <w:rPr>
                <w:sz w:val="19"/>
                <w:szCs w:val="19"/>
                <w:color w:val="auto"/>
              </w:rPr>
            </w:pPr>
          </w:p>
        </w:tc>
        <w:tc>
          <w:tcPr>
            <w:tcW w:w="4560" w:type="dxa"/>
            <w:vAlign w:val="bottom"/>
            <w:gridSpan w:val="8"/>
          </w:tcPr>
          <w:p>
            <w:pPr>
              <w:spacing w:after="0"/>
              <w:rPr>
                <w:sz w:val="20"/>
                <w:szCs w:val="20"/>
                <w:color w:val="auto"/>
              </w:rPr>
            </w:pPr>
            <w:r>
              <w:rPr>
                <w:rFonts w:ascii="Calibri" w:cs="Calibri" w:eastAsia="Calibri" w:hAnsi="Calibri"/>
                <w:sz w:val="18"/>
                <w:szCs w:val="18"/>
                <w:color w:val="auto"/>
              </w:rPr>
              <w:t>Inline XBRL Labels Linkbase Document.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gridSpan w:val="2"/>
          </w:tcPr>
          <w:p>
            <w:pPr>
              <w:jc w:val="right"/>
              <w:ind w:right="320"/>
              <w:spacing w:after="0"/>
              <w:rPr>
                <w:sz w:val="20"/>
                <w:szCs w:val="20"/>
                <w:color w:val="auto"/>
              </w:rPr>
            </w:pPr>
            <w:r>
              <w:rPr>
                <w:rFonts w:ascii="Calibri" w:cs="Calibri" w:eastAsia="Calibri" w:hAnsi="Calibri"/>
                <w:sz w:val="18"/>
                <w:szCs w:val="18"/>
                <w:color w:val="auto"/>
              </w:rPr>
              <w:t>101.PRE</w:t>
            </w:r>
          </w:p>
        </w:tc>
        <w:tc>
          <w:tcPr>
            <w:tcW w:w="20" w:type="dxa"/>
            <w:vAlign w:val="bottom"/>
          </w:tcPr>
          <w:p>
            <w:pPr>
              <w:spacing w:after="0"/>
              <w:rPr>
                <w:sz w:val="19"/>
                <w:szCs w:val="19"/>
                <w:color w:val="auto"/>
              </w:rPr>
            </w:pPr>
          </w:p>
        </w:tc>
        <w:tc>
          <w:tcPr>
            <w:tcW w:w="4560" w:type="dxa"/>
            <w:vAlign w:val="bottom"/>
            <w:gridSpan w:val="8"/>
          </w:tcPr>
          <w:p>
            <w:pPr>
              <w:spacing w:after="0"/>
              <w:rPr>
                <w:sz w:val="20"/>
                <w:szCs w:val="20"/>
                <w:color w:val="auto"/>
              </w:rPr>
            </w:pPr>
            <w:r>
              <w:rPr>
                <w:rFonts w:ascii="Calibri" w:cs="Calibri" w:eastAsia="Calibri" w:hAnsi="Calibri"/>
                <w:sz w:val="18"/>
                <w:szCs w:val="18"/>
                <w:color w:val="auto"/>
              </w:rPr>
              <w:t>Inline XBRL Presentaton Linkbase Document.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180" w:right="4760" w:hanging="606"/>
        <w:spacing w:after="0" w:line="223" w:lineRule="auto"/>
        <w:tabs>
          <w:tab w:leader="none" w:pos="1180" w:val="left"/>
        </w:tabs>
        <w:numPr>
          <w:ilvl w:val="0"/>
          <w:numId w:val="52"/>
        </w:numPr>
        <w:rPr>
          <w:rFonts w:ascii="Calibri" w:cs="Calibri" w:eastAsia="Calibri" w:hAnsi="Calibri"/>
          <w:sz w:val="17"/>
          <w:szCs w:val="17"/>
          <w:color w:val="auto"/>
        </w:rPr>
      </w:pPr>
      <w:r>
        <w:rPr>
          <w:rFonts w:ascii="Calibri" w:cs="Calibri" w:eastAsia="Calibri" w:hAnsi="Calibri"/>
          <w:sz w:val="17"/>
          <w:szCs w:val="17"/>
          <w:color w:val="auto"/>
        </w:rPr>
        <w:t>Cover Page Interactve Data File - the cover page interactve data fle does not appear in the Interactve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5397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5">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Calibri" w:cs="Calibri" w:eastAsia="Calibri" w:hAnsi="Calibri"/>
          <w:sz w:val="18"/>
          <w:szCs w:val="18"/>
          <w:color w:val="auto"/>
        </w:rPr>
        <w:t>Notes:</w:t>
      </w:r>
    </w:p>
    <w:p>
      <w:pPr>
        <w:spacing w:after="0" w:line="37" w:lineRule="exact"/>
        <w:rPr>
          <w:sz w:val="20"/>
          <w:szCs w:val="20"/>
          <w:color w:val="auto"/>
        </w:rPr>
      </w:pPr>
    </w:p>
    <w:p>
      <w:pPr>
        <w:ind w:left="480" w:hanging="454"/>
        <w:spacing w:after="0"/>
        <w:tabs>
          <w:tab w:leader="none" w:pos="48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Indicates a management contract or compensatory plan or arrangement.</w:t>
      </w:r>
    </w:p>
    <w:p>
      <w:pPr>
        <w:spacing w:after="0" w:line="10" w:lineRule="exact"/>
        <w:rPr>
          <w:sz w:val="20"/>
          <w:szCs w:val="20"/>
          <w:color w:val="auto"/>
        </w:rPr>
      </w:pPr>
    </w:p>
    <w:p>
      <w:pPr>
        <w:ind w:left="480" w:hanging="454"/>
        <w:spacing w:after="0"/>
        <w:tabs>
          <w:tab w:leader="none" w:pos="480"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Certain informaton omited pursuant to a request for confdental treatment fled with the SEC.</w:t>
      </w:r>
    </w:p>
    <w:p>
      <w:pPr>
        <w:spacing w:after="0" w:line="200" w:lineRule="exact"/>
        <w:rPr>
          <w:sz w:val="20"/>
          <w:szCs w:val="20"/>
          <w:color w:val="auto"/>
        </w:rPr>
      </w:pPr>
    </w:p>
    <w:p>
      <w:pPr>
        <w:spacing w:after="0" w:line="228" w:lineRule="exact"/>
        <w:rPr>
          <w:sz w:val="20"/>
          <w:szCs w:val="20"/>
          <w:color w:val="auto"/>
        </w:rPr>
      </w:pPr>
    </w:p>
    <w:p>
      <w:pPr>
        <w:spacing w:after="0"/>
        <w:tabs>
          <w:tab w:leader="none" w:pos="1100" w:val="left"/>
        </w:tabs>
        <w:rPr>
          <w:sz w:val="20"/>
          <w:szCs w:val="20"/>
          <w:color w:val="auto"/>
        </w:rPr>
      </w:pPr>
      <w:r>
        <w:rPr>
          <w:rFonts w:ascii="Calibri" w:cs="Calibri" w:eastAsia="Calibri" w:hAnsi="Calibri"/>
          <w:sz w:val="18"/>
          <w:szCs w:val="18"/>
          <w:b w:val="1"/>
          <w:bCs w:val="1"/>
          <w:color w:val="auto"/>
        </w:rPr>
        <w:t>ITEM 16.</w:t>
      </w:r>
      <w:r>
        <w:rPr>
          <w:sz w:val="20"/>
          <w:szCs w:val="20"/>
          <w:color w:val="auto"/>
        </w:rPr>
        <w:tab/>
      </w:r>
      <w:r>
        <w:rPr>
          <w:rFonts w:ascii="Calibri" w:cs="Calibri" w:eastAsia="Calibri" w:hAnsi="Calibri"/>
          <w:sz w:val="17"/>
          <w:szCs w:val="17"/>
          <w:b w:val="1"/>
          <w:bCs w:val="1"/>
          <w:color w:val="auto"/>
        </w:rPr>
        <w:t>FORM 10-K SUMMARY</w:t>
      </w:r>
    </w:p>
    <w:p>
      <w:pPr>
        <w:spacing w:after="0" w:line="104"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ind w:left="5500"/>
        <w:spacing w:after="0"/>
        <w:rPr>
          <w:sz w:val="20"/>
          <w:szCs w:val="20"/>
          <w:color w:val="auto"/>
        </w:rPr>
      </w:pPr>
      <w:r>
        <w:rPr>
          <w:rFonts w:ascii="Calibri" w:cs="Calibri" w:eastAsia="Calibri" w:hAnsi="Calibri"/>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Filed</w:t>
      </w:r>
    </w:p>
    <w:p>
      <w:pPr>
        <w:jc w:val="center"/>
        <w:spacing w:after="0" w:line="208" w:lineRule="auto"/>
        <w:rPr>
          <w:sz w:val="20"/>
          <w:szCs w:val="20"/>
          <w:color w:val="auto"/>
        </w:rPr>
      </w:pPr>
      <w:r>
        <w:rPr>
          <w:rFonts w:ascii="Calibri" w:cs="Calibri" w:eastAsia="Calibri" w:hAnsi="Calibri"/>
          <w:sz w:val="14"/>
          <w:szCs w:val="14"/>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21590</wp:posOffset>
            </wp:positionV>
            <wp:extent cx="5060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7">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14" w:lineRule="exact"/>
        <w:rPr>
          <w:sz w:val="20"/>
          <w:szCs w:val="20"/>
          <w:color w:val="auto"/>
        </w:rPr>
      </w:pPr>
    </w:p>
    <w:p>
      <w:pPr>
        <w:ind w:left="220"/>
        <w:spacing w:after="0"/>
        <w:rPr>
          <w:sz w:val="20"/>
          <w:szCs w:val="20"/>
          <w:color w:val="auto"/>
        </w:rPr>
      </w:pPr>
      <w:r>
        <w:rPr>
          <w:rFonts w:ascii="Calibri" w:cs="Calibri" w:eastAsia="Calibri" w:hAnsi="Calibri"/>
          <w:sz w:val="18"/>
          <w:szCs w:val="18"/>
          <w:color w:val="auto"/>
        </w:rPr>
        <w:t>X</w:t>
      </w:r>
    </w:p>
    <w:p>
      <w:pPr>
        <w:spacing w:after="0" w:line="374" w:lineRule="exact"/>
        <w:rPr>
          <w:sz w:val="20"/>
          <w:szCs w:val="20"/>
          <w:color w:val="auto"/>
        </w:rPr>
      </w:pPr>
    </w:p>
    <w:p>
      <w:pPr>
        <w:ind w:left="220"/>
        <w:spacing w:after="0"/>
        <w:rPr>
          <w:sz w:val="20"/>
          <w:szCs w:val="20"/>
          <w:color w:val="auto"/>
        </w:rPr>
      </w:pPr>
      <w:r>
        <w:rPr>
          <w:rFonts w:ascii="Calibri" w:cs="Calibri" w:eastAsia="Calibri" w:hAnsi="Calibri"/>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alibri" w:cs="Calibri" w:eastAsia="Calibri" w:hAnsi="Calibri"/>
          <w:sz w:val="18"/>
          <w:szCs w:val="18"/>
          <w:color w:val="auto"/>
        </w:rPr>
        <w:t>X</w:t>
      </w:r>
    </w:p>
    <w:p>
      <w:pPr>
        <w:spacing w:after="0" w:line="374" w:lineRule="exact"/>
        <w:rPr>
          <w:sz w:val="20"/>
          <w:szCs w:val="20"/>
          <w:color w:val="auto"/>
        </w:rPr>
      </w:pPr>
    </w:p>
    <w:p>
      <w:pPr>
        <w:ind w:left="220"/>
        <w:spacing w:after="0"/>
        <w:rPr>
          <w:sz w:val="20"/>
          <w:szCs w:val="20"/>
          <w:color w:val="auto"/>
        </w:rPr>
      </w:pPr>
      <w:r>
        <w:rPr>
          <w:rFonts w:ascii="Calibri" w:cs="Calibri" w:eastAsia="Calibri" w:hAnsi="Calibri"/>
          <w:sz w:val="18"/>
          <w:szCs w:val="18"/>
          <w:color w:val="auto"/>
        </w:rPr>
        <w:t>X</w:t>
      </w:r>
    </w:p>
    <w:p>
      <w:pPr>
        <w:spacing w:after="0" w:line="10" w:lineRule="exact"/>
        <w:rPr>
          <w:sz w:val="20"/>
          <w:szCs w:val="20"/>
          <w:color w:val="auto"/>
        </w:rPr>
      </w:pPr>
    </w:p>
    <w:p>
      <w:pPr>
        <w:ind w:left="220"/>
        <w:spacing w:after="0"/>
        <w:rPr>
          <w:sz w:val="20"/>
          <w:szCs w:val="20"/>
          <w:color w:val="auto"/>
        </w:rPr>
      </w:pPr>
      <w:r>
        <w:rPr>
          <w:rFonts w:ascii="Calibri" w:cs="Calibri" w:eastAsia="Calibri" w:hAnsi="Calibri"/>
          <w:sz w:val="18"/>
          <w:szCs w:val="18"/>
          <w:color w:val="auto"/>
        </w:rPr>
        <w:t>X</w:t>
      </w:r>
    </w:p>
    <w:p>
      <w:pPr>
        <w:spacing w:after="0" w:line="10" w:lineRule="exact"/>
        <w:rPr>
          <w:sz w:val="20"/>
          <w:szCs w:val="20"/>
          <w:color w:val="auto"/>
        </w:rPr>
      </w:pPr>
    </w:p>
    <w:p>
      <w:pPr>
        <w:ind w:left="220"/>
        <w:spacing w:after="0"/>
        <w:rPr>
          <w:sz w:val="20"/>
          <w:szCs w:val="20"/>
          <w:color w:val="auto"/>
        </w:rPr>
      </w:pPr>
      <w:r>
        <w:rPr>
          <w:rFonts w:ascii="Calibri" w:cs="Calibri" w:eastAsia="Calibri" w:hAnsi="Calibri"/>
          <w:sz w:val="18"/>
          <w:szCs w:val="18"/>
          <w:color w:val="auto"/>
        </w:rPr>
        <w:t>X</w:t>
      </w:r>
    </w:p>
    <w:p>
      <w:pPr>
        <w:spacing w:after="0" w:line="10" w:lineRule="exact"/>
        <w:rPr>
          <w:sz w:val="20"/>
          <w:szCs w:val="20"/>
          <w:color w:val="auto"/>
        </w:rPr>
      </w:pPr>
    </w:p>
    <w:p>
      <w:pPr>
        <w:ind w:left="220"/>
        <w:spacing w:after="0"/>
        <w:rPr>
          <w:sz w:val="20"/>
          <w:szCs w:val="20"/>
          <w:color w:val="auto"/>
        </w:rPr>
      </w:pPr>
      <w:r>
        <w:rPr>
          <w:rFonts w:ascii="Calibri" w:cs="Calibri" w:eastAsia="Calibri" w:hAnsi="Calibri"/>
          <w:sz w:val="18"/>
          <w:szCs w:val="18"/>
          <w:color w:val="auto"/>
        </w:rPr>
        <w:t>X</w:t>
      </w:r>
    </w:p>
    <w:p>
      <w:pPr>
        <w:spacing w:after="0" w:line="10" w:lineRule="exact"/>
        <w:rPr>
          <w:sz w:val="20"/>
          <w:szCs w:val="20"/>
          <w:color w:val="auto"/>
        </w:rPr>
      </w:pPr>
    </w:p>
    <w:p>
      <w:pPr>
        <w:ind w:left="220"/>
        <w:spacing w:after="0"/>
        <w:rPr>
          <w:sz w:val="20"/>
          <w:szCs w:val="20"/>
          <w:color w:val="auto"/>
        </w:rPr>
      </w:pPr>
      <w:r>
        <w:rPr>
          <w:rFonts w:ascii="Calibri" w:cs="Calibri" w:eastAsia="Calibri" w:hAnsi="Calibri"/>
          <w:sz w:val="18"/>
          <w:szCs w:val="18"/>
          <w:color w:val="auto"/>
        </w:rPr>
        <w:t>X</w:t>
      </w:r>
    </w:p>
    <w:p>
      <w:pPr>
        <w:spacing w:after="0" w:line="10" w:lineRule="exact"/>
        <w:rPr>
          <w:sz w:val="20"/>
          <w:szCs w:val="20"/>
          <w:color w:val="auto"/>
        </w:rPr>
      </w:pPr>
    </w:p>
    <w:p>
      <w:pPr>
        <w:ind w:left="220"/>
        <w:spacing w:after="0"/>
        <w:rPr>
          <w:sz w:val="20"/>
          <w:szCs w:val="20"/>
          <w:color w:val="auto"/>
        </w:rPr>
      </w:pPr>
      <w:r>
        <w:rPr>
          <w:rFonts w:ascii="Calibri" w:cs="Calibri" w:eastAsia="Calibri" w:hAnsi="Calibri"/>
          <w:sz w:val="18"/>
          <w:szCs w:val="18"/>
          <w:color w:val="auto"/>
        </w:rPr>
        <w:t>X</w:t>
      </w:r>
    </w:p>
    <w:p>
      <w:pPr>
        <w:sectPr>
          <w:pgSz w:w="11900" w:h="16838" w:orient="portrait"/>
          <w:cols w:equalWidth="0" w:num="2">
            <w:col w:w="10340" w:space="240"/>
            <w:col w:w="540"/>
          </w:cols>
          <w:pgMar w:left="320" w:top="112" w:right="459" w:bottom="1440" w:gutter="0" w:footer="0" w:header="0"/>
        </w:sectPr>
      </w:pPr>
    </w:p>
    <w:bookmarkStart w:id="103" w:name="page104"/>
    <w:bookmarkEnd w:id="10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SIGNATURES</w:t>
      </w:r>
    </w:p>
    <w:p>
      <w:pPr>
        <w:spacing w:after="0" w:line="123"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Pursuant to the requirements of Secton 13 or 15(d) of the Securites Exchange Act of 1934, the Registrant has duly caused this report to be signed on its behalf by the undersigned, thereunto duly authorized.</w:t>
      </w:r>
    </w:p>
    <w:p>
      <w:pPr>
        <w:spacing w:after="0" w:line="37" w:lineRule="exact"/>
        <w:rPr>
          <w:sz w:val="20"/>
          <w:szCs w:val="20"/>
          <w:color w:val="auto"/>
        </w:rPr>
      </w:pPr>
    </w:p>
    <w:p>
      <w:pPr>
        <w:ind w:left="6160"/>
        <w:spacing w:after="0"/>
        <w:rPr>
          <w:sz w:val="20"/>
          <w:szCs w:val="20"/>
          <w:color w:val="auto"/>
        </w:rPr>
      </w:pPr>
      <w:r>
        <w:rPr>
          <w:rFonts w:ascii="Calibri" w:cs="Calibri" w:eastAsia="Calibri" w:hAnsi="Calibri"/>
          <w:sz w:val="18"/>
          <w:szCs w:val="18"/>
          <w:color w:val="auto"/>
        </w:rPr>
        <w:t>BROADCOM INC.</w:t>
      </w:r>
    </w:p>
    <w:p>
      <w:pPr>
        <w:spacing w:after="0" w:line="266" w:lineRule="exact"/>
        <w:rPr>
          <w:sz w:val="20"/>
          <w:szCs w:val="20"/>
          <w:color w:val="auto"/>
        </w:rPr>
      </w:pPr>
    </w:p>
    <w:p>
      <w:pPr>
        <w:ind w:left="6160"/>
        <w:spacing w:after="0"/>
        <w:tabs>
          <w:tab w:leader="none" w:pos="6600" w:val="left"/>
        </w:tabs>
        <w:rPr>
          <w:sz w:val="20"/>
          <w:szCs w:val="20"/>
          <w:color w:val="auto"/>
        </w:rPr>
      </w:pPr>
      <w:r>
        <w:rPr>
          <w:rFonts w:ascii="Calibri" w:cs="Calibri" w:eastAsia="Calibri" w:hAnsi="Calibri"/>
          <w:sz w:val="18"/>
          <w:szCs w:val="18"/>
          <w:color w:val="auto"/>
        </w:rPr>
        <w:t>By:</w:t>
      </w:r>
      <w:r>
        <w:rPr>
          <w:sz w:val="20"/>
          <w:szCs w:val="20"/>
          <w:color w:val="auto"/>
        </w:rPr>
        <w:tab/>
      </w:r>
      <w:r>
        <w:rPr>
          <w:rFonts w:ascii="Calibri" w:cs="Calibri" w:eastAsia="Calibri" w:hAnsi="Calibri"/>
          <w:sz w:val="18"/>
          <w:szCs w:val="18"/>
          <w:b w:val="1"/>
          <w:bCs w:val="1"/>
          <w:color w:val="auto"/>
        </w:rPr>
        <w:t>/s/ Hock E.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14605</wp:posOffset>
            </wp:positionV>
            <wp:extent cx="29229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 w:lineRule="exact"/>
        <w:rPr>
          <w:sz w:val="20"/>
          <w:szCs w:val="20"/>
          <w:color w:val="auto"/>
        </w:rPr>
      </w:pPr>
    </w:p>
    <w:p>
      <w:pPr>
        <w:ind w:left="6620"/>
        <w:spacing w:after="0"/>
        <w:tabs>
          <w:tab w:leader="none" w:pos="7380" w:val="left"/>
        </w:tabs>
        <w:rPr>
          <w:sz w:val="20"/>
          <w:szCs w:val="20"/>
          <w:color w:val="auto"/>
        </w:rPr>
      </w:pPr>
      <w:r>
        <w:rPr>
          <w:rFonts w:ascii="Calibri" w:cs="Calibri" w:eastAsia="Calibri" w:hAnsi="Calibri"/>
          <w:sz w:val="18"/>
          <w:szCs w:val="18"/>
          <w:b w:val="1"/>
          <w:bCs w:val="1"/>
          <w:color w:val="auto"/>
        </w:rPr>
        <w:t>Name:</w:t>
      </w:r>
      <w:r>
        <w:rPr>
          <w:sz w:val="20"/>
          <w:szCs w:val="20"/>
          <w:color w:val="auto"/>
        </w:rPr>
        <w:tab/>
      </w:r>
      <w:r>
        <w:rPr>
          <w:rFonts w:ascii="Calibri" w:cs="Calibri" w:eastAsia="Calibri" w:hAnsi="Calibri"/>
          <w:sz w:val="18"/>
          <w:szCs w:val="18"/>
          <w:b w:val="1"/>
          <w:bCs w:val="1"/>
          <w:color w:val="auto"/>
        </w:rPr>
        <w:t>Hock E. Tan</w:t>
      </w:r>
    </w:p>
    <w:p>
      <w:pPr>
        <w:spacing w:after="0" w:line="10" w:lineRule="exact"/>
        <w:rPr>
          <w:sz w:val="20"/>
          <w:szCs w:val="20"/>
          <w:color w:val="auto"/>
        </w:rPr>
      </w:pPr>
    </w:p>
    <w:p>
      <w:pPr>
        <w:ind w:left="6620"/>
        <w:spacing w:after="0"/>
        <w:tabs>
          <w:tab w:leader="none" w:pos="7380" w:val="left"/>
        </w:tabs>
        <w:rPr>
          <w:sz w:val="20"/>
          <w:szCs w:val="20"/>
          <w:color w:val="auto"/>
        </w:rPr>
      </w:pPr>
      <w:r>
        <w:rPr>
          <w:rFonts w:ascii="Calibri" w:cs="Calibri" w:eastAsia="Calibri" w:hAnsi="Calibri"/>
          <w:sz w:val="18"/>
          <w:szCs w:val="18"/>
          <w:b w:val="1"/>
          <w:bCs w:val="1"/>
          <w:color w:val="auto"/>
        </w:rPr>
        <w:t>Title:</w:t>
      </w:r>
      <w:r>
        <w:rPr>
          <w:sz w:val="20"/>
          <w:szCs w:val="20"/>
          <w:color w:val="auto"/>
        </w:rPr>
        <w:tab/>
      </w:r>
      <w:r>
        <w:rPr>
          <w:rFonts w:ascii="Calibri" w:cs="Calibri" w:eastAsia="Calibri" w:hAnsi="Calibri"/>
          <w:sz w:val="18"/>
          <w:szCs w:val="18"/>
          <w:b w:val="1"/>
          <w:bCs w:val="1"/>
          <w:color w:val="auto"/>
        </w:rPr>
        <w:t>President and Chief Executve Ofcer</w:t>
      </w:r>
    </w:p>
    <w:p>
      <w:pPr>
        <w:spacing w:after="0" w:line="307" w:lineRule="exact"/>
        <w:rPr>
          <w:sz w:val="20"/>
          <w:szCs w:val="20"/>
          <w:color w:val="auto"/>
        </w:rPr>
      </w:pPr>
    </w:p>
    <w:p>
      <w:pPr>
        <w:spacing w:after="0"/>
        <w:rPr>
          <w:sz w:val="20"/>
          <w:szCs w:val="20"/>
          <w:color w:val="auto"/>
        </w:rPr>
      </w:pPr>
      <w:r>
        <w:rPr>
          <w:rFonts w:ascii="Calibri" w:cs="Calibri" w:eastAsia="Calibri" w:hAnsi="Calibri"/>
          <w:sz w:val="18"/>
          <w:szCs w:val="18"/>
          <w:color w:val="auto"/>
        </w:rPr>
        <w:t>Date: December 20, 2024</w:t>
      </w:r>
    </w:p>
    <w:p>
      <w:pPr>
        <w:spacing w:after="0" w:line="34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POWER OF ATTORNEY</w:t>
      </w:r>
    </w:p>
    <w:p>
      <w:pPr>
        <w:spacing w:after="0" w:line="123" w:lineRule="exact"/>
        <w:rPr>
          <w:sz w:val="20"/>
          <w:szCs w:val="20"/>
          <w:color w:val="auto"/>
        </w:rPr>
      </w:pPr>
    </w:p>
    <w:p>
      <w:pPr>
        <w:ind w:right="40" w:firstLine="405"/>
        <w:spacing w:after="0" w:line="235" w:lineRule="auto"/>
        <w:rPr>
          <w:sz w:val="20"/>
          <w:szCs w:val="20"/>
          <w:color w:val="auto"/>
        </w:rPr>
      </w:pPr>
      <w:r>
        <w:rPr>
          <w:rFonts w:ascii="Calibri" w:cs="Calibri" w:eastAsia="Calibri" w:hAnsi="Calibri"/>
          <w:sz w:val="18"/>
          <w:szCs w:val="18"/>
          <w:color w:val="auto"/>
        </w:rPr>
        <w:t>Each person whose individual signature appears below hereby authorizes and appoints Hock E. Tan, Kirsten M. Spears and Mark D. Brazeal, and each of them, with full power of substtuton and resubsttuton and full power to act without the other, as his or her true and lawful atorney-in-fact and agent to act in his or her name, place and stead and to execute in the name and on behalf of each person, individually and in each capacity stated below, and to fle any and all amendments to this Annual Report on Form 10-K, and to fle the same, with all exhibits thereto, and other documents in connecton therewith, with the Securites and Exchange Commission, grantng unto said atorneys-in-fact and agents, and each of them, full power and authority to do and perform each and every act and thing, ratfying and confrming all that said atorneys-in-fact and agents or any of them or their or his substtute or substtutes may lawfully do or cause to be done by virtue thereof.</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4" w:name="page105"/>
    <w:bookmarkEnd w:id="10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firstLine="405"/>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this Annual Report on Form 10-K has been signed by the following persons on behalf of the Registrant in the capacites indicated and on the dates indicated.</w:t>
      </w:r>
    </w:p>
    <w:p>
      <w:pPr>
        <w:spacing w:after="0" w:line="44" w:lineRule="exact"/>
        <w:rPr>
          <w:sz w:val="20"/>
          <w:szCs w:val="20"/>
          <w:color w:val="auto"/>
        </w:rPr>
      </w:pPr>
    </w:p>
    <w:p>
      <w:pPr>
        <w:ind w:left="1500"/>
        <w:spacing w:after="0"/>
        <w:tabs>
          <w:tab w:leader="none" w:pos="6080" w:val="left"/>
          <w:tab w:leader="none" w:pos="9600" w:val="left"/>
        </w:tabs>
        <w:rPr>
          <w:sz w:val="20"/>
          <w:szCs w:val="20"/>
          <w:color w:val="auto"/>
        </w:rPr>
      </w:pPr>
      <w:r>
        <w:rPr>
          <w:rFonts w:ascii="Calibri" w:cs="Calibri" w:eastAsia="Calibri" w:hAnsi="Calibri"/>
          <w:sz w:val="16"/>
          <w:szCs w:val="16"/>
          <w:b w:val="1"/>
          <w:bCs w:val="1"/>
          <w:u w:val="single" w:color="auto"/>
          <w:color w:val="auto"/>
        </w:rPr>
        <w:t>Signature</w:t>
      </w:r>
      <w:r>
        <w:rPr>
          <w:sz w:val="20"/>
          <w:szCs w:val="20"/>
          <w:color w:val="auto"/>
        </w:rPr>
        <w:tab/>
      </w:r>
      <w:r>
        <w:rPr>
          <w:rFonts w:ascii="Calibri" w:cs="Calibri" w:eastAsia="Calibri" w:hAnsi="Calibri"/>
          <w:sz w:val="16"/>
          <w:szCs w:val="16"/>
          <w:b w:val="1"/>
          <w:bCs w:val="1"/>
          <w:u w:val="single" w:color="auto"/>
          <w:color w:val="auto"/>
        </w:rPr>
        <w:t>Title</w:t>
      </w:r>
      <w:r>
        <w:rPr>
          <w:sz w:val="20"/>
          <w:szCs w:val="20"/>
          <w:color w:val="auto"/>
        </w:rPr>
        <w:tab/>
      </w:r>
      <w:r>
        <w:rPr>
          <w:rFonts w:ascii="Calibri" w:cs="Calibri" w:eastAsia="Calibri" w:hAnsi="Calibri"/>
          <w:sz w:val="15"/>
          <w:szCs w:val="15"/>
          <w:b w:val="1"/>
          <w:bCs w:val="1"/>
          <w:u w:val="single" w:color="auto"/>
          <w:color w:val="auto"/>
        </w:rPr>
        <w:t>Date</w:t>
      </w:r>
    </w:p>
    <w:p>
      <w:pPr>
        <w:sectPr>
          <w:pgSz w:w="11900" w:h="16838" w:orient="portrait"/>
          <w:cols w:equalWidth="0" w:num="1">
            <w:col w:w="10880"/>
          </w:cols>
          <w:pgMar w:left="320" w:top="112" w:right="699" w:bottom="1440" w:gutter="0" w:footer="0" w:header="0"/>
        </w:sectPr>
      </w:pP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20" w:type="dxa"/>
            <w:vAlign w:val="bottom"/>
            <w:vMerge w:val="restart"/>
          </w:tcPr>
          <w:p>
            <w:pPr>
              <w:jc w:val="center"/>
              <w:spacing w:after="0"/>
              <w:rPr>
                <w:sz w:val="20"/>
                <w:szCs w:val="20"/>
                <w:color w:val="auto"/>
              </w:rPr>
            </w:pPr>
            <w:r>
              <w:rPr>
                <w:rFonts w:ascii="Calibri" w:cs="Calibri" w:eastAsia="Calibri" w:hAnsi="Calibri"/>
                <w:sz w:val="16"/>
                <w:szCs w:val="16"/>
                <w:b w:val="1"/>
                <w:bCs w:val="1"/>
                <w:color w:val="auto"/>
              </w:rPr>
              <w:t>/s/ Hock E. Tan</w:t>
            </w:r>
          </w:p>
        </w:tc>
        <w:tc>
          <w:tcPr>
            <w:tcW w:w="4580" w:type="dxa"/>
            <w:vAlign w:val="bottom"/>
          </w:tcPr>
          <w:p>
            <w:pPr>
              <w:jc w:val="center"/>
              <w:ind w:left="599"/>
              <w:spacing w:after="0"/>
              <w:rPr>
                <w:sz w:val="20"/>
                <w:szCs w:val="20"/>
                <w:color w:val="auto"/>
              </w:rPr>
            </w:pPr>
            <w:r>
              <w:rPr>
                <w:rFonts w:ascii="Calibri" w:cs="Calibri" w:eastAsia="Calibri" w:hAnsi="Calibri"/>
                <w:sz w:val="16"/>
                <w:szCs w:val="16"/>
                <w:color w:val="auto"/>
              </w:rPr>
              <w:t>President, Chief Executve</w:t>
            </w:r>
          </w:p>
        </w:tc>
        <w:tc>
          <w:tcPr>
            <w:tcW w:w="0" w:type="dxa"/>
            <w:vAlign w:val="bottom"/>
          </w:tcPr>
          <w:p>
            <w:pPr>
              <w:spacing w:after="0"/>
              <w:rPr>
                <w:sz w:val="1"/>
                <w:szCs w:val="1"/>
                <w:color w:val="auto"/>
              </w:rPr>
            </w:pPr>
          </w:p>
        </w:tc>
      </w:tr>
      <w:tr>
        <w:trPr>
          <w:trHeight w:val="86"/>
        </w:trPr>
        <w:tc>
          <w:tcPr>
            <w:tcW w:w="3620" w:type="dxa"/>
            <w:vAlign w:val="bottom"/>
            <w:vMerge w:val="continue"/>
          </w:tcPr>
          <w:p>
            <w:pPr>
              <w:spacing w:after="0"/>
              <w:rPr>
                <w:sz w:val="7"/>
                <w:szCs w:val="7"/>
                <w:color w:val="auto"/>
              </w:rPr>
            </w:pPr>
          </w:p>
        </w:tc>
        <w:tc>
          <w:tcPr>
            <w:tcW w:w="4580" w:type="dxa"/>
            <w:vAlign w:val="bottom"/>
            <w:vMerge w:val="restart"/>
          </w:tcPr>
          <w:p>
            <w:pPr>
              <w:jc w:val="center"/>
              <w:ind w:left="599"/>
              <w:spacing w:after="0" w:line="162" w:lineRule="exact"/>
              <w:rPr>
                <w:sz w:val="20"/>
                <w:szCs w:val="20"/>
                <w:color w:val="auto"/>
              </w:rPr>
            </w:pPr>
            <w:r>
              <w:rPr>
                <w:rFonts w:ascii="Calibri" w:cs="Calibri" w:eastAsia="Calibri" w:hAnsi="Calibri"/>
                <w:sz w:val="16"/>
                <w:szCs w:val="16"/>
                <w:color w:val="auto"/>
              </w:rPr>
              <w:t>Ofcer and Director</w:t>
            </w:r>
          </w:p>
        </w:tc>
        <w:tc>
          <w:tcPr>
            <w:tcW w:w="0" w:type="dxa"/>
            <w:vAlign w:val="bottom"/>
          </w:tcPr>
          <w:p>
            <w:pPr>
              <w:spacing w:after="0"/>
              <w:rPr>
                <w:sz w:val="1"/>
                <w:szCs w:val="1"/>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4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4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62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Hock E. Tan</w:t>
            </w:r>
          </w:p>
        </w:tc>
        <w:tc>
          <w:tcPr>
            <w:tcW w:w="4580" w:type="dxa"/>
            <w:vAlign w:val="bottom"/>
          </w:tcPr>
          <w:p>
            <w:pPr>
              <w:jc w:val="center"/>
              <w:ind w:left="579"/>
              <w:spacing w:after="0" w:line="193" w:lineRule="exact"/>
              <w:rPr>
                <w:sz w:val="20"/>
                <w:szCs w:val="20"/>
                <w:color w:val="auto"/>
              </w:rPr>
            </w:pPr>
            <w:r>
              <w:rPr>
                <w:rFonts w:ascii="Calibri" w:cs="Calibri" w:eastAsia="Calibri" w:hAnsi="Calibri"/>
                <w:sz w:val="16"/>
                <w:szCs w:val="16"/>
                <w:color w:val="auto"/>
              </w:rPr>
              <w:t>(Principal Executve Ofcer)</w:t>
            </w:r>
          </w:p>
        </w:tc>
        <w:tc>
          <w:tcPr>
            <w:tcW w:w="0" w:type="dxa"/>
            <w:vAlign w:val="bottom"/>
          </w:tcPr>
          <w:p>
            <w:pPr>
              <w:spacing w:after="0"/>
              <w:rPr>
                <w:sz w:val="1"/>
                <w:szCs w:val="1"/>
                <w:color w:val="auto"/>
              </w:rPr>
            </w:pPr>
          </w:p>
        </w:tc>
      </w:tr>
      <w:tr>
        <w:trPr>
          <w:trHeight w:val="347"/>
        </w:trPr>
        <w:tc>
          <w:tcPr>
            <w:tcW w:w="3620" w:type="dxa"/>
            <w:vAlign w:val="bottom"/>
          </w:tcPr>
          <w:p>
            <w:pPr>
              <w:spacing w:after="0"/>
              <w:rPr>
                <w:sz w:val="24"/>
                <w:szCs w:val="24"/>
                <w:color w:val="auto"/>
              </w:rPr>
            </w:pPr>
          </w:p>
        </w:tc>
        <w:tc>
          <w:tcPr>
            <w:tcW w:w="4580" w:type="dxa"/>
            <w:vAlign w:val="bottom"/>
          </w:tcPr>
          <w:p>
            <w:pPr>
              <w:jc w:val="center"/>
              <w:ind w:left="579"/>
              <w:spacing w:after="0"/>
              <w:rPr>
                <w:sz w:val="20"/>
                <w:szCs w:val="20"/>
                <w:color w:val="auto"/>
              </w:rPr>
            </w:pPr>
            <w:r>
              <w:rPr>
                <w:rFonts w:ascii="Calibri" w:cs="Calibri" w:eastAsia="Calibri" w:hAnsi="Calibri"/>
                <w:sz w:val="16"/>
                <w:szCs w:val="16"/>
                <w:color w:val="auto"/>
              </w:rPr>
              <w:t>Chief Financial Ofcer</w:t>
            </w:r>
          </w:p>
        </w:tc>
        <w:tc>
          <w:tcPr>
            <w:tcW w:w="0" w:type="dxa"/>
            <w:vAlign w:val="bottom"/>
          </w:tcPr>
          <w:p>
            <w:pPr>
              <w:spacing w:after="0"/>
              <w:rPr>
                <w:sz w:val="1"/>
                <w:szCs w:val="1"/>
                <w:color w:val="auto"/>
              </w:rPr>
            </w:pPr>
          </w:p>
        </w:tc>
      </w:tr>
      <w:tr>
        <w:trPr>
          <w:trHeight w:val="193"/>
        </w:trPr>
        <w:tc>
          <w:tcPr>
            <w:tcW w:w="362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/s/ Kirsten M. Spears</w:t>
            </w:r>
          </w:p>
        </w:tc>
        <w:tc>
          <w:tcPr>
            <w:tcW w:w="4580" w:type="dxa"/>
            <w:vAlign w:val="bottom"/>
          </w:tcPr>
          <w:p>
            <w:pPr>
              <w:jc w:val="center"/>
              <w:ind w:left="599"/>
              <w:spacing w:after="0" w:line="193" w:lineRule="exact"/>
              <w:rPr>
                <w:sz w:val="20"/>
                <w:szCs w:val="20"/>
                <w:color w:val="auto"/>
              </w:rPr>
            </w:pPr>
            <w:r>
              <w:rPr>
                <w:rFonts w:ascii="Calibri" w:cs="Calibri" w:eastAsia="Calibri" w:hAnsi="Calibri"/>
                <w:sz w:val="16"/>
                <w:szCs w:val="16"/>
                <w:color w:val="auto"/>
              </w:rPr>
              <w:t>(Principal Financial Ofcer and Principal Accountng Ofcer)</w:t>
            </w:r>
          </w:p>
        </w:tc>
        <w:tc>
          <w:tcPr>
            <w:tcW w:w="0" w:type="dxa"/>
            <w:vAlign w:val="bottom"/>
          </w:tcPr>
          <w:p>
            <w:pPr>
              <w:spacing w:after="0"/>
              <w:rPr>
                <w:sz w:val="1"/>
                <w:szCs w:val="1"/>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4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62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rPr>
              <w:t>Kirsten M. Spears</w:t>
            </w:r>
          </w:p>
        </w:tc>
        <w:tc>
          <w:tcPr>
            <w:tcW w:w="4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3620" w:type="dxa"/>
            <w:vAlign w:val="bottom"/>
          </w:tcPr>
          <w:p>
            <w:pPr>
              <w:jc w:val="center"/>
              <w:spacing w:after="0"/>
              <w:rPr>
                <w:sz w:val="20"/>
                <w:szCs w:val="20"/>
                <w:color w:val="auto"/>
              </w:rPr>
            </w:pPr>
            <w:r>
              <w:rPr>
                <w:rFonts w:ascii="Calibri" w:cs="Calibri" w:eastAsia="Calibri" w:hAnsi="Calibri"/>
                <w:sz w:val="16"/>
                <w:szCs w:val="16"/>
                <w:b w:val="1"/>
                <w:bCs w:val="1"/>
                <w:color w:val="auto"/>
              </w:rPr>
              <w:t>/s/ Henry Samueli</w:t>
            </w:r>
          </w:p>
        </w:tc>
        <w:tc>
          <w:tcPr>
            <w:tcW w:w="4580" w:type="dxa"/>
            <w:vAlign w:val="bottom"/>
          </w:tcPr>
          <w:p>
            <w:pPr>
              <w:jc w:val="center"/>
              <w:ind w:left="599"/>
              <w:spacing w:after="0"/>
              <w:rPr>
                <w:sz w:val="20"/>
                <w:szCs w:val="20"/>
                <w:color w:val="auto"/>
              </w:rPr>
            </w:pPr>
            <w:r>
              <w:rPr>
                <w:rFonts w:ascii="Calibri" w:cs="Calibri" w:eastAsia="Calibri" w:hAnsi="Calibri"/>
                <w:sz w:val="16"/>
                <w:szCs w:val="16"/>
                <w:color w:val="auto"/>
              </w:rPr>
              <w:t>Chairman of the Board of Directors</w:t>
            </w:r>
          </w:p>
        </w:tc>
        <w:tc>
          <w:tcPr>
            <w:tcW w:w="0" w:type="dxa"/>
            <w:vAlign w:val="bottom"/>
          </w:tcPr>
          <w:p>
            <w:pPr>
              <w:spacing w:after="0"/>
              <w:rPr>
                <w:sz w:val="1"/>
                <w:szCs w:val="1"/>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4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62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rPr>
              <w:t>Henry Samueli</w:t>
            </w:r>
          </w:p>
        </w:tc>
        <w:tc>
          <w:tcPr>
            <w:tcW w:w="4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3620" w:type="dxa"/>
            <w:vAlign w:val="bottom"/>
          </w:tcPr>
          <w:p>
            <w:pPr>
              <w:jc w:val="center"/>
              <w:spacing w:after="0"/>
              <w:rPr>
                <w:sz w:val="20"/>
                <w:szCs w:val="20"/>
                <w:color w:val="auto"/>
              </w:rPr>
            </w:pPr>
            <w:r>
              <w:rPr>
                <w:rFonts w:ascii="Calibri" w:cs="Calibri" w:eastAsia="Calibri" w:hAnsi="Calibri"/>
                <w:sz w:val="16"/>
                <w:szCs w:val="16"/>
                <w:b w:val="1"/>
                <w:bCs w:val="1"/>
                <w:color w:val="auto"/>
              </w:rPr>
              <w:t>/s/ Eddy W. Hartenstein</w:t>
            </w:r>
          </w:p>
        </w:tc>
        <w:tc>
          <w:tcPr>
            <w:tcW w:w="4580" w:type="dxa"/>
            <w:vAlign w:val="bottom"/>
          </w:tcPr>
          <w:p>
            <w:pPr>
              <w:jc w:val="center"/>
              <w:ind w:left="579"/>
              <w:spacing w:after="0"/>
              <w:rPr>
                <w:sz w:val="20"/>
                <w:szCs w:val="20"/>
                <w:color w:val="auto"/>
              </w:rPr>
            </w:pPr>
            <w:r>
              <w:rPr>
                <w:rFonts w:ascii="Calibri" w:cs="Calibri" w:eastAsia="Calibri" w:hAnsi="Calibri"/>
                <w:sz w:val="16"/>
                <w:szCs w:val="16"/>
                <w:color w:val="auto"/>
              </w:rPr>
              <w:t>Lead Independent Director</w:t>
            </w:r>
          </w:p>
        </w:tc>
        <w:tc>
          <w:tcPr>
            <w:tcW w:w="0" w:type="dxa"/>
            <w:vAlign w:val="bottom"/>
          </w:tcPr>
          <w:p>
            <w:pPr>
              <w:spacing w:after="0"/>
              <w:rPr>
                <w:sz w:val="1"/>
                <w:szCs w:val="1"/>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4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62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rPr>
              <w:t>Eddy W. Hartenstein</w:t>
            </w:r>
          </w:p>
        </w:tc>
        <w:tc>
          <w:tcPr>
            <w:tcW w:w="4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3620" w:type="dxa"/>
            <w:vAlign w:val="bottom"/>
          </w:tcPr>
          <w:p>
            <w:pPr>
              <w:jc w:val="center"/>
              <w:spacing w:after="0"/>
              <w:rPr>
                <w:sz w:val="20"/>
                <w:szCs w:val="20"/>
                <w:color w:val="auto"/>
              </w:rPr>
            </w:pPr>
            <w:r>
              <w:rPr>
                <w:rFonts w:ascii="Calibri" w:cs="Calibri" w:eastAsia="Calibri" w:hAnsi="Calibri"/>
                <w:sz w:val="16"/>
                <w:szCs w:val="16"/>
                <w:b w:val="1"/>
                <w:bCs w:val="1"/>
                <w:color w:val="auto"/>
              </w:rPr>
              <w:t>/s/ Diane M. Bryant</w:t>
            </w:r>
          </w:p>
        </w:tc>
        <w:tc>
          <w:tcPr>
            <w:tcW w:w="4580" w:type="dxa"/>
            <w:vAlign w:val="bottom"/>
          </w:tcPr>
          <w:p>
            <w:pPr>
              <w:jc w:val="center"/>
              <w:ind w:left="599"/>
              <w:spacing w:after="0"/>
              <w:rPr>
                <w:sz w:val="20"/>
                <w:szCs w:val="20"/>
                <w:color w:val="auto"/>
              </w:rPr>
            </w:pPr>
            <w:r>
              <w:rPr>
                <w:rFonts w:ascii="Calibri" w:cs="Calibri" w:eastAsia="Calibri" w:hAnsi="Calibri"/>
                <w:sz w:val="16"/>
                <w:szCs w:val="16"/>
                <w:color w:val="auto"/>
              </w:rPr>
              <w:t>Director</w:t>
            </w:r>
          </w:p>
        </w:tc>
        <w:tc>
          <w:tcPr>
            <w:tcW w:w="0" w:type="dxa"/>
            <w:vAlign w:val="bottom"/>
          </w:tcPr>
          <w:p>
            <w:pPr>
              <w:spacing w:after="0"/>
              <w:rPr>
                <w:sz w:val="1"/>
                <w:szCs w:val="1"/>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4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62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rPr>
              <w:t>Diane M. Bryant</w:t>
            </w:r>
          </w:p>
        </w:tc>
        <w:tc>
          <w:tcPr>
            <w:tcW w:w="4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3620" w:type="dxa"/>
            <w:vAlign w:val="bottom"/>
          </w:tcPr>
          <w:p>
            <w:pPr>
              <w:jc w:val="center"/>
              <w:spacing w:after="0"/>
              <w:rPr>
                <w:sz w:val="20"/>
                <w:szCs w:val="20"/>
                <w:color w:val="auto"/>
              </w:rPr>
            </w:pPr>
            <w:r>
              <w:rPr>
                <w:rFonts w:ascii="Calibri" w:cs="Calibri" w:eastAsia="Calibri" w:hAnsi="Calibri"/>
                <w:sz w:val="16"/>
                <w:szCs w:val="16"/>
                <w:b w:val="1"/>
                <w:bCs w:val="1"/>
                <w:color w:val="auto"/>
              </w:rPr>
              <w:t>/s/ Gayla J. Delly</w:t>
            </w:r>
          </w:p>
        </w:tc>
        <w:tc>
          <w:tcPr>
            <w:tcW w:w="4580" w:type="dxa"/>
            <w:vAlign w:val="bottom"/>
          </w:tcPr>
          <w:p>
            <w:pPr>
              <w:jc w:val="center"/>
              <w:ind w:left="599"/>
              <w:spacing w:after="0"/>
              <w:rPr>
                <w:sz w:val="20"/>
                <w:szCs w:val="20"/>
                <w:color w:val="auto"/>
              </w:rPr>
            </w:pPr>
            <w:r>
              <w:rPr>
                <w:rFonts w:ascii="Calibri" w:cs="Calibri" w:eastAsia="Calibri" w:hAnsi="Calibri"/>
                <w:sz w:val="16"/>
                <w:szCs w:val="16"/>
                <w:color w:val="auto"/>
              </w:rPr>
              <w:t>Director</w:t>
            </w:r>
          </w:p>
        </w:tc>
        <w:tc>
          <w:tcPr>
            <w:tcW w:w="0" w:type="dxa"/>
            <w:vAlign w:val="bottom"/>
          </w:tcPr>
          <w:p>
            <w:pPr>
              <w:spacing w:after="0"/>
              <w:rPr>
                <w:sz w:val="1"/>
                <w:szCs w:val="1"/>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4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62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rPr>
              <w:t>Gayla J. Delly</w:t>
            </w:r>
          </w:p>
        </w:tc>
        <w:tc>
          <w:tcPr>
            <w:tcW w:w="4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3620" w:type="dxa"/>
            <w:vAlign w:val="bottom"/>
          </w:tcPr>
          <w:p>
            <w:pPr>
              <w:jc w:val="center"/>
              <w:spacing w:after="0"/>
              <w:rPr>
                <w:sz w:val="20"/>
                <w:szCs w:val="20"/>
                <w:color w:val="auto"/>
              </w:rPr>
            </w:pPr>
            <w:r>
              <w:rPr>
                <w:rFonts w:ascii="Calibri" w:cs="Calibri" w:eastAsia="Calibri" w:hAnsi="Calibri"/>
                <w:sz w:val="16"/>
                <w:szCs w:val="16"/>
                <w:b w:val="1"/>
                <w:bCs w:val="1"/>
                <w:color w:val="auto"/>
                <w:w w:val="99"/>
              </w:rPr>
              <w:t>/s/ Kenneth Y. Hao</w:t>
            </w:r>
          </w:p>
        </w:tc>
        <w:tc>
          <w:tcPr>
            <w:tcW w:w="4580" w:type="dxa"/>
            <w:vAlign w:val="bottom"/>
          </w:tcPr>
          <w:p>
            <w:pPr>
              <w:jc w:val="center"/>
              <w:ind w:left="599"/>
              <w:spacing w:after="0"/>
              <w:rPr>
                <w:sz w:val="20"/>
                <w:szCs w:val="20"/>
                <w:color w:val="auto"/>
              </w:rPr>
            </w:pPr>
            <w:r>
              <w:rPr>
                <w:rFonts w:ascii="Calibri" w:cs="Calibri" w:eastAsia="Calibri" w:hAnsi="Calibri"/>
                <w:sz w:val="16"/>
                <w:szCs w:val="16"/>
                <w:color w:val="auto"/>
              </w:rPr>
              <w:t>Director</w:t>
            </w:r>
          </w:p>
        </w:tc>
        <w:tc>
          <w:tcPr>
            <w:tcW w:w="0" w:type="dxa"/>
            <w:vAlign w:val="bottom"/>
          </w:tcPr>
          <w:p>
            <w:pPr>
              <w:spacing w:after="0"/>
              <w:rPr>
                <w:sz w:val="1"/>
                <w:szCs w:val="1"/>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4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62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w w:val="99"/>
              </w:rPr>
              <w:t>Kenneth Y. Hao</w:t>
            </w:r>
          </w:p>
        </w:tc>
        <w:tc>
          <w:tcPr>
            <w:tcW w:w="4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3620" w:type="dxa"/>
            <w:vAlign w:val="bottom"/>
          </w:tcPr>
          <w:p>
            <w:pPr>
              <w:jc w:val="center"/>
              <w:spacing w:after="0"/>
              <w:rPr>
                <w:sz w:val="20"/>
                <w:szCs w:val="20"/>
                <w:color w:val="auto"/>
              </w:rPr>
            </w:pPr>
            <w:r>
              <w:rPr>
                <w:rFonts w:ascii="Calibri" w:cs="Calibri" w:eastAsia="Calibri" w:hAnsi="Calibri"/>
                <w:sz w:val="16"/>
                <w:szCs w:val="16"/>
                <w:b w:val="1"/>
                <w:bCs w:val="1"/>
                <w:color w:val="auto"/>
              </w:rPr>
              <w:t>/s/ Check Kian Low</w:t>
            </w:r>
          </w:p>
        </w:tc>
        <w:tc>
          <w:tcPr>
            <w:tcW w:w="4580" w:type="dxa"/>
            <w:vAlign w:val="bottom"/>
          </w:tcPr>
          <w:p>
            <w:pPr>
              <w:jc w:val="center"/>
              <w:ind w:left="599"/>
              <w:spacing w:after="0"/>
              <w:rPr>
                <w:sz w:val="20"/>
                <w:szCs w:val="20"/>
                <w:color w:val="auto"/>
              </w:rPr>
            </w:pPr>
            <w:r>
              <w:rPr>
                <w:rFonts w:ascii="Calibri" w:cs="Calibri" w:eastAsia="Calibri" w:hAnsi="Calibri"/>
                <w:sz w:val="16"/>
                <w:szCs w:val="16"/>
                <w:color w:val="auto"/>
              </w:rPr>
              <w:t>Director</w:t>
            </w:r>
          </w:p>
        </w:tc>
        <w:tc>
          <w:tcPr>
            <w:tcW w:w="0" w:type="dxa"/>
            <w:vAlign w:val="bottom"/>
          </w:tcPr>
          <w:p>
            <w:pPr>
              <w:spacing w:after="0"/>
              <w:rPr>
                <w:sz w:val="1"/>
                <w:szCs w:val="1"/>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4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62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rPr>
              <w:t>Check Kian Low</w:t>
            </w:r>
          </w:p>
        </w:tc>
        <w:tc>
          <w:tcPr>
            <w:tcW w:w="4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3620" w:type="dxa"/>
            <w:vAlign w:val="bottom"/>
          </w:tcPr>
          <w:p>
            <w:pPr>
              <w:jc w:val="center"/>
              <w:spacing w:after="0"/>
              <w:rPr>
                <w:sz w:val="20"/>
                <w:szCs w:val="20"/>
                <w:color w:val="auto"/>
              </w:rPr>
            </w:pPr>
            <w:r>
              <w:rPr>
                <w:rFonts w:ascii="Calibri" w:cs="Calibri" w:eastAsia="Calibri" w:hAnsi="Calibri"/>
                <w:sz w:val="16"/>
                <w:szCs w:val="16"/>
                <w:b w:val="1"/>
                <w:bCs w:val="1"/>
                <w:color w:val="auto"/>
              </w:rPr>
              <w:t>/s/ Justne F. Page</w:t>
            </w:r>
          </w:p>
        </w:tc>
        <w:tc>
          <w:tcPr>
            <w:tcW w:w="4580" w:type="dxa"/>
            <w:vAlign w:val="bottom"/>
          </w:tcPr>
          <w:p>
            <w:pPr>
              <w:jc w:val="center"/>
              <w:ind w:left="599"/>
              <w:spacing w:after="0"/>
              <w:rPr>
                <w:sz w:val="20"/>
                <w:szCs w:val="20"/>
                <w:color w:val="auto"/>
              </w:rPr>
            </w:pPr>
            <w:r>
              <w:rPr>
                <w:rFonts w:ascii="Calibri" w:cs="Calibri" w:eastAsia="Calibri" w:hAnsi="Calibri"/>
                <w:sz w:val="16"/>
                <w:szCs w:val="16"/>
                <w:color w:val="auto"/>
              </w:rPr>
              <w:t>Director</w:t>
            </w:r>
          </w:p>
        </w:tc>
        <w:tc>
          <w:tcPr>
            <w:tcW w:w="0" w:type="dxa"/>
            <w:vAlign w:val="bottom"/>
          </w:tcPr>
          <w:p>
            <w:pPr>
              <w:spacing w:after="0"/>
              <w:rPr>
                <w:sz w:val="1"/>
                <w:szCs w:val="1"/>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4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62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rPr>
              <w:t>Justne F. Page</w:t>
            </w:r>
          </w:p>
        </w:tc>
        <w:tc>
          <w:tcPr>
            <w:tcW w:w="4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3620" w:type="dxa"/>
            <w:vAlign w:val="bottom"/>
          </w:tcPr>
          <w:p>
            <w:pPr>
              <w:jc w:val="center"/>
              <w:spacing w:after="0"/>
              <w:rPr>
                <w:sz w:val="20"/>
                <w:szCs w:val="20"/>
                <w:color w:val="auto"/>
              </w:rPr>
            </w:pPr>
            <w:r>
              <w:rPr>
                <w:rFonts w:ascii="Calibri" w:cs="Calibri" w:eastAsia="Calibri" w:hAnsi="Calibri"/>
                <w:sz w:val="16"/>
                <w:szCs w:val="16"/>
                <w:b w:val="1"/>
                <w:bCs w:val="1"/>
                <w:color w:val="auto"/>
              </w:rPr>
              <w:t>/s/ Harry L. You</w:t>
            </w:r>
          </w:p>
        </w:tc>
        <w:tc>
          <w:tcPr>
            <w:tcW w:w="4580" w:type="dxa"/>
            <w:vAlign w:val="bottom"/>
          </w:tcPr>
          <w:p>
            <w:pPr>
              <w:jc w:val="center"/>
              <w:ind w:left="599"/>
              <w:spacing w:after="0"/>
              <w:rPr>
                <w:sz w:val="20"/>
                <w:szCs w:val="20"/>
                <w:color w:val="auto"/>
              </w:rPr>
            </w:pPr>
            <w:r>
              <w:rPr>
                <w:rFonts w:ascii="Calibri" w:cs="Calibri" w:eastAsia="Calibri" w:hAnsi="Calibri"/>
                <w:sz w:val="16"/>
                <w:szCs w:val="16"/>
                <w:color w:val="auto"/>
              </w:rPr>
              <w:t>Director</w:t>
            </w:r>
          </w:p>
        </w:tc>
        <w:tc>
          <w:tcPr>
            <w:tcW w:w="0" w:type="dxa"/>
            <w:vAlign w:val="bottom"/>
          </w:tcPr>
          <w:p>
            <w:pPr>
              <w:spacing w:after="0"/>
              <w:rPr>
                <w:sz w:val="1"/>
                <w:szCs w:val="1"/>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4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62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rPr>
              <w:t>Harry L. You</w:t>
            </w:r>
          </w:p>
        </w:tc>
        <w:tc>
          <w:tcPr>
            <w:tcW w:w="4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Calibri" w:cs="Calibri" w:eastAsia="Calibri" w:hAnsi="Calibri"/>
          <w:sz w:val="14"/>
          <w:szCs w:val="14"/>
          <w:color w:val="auto"/>
        </w:rPr>
        <w:t>December 20,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alibri" w:cs="Calibri" w:eastAsia="Calibri" w:hAnsi="Calibri"/>
          <w:sz w:val="14"/>
          <w:szCs w:val="14"/>
          <w:color w:val="auto"/>
        </w:rPr>
        <w:t>December 20, 2024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alibri" w:cs="Calibri" w:eastAsia="Calibri" w:hAnsi="Calibri"/>
          <w:sz w:val="14"/>
          <w:szCs w:val="14"/>
          <w:color w:val="auto"/>
        </w:rPr>
        <w:t>December 20, 2024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alibri" w:cs="Calibri" w:eastAsia="Calibri" w:hAnsi="Calibri"/>
          <w:sz w:val="14"/>
          <w:szCs w:val="14"/>
          <w:color w:val="auto"/>
        </w:rPr>
        <w:t>December 20, 2024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alibri" w:cs="Calibri" w:eastAsia="Calibri" w:hAnsi="Calibri"/>
          <w:sz w:val="14"/>
          <w:szCs w:val="14"/>
          <w:color w:val="auto"/>
        </w:rPr>
        <w:t>December 20, 2024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alibri" w:cs="Calibri" w:eastAsia="Calibri" w:hAnsi="Calibri"/>
          <w:sz w:val="14"/>
          <w:szCs w:val="14"/>
          <w:color w:val="auto"/>
        </w:rPr>
        <w:t>December 20, 2024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alibri" w:cs="Calibri" w:eastAsia="Calibri" w:hAnsi="Calibri"/>
          <w:sz w:val="14"/>
          <w:szCs w:val="14"/>
          <w:color w:val="auto"/>
        </w:rPr>
        <w:t>December 20, 2024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alibri" w:cs="Calibri" w:eastAsia="Calibri" w:hAnsi="Calibri"/>
          <w:sz w:val="14"/>
          <w:szCs w:val="14"/>
          <w:color w:val="auto"/>
        </w:rPr>
        <w:t>December 20, 2024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alibri" w:cs="Calibri" w:eastAsia="Calibri" w:hAnsi="Calibri"/>
          <w:sz w:val="14"/>
          <w:szCs w:val="14"/>
          <w:color w:val="auto"/>
        </w:rPr>
        <w:t>December 20, 2024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alibri" w:cs="Calibri" w:eastAsia="Calibri" w:hAnsi="Calibri"/>
          <w:sz w:val="14"/>
          <w:szCs w:val="14"/>
          <w:color w:val="auto"/>
        </w:rPr>
        <w:t>December 20, 2024</w:t>
      </w:r>
    </w:p>
    <w:p>
      <w:pPr>
        <w:spacing w:after="0" w:line="453" w:lineRule="exact"/>
        <w:rPr>
          <w:sz w:val="20"/>
          <w:szCs w:val="20"/>
          <w:color w:val="auto"/>
        </w:rPr>
      </w:pPr>
    </w:p>
    <w:p>
      <w:pPr>
        <w:sectPr>
          <w:pgSz w:w="11900" w:h="16838" w:orient="portrait"/>
          <w:cols w:equalWidth="0" w:num="2">
            <w:col w:w="8780" w:space="720"/>
            <w:col w:w="1380"/>
          </w:cols>
          <w:pgMar w:left="320" w:top="112"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79"/>
        <w:spacing w:after="0"/>
        <w:rPr>
          <w:sz w:val="20"/>
          <w:szCs w:val="20"/>
          <w:color w:val="auto"/>
        </w:rPr>
      </w:pPr>
      <w:r>
        <w:rPr>
          <w:rFonts w:ascii="Calibri" w:cs="Calibri" w:eastAsia="Calibri" w:hAnsi="Calibri"/>
          <w:sz w:val="17"/>
          <w:szCs w:val="17"/>
          <w:color w:val="auto"/>
        </w:rPr>
        <w:t>103</w:t>
      </w:r>
    </w:p>
    <w:p>
      <w:pPr>
        <w:sectPr>
          <w:pgSz w:w="11900" w:h="16838" w:orient="portrait"/>
          <w:cols w:equalWidth="0" w:num="1">
            <w:col w:w="10880"/>
          </w:cols>
          <w:pgMar w:left="320" w:top="112" w:right="699" w:bottom="1440" w:gutter="0" w:footer="0" w:header="0"/>
          <w:type w:val="continuous"/>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color w:val="auto"/>
        </w:rPr>
        <w:t>Exhibit 4.2</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BROADCOM INC. COMMON STOCK</w:t>
      </w:r>
    </w:p>
    <w:p>
      <w:pPr>
        <w:spacing w:after="0" w:line="270" w:lineRule="exact"/>
        <w:rPr>
          <w:sz w:val="20"/>
          <w:szCs w:val="20"/>
          <w:color w:val="auto"/>
        </w:rPr>
      </w:pPr>
    </w:p>
    <w:p>
      <w:pPr>
        <w:ind w:right="80" w:firstLine="445"/>
        <w:spacing w:after="0" w:line="297" w:lineRule="auto"/>
        <w:rPr>
          <w:sz w:val="20"/>
          <w:szCs w:val="20"/>
          <w:color w:val="auto"/>
        </w:rPr>
      </w:pPr>
      <w:r>
        <w:rPr>
          <w:rFonts w:ascii="Times New Roman" w:cs="Times New Roman" w:eastAsia="Times New Roman" w:hAnsi="Times New Roman"/>
          <w:sz w:val="18"/>
          <w:szCs w:val="18"/>
          <w:color w:val="auto"/>
        </w:rPr>
        <w:t>The following description of Broadcom Inc.’s common stock is a summary. This summary does not purport to be complete and is subject to, and qualified in its entirety by, the General Corporation Law of the State of Delaware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as well as our amended and restated certificate of incorporation, as may be amended from time to time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and amended and restated bylaws, as may be amended from time to time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both of which have been publicly filed with the SEC. We encourage you to read that law and those documents carefully. “Broadcom,” “Company,” “we,” “our” or “us” refer to Broadcom Inc. excluding our subsidiaries, unless expressly stated or the context otherwise requires.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certificate of incorporation authorizes 29,000,000,000 shares of common stock, $0.001 par value per share.</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48" w:lineRule="exact"/>
        <w:rPr>
          <w:sz w:val="20"/>
          <w:szCs w:val="20"/>
          <w:color w:val="auto"/>
        </w:rPr>
      </w:pPr>
    </w:p>
    <w:p>
      <w:pPr>
        <w:jc w:val="both"/>
        <w:ind w:right="180" w:firstLine="445"/>
        <w:spacing w:after="0" w:line="305"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submitted to a vote of the stockholders, including the election of directors. The holders of our common stock do not have cumulative voting rights in the election of directors. Accordingly, in an uncontested election, holders of a majority of the voting shares are able to elect all of the directors.</w:t>
      </w: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48" w:lineRule="exact"/>
        <w:rPr>
          <w:sz w:val="20"/>
          <w:szCs w:val="20"/>
          <w:color w:val="auto"/>
        </w:rPr>
      </w:pPr>
    </w:p>
    <w:p>
      <w:pPr>
        <w:ind w:right="20" w:firstLine="445"/>
        <w:spacing w:after="0" w:line="297"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 Dividends may be paid in cash, in property or in shares of common stock. Declaration and payment of any dividend are subject to the discretion of our board of directors. The time and amount of dividends is dependent upon our financial condition, operations, cash requirements and availability, debt repayment obligations, capital expenditure needs, restrictions in our debt instruments, industry trends, the provisions of the DGCL affecting the payment of distributions to stockholders and any other factors our board of directors may consider relevant.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48" w:lineRule="exact"/>
        <w:rPr>
          <w:sz w:val="20"/>
          <w:szCs w:val="20"/>
          <w:color w:val="auto"/>
        </w:rPr>
      </w:pPr>
    </w:p>
    <w:p>
      <w:pPr>
        <w:jc w:val="both"/>
        <w:ind w:right="60" w:firstLine="445"/>
        <w:spacing w:after="0" w:line="305"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are entitled to share ratably in the net assets legally available for distribution to stockholders after the payment of all debts and other liabilities and the satisfaction of any liquidation preference granted to the holders of any then outstanding shares of preferred stock.</w:t>
      </w: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48" w:lineRule="exact"/>
        <w:rPr>
          <w:sz w:val="20"/>
          <w:szCs w:val="20"/>
          <w:color w:val="auto"/>
        </w:rPr>
      </w:pPr>
    </w:p>
    <w:p>
      <w:pPr>
        <w:ind w:right="40" w:firstLine="445"/>
        <w:spacing w:after="0" w:line="305" w:lineRule="auto"/>
        <w:rPr>
          <w:sz w:val="20"/>
          <w:szCs w:val="20"/>
          <w:color w:val="auto"/>
        </w:rPr>
      </w:pPr>
      <w:r>
        <w:rPr>
          <w:rFonts w:ascii="Times New Roman" w:cs="Times New Roman" w:eastAsia="Times New Roman" w:hAnsi="Times New Roman"/>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preferred stock that we may designate in the future.</w:t>
      </w: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outstanding shares of our common stock are fully paid and non-assessable.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Stockholder Meetings</w:t>
      </w:r>
    </w:p>
    <w:p>
      <w:pPr>
        <w:sectPr>
          <w:pgSz w:w="11900" w:h="16838" w:orient="portrait"/>
          <w:cols w:equalWidth="0" w:num="1">
            <w:col w:w="11240"/>
          </w:cols>
          <w:pgMar w:left="320" w:top="837" w:right="339" w:bottom="1440" w:gutter="0" w:footer="0" w:header="0"/>
        </w:sectPr>
      </w:pPr>
    </w:p>
    <w:bookmarkStart w:id="106" w:name="page107"/>
    <w:bookmarkEnd w:id="106"/>
    <w:p>
      <w:pPr>
        <w:spacing w:after="0" w:line="99" w:lineRule="exact"/>
        <w:rPr>
          <w:sz w:val="20"/>
          <w:szCs w:val="20"/>
          <w:color w:val="auto"/>
        </w:rPr>
      </w:pPr>
    </w:p>
    <w:p>
      <w:pPr>
        <w:ind w:right="180" w:firstLine="445"/>
        <w:spacing w:after="0" w:line="305" w:lineRule="auto"/>
        <w:rPr>
          <w:sz w:val="20"/>
          <w:szCs w:val="20"/>
          <w:color w:val="auto"/>
        </w:rPr>
      </w:pPr>
      <w:r>
        <w:rPr>
          <w:rFonts w:ascii="Times New Roman" w:cs="Times New Roman" w:eastAsia="Times New Roman" w:hAnsi="Times New Roman"/>
          <w:sz w:val="18"/>
          <w:szCs w:val="18"/>
          <w:color w:val="auto"/>
        </w:rPr>
        <w:t>Our Certificate of Incorporation and Bylaws provide that annual stockholder meetings will be held at a date, place (if any) and time, as exclusively selected by our board of directors. To the extent permitted under applicable law, we may but are not obligated to conduct meetings by remote communications, including by webcast.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w:t>
      </w:r>
    </w:p>
    <w:p>
      <w:pPr>
        <w:spacing w:after="0" w:line="148" w:lineRule="exact"/>
        <w:rPr>
          <w:sz w:val="20"/>
          <w:szCs w:val="20"/>
          <w:color w:val="auto"/>
        </w:rPr>
      </w:pPr>
    </w:p>
    <w:p>
      <w:pPr>
        <w:jc w:val="both"/>
        <w:ind w:right="260" w:firstLine="445"/>
        <w:spacing w:after="0" w:line="302" w:lineRule="auto"/>
        <w:rPr>
          <w:sz w:val="20"/>
          <w:szCs w:val="20"/>
          <w:color w:val="auto"/>
        </w:rPr>
      </w:pPr>
      <w:r>
        <w:rPr>
          <w:rFonts w:ascii="Times New Roman" w:cs="Times New Roman" w:eastAsia="Times New Roman" w:hAnsi="Times New Roman"/>
          <w:sz w:val="18"/>
          <w:szCs w:val="18"/>
          <w:color w:val="auto"/>
        </w:rPr>
        <w:t>Some provisions of the DGCL and our Certificate of Incorporation and Bylaws could make the following transactions difficult: acquisition of our Company by means of a tender offer,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shares of our common stock.</w:t>
      </w:r>
    </w:p>
    <w:p>
      <w:pPr>
        <w:spacing w:after="0" w:line="65" w:lineRule="exact"/>
        <w:rPr>
          <w:sz w:val="20"/>
          <w:szCs w:val="20"/>
          <w:color w:val="auto"/>
        </w:rPr>
      </w:pPr>
    </w:p>
    <w:p>
      <w:pPr>
        <w:ind w:right="20" w:firstLine="445"/>
        <w:spacing w:after="0" w:line="302"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our Company to first negotiate with our board of directors. We believe that the benefits of protection to our potential ability to negotiate with the proponent of an unfriendly or unsolicited proposal to acquire or restructure our Company outweigh the disadvantages of discouraging these proposals because negotiation of these proposals could result in an improvement of their terms.</w:t>
      </w: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62" w:lineRule="exact"/>
        <w:rPr>
          <w:sz w:val="20"/>
          <w:szCs w:val="20"/>
          <w:color w:val="auto"/>
        </w:rPr>
      </w:pPr>
    </w:p>
    <w:p>
      <w:pPr>
        <w:ind w:firstLine="445"/>
        <w:spacing w:after="0" w:line="295" w:lineRule="auto"/>
        <w:rPr>
          <w:sz w:val="20"/>
          <w:szCs w:val="20"/>
          <w:color w:val="auto"/>
        </w:rPr>
      </w:pPr>
      <w:r>
        <w:rPr>
          <w:rFonts w:ascii="Times New Roman" w:cs="Times New Roman" w:eastAsia="Times New Roman" w:hAnsi="Times New Roman"/>
          <w:sz w:val="18"/>
          <w:szCs w:val="18"/>
          <w:color w:val="auto"/>
        </w:rPr>
        <w:t>Section 203 of the DGCL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62" w:lineRule="exact"/>
        <w:rPr>
          <w:sz w:val="20"/>
          <w:szCs w:val="20"/>
          <w:color w:val="auto"/>
        </w:rPr>
      </w:pPr>
    </w:p>
    <w:p>
      <w:pPr>
        <w:jc w:val="both"/>
        <w:ind w:right="260" w:firstLine="445"/>
        <w:spacing w:after="0" w:line="305" w:lineRule="auto"/>
        <w:rPr>
          <w:sz w:val="20"/>
          <w:szCs w:val="20"/>
          <w:color w:val="auto"/>
        </w:rPr>
      </w:pPr>
      <w:r>
        <w:rPr>
          <w:rFonts w:ascii="Times New Roman" w:cs="Times New Roman" w:eastAsia="Times New Roman" w:hAnsi="Times New Roman"/>
          <w:sz w:val="18"/>
          <w:szCs w:val="18"/>
          <w:color w:val="auto"/>
        </w:rPr>
        <w:t>The ability to authorize undesignated preferred stock will make it possible for our board of directors to issue preferred stock with voting or other rights or preferences that could impede the success of any attempt to change control of our Company. These and other provisions may have the effect of deterring hostile takeovers or delaying changes in control or management of our Company.</w:t>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62" w:lineRule="exact"/>
        <w:rPr>
          <w:sz w:val="20"/>
          <w:szCs w:val="20"/>
          <w:color w:val="auto"/>
        </w:rPr>
      </w:pPr>
    </w:p>
    <w:p>
      <w:pPr>
        <w:ind w:right="320" w:firstLine="445"/>
        <w:spacing w:after="0" w:line="313" w:lineRule="auto"/>
        <w:rPr>
          <w:sz w:val="20"/>
          <w:szCs w:val="20"/>
          <w:color w:val="auto"/>
        </w:rPr>
      </w:pPr>
      <w:r>
        <w:rPr>
          <w:rFonts w:ascii="Times New Roman" w:cs="Times New Roman" w:eastAsia="Times New Roman" w:hAnsi="Times New Roman"/>
          <w:sz w:val="18"/>
          <w:szCs w:val="18"/>
          <w:color w:val="auto"/>
        </w:rPr>
        <w:t>Our Bylaws provide that a special meeting of stockholders may be called only by our board of directors or by two or more common stockholders holding at least 10% of the total number of our issued and outstanding shares.</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48" w:lineRule="exact"/>
        <w:rPr>
          <w:sz w:val="20"/>
          <w:szCs w:val="20"/>
          <w:color w:val="auto"/>
        </w:rPr>
      </w:pPr>
    </w:p>
    <w:p>
      <w:pPr>
        <w:ind w:right="320" w:firstLine="445"/>
        <w:spacing w:after="0" w:line="329"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Proxy Access Nominations</w:t>
      </w:r>
    </w:p>
    <w:p>
      <w:pPr>
        <w:sectPr>
          <w:pgSz w:w="11900" w:h="16838" w:orient="portrait"/>
          <w:cols w:equalWidth="0" w:num="1">
            <w:col w:w="11200"/>
          </w:cols>
          <w:pgMar w:left="320" w:top="1440" w:right="379" w:bottom="1440" w:gutter="0" w:footer="0" w:header="0"/>
        </w:sectPr>
      </w:pPr>
    </w:p>
    <w:bookmarkStart w:id="107" w:name="page108"/>
    <w:bookmarkEnd w:id="107"/>
    <w:p>
      <w:pPr>
        <w:spacing w:after="0" w:line="99" w:lineRule="exact"/>
        <w:rPr>
          <w:sz w:val="20"/>
          <w:szCs w:val="20"/>
          <w:color w:val="auto"/>
        </w:rPr>
      </w:pPr>
    </w:p>
    <w:p>
      <w:pPr>
        <w:ind w:firstLine="445"/>
        <w:spacing w:after="0" w:line="297" w:lineRule="auto"/>
        <w:rPr>
          <w:sz w:val="20"/>
          <w:szCs w:val="20"/>
          <w:color w:val="auto"/>
        </w:rPr>
      </w:pPr>
      <w:r>
        <w:rPr>
          <w:rFonts w:ascii="Times New Roman" w:cs="Times New Roman" w:eastAsia="Times New Roman" w:hAnsi="Times New Roman"/>
          <w:sz w:val="18"/>
          <w:szCs w:val="18"/>
          <w:color w:val="auto"/>
        </w:rPr>
        <w:t>Our Bylaws provide that we must include in our proxy statement for an annual meeting of stockholders the name, together with certain other required information, of any person nominated for the election of directors in compliance with specified provisions in our Bylaws by a single stockholder that satisfies (or by a group of no more than 20 stockholders that satisfy) various notice and other requirements specified in our Bylaws. Among other requirements, such stockholder or group of stockholders would need to provide evidence verifying that the stockholder or group owns, and has owned continuously for the preceding three years, at least 3% of the outstanding shares of our common stock. Our Bylaw provision establishes a maximum number of nominees submitted by stockholders that we would be required to include in our proxy statement for an annual meeting.</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Certificate of Incorporation and Bylaws do not provide for the right of stockholders to act by written consent without a meeting.</w:t>
      </w:r>
    </w:p>
    <w:p>
      <w:pPr>
        <w:spacing w:after="0" w:line="3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Composition of the Board of Directors; Election and Removal of Directors; Filling Vacancies</w:t>
      </w:r>
    </w:p>
    <w:p>
      <w:pPr>
        <w:spacing w:after="0" w:line="162" w:lineRule="exact"/>
        <w:rPr>
          <w:sz w:val="20"/>
          <w:szCs w:val="20"/>
          <w:color w:val="auto"/>
        </w:rPr>
      </w:pPr>
    </w:p>
    <w:p>
      <w:pPr>
        <w:ind w:right="60" w:firstLine="445"/>
        <w:spacing w:after="0" w:line="293" w:lineRule="auto"/>
        <w:rPr>
          <w:sz w:val="20"/>
          <w:szCs w:val="20"/>
          <w:color w:val="auto"/>
        </w:rPr>
      </w:pPr>
      <w:r>
        <w:rPr>
          <w:rFonts w:ascii="Times New Roman" w:cs="Times New Roman" w:eastAsia="Times New Roman" w:hAnsi="Times New Roman"/>
          <w:sz w:val="18"/>
          <w:szCs w:val="18"/>
          <w:color w:val="auto"/>
        </w:rPr>
        <w:t>Our board of directors may consist of not less than one nor more than 13 directors. In any uncontested elections of directors, a director nominee for the board of directors will be elected by the affirmative vote of a majority of the votes cast with respect to such director by the shares represented and entitled to vote at a meeting of the stockholders for the election of directors at which a quorum is present, voting together as a single class. An incumbent director who is nominated for an uncontested election and fails to receive a majority of the votes present and voting for such director’s reelection would be required to tender his or her resignation to the board of directors. The Nominating, Environmental, Social and Governance Committee of the board of directors (or any future committee the equivalent thereof) will make a recommendation to the board of directors on whether to accept or reject the resignation, or whether other action should be taken. The board of directors will act on the recommendation of such committee and will publicly disclose its decision within 90 days from the date of the certification of the election results. In a contested election, a plurality voting standard will apply to director elections. Our directors are elected until the expiration of the term for which they are elected and until their respective successors are duly elected and qualified.</w:t>
      </w:r>
    </w:p>
    <w:p>
      <w:pPr>
        <w:spacing w:after="0" w:line="79" w:lineRule="exact"/>
        <w:rPr>
          <w:sz w:val="20"/>
          <w:szCs w:val="20"/>
          <w:color w:val="auto"/>
        </w:rPr>
      </w:pPr>
    </w:p>
    <w:p>
      <w:pPr>
        <w:ind w:right="100" w:firstLine="445"/>
        <w:spacing w:after="0" w:line="297" w:lineRule="auto"/>
        <w:rPr>
          <w:sz w:val="20"/>
          <w:szCs w:val="20"/>
          <w:color w:val="auto"/>
        </w:rPr>
      </w:pPr>
      <w:r>
        <w:rPr>
          <w:rFonts w:ascii="Times New Roman" w:cs="Times New Roman" w:eastAsia="Times New Roman" w:hAnsi="Times New Roman"/>
          <w:sz w:val="18"/>
          <w:szCs w:val="18"/>
          <w:color w:val="auto"/>
        </w:rPr>
        <w:t>Our directors may be removed only by the affirmative vote of at least a majority of the holders of our then outstanding common stock. Furthermore, any vacancy on the board of directors, however occurring, including a vacancy resulting from an increase in the size of the board, may be filled only by a majority vote of the board of directors then in office, even if less than a quorum, or by the sole remaining director. This system of electing and removing directors and filling vacancies may tend to discourage a third party from making a tender offer or otherwise attempting to obtain control of our Company, because it generally makes it more difficult for stockholders to replace a majority of the directors.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48" w:lineRule="exact"/>
        <w:rPr>
          <w:sz w:val="20"/>
          <w:szCs w:val="20"/>
          <w:color w:val="auto"/>
        </w:rPr>
      </w:pPr>
    </w:p>
    <w:p>
      <w:pPr>
        <w:ind w:firstLine="445"/>
        <w:spacing w:after="0" w:line="318" w:lineRule="auto"/>
        <w:rPr>
          <w:sz w:val="20"/>
          <w:szCs w:val="20"/>
          <w:color w:val="auto"/>
        </w:rPr>
      </w:pPr>
      <w:r>
        <w:rPr>
          <w:rFonts w:ascii="Times New Roman" w:cs="Times New Roman" w:eastAsia="Times New Roman" w:hAnsi="Times New Roman"/>
          <w:sz w:val="17"/>
          <w:szCs w:val="17"/>
          <w:color w:val="auto"/>
        </w:rPr>
        <w:t>Our Certificate of Incorporation and Bylaws provide that, unless we consent in writing to the selection of an alternative forum, the Court of Chancery of the State of Delaware will be the exclusive forum for: any derivative action or proceeding brought on our behalf; any action asserting a breach of fiduciary duty; any action asserting a claim against us arising pursuant to the DGCL or our Certificate of Incorporation or Bylaws; or any action asserting a claim against us that is governed by the internal affairs doctrine. Although our Certificate of Incorporation contains the choice of forum provision described above, it is possible that a court could find that such a provision is inapplicable for a particular claim or action or that such provision is unenforceable.</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Certificate of Incorporation and Bylaws</w:t>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99" w:lineRule="exact"/>
        <w:rPr>
          <w:sz w:val="20"/>
          <w:szCs w:val="20"/>
          <w:color w:val="auto"/>
        </w:rPr>
      </w:pPr>
    </w:p>
    <w:p>
      <w:pPr>
        <w:ind w:right="100" w:firstLine="445"/>
        <w:spacing w:after="0" w:line="305" w:lineRule="auto"/>
        <w:rPr>
          <w:sz w:val="20"/>
          <w:szCs w:val="20"/>
          <w:color w:val="auto"/>
        </w:rPr>
      </w:pPr>
      <w:r>
        <w:rPr>
          <w:rFonts w:ascii="Times New Roman" w:cs="Times New Roman" w:eastAsia="Times New Roman" w:hAnsi="Times New Roman"/>
          <w:sz w:val="18"/>
          <w:szCs w:val="18"/>
          <w:color w:val="auto"/>
        </w:rPr>
        <w:t>The amendment of any of the provisions in our Certificate of Incorporation would require approval by a stockholder vote by the holders of at least a majority of the voting power of the then outstanding voting stock. Our Bylaws may be amended by the board of directors or by the holders of at least a majority of the voting power of the then outstanding voting stock.</w:t>
      </w:r>
    </w:p>
    <w:p>
      <w:pPr>
        <w:spacing w:after="0" w:line="75" w:lineRule="exact"/>
        <w:rPr>
          <w:sz w:val="20"/>
          <w:szCs w:val="20"/>
          <w:color w:val="auto"/>
        </w:rPr>
      </w:pPr>
    </w:p>
    <w:p>
      <w:pPr>
        <w:ind w:right="60" w:firstLine="445"/>
        <w:spacing w:after="0" w:line="297" w:lineRule="auto"/>
        <w:rPr>
          <w:sz w:val="20"/>
          <w:szCs w:val="20"/>
          <w:color w:val="auto"/>
        </w:rPr>
      </w:pPr>
      <w:r>
        <w:rPr>
          <w:rFonts w:ascii="Times New Roman" w:cs="Times New Roman" w:eastAsia="Times New Roman" w:hAnsi="Times New Roman"/>
          <w:sz w:val="18"/>
          <w:szCs w:val="18"/>
          <w:color w:val="auto"/>
        </w:rPr>
        <w:t>The provisions of the DGCL,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48" w:lineRule="exact"/>
        <w:rPr>
          <w:sz w:val="20"/>
          <w:szCs w:val="20"/>
          <w:color w:val="auto"/>
        </w:rPr>
      </w:pPr>
    </w:p>
    <w:p>
      <w:pPr>
        <w:jc w:val="both"/>
        <w:ind w:right="280" w:firstLine="445"/>
        <w:spacing w:after="0" w:line="305" w:lineRule="auto"/>
        <w:rPr>
          <w:sz w:val="20"/>
          <w:szCs w:val="20"/>
          <w:color w:val="auto"/>
        </w:rPr>
      </w:pPr>
      <w:r>
        <w:rPr>
          <w:rFonts w:ascii="Times New Roman" w:cs="Times New Roman" w:eastAsia="Times New Roman" w:hAnsi="Times New Roman"/>
          <w:sz w:val="18"/>
          <w:szCs w:val="18"/>
          <w:color w:val="auto"/>
        </w:rPr>
        <w:t>Our Certificate of Incorporation contains provisions that limit the liability of our directors and officers for monetary damages to the fullest extent permitted by the DGCL. Consequently, our directors and officers are not personally liable to the Company or its stockholders for monetary damages for any breach of fiduciary duties, except liability for:</w:t>
      </w:r>
    </w:p>
    <w:p>
      <w:pPr>
        <w:spacing w:after="0" w:line="75" w:lineRule="exact"/>
        <w:rPr>
          <w:sz w:val="20"/>
          <w:szCs w:val="20"/>
          <w:color w:val="auto"/>
        </w:rPr>
      </w:pPr>
    </w:p>
    <w:p>
      <w:pPr>
        <w:ind w:left="1100" w:hanging="323"/>
        <w:spacing w:after="0"/>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or officer’s duty of loyalty to us or our stockholders;</w:t>
      </w:r>
    </w:p>
    <w:p>
      <w:pPr>
        <w:spacing w:after="0" w:line="36"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49" w:lineRule="exact"/>
        <w:rPr>
          <w:rFonts w:ascii="Times New Roman" w:cs="Times New Roman" w:eastAsia="Times New Roman" w:hAnsi="Times New Roman"/>
          <w:sz w:val="18"/>
          <w:szCs w:val="18"/>
          <w:color w:val="auto"/>
        </w:rPr>
      </w:pPr>
    </w:p>
    <w:p>
      <w:pPr>
        <w:ind w:left="1100" w:right="360" w:hanging="323"/>
        <w:spacing w:after="0" w:line="289" w:lineRule="auto"/>
        <w:tabs>
          <w:tab w:leader="none" w:pos="10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in the case of a director;</w:t>
      </w:r>
    </w:p>
    <w:p>
      <w:pPr>
        <w:spacing w:after="0" w:line="1"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 or</w:t>
      </w:r>
    </w:p>
    <w:p>
      <w:pPr>
        <w:spacing w:after="0" w:line="49"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action by or in the right of us, in the case of an officer.</w:t>
      </w:r>
    </w:p>
    <w:p>
      <w:pPr>
        <w:spacing w:after="0" w:line="144" w:lineRule="exact"/>
        <w:rPr>
          <w:sz w:val="20"/>
          <w:szCs w:val="20"/>
          <w:color w:val="auto"/>
        </w:rPr>
      </w:pPr>
    </w:p>
    <w:p>
      <w:pPr>
        <w:ind w:firstLine="445"/>
        <w:spacing w:after="0" w:line="295" w:lineRule="auto"/>
        <w:rPr>
          <w:sz w:val="20"/>
          <w:szCs w:val="20"/>
          <w:color w:val="auto"/>
        </w:rPr>
      </w:pPr>
      <w:r>
        <w:rPr>
          <w:rFonts w:ascii="Times New Roman" w:cs="Times New Roman" w:eastAsia="Times New Roman" w:hAnsi="Times New Roman"/>
          <w:sz w:val="18"/>
          <w:szCs w:val="18"/>
          <w:color w:val="auto"/>
        </w:rPr>
        <w:t>Each of our Certificate of Incorporation and Bylaws provide that we are required to indemnify our directors and officers, in each case to the fullest extent permitted by the DGCL. Our Bylaws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DGCL. We have entered into agreements to indemnify the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to the fullest extent permitted by applicable law. We believe that these bylaw provisions and indemnification agreements are necessary to attract and retain qualified persons as directors and officers. We also maintain directors’ and officers’ liability insurance.</w:t>
      </w:r>
    </w:p>
    <w:p>
      <w:pPr>
        <w:spacing w:after="0" w:line="71" w:lineRule="exact"/>
        <w:rPr>
          <w:sz w:val="20"/>
          <w:szCs w:val="20"/>
          <w:color w:val="auto"/>
        </w:rPr>
      </w:pPr>
    </w:p>
    <w:p>
      <w:pPr>
        <w:ind w:right="100" w:firstLine="445"/>
        <w:spacing w:after="0" w:line="302"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Certificate of Incorporation and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Furthermore, a stockholder’s investment may be adversely affected to the extent that we pay the costs of settlement and damage.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Uncertificated Shares</w:t>
      </w:r>
    </w:p>
    <w:p>
      <w:pPr>
        <w:spacing w:after="0" w:line="162" w:lineRule="exact"/>
        <w:rPr>
          <w:sz w:val="20"/>
          <w:szCs w:val="20"/>
          <w:color w:val="auto"/>
        </w:rPr>
      </w:pPr>
    </w:p>
    <w:p>
      <w:pPr>
        <w:ind w:right="180" w:firstLine="445"/>
        <w:spacing w:after="0" w:line="313" w:lineRule="auto"/>
        <w:rPr>
          <w:sz w:val="20"/>
          <w:szCs w:val="20"/>
          <w:color w:val="auto"/>
        </w:rPr>
      </w:pPr>
      <w:r>
        <w:rPr>
          <w:rFonts w:ascii="Times New Roman" w:cs="Times New Roman" w:eastAsia="Times New Roman" w:hAnsi="Times New Roman"/>
          <w:sz w:val="18"/>
          <w:szCs w:val="18"/>
          <w:color w:val="auto"/>
        </w:rPr>
        <w:t>Holders of shares of our common stock do not have the right to require Broadcom to issue certificates for their shares. We only issue uncertificated shares of our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ectPr>
          <w:pgSz w:w="11900" w:h="16838" w:orient="portrait"/>
          <w:cols w:equalWidth="0" w:num="1">
            <w:col w:w="11220"/>
          </w:cols>
          <w:pgMar w:left="320" w:top="1440" w:right="359" w:bottom="1440" w:gutter="0" w:footer="0" w:header="0"/>
        </w:sectPr>
      </w:pPr>
    </w:p>
    <w:bookmarkStart w:id="109" w:name="page110"/>
    <w:bookmarkEnd w:id="109"/>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Shares of our common stock are listed on Nasdaq under the symbol “AVGO.”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shares of our common stock do not have sinking fund provisions.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firstLine="445"/>
        <w:spacing w:after="0" w:line="329"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 and registrar’s address is 250 Royall Street, Canton, Massachusetts 02021.</w:t>
      </w:r>
    </w:p>
    <w:p>
      <w:pPr>
        <w:sectPr>
          <w:pgSz w:w="11900" w:h="16838" w:orient="portrait"/>
          <w:cols w:equalWidth="0" w:num="1">
            <w:col w:w="10740"/>
          </w:cols>
          <w:pgMar w:left="320" w:top="1440" w:right="839" w:bottom="1440" w:gutter="0" w:footer="0" w:header="0"/>
        </w:sectPr>
      </w:pPr>
    </w:p>
    <w:bookmarkStart w:id="110" w:name="page111"/>
    <w:bookmarkEnd w:id="110"/>
    <w:p>
      <w:pPr>
        <w:jc w:val="right"/>
        <w:spacing w:after="0"/>
        <w:rPr>
          <w:sz w:val="20"/>
          <w:szCs w:val="20"/>
          <w:color w:val="auto"/>
        </w:rPr>
      </w:pPr>
      <w:r>
        <w:rPr>
          <w:rFonts w:ascii="Calibri" w:cs="Calibri" w:eastAsia="Calibri" w:hAnsi="Calibri"/>
          <w:sz w:val="20"/>
          <w:szCs w:val="20"/>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2263140</wp:posOffset>
            </wp:positionH>
            <wp:positionV relativeFrom="paragraph">
              <wp:posOffset>183515</wp:posOffset>
            </wp:positionV>
            <wp:extent cx="2202815" cy="291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0">
                      <a:extLst>
                        <a:ext uri="{28A0092B-C50C-407E-A947-70E740481C1C}"/>
                      </a:extLst>
                    </a:blip>
                    <a:srcRect/>
                    <a:stretch>
                      <a:fillRect/>
                    </a:stretch>
                  </pic:blipFill>
                  <pic:spPr bwMode="auto">
                    <a:xfrm>
                      <a:off x="0" y="0"/>
                      <a:ext cx="220281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2"/>
        <w:spacing w:after="0"/>
        <w:rPr>
          <w:sz w:val="20"/>
          <w:szCs w:val="20"/>
          <w:color w:val="auto"/>
        </w:rPr>
      </w:pPr>
      <w:r>
        <w:rPr>
          <w:rFonts w:ascii="Calibri" w:cs="Calibri" w:eastAsia="Calibri" w:hAnsi="Calibri"/>
          <w:sz w:val="25"/>
          <w:szCs w:val="25"/>
          <w:b w:val="1"/>
          <w:bCs w:val="1"/>
          <w:color w:val="auto"/>
        </w:rPr>
        <w:t>BROADCOM INC.</w:t>
      </w:r>
    </w:p>
    <w:p>
      <w:pPr>
        <w:spacing w:after="0" w:line="140" w:lineRule="exact"/>
        <w:rPr>
          <w:sz w:val="20"/>
          <w:szCs w:val="20"/>
          <w:color w:val="auto"/>
        </w:rPr>
      </w:pPr>
    </w:p>
    <w:p>
      <w:pPr>
        <w:jc w:val="center"/>
        <w:ind w:right="312"/>
        <w:spacing w:after="0"/>
        <w:rPr>
          <w:sz w:val="20"/>
          <w:szCs w:val="20"/>
          <w:color w:val="auto"/>
        </w:rPr>
      </w:pPr>
      <w:r>
        <w:rPr>
          <w:rFonts w:ascii="Calibri" w:cs="Calibri" w:eastAsia="Calibri" w:hAnsi="Calibri"/>
          <w:sz w:val="25"/>
          <w:szCs w:val="25"/>
          <w:b w:val="1"/>
          <w:bCs w:val="1"/>
          <w:color w:val="auto"/>
        </w:rPr>
        <w:t>INSIDER TRADING COMPLIANCE POLICY</w:t>
      </w:r>
    </w:p>
    <w:p>
      <w:pPr>
        <w:spacing w:after="0" w:line="316" w:lineRule="exact"/>
        <w:rPr>
          <w:sz w:val="20"/>
          <w:szCs w:val="20"/>
          <w:color w:val="auto"/>
        </w:rPr>
      </w:pPr>
    </w:p>
    <w:p>
      <w:pPr>
        <w:ind w:left="328" w:hanging="328"/>
        <w:spacing w:after="0"/>
        <w:tabs>
          <w:tab w:leader="none" w:pos="328" w:val="left"/>
        </w:tabs>
        <w:numPr>
          <w:ilvl w:val="0"/>
          <w:numId w:val="56"/>
        </w:numPr>
        <w:rPr>
          <w:rFonts w:ascii="Calibri" w:cs="Calibri" w:eastAsia="Calibri" w:hAnsi="Calibri"/>
          <w:sz w:val="25"/>
          <w:szCs w:val="25"/>
          <w:b w:val="1"/>
          <w:bCs w:val="1"/>
          <w:color w:val="C00000"/>
        </w:rPr>
      </w:pPr>
      <w:r>
        <w:rPr>
          <w:rFonts w:ascii="Calibri" w:cs="Calibri" w:eastAsia="Calibri" w:hAnsi="Calibri"/>
          <w:sz w:val="25"/>
          <w:szCs w:val="25"/>
          <w:b w:val="1"/>
          <w:bCs w:val="1"/>
          <w:u w:val="single" w:color="auto"/>
          <w:color w:val="C00000"/>
        </w:rPr>
        <w:t>POLICY</w:t>
      </w:r>
    </w:p>
    <w:p>
      <w:pPr>
        <w:spacing w:after="0" w:line="116" w:lineRule="exact"/>
        <w:rPr>
          <w:sz w:val="20"/>
          <w:szCs w:val="20"/>
          <w:color w:val="auto"/>
        </w:rPr>
      </w:pPr>
    </w:p>
    <w:p>
      <w:pPr>
        <w:ind w:left="8" w:right="100"/>
        <w:spacing w:after="0" w:line="234" w:lineRule="auto"/>
        <w:rPr>
          <w:sz w:val="20"/>
          <w:szCs w:val="20"/>
          <w:color w:val="auto"/>
        </w:rPr>
      </w:pPr>
      <w:r>
        <w:rPr>
          <w:rFonts w:ascii="Calibri" w:cs="Calibri" w:eastAsia="Calibri" w:hAnsi="Calibri"/>
          <w:sz w:val="20"/>
          <w:szCs w:val="20"/>
          <w:color w:val="auto"/>
        </w:rPr>
        <w:t>This Insider Trading Compliance Policy (this “</w:t>
      </w:r>
      <w:r>
        <w:rPr>
          <w:rFonts w:ascii="Calibri" w:cs="Calibri" w:eastAsia="Calibri" w:hAnsi="Calibri"/>
          <w:sz w:val="20"/>
          <w:szCs w:val="20"/>
          <w:b w:val="1"/>
          <w:bCs w:val="1"/>
          <w:i w:val="1"/>
          <w:iCs w:val="1"/>
          <w:color w:val="auto"/>
        </w:rPr>
        <w:t>Policy</w:t>
      </w:r>
      <w:r>
        <w:rPr>
          <w:rFonts w:ascii="Calibri" w:cs="Calibri" w:eastAsia="Calibri" w:hAnsi="Calibri"/>
          <w:sz w:val="20"/>
          <w:szCs w:val="20"/>
          <w:color w:val="auto"/>
        </w:rPr>
        <w:t>”) applies to Broadcom Inc. and each of its subsidiaries (collectvely, “</w:t>
      </w:r>
      <w:r>
        <w:rPr>
          <w:rFonts w:ascii="Calibri" w:cs="Calibri" w:eastAsia="Calibri" w:hAnsi="Calibri"/>
          <w:sz w:val="20"/>
          <w:szCs w:val="20"/>
          <w:b w:val="1"/>
          <w:bCs w:val="1"/>
          <w:i w:val="1"/>
          <w:iCs w:val="1"/>
          <w:color w:val="auto"/>
        </w:rPr>
        <w:t>Broadcom</w:t>
      </w:r>
      <w:r>
        <w:rPr>
          <w:rFonts w:ascii="Calibri" w:cs="Calibri" w:eastAsia="Calibri" w:hAnsi="Calibri"/>
          <w:sz w:val="20"/>
          <w:szCs w:val="20"/>
          <w:color w:val="auto"/>
        </w:rPr>
        <w:t>”) and all of its employees, ofcers, board members and contractors (“</w:t>
      </w:r>
      <w:r>
        <w:rPr>
          <w:rFonts w:ascii="Calibri" w:cs="Calibri" w:eastAsia="Calibri" w:hAnsi="Calibri"/>
          <w:sz w:val="20"/>
          <w:szCs w:val="20"/>
          <w:b w:val="1"/>
          <w:bCs w:val="1"/>
          <w:i w:val="1"/>
          <w:iCs w:val="1"/>
          <w:color w:val="auto"/>
        </w:rPr>
        <w:t>Insiders</w:t>
      </w:r>
      <w:r>
        <w:rPr>
          <w:rFonts w:ascii="Calibri" w:cs="Calibri" w:eastAsia="Calibri" w:hAnsi="Calibri"/>
          <w:sz w:val="20"/>
          <w:szCs w:val="20"/>
          <w:color w:val="auto"/>
        </w:rPr>
        <w:t>”).</w:t>
      </w:r>
    </w:p>
    <w:p>
      <w:pPr>
        <w:spacing w:after="0" w:line="108" w:lineRule="exact"/>
        <w:rPr>
          <w:sz w:val="20"/>
          <w:szCs w:val="20"/>
          <w:color w:val="auto"/>
        </w:rPr>
      </w:pPr>
    </w:p>
    <w:p>
      <w:pPr>
        <w:ind w:left="8"/>
        <w:spacing w:after="0"/>
        <w:rPr>
          <w:sz w:val="20"/>
          <w:szCs w:val="20"/>
          <w:color w:val="auto"/>
        </w:rPr>
      </w:pPr>
      <w:r>
        <w:rPr>
          <w:rFonts w:ascii="Calibri" w:cs="Calibri" w:eastAsia="Calibri" w:hAnsi="Calibri"/>
          <w:sz w:val="20"/>
          <w:szCs w:val="20"/>
          <w:color w:val="auto"/>
        </w:rPr>
        <w:t>This Policy also applies to:</w:t>
      </w:r>
    </w:p>
    <w:p>
      <w:pPr>
        <w:spacing w:after="0" w:line="93" w:lineRule="exact"/>
        <w:rPr>
          <w:sz w:val="20"/>
          <w:szCs w:val="20"/>
          <w:color w:val="auto"/>
        </w:rPr>
      </w:pPr>
    </w:p>
    <w:p>
      <w:pPr>
        <w:ind w:left="648" w:hanging="324"/>
        <w:spacing w:after="0"/>
        <w:tabs>
          <w:tab w:leader="none" w:pos="648" w:val="left"/>
        </w:tabs>
        <w:numPr>
          <w:ilvl w:val="0"/>
          <w:numId w:val="57"/>
        </w:numPr>
        <w:rPr>
          <w:rFonts w:ascii="Calibri" w:cs="Calibri" w:eastAsia="Calibri" w:hAnsi="Calibri"/>
          <w:sz w:val="20"/>
          <w:szCs w:val="20"/>
          <w:color w:val="auto"/>
        </w:rPr>
      </w:pPr>
      <w:r>
        <w:rPr>
          <w:rFonts w:ascii="Calibri" w:cs="Calibri" w:eastAsia="Calibri" w:hAnsi="Calibri"/>
          <w:sz w:val="20"/>
          <w:szCs w:val="20"/>
          <w:color w:val="auto"/>
        </w:rPr>
        <w:t>Family members who reside or live with you,</w:t>
      </w:r>
    </w:p>
    <w:p>
      <w:pPr>
        <w:spacing w:after="0" w:line="106" w:lineRule="exact"/>
        <w:rPr>
          <w:rFonts w:ascii="Calibri" w:cs="Calibri" w:eastAsia="Calibri" w:hAnsi="Calibri"/>
          <w:sz w:val="20"/>
          <w:szCs w:val="20"/>
          <w:color w:val="auto"/>
        </w:rPr>
      </w:pPr>
    </w:p>
    <w:p>
      <w:pPr>
        <w:ind w:left="648" w:hanging="324"/>
        <w:spacing w:after="0"/>
        <w:tabs>
          <w:tab w:leader="none" w:pos="648" w:val="left"/>
        </w:tabs>
        <w:numPr>
          <w:ilvl w:val="0"/>
          <w:numId w:val="57"/>
        </w:numPr>
        <w:rPr>
          <w:rFonts w:ascii="Calibri" w:cs="Calibri" w:eastAsia="Calibri" w:hAnsi="Calibri"/>
          <w:sz w:val="20"/>
          <w:szCs w:val="20"/>
          <w:color w:val="auto"/>
        </w:rPr>
      </w:pPr>
      <w:r>
        <w:rPr>
          <w:rFonts w:ascii="Calibri" w:cs="Calibri" w:eastAsia="Calibri" w:hAnsi="Calibri"/>
          <w:sz w:val="20"/>
          <w:szCs w:val="20"/>
          <w:color w:val="auto"/>
        </w:rPr>
        <w:t>Family members who do not live with you, but whose transactons in securites are controlled, directed or infuenced by you,</w:t>
      </w:r>
    </w:p>
    <w:p>
      <w:pPr>
        <w:spacing w:after="0" w:line="93" w:lineRule="exact"/>
        <w:rPr>
          <w:rFonts w:ascii="Calibri" w:cs="Calibri" w:eastAsia="Calibri" w:hAnsi="Calibri"/>
          <w:sz w:val="20"/>
          <w:szCs w:val="20"/>
          <w:color w:val="auto"/>
        </w:rPr>
      </w:pPr>
    </w:p>
    <w:p>
      <w:pPr>
        <w:ind w:left="648" w:hanging="324"/>
        <w:spacing w:after="0"/>
        <w:tabs>
          <w:tab w:leader="none" w:pos="648" w:val="left"/>
        </w:tabs>
        <w:numPr>
          <w:ilvl w:val="0"/>
          <w:numId w:val="57"/>
        </w:numPr>
        <w:rPr>
          <w:rFonts w:ascii="Calibri" w:cs="Calibri" w:eastAsia="Calibri" w:hAnsi="Calibri"/>
          <w:sz w:val="20"/>
          <w:szCs w:val="20"/>
          <w:color w:val="auto"/>
        </w:rPr>
      </w:pPr>
      <w:r>
        <w:rPr>
          <w:rFonts w:ascii="Calibri" w:cs="Calibri" w:eastAsia="Calibri" w:hAnsi="Calibri"/>
          <w:sz w:val="20"/>
          <w:szCs w:val="20"/>
          <w:color w:val="auto"/>
        </w:rPr>
        <w:t xml:space="preserve">Trusts of which you are a trustee or whose investment decisions are controlled, directed or infuenced by you, </w:t>
      </w:r>
      <w:r>
        <w:rPr>
          <w:rFonts w:ascii="Calibri" w:cs="Calibri" w:eastAsia="Calibri" w:hAnsi="Calibri"/>
          <w:sz w:val="20"/>
          <w:szCs w:val="20"/>
          <w:u w:val="single" w:color="auto"/>
          <w:color w:val="auto"/>
        </w:rPr>
        <w:t>and</w:t>
      </w:r>
    </w:p>
    <w:p>
      <w:pPr>
        <w:spacing w:after="0" w:line="116" w:lineRule="exact"/>
        <w:rPr>
          <w:rFonts w:ascii="Calibri" w:cs="Calibri" w:eastAsia="Calibri" w:hAnsi="Calibri"/>
          <w:sz w:val="20"/>
          <w:szCs w:val="20"/>
          <w:color w:val="auto"/>
        </w:rPr>
      </w:pPr>
    </w:p>
    <w:p>
      <w:pPr>
        <w:ind w:left="648" w:right="600" w:hanging="324"/>
        <w:spacing w:after="0" w:line="234" w:lineRule="auto"/>
        <w:tabs>
          <w:tab w:leader="none" w:pos="652" w:val="left"/>
        </w:tabs>
        <w:numPr>
          <w:ilvl w:val="0"/>
          <w:numId w:val="57"/>
        </w:numPr>
        <w:rPr>
          <w:rFonts w:ascii="Calibri" w:cs="Calibri" w:eastAsia="Calibri" w:hAnsi="Calibri"/>
          <w:sz w:val="20"/>
          <w:szCs w:val="20"/>
          <w:color w:val="auto"/>
        </w:rPr>
      </w:pPr>
      <w:r>
        <w:rPr>
          <w:rFonts w:ascii="Calibri" w:cs="Calibri" w:eastAsia="Calibri" w:hAnsi="Calibri"/>
          <w:sz w:val="20"/>
          <w:szCs w:val="20"/>
          <w:color w:val="auto"/>
        </w:rPr>
        <w:t>Other enttes controlled by you, including any corporatons, partnerships, trusts or foundatons (collectvely, “</w:t>
      </w:r>
      <w:r>
        <w:rPr>
          <w:rFonts w:ascii="Calibri" w:cs="Calibri" w:eastAsia="Calibri" w:hAnsi="Calibri"/>
          <w:sz w:val="20"/>
          <w:szCs w:val="20"/>
          <w:b w:val="1"/>
          <w:bCs w:val="1"/>
          <w:i w:val="1"/>
          <w:iCs w:val="1"/>
          <w:color w:val="auto"/>
        </w:rPr>
        <w:t>Related</w:t>
      </w:r>
      <w:r>
        <w:rPr>
          <w:rFonts w:ascii="Calibri" w:cs="Calibri" w:eastAsia="Calibri" w:hAnsi="Calibri"/>
          <w:sz w:val="20"/>
          <w:szCs w:val="20"/>
          <w:color w:val="auto"/>
        </w:rPr>
        <w:t xml:space="preserve"> </w:t>
      </w:r>
      <w:r>
        <w:rPr>
          <w:rFonts w:ascii="Calibri" w:cs="Calibri" w:eastAsia="Calibri" w:hAnsi="Calibri"/>
          <w:sz w:val="20"/>
          <w:szCs w:val="20"/>
          <w:b w:val="1"/>
          <w:bCs w:val="1"/>
          <w:i w:val="1"/>
          <w:iCs w:val="1"/>
          <w:color w:val="auto"/>
        </w:rPr>
        <w:t>Persons</w:t>
      </w:r>
      <w:r>
        <w:rPr>
          <w:rFonts w:ascii="Calibri" w:cs="Calibri" w:eastAsia="Calibri" w:hAnsi="Calibri"/>
          <w:sz w:val="20"/>
          <w:szCs w:val="20"/>
          <w:color w:val="auto"/>
        </w:rPr>
        <w:t>”).</w:t>
      </w:r>
    </w:p>
    <w:p>
      <w:pPr>
        <w:spacing w:after="0" w:line="95" w:lineRule="exact"/>
        <w:rPr>
          <w:sz w:val="20"/>
          <w:szCs w:val="20"/>
          <w:color w:val="auto"/>
        </w:rPr>
      </w:pPr>
    </w:p>
    <w:p>
      <w:pPr>
        <w:ind w:left="8"/>
        <w:spacing w:after="0"/>
        <w:rPr>
          <w:sz w:val="20"/>
          <w:szCs w:val="20"/>
          <w:color w:val="auto"/>
        </w:rPr>
      </w:pPr>
      <w:r>
        <w:rPr>
          <w:rFonts w:ascii="Calibri" w:cs="Calibri" w:eastAsia="Calibri" w:hAnsi="Calibri"/>
          <w:sz w:val="20"/>
          <w:szCs w:val="20"/>
          <w:color w:val="auto"/>
        </w:rPr>
        <w:t>For purposes of this Policy, transactons by Related Persons are treated as if they are your transactons.</w:t>
      </w:r>
    </w:p>
    <w:p>
      <w:pPr>
        <w:spacing w:after="0" w:line="107" w:lineRule="exact"/>
        <w:rPr>
          <w:sz w:val="20"/>
          <w:szCs w:val="20"/>
          <w:color w:val="auto"/>
        </w:rPr>
      </w:pPr>
    </w:p>
    <w:p>
      <w:pPr>
        <w:ind w:left="8"/>
        <w:spacing w:after="0"/>
        <w:rPr>
          <w:sz w:val="20"/>
          <w:szCs w:val="20"/>
          <w:color w:val="auto"/>
        </w:rPr>
      </w:pPr>
      <w:r>
        <w:rPr>
          <w:rFonts w:ascii="Calibri" w:cs="Calibri" w:eastAsia="Calibri" w:hAnsi="Calibri"/>
          <w:sz w:val="20"/>
          <w:szCs w:val="20"/>
          <w:color w:val="auto"/>
        </w:rPr>
        <w:t>The existence of a personal fnancial emergency does not exempt you from complying with this Policy.</w:t>
      </w:r>
    </w:p>
    <w:p>
      <w:pPr>
        <w:spacing w:after="0" w:line="94" w:lineRule="exact"/>
        <w:rPr>
          <w:sz w:val="20"/>
          <w:szCs w:val="20"/>
          <w:color w:val="auto"/>
        </w:rPr>
      </w:pPr>
    </w:p>
    <w:p>
      <w:pPr>
        <w:ind w:left="328"/>
        <w:spacing w:after="0"/>
        <w:rPr>
          <w:sz w:val="20"/>
          <w:szCs w:val="20"/>
          <w:color w:val="auto"/>
        </w:rPr>
      </w:pPr>
      <w:r>
        <w:rPr>
          <w:rFonts w:ascii="Calibri" w:cs="Calibri" w:eastAsia="Calibri" w:hAnsi="Calibri"/>
          <w:sz w:val="23"/>
          <w:szCs w:val="23"/>
          <w:b w:val="1"/>
          <w:bCs w:val="1"/>
          <w:color w:val="C00000"/>
        </w:rPr>
        <w:t>A. Insider Trading Prohibiton</w:t>
      </w:r>
    </w:p>
    <w:p>
      <w:pPr>
        <w:spacing w:after="0" w:line="110" w:lineRule="exact"/>
        <w:rPr>
          <w:sz w:val="20"/>
          <w:szCs w:val="20"/>
          <w:color w:val="auto"/>
        </w:rPr>
      </w:pPr>
    </w:p>
    <w:p>
      <w:pPr>
        <w:ind w:left="8"/>
        <w:spacing w:after="0"/>
        <w:rPr>
          <w:sz w:val="20"/>
          <w:szCs w:val="20"/>
          <w:color w:val="auto"/>
        </w:rPr>
      </w:pPr>
      <w:r>
        <w:rPr>
          <w:rFonts w:ascii="Calibri" w:cs="Calibri" w:eastAsia="Calibri" w:hAnsi="Calibri"/>
          <w:sz w:val="20"/>
          <w:szCs w:val="20"/>
          <w:color w:val="auto"/>
        </w:rPr>
        <w:t>The Securites Exchange Act of 1934, as amended (the “</w:t>
      </w:r>
      <w:r>
        <w:rPr>
          <w:rFonts w:ascii="Calibri" w:cs="Calibri" w:eastAsia="Calibri" w:hAnsi="Calibri"/>
          <w:sz w:val="20"/>
          <w:szCs w:val="20"/>
          <w:b w:val="1"/>
          <w:bCs w:val="1"/>
          <w:i w:val="1"/>
          <w:iCs w:val="1"/>
          <w:color w:val="auto"/>
        </w:rPr>
        <w:t>Exchange Act</w:t>
      </w:r>
      <w:r>
        <w:rPr>
          <w:rFonts w:ascii="Calibri" w:cs="Calibri" w:eastAsia="Calibri" w:hAnsi="Calibri"/>
          <w:sz w:val="20"/>
          <w:szCs w:val="20"/>
          <w:color w:val="auto"/>
        </w:rPr>
        <w:t>”), prohibits “insider trading.”</w:t>
      </w:r>
    </w:p>
    <w:p>
      <w:pPr>
        <w:spacing w:after="0" w:line="117" w:lineRule="exact"/>
        <w:rPr>
          <w:sz w:val="20"/>
          <w:szCs w:val="20"/>
          <w:color w:val="auto"/>
        </w:rPr>
      </w:pPr>
    </w:p>
    <w:p>
      <w:pPr>
        <w:ind w:left="8" w:right="300"/>
        <w:spacing w:after="0" w:line="228" w:lineRule="auto"/>
        <w:rPr>
          <w:sz w:val="20"/>
          <w:szCs w:val="20"/>
          <w:color w:val="auto"/>
        </w:rPr>
      </w:pPr>
      <w:r>
        <w:rPr>
          <w:rFonts w:ascii="Calibri" w:cs="Calibri" w:eastAsia="Calibri" w:hAnsi="Calibri"/>
          <w:sz w:val="20"/>
          <w:szCs w:val="20"/>
          <w:color w:val="auto"/>
        </w:rPr>
        <w:t>“Insider trading” is the purchase, sale, transfer or exchange (“</w:t>
      </w:r>
      <w:r>
        <w:rPr>
          <w:rFonts w:ascii="Calibri" w:cs="Calibri" w:eastAsia="Calibri" w:hAnsi="Calibri"/>
          <w:sz w:val="20"/>
          <w:szCs w:val="20"/>
          <w:b w:val="1"/>
          <w:bCs w:val="1"/>
          <w:i w:val="1"/>
          <w:iCs w:val="1"/>
          <w:color w:val="auto"/>
        </w:rPr>
        <w:t>Trade</w:t>
      </w:r>
      <w:r>
        <w:rPr>
          <w:rFonts w:ascii="Calibri" w:cs="Calibri" w:eastAsia="Calibri" w:hAnsi="Calibri"/>
          <w:sz w:val="20"/>
          <w:szCs w:val="20"/>
          <w:color w:val="auto"/>
        </w:rPr>
        <w:t>” or “</w:t>
      </w:r>
      <w:r>
        <w:rPr>
          <w:rFonts w:ascii="Calibri" w:cs="Calibri" w:eastAsia="Calibri" w:hAnsi="Calibri"/>
          <w:sz w:val="20"/>
          <w:szCs w:val="20"/>
          <w:b w:val="1"/>
          <w:bCs w:val="1"/>
          <w:i w:val="1"/>
          <w:iCs w:val="1"/>
          <w:color w:val="auto"/>
        </w:rPr>
        <w:t>Trading</w:t>
      </w:r>
      <w:r>
        <w:rPr>
          <w:rFonts w:ascii="Calibri" w:cs="Calibri" w:eastAsia="Calibri" w:hAnsi="Calibri"/>
          <w:sz w:val="20"/>
          <w:szCs w:val="20"/>
          <w:color w:val="auto"/>
        </w:rPr>
        <w:t>”) of any security (such as stock) when you are in possession of material non‐public informaton (“</w:t>
      </w:r>
      <w:r>
        <w:rPr>
          <w:rFonts w:ascii="Calibri" w:cs="Calibri" w:eastAsia="Calibri" w:hAnsi="Calibri"/>
          <w:sz w:val="20"/>
          <w:szCs w:val="20"/>
          <w:b w:val="1"/>
          <w:bCs w:val="1"/>
          <w:i w:val="1"/>
          <w:iCs w:val="1"/>
          <w:color w:val="auto"/>
        </w:rPr>
        <w:t>MNPI</w:t>
      </w:r>
      <w:r>
        <w:rPr>
          <w:rFonts w:ascii="Calibri" w:cs="Calibri" w:eastAsia="Calibri" w:hAnsi="Calibri"/>
          <w:sz w:val="20"/>
          <w:szCs w:val="20"/>
          <w:color w:val="auto"/>
        </w:rPr>
        <w:t>”) relatng to that security.</w:t>
      </w:r>
    </w:p>
    <w:p>
      <w:pPr>
        <w:spacing w:after="0" w:line="107" w:lineRule="exact"/>
        <w:rPr>
          <w:sz w:val="20"/>
          <w:szCs w:val="20"/>
          <w:color w:val="auto"/>
        </w:rPr>
      </w:pPr>
    </w:p>
    <w:p>
      <w:pPr>
        <w:ind w:left="8"/>
        <w:spacing w:after="0"/>
        <w:rPr>
          <w:sz w:val="20"/>
          <w:szCs w:val="20"/>
          <w:color w:val="auto"/>
        </w:rPr>
      </w:pPr>
      <w:r>
        <w:rPr>
          <w:rFonts w:ascii="Calibri" w:cs="Calibri" w:eastAsia="Calibri" w:hAnsi="Calibri"/>
          <w:sz w:val="20"/>
          <w:szCs w:val="20"/>
          <w:color w:val="auto"/>
        </w:rPr>
        <w:t>This Policy prohibits you from Trading Broadcom securites when you are in possession of MNPI related to Broadcom.</w:t>
      </w:r>
    </w:p>
    <w:p>
      <w:pPr>
        <w:spacing w:after="0" w:line="103" w:lineRule="exact"/>
        <w:rPr>
          <w:sz w:val="20"/>
          <w:szCs w:val="20"/>
          <w:color w:val="auto"/>
        </w:rPr>
      </w:pPr>
    </w:p>
    <w:p>
      <w:pPr>
        <w:ind w:left="8" w:right="140"/>
        <w:spacing w:after="0" w:line="234" w:lineRule="auto"/>
        <w:rPr>
          <w:sz w:val="20"/>
          <w:szCs w:val="20"/>
          <w:color w:val="auto"/>
        </w:rPr>
      </w:pPr>
      <w:r>
        <w:rPr>
          <w:rFonts w:ascii="Calibri" w:cs="Calibri" w:eastAsia="Calibri" w:hAnsi="Calibri"/>
          <w:sz w:val="20"/>
          <w:szCs w:val="20"/>
          <w:color w:val="auto"/>
        </w:rPr>
        <w:t>Similarly, you may not transact in any security of a Broadcom Business Associate (defned below) if you, in the course of working for Broadcom, learn of MNPI relatng to that Broadcom Business Associate.</w:t>
      </w:r>
    </w:p>
    <w:p>
      <w:pPr>
        <w:spacing w:after="0" w:line="118" w:lineRule="exact"/>
        <w:rPr>
          <w:sz w:val="20"/>
          <w:szCs w:val="20"/>
          <w:color w:val="auto"/>
        </w:rPr>
      </w:pPr>
    </w:p>
    <w:p>
      <w:pPr>
        <w:ind w:left="8"/>
        <w:spacing w:after="0" w:line="22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i w:val="1"/>
          <w:iCs w:val="1"/>
          <w:color w:val="auto"/>
        </w:rPr>
        <w:t>Broadcom Business Associate</w:t>
      </w:r>
      <w:r>
        <w:rPr>
          <w:rFonts w:ascii="Calibri" w:cs="Calibri" w:eastAsia="Calibri" w:hAnsi="Calibri"/>
          <w:sz w:val="20"/>
          <w:szCs w:val="20"/>
          <w:color w:val="auto"/>
        </w:rPr>
        <w:t>” is an entty that you have informaton about due to your employment at or work for Broadcom, such as a customer, supplier or a company involved in a potental transacton with Broadcom.</w:t>
      </w:r>
    </w:p>
    <w:p>
      <w:pPr>
        <w:spacing w:after="0" w:line="107" w:lineRule="exact"/>
        <w:rPr>
          <w:sz w:val="20"/>
          <w:szCs w:val="20"/>
          <w:color w:val="auto"/>
        </w:rPr>
      </w:pPr>
    </w:p>
    <w:p>
      <w:pPr>
        <w:ind w:left="8"/>
        <w:spacing w:after="0"/>
        <w:rPr>
          <w:sz w:val="20"/>
          <w:szCs w:val="20"/>
          <w:color w:val="auto"/>
        </w:rPr>
      </w:pPr>
      <w:r>
        <w:rPr>
          <w:rFonts w:ascii="Calibri" w:cs="Calibri" w:eastAsia="Calibri" w:hAnsi="Calibri"/>
          <w:sz w:val="20"/>
          <w:szCs w:val="20"/>
          <w:color w:val="auto"/>
        </w:rPr>
        <w:t xml:space="preserve">The following would </w:t>
      </w:r>
      <w:r>
        <w:rPr>
          <w:rFonts w:ascii="Calibri" w:cs="Calibri" w:eastAsia="Calibri" w:hAnsi="Calibri"/>
          <w:sz w:val="20"/>
          <w:szCs w:val="20"/>
          <w:b w:val="1"/>
          <w:bCs w:val="1"/>
          <w:u w:val="single" w:color="auto"/>
          <w:color w:val="auto"/>
        </w:rPr>
        <w:t>not</w:t>
      </w:r>
      <w:r>
        <w:rPr>
          <w:rFonts w:ascii="Calibri" w:cs="Calibri" w:eastAsia="Calibri" w:hAnsi="Calibri"/>
          <w:sz w:val="20"/>
          <w:szCs w:val="20"/>
          <w:color w:val="auto"/>
        </w:rPr>
        <w:t xml:space="preserve"> be considered “Trades” or “Trading” under this Policy:</w:t>
      </w:r>
    </w:p>
    <w:p>
      <w:pPr>
        <w:spacing w:after="0" w:line="93" w:lineRule="exact"/>
        <w:rPr>
          <w:sz w:val="20"/>
          <w:szCs w:val="20"/>
          <w:color w:val="auto"/>
        </w:rPr>
      </w:pPr>
    </w:p>
    <w:p>
      <w:pPr>
        <w:ind w:left="648" w:hanging="324"/>
        <w:spacing w:after="0"/>
        <w:tabs>
          <w:tab w:leader="none" w:pos="648" w:val="left"/>
        </w:tabs>
        <w:numPr>
          <w:ilvl w:val="0"/>
          <w:numId w:val="58"/>
        </w:numPr>
        <w:rPr>
          <w:rFonts w:ascii="Calibri" w:cs="Calibri" w:eastAsia="Calibri" w:hAnsi="Calibri"/>
          <w:sz w:val="20"/>
          <w:szCs w:val="20"/>
          <w:color w:val="auto"/>
        </w:rPr>
      </w:pPr>
      <w:r>
        <w:rPr>
          <w:rFonts w:ascii="Calibri" w:cs="Calibri" w:eastAsia="Calibri" w:hAnsi="Calibri"/>
          <w:sz w:val="20"/>
          <w:szCs w:val="20"/>
          <w:color w:val="auto"/>
        </w:rPr>
        <w:t>Acceptance of equity awards granted by Broadcom,</w:t>
      </w:r>
    </w:p>
    <w:p>
      <w:pPr>
        <w:spacing w:after="0" w:line="116" w:lineRule="exact"/>
        <w:rPr>
          <w:rFonts w:ascii="Calibri" w:cs="Calibri" w:eastAsia="Calibri" w:hAnsi="Calibri"/>
          <w:sz w:val="20"/>
          <w:szCs w:val="20"/>
          <w:color w:val="auto"/>
        </w:rPr>
      </w:pPr>
    </w:p>
    <w:p>
      <w:pPr>
        <w:ind w:left="648" w:right="460" w:hanging="324"/>
        <w:spacing w:after="0" w:line="234" w:lineRule="auto"/>
        <w:tabs>
          <w:tab w:leader="none" w:pos="648" w:val="left"/>
        </w:tabs>
        <w:numPr>
          <w:ilvl w:val="0"/>
          <w:numId w:val="58"/>
        </w:numPr>
        <w:rPr>
          <w:rFonts w:ascii="Calibri" w:cs="Calibri" w:eastAsia="Calibri" w:hAnsi="Calibri"/>
          <w:sz w:val="20"/>
          <w:szCs w:val="20"/>
          <w:color w:val="auto"/>
        </w:rPr>
      </w:pPr>
      <w:r>
        <w:rPr>
          <w:rFonts w:ascii="Calibri" w:cs="Calibri" w:eastAsia="Calibri" w:hAnsi="Calibri"/>
          <w:sz w:val="20"/>
          <w:szCs w:val="20"/>
          <w:color w:val="auto"/>
        </w:rPr>
        <w:t>Any exercise of stock optons that does not involve the sale of Broadcom stock (such as an “exercise and hold” but not a “cashless” exercise of stock optons),</w:t>
      </w:r>
    </w:p>
    <w:p>
      <w:pPr>
        <w:spacing w:after="0" w:line="104" w:lineRule="exact"/>
        <w:rPr>
          <w:rFonts w:ascii="Calibri" w:cs="Calibri" w:eastAsia="Calibri" w:hAnsi="Calibri"/>
          <w:sz w:val="20"/>
          <w:szCs w:val="20"/>
          <w:color w:val="auto"/>
        </w:rPr>
      </w:pPr>
    </w:p>
    <w:p>
      <w:pPr>
        <w:ind w:left="648" w:right="420" w:hanging="325"/>
        <w:spacing w:after="0" w:line="234" w:lineRule="auto"/>
        <w:tabs>
          <w:tab w:leader="none" w:pos="653" w:val="left"/>
        </w:tabs>
        <w:numPr>
          <w:ilvl w:val="0"/>
          <w:numId w:val="58"/>
        </w:numPr>
        <w:rPr>
          <w:rFonts w:ascii="Calibri" w:cs="Calibri" w:eastAsia="Calibri" w:hAnsi="Calibri"/>
          <w:sz w:val="20"/>
          <w:szCs w:val="20"/>
          <w:color w:val="auto"/>
        </w:rPr>
      </w:pPr>
      <w:r>
        <w:rPr>
          <w:rFonts w:ascii="Calibri" w:cs="Calibri" w:eastAsia="Calibri" w:hAnsi="Calibri"/>
          <w:sz w:val="20"/>
          <w:szCs w:val="20"/>
          <w:color w:val="auto"/>
        </w:rPr>
        <w:t>Any mandatory sale of Broadcom stock by Broadcom upon the vestng of restricted stock units to satsfy tax withholding requirements per the terms of your restricted stock unit grant agreement,</w:t>
      </w:r>
    </w:p>
    <w:p>
      <w:pPr>
        <w:spacing w:after="0" w:line="94" w:lineRule="exact"/>
        <w:rPr>
          <w:rFonts w:ascii="Calibri" w:cs="Calibri" w:eastAsia="Calibri" w:hAnsi="Calibri"/>
          <w:sz w:val="20"/>
          <w:szCs w:val="20"/>
          <w:color w:val="auto"/>
        </w:rPr>
      </w:pPr>
    </w:p>
    <w:p>
      <w:pPr>
        <w:ind w:left="648" w:hanging="324"/>
        <w:spacing w:after="0"/>
        <w:tabs>
          <w:tab w:leader="none" w:pos="648" w:val="left"/>
        </w:tabs>
        <w:numPr>
          <w:ilvl w:val="0"/>
          <w:numId w:val="58"/>
        </w:numPr>
        <w:rPr>
          <w:rFonts w:ascii="Calibri" w:cs="Calibri" w:eastAsia="Calibri" w:hAnsi="Calibri"/>
          <w:sz w:val="20"/>
          <w:szCs w:val="20"/>
          <w:color w:val="auto"/>
        </w:rPr>
      </w:pPr>
      <w:r>
        <w:rPr>
          <w:rFonts w:ascii="Calibri" w:cs="Calibri" w:eastAsia="Calibri" w:hAnsi="Calibri"/>
          <w:sz w:val="20"/>
          <w:szCs w:val="20"/>
          <w:color w:val="auto"/>
        </w:rPr>
        <w:t>Purchase of Broadcom stock pursuant to the Broadcom Employee Stock Purchase Plan,</w:t>
      </w:r>
    </w:p>
    <w:p>
      <w:pPr>
        <w:spacing w:after="0" w:line="116" w:lineRule="exact"/>
        <w:rPr>
          <w:rFonts w:ascii="Calibri" w:cs="Calibri" w:eastAsia="Calibri" w:hAnsi="Calibri"/>
          <w:sz w:val="20"/>
          <w:szCs w:val="20"/>
          <w:color w:val="auto"/>
        </w:rPr>
      </w:pPr>
    </w:p>
    <w:p>
      <w:pPr>
        <w:ind w:left="648" w:right="360" w:hanging="324"/>
        <w:spacing w:after="0" w:line="234" w:lineRule="auto"/>
        <w:tabs>
          <w:tab w:leader="none" w:pos="646" w:val="left"/>
        </w:tabs>
        <w:numPr>
          <w:ilvl w:val="0"/>
          <w:numId w:val="58"/>
        </w:numPr>
        <w:rPr>
          <w:rFonts w:ascii="Calibri" w:cs="Calibri" w:eastAsia="Calibri" w:hAnsi="Calibri"/>
          <w:sz w:val="20"/>
          <w:szCs w:val="20"/>
          <w:color w:val="auto"/>
        </w:rPr>
      </w:pPr>
      <w:r>
        <w:rPr>
          <w:rFonts w:ascii="Calibri" w:cs="Calibri" w:eastAsia="Calibri" w:hAnsi="Calibri"/>
          <w:sz w:val="20"/>
          <w:szCs w:val="20"/>
          <w:color w:val="auto"/>
        </w:rPr>
        <w:t xml:space="preserve">Bona fde gifs of Broadcom stock when the donor does not have MNPI and is not subject to the Trading Window Closure Period (defned below), </w:t>
      </w:r>
      <w:r>
        <w:rPr>
          <w:rFonts w:ascii="Calibri" w:cs="Calibri" w:eastAsia="Calibri" w:hAnsi="Calibri"/>
          <w:sz w:val="20"/>
          <w:szCs w:val="20"/>
          <w:u w:val="single" w:color="auto"/>
          <w:color w:val="auto"/>
        </w:rPr>
        <w:t>and</w:t>
      </w:r>
    </w:p>
    <w:p>
      <w:pPr>
        <w:spacing w:after="0" w:line="94" w:lineRule="exact"/>
        <w:rPr>
          <w:rFonts w:ascii="Calibri" w:cs="Calibri" w:eastAsia="Calibri" w:hAnsi="Calibri"/>
          <w:sz w:val="20"/>
          <w:szCs w:val="20"/>
          <w:color w:val="auto"/>
        </w:rPr>
      </w:pPr>
    </w:p>
    <w:p>
      <w:pPr>
        <w:ind w:left="648" w:hanging="324"/>
        <w:spacing w:after="0"/>
        <w:tabs>
          <w:tab w:leader="none" w:pos="648" w:val="left"/>
        </w:tabs>
        <w:numPr>
          <w:ilvl w:val="0"/>
          <w:numId w:val="58"/>
        </w:numPr>
        <w:rPr>
          <w:rFonts w:ascii="Calibri" w:cs="Calibri" w:eastAsia="Calibri" w:hAnsi="Calibri"/>
          <w:sz w:val="20"/>
          <w:szCs w:val="20"/>
          <w:color w:val="auto"/>
        </w:rPr>
      </w:pPr>
      <w:r>
        <w:rPr>
          <w:rFonts w:ascii="Calibri" w:cs="Calibri" w:eastAsia="Calibri" w:hAnsi="Calibri"/>
          <w:sz w:val="20"/>
          <w:szCs w:val="20"/>
          <w:color w:val="auto"/>
        </w:rPr>
        <w:t>Transactons of Broadcom securites made pursuant to an approved Trading Plan (defned below).</w:t>
      </w:r>
    </w:p>
    <w:p>
      <w:pPr>
        <w:spacing w:after="0" w:line="384" w:lineRule="exact"/>
        <w:rPr>
          <w:sz w:val="20"/>
          <w:szCs w:val="20"/>
          <w:color w:val="auto"/>
        </w:rPr>
      </w:pPr>
    </w:p>
    <w:p>
      <w:pPr>
        <w:ind w:left="2228"/>
        <w:spacing w:after="0"/>
        <w:tabs>
          <w:tab w:leader="none" w:pos="6508" w:val="left"/>
        </w:tabs>
        <w:rPr>
          <w:sz w:val="20"/>
          <w:szCs w:val="20"/>
          <w:color w:val="auto"/>
        </w:rPr>
      </w:pPr>
      <w:r>
        <w:rPr>
          <w:rFonts w:ascii="Calibri" w:cs="Calibri" w:eastAsia="Calibri" w:hAnsi="Calibri"/>
          <w:sz w:val="18"/>
          <w:szCs w:val="18"/>
          <w:color w:val="auto"/>
        </w:rPr>
        <w:t>Broadcom Insider Trading Compliance Policy</w:t>
      </w:r>
      <w:r>
        <w:rPr>
          <w:sz w:val="20"/>
          <w:szCs w:val="20"/>
          <w:color w:val="auto"/>
        </w:rPr>
        <w:tab/>
      </w:r>
      <w:r>
        <w:rPr>
          <w:rFonts w:ascii="Calibri" w:cs="Calibri" w:eastAsia="Calibri" w:hAnsi="Calibri"/>
          <w:sz w:val="17"/>
          <w:szCs w:val="17"/>
          <w:color w:val="auto"/>
        </w:rPr>
        <w:t>Updated: December 2024</w:t>
      </w:r>
    </w:p>
    <w:p>
      <w:pPr>
        <w:jc w:val="center"/>
        <w:ind w:right="312"/>
        <w:spacing w:after="0" w:line="229" w:lineRule="auto"/>
        <w:rPr>
          <w:sz w:val="20"/>
          <w:szCs w:val="20"/>
          <w:color w:val="auto"/>
        </w:rPr>
      </w:pPr>
      <w:r>
        <w:rPr>
          <w:rFonts w:ascii="Calibri" w:cs="Calibri" w:eastAsia="Calibri" w:hAnsi="Calibri"/>
          <w:sz w:val="20"/>
          <w:szCs w:val="20"/>
          <w:color w:val="auto"/>
        </w:rPr>
        <w:t>1</w:t>
      </w:r>
    </w:p>
    <w:p>
      <w:pPr>
        <w:sectPr>
          <w:pgSz w:w="11900" w:h="16838" w:orient="portrait"/>
          <w:cols w:equalWidth="0" w:num="1">
            <w:col w:w="10908"/>
          </w:cols>
          <w:pgMar w:left="652" w:top="564" w:right="339" w:bottom="1440" w:gutter="0" w:footer="0" w:header="0"/>
        </w:sectPr>
      </w:pPr>
    </w:p>
    <w:bookmarkStart w:id="111" w:name="page112"/>
    <w:bookmarkEnd w:id="111"/>
    <w:p>
      <w:pPr>
        <w:ind w:right="360"/>
        <w:spacing w:after="0" w:line="231" w:lineRule="auto"/>
        <w:rPr>
          <w:sz w:val="20"/>
          <w:szCs w:val="20"/>
          <w:color w:val="auto"/>
        </w:rPr>
      </w:pPr>
      <w:r>
        <w:rPr>
          <w:rFonts w:ascii="Calibri" w:cs="Calibri" w:eastAsia="Calibri" w:hAnsi="Calibri"/>
          <w:sz w:val="20"/>
          <w:szCs w:val="20"/>
          <w:color w:val="auto"/>
        </w:rPr>
        <w:t>The U.S. Securites and Exchange Commission (“</w:t>
      </w:r>
      <w:r>
        <w:rPr>
          <w:rFonts w:ascii="Calibri" w:cs="Calibri" w:eastAsia="Calibri" w:hAnsi="Calibri"/>
          <w:sz w:val="20"/>
          <w:szCs w:val="20"/>
          <w:b w:val="1"/>
          <w:bCs w:val="1"/>
          <w:i w:val="1"/>
          <w:iCs w:val="1"/>
          <w:color w:val="auto"/>
        </w:rPr>
        <w:t>SEC</w:t>
      </w:r>
      <w:r>
        <w:rPr>
          <w:rFonts w:ascii="Calibri" w:cs="Calibri" w:eastAsia="Calibri" w:hAnsi="Calibri"/>
          <w:sz w:val="20"/>
          <w:szCs w:val="20"/>
          <w:color w:val="auto"/>
        </w:rPr>
        <w:t>”), U.S. Department of Justce, and other domestc and foreign regulatory agencies investgate and pursue insider trading violatons vigorously. The size of the transacton or the amount of proft received does not have to be signifcant to result in prosecuton by such government authorites.</w:t>
      </w:r>
    </w:p>
    <w:p>
      <w:pPr>
        <w:spacing w:after="0" w:line="119" w:lineRule="exact"/>
        <w:rPr>
          <w:sz w:val="20"/>
          <w:szCs w:val="20"/>
          <w:color w:val="auto"/>
        </w:rPr>
      </w:pPr>
    </w:p>
    <w:p>
      <w:pPr>
        <w:ind w:right="760"/>
        <w:spacing w:after="0" w:line="228" w:lineRule="auto"/>
        <w:rPr>
          <w:sz w:val="20"/>
          <w:szCs w:val="20"/>
          <w:color w:val="auto"/>
        </w:rPr>
      </w:pPr>
      <w:r>
        <w:rPr>
          <w:rFonts w:ascii="Calibri" w:cs="Calibri" w:eastAsia="Calibri" w:hAnsi="Calibri"/>
          <w:sz w:val="20"/>
          <w:szCs w:val="20"/>
          <w:color w:val="auto"/>
        </w:rPr>
        <w:t>Violatons of insider trading laws or this Policy may result in referral to government authorites for criminal prosecuton and disciplinary acton, including terminaton of employment or business relatonship with Broadcom.</w:t>
      </w:r>
    </w:p>
    <w:p>
      <w:pPr>
        <w:spacing w:after="0" w:line="107" w:lineRule="exact"/>
        <w:rPr>
          <w:sz w:val="20"/>
          <w:szCs w:val="20"/>
          <w:color w:val="auto"/>
        </w:rPr>
      </w:pPr>
    </w:p>
    <w:p>
      <w:pPr>
        <w:ind w:left="320"/>
        <w:spacing w:after="0"/>
        <w:rPr>
          <w:sz w:val="20"/>
          <w:szCs w:val="20"/>
          <w:color w:val="auto"/>
        </w:rPr>
      </w:pPr>
      <w:r>
        <w:rPr>
          <w:rFonts w:ascii="Calibri" w:cs="Calibri" w:eastAsia="Calibri" w:hAnsi="Calibri"/>
          <w:sz w:val="23"/>
          <w:szCs w:val="23"/>
          <w:b w:val="1"/>
          <w:bCs w:val="1"/>
          <w:color w:val="C00000"/>
        </w:rPr>
        <w:t>B. What is Material Non‐Public Informaton (MNPI)?</w:t>
      </w:r>
    </w:p>
    <w:p>
      <w:pPr>
        <w:spacing w:after="0" w:line="120" w:lineRule="exact"/>
        <w:rPr>
          <w:sz w:val="20"/>
          <w:szCs w:val="20"/>
          <w:color w:val="auto"/>
        </w:rPr>
      </w:pPr>
    </w:p>
    <w:p>
      <w:pPr>
        <w:ind w:right="40"/>
        <w:spacing w:after="0" w:line="233" w:lineRule="auto"/>
        <w:rPr>
          <w:sz w:val="20"/>
          <w:szCs w:val="20"/>
          <w:color w:val="auto"/>
        </w:rPr>
      </w:pPr>
      <w:r>
        <w:rPr>
          <w:rFonts w:ascii="Calibri" w:cs="Calibri" w:eastAsia="Calibri" w:hAnsi="Calibri"/>
          <w:sz w:val="20"/>
          <w:szCs w:val="20"/>
          <w:color w:val="auto"/>
        </w:rPr>
        <w:t>For purposes of this Policy, informaton is considered “</w:t>
      </w:r>
      <w:r>
        <w:rPr>
          <w:rFonts w:ascii="Calibri" w:cs="Calibri" w:eastAsia="Calibri" w:hAnsi="Calibri"/>
          <w:sz w:val="20"/>
          <w:szCs w:val="20"/>
          <w:b w:val="1"/>
          <w:bCs w:val="1"/>
          <w:i w:val="1"/>
          <w:iCs w:val="1"/>
          <w:color w:val="auto"/>
        </w:rPr>
        <w:t>material</w:t>
      </w:r>
      <w:r>
        <w:rPr>
          <w:rFonts w:ascii="Calibri" w:cs="Calibri" w:eastAsia="Calibri" w:hAnsi="Calibri"/>
          <w:sz w:val="20"/>
          <w:szCs w:val="20"/>
          <w:color w:val="auto"/>
        </w:rPr>
        <w:t>” if there is a reasonable likelihood that an investor would consider the informaton important in making a decision to buy, sell or hold a security or if the informaton is likely to have a signifcant efect on the market price of the security, whether over the short‐term or long‐term. Informaton that is “material” can be positve or negatve informaton, or informaton that forecasts whether an event may or may not occur.</w:t>
      </w:r>
    </w:p>
    <w:p>
      <w:pPr>
        <w:spacing w:after="0" w:line="105"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Informaton is “</w:t>
      </w:r>
      <w:r>
        <w:rPr>
          <w:rFonts w:ascii="Calibri" w:cs="Calibri" w:eastAsia="Calibri" w:hAnsi="Calibri"/>
          <w:sz w:val="20"/>
          <w:szCs w:val="20"/>
          <w:b w:val="1"/>
          <w:bCs w:val="1"/>
          <w:i w:val="1"/>
          <w:iCs w:val="1"/>
          <w:color w:val="auto"/>
        </w:rPr>
        <w:t>non‐public</w:t>
      </w:r>
      <w:r>
        <w:rPr>
          <w:rFonts w:ascii="Calibri" w:cs="Calibri" w:eastAsia="Calibri" w:hAnsi="Calibri"/>
          <w:sz w:val="20"/>
          <w:szCs w:val="20"/>
          <w:color w:val="auto"/>
        </w:rPr>
        <w:t xml:space="preserve">” if it is not available to the general public and has not been previously disclosed. For informaton to be considered public, it must be widely disseminated in a manner that makes the informaton generally available to the public. Informaton may be widely disseminated through media outlets, a conference call open to the general public or documents available on the SEC’s website. Widespread discussion of rumors does not make the informaton “public.” See </w:t>
      </w:r>
      <w:r>
        <w:rPr>
          <w:rFonts w:ascii="Calibri" w:cs="Calibri" w:eastAsia="Calibri" w:hAnsi="Calibri"/>
          <w:sz w:val="20"/>
          <w:szCs w:val="20"/>
          <w:u w:val="single" w:color="auto"/>
          <w:color w:val="0000FF"/>
        </w:rPr>
        <w:t>Broadcom’s Code of Ethics and</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0000FF"/>
        </w:rPr>
        <w:t>Business Conduct</w:t>
      </w:r>
      <w:r>
        <w:rPr>
          <w:rFonts w:ascii="Calibri" w:cs="Calibri" w:eastAsia="Calibri" w:hAnsi="Calibri"/>
          <w:sz w:val="20"/>
          <w:szCs w:val="20"/>
          <w:color w:val="0000FF"/>
        </w:rPr>
        <w:t xml:space="preserve"> </w:t>
      </w:r>
      <w:r>
        <w:rPr>
          <w:rFonts w:ascii="Calibri" w:cs="Calibri" w:eastAsia="Calibri" w:hAnsi="Calibri"/>
          <w:sz w:val="20"/>
          <w:szCs w:val="20"/>
          <w:color w:val="000000"/>
        </w:rPr>
        <w:t>to learn more about protectng Broadcom’s confdental informaton.</w:t>
      </w:r>
    </w:p>
    <w:p>
      <w:pPr>
        <w:spacing w:after="0" w:line="96" w:lineRule="exact"/>
        <w:rPr>
          <w:sz w:val="20"/>
          <w:szCs w:val="20"/>
          <w:color w:val="auto"/>
        </w:rPr>
      </w:pPr>
    </w:p>
    <w:p>
      <w:pPr>
        <w:spacing w:after="0"/>
        <w:rPr>
          <w:sz w:val="20"/>
          <w:szCs w:val="20"/>
          <w:color w:val="auto"/>
        </w:rPr>
      </w:pPr>
      <w:r>
        <w:rPr>
          <w:rFonts w:ascii="Calibri" w:cs="Calibri" w:eastAsia="Calibri" w:hAnsi="Calibri"/>
          <w:sz w:val="20"/>
          <w:szCs w:val="20"/>
          <w:color w:val="auto"/>
        </w:rPr>
        <w:t>Examples of “MNPI” include:</w:t>
      </w:r>
    </w:p>
    <w:p>
      <w:pPr>
        <w:spacing w:after="0" w:line="120" w:lineRule="exact"/>
        <w:rPr>
          <w:sz w:val="20"/>
          <w:szCs w:val="20"/>
          <w:color w:val="auto"/>
        </w:rPr>
      </w:pPr>
    </w:p>
    <w:p>
      <w:pPr>
        <w:ind w:left="620" w:hanging="304"/>
        <w:spacing w:after="0"/>
        <w:tabs>
          <w:tab w:leader="none" w:pos="620" w:val="left"/>
        </w:tabs>
        <w:numPr>
          <w:ilvl w:val="0"/>
          <w:numId w:val="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Corporate fnancial and operatng results or forecasts</w:t>
      </w:r>
    </w:p>
    <w:p>
      <w:pPr>
        <w:spacing w:after="0" w:line="106" w:lineRule="exact"/>
        <w:rPr>
          <w:rFonts w:ascii="Times New Roman" w:cs="Times New Roman" w:eastAsia="Times New Roman" w:hAnsi="Times New Roman"/>
          <w:sz w:val="20"/>
          <w:szCs w:val="20"/>
          <w:color w:val="auto"/>
        </w:rPr>
      </w:pPr>
    </w:p>
    <w:p>
      <w:pPr>
        <w:ind w:left="620" w:hanging="304"/>
        <w:spacing w:after="0"/>
        <w:tabs>
          <w:tab w:leader="none" w:pos="620" w:val="left"/>
        </w:tabs>
        <w:numPr>
          <w:ilvl w:val="0"/>
          <w:numId w:val="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change in the fnancial conditon of the business</w:t>
      </w:r>
    </w:p>
    <w:p>
      <w:pPr>
        <w:spacing w:after="0" w:line="120" w:lineRule="exact"/>
        <w:rPr>
          <w:rFonts w:ascii="Times New Roman" w:cs="Times New Roman" w:eastAsia="Times New Roman" w:hAnsi="Times New Roman"/>
          <w:sz w:val="20"/>
          <w:szCs w:val="20"/>
          <w:color w:val="auto"/>
        </w:rPr>
      </w:pPr>
    </w:p>
    <w:p>
      <w:pPr>
        <w:ind w:left="620" w:hanging="304"/>
        <w:spacing w:after="0"/>
        <w:tabs>
          <w:tab w:leader="none" w:pos="620" w:val="left"/>
        </w:tabs>
        <w:numPr>
          <w:ilvl w:val="0"/>
          <w:numId w:val="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Possible signifcant merger or acquisiton or dispositon of assets</w:t>
      </w:r>
    </w:p>
    <w:p>
      <w:pPr>
        <w:spacing w:after="0" w:line="120" w:lineRule="exact"/>
        <w:rPr>
          <w:rFonts w:ascii="Times New Roman" w:cs="Times New Roman" w:eastAsia="Times New Roman" w:hAnsi="Times New Roman"/>
          <w:sz w:val="20"/>
          <w:szCs w:val="20"/>
          <w:color w:val="auto"/>
        </w:rPr>
      </w:pPr>
    </w:p>
    <w:p>
      <w:pPr>
        <w:ind w:left="620" w:hanging="304"/>
        <w:spacing w:after="0"/>
        <w:tabs>
          <w:tab w:leader="none" w:pos="620" w:val="left"/>
        </w:tabs>
        <w:numPr>
          <w:ilvl w:val="0"/>
          <w:numId w:val="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cyber intrusion, data breach or other IT system failure</w:t>
      </w:r>
    </w:p>
    <w:p>
      <w:pPr>
        <w:spacing w:after="0" w:line="106" w:lineRule="exact"/>
        <w:rPr>
          <w:rFonts w:ascii="Times New Roman" w:cs="Times New Roman" w:eastAsia="Times New Roman" w:hAnsi="Times New Roman"/>
          <w:sz w:val="20"/>
          <w:szCs w:val="20"/>
          <w:color w:val="auto"/>
        </w:rPr>
      </w:pPr>
    </w:p>
    <w:p>
      <w:pPr>
        <w:ind w:left="620" w:hanging="304"/>
        <w:spacing w:after="0"/>
        <w:tabs>
          <w:tab w:leader="none" w:pos="620" w:val="left"/>
        </w:tabs>
        <w:numPr>
          <w:ilvl w:val="0"/>
          <w:numId w:val="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Loss or additon of a signifcant customer, contract or design win</w:t>
      </w:r>
    </w:p>
    <w:p>
      <w:pPr>
        <w:spacing w:after="0" w:line="120" w:lineRule="exact"/>
        <w:rPr>
          <w:rFonts w:ascii="Times New Roman" w:cs="Times New Roman" w:eastAsia="Times New Roman" w:hAnsi="Times New Roman"/>
          <w:sz w:val="20"/>
          <w:szCs w:val="20"/>
          <w:color w:val="auto"/>
        </w:rPr>
      </w:pPr>
    </w:p>
    <w:p>
      <w:pPr>
        <w:ind w:left="620" w:hanging="304"/>
        <w:spacing w:after="0"/>
        <w:tabs>
          <w:tab w:leader="none" w:pos="620" w:val="left"/>
        </w:tabs>
        <w:numPr>
          <w:ilvl w:val="0"/>
          <w:numId w:val="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new litgaton/investgaton or signifcant development in existng litgaton/investgaton</w:t>
      </w:r>
    </w:p>
    <w:p>
      <w:pPr>
        <w:spacing w:after="0" w:line="106" w:lineRule="exact"/>
        <w:rPr>
          <w:rFonts w:ascii="Times New Roman" w:cs="Times New Roman" w:eastAsia="Times New Roman" w:hAnsi="Times New Roman"/>
          <w:sz w:val="20"/>
          <w:szCs w:val="20"/>
          <w:color w:val="auto"/>
        </w:rPr>
      </w:pPr>
    </w:p>
    <w:p>
      <w:pPr>
        <w:ind w:left="620" w:hanging="304"/>
        <w:spacing w:after="0"/>
        <w:tabs>
          <w:tab w:leader="none" w:pos="620" w:val="left"/>
        </w:tabs>
        <w:numPr>
          <w:ilvl w:val="0"/>
          <w:numId w:val="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New product announcement or development of a signifcant nature</w:t>
      </w:r>
    </w:p>
    <w:p>
      <w:pPr>
        <w:spacing w:after="0" w:line="120" w:lineRule="exact"/>
        <w:rPr>
          <w:rFonts w:ascii="Times New Roman" w:cs="Times New Roman" w:eastAsia="Times New Roman" w:hAnsi="Times New Roman"/>
          <w:sz w:val="20"/>
          <w:szCs w:val="20"/>
          <w:color w:val="auto"/>
        </w:rPr>
      </w:pPr>
    </w:p>
    <w:p>
      <w:pPr>
        <w:ind w:left="620" w:hanging="304"/>
        <w:spacing w:after="0"/>
        <w:tabs>
          <w:tab w:leader="none" w:pos="620" w:val="left"/>
        </w:tabs>
        <w:numPr>
          <w:ilvl w:val="0"/>
          <w:numId w:val="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Change in dividends or dividend policy</w:t>
      </w:r>
    </w:p>
    <w:p>
      <w:pPr>
        <w:spacing w:after="0" w:line="106" w:lineRule="exact"/>
        <w:rPr>
          <w:rFonts w:ascii="Times New Roman" w:cs="Times New Roman" w:eastAsia="Times New Roman" w:hAnsi="Times New Roman"/>
          <w:sz w:val="20"/>
          <w:szCs w:val="20"/>
          <w:color w:val="auto"/>
        </w:rPr>
      </w:pPr>
    </w:p>
    <w:p>
      <w:pPr>
        <w:ind w:left="620" w:hanging="304"/>
        <w:spacing w:after="0"/>
        <w:tabs>
          <w:tab w:leader="none" w:pos="620" w:val="left"/>
        </w:tabs>
        <w:numPr>
          <w:ilvl w:val="0"/>
          <w:numId w:val="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change in corporate strategy</w:t>
      </w:r>
    </w:p>
    <w:p>
      <w:pPr>
        <w:spacing w:after="0" w:line="120" w:lineRule="exact"/>
        <w:rPr>
          <w:rFonts w:ascii="Times New Roman" w:cs="Times New Roman" w:eastAsia="Times New Roman" w:hAnsi="Times New Roman"/>
          <w:sz w:val="20"/>
          <w:szCs w:val="20"/>
          <w:color w:val="auto"/>
        </w:rPr>
      </w:pPr>
    </w:p>
    <w:p>
      <w:pPr>
        <w:ind w:left="620" w:hanging="304"/>
        <w:spacing w:after="0"/>
        <w:tabs>
          <w:tab w:leader="none" w:pos="620" w:val="left"/>
        </w:tabs>
        <w:numPr>
          <w:ilvl w:val="0"/>
          <w:numId w:val="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change in senior management</w:t>
      </w:r>
    </w:p>
    <w:p>
      <w:pPr>
        <w:spacing w:after="0" w:line="107" w:lineRule="exact"/>
        <w:rPr>
          <w:sz w:val="20"/>
          <w:szCs w:val="20"/>
          <w:color w:val="auto"/>
        </w:rPr>
      </w:pPr>
    </w:p>
    <w:p>
      <w:pPr>
        <w:ind w:left="320"/>
        <w:spacing w:after="0"/>
        <w:rPr>
          <w:sz w:val="20"/>
          <w:szCs w:val="20"/>
          <w:color w:val="auto"/>
        </w:rPr>
      </w:pPr>
      <w:r>
        <w:rPr>
          <w:rFonts w:ascii="Calibri" w:cs="Calibri" w:eastAsia="Calibri" w:hAnsi="Calibri"/>
          <w:sz w:val="23"/>
          <w:szCs w:val="23"/>
          <w:b w:val="1"/>
          <w:bCs w:val="1"/>
          <w:color w:val="C00000"/>
        </w:rPr>
        <w:t>C. Other Prohibited Actons or Transactons</w:t>
      </w:r>
    </w:p>
    <w:p>
      <w:pPr>
        <w:spacing w:after="0" w:line="107" w:lineRule="exact"/>
        <w:rPr>
          <w:sz w:val="20"/>
          <w:szCs w:val="20"/>
          <w:color w:val="auto"/>
        </w:rPr>
      </w:pPr>
    </w:p>
    <w:p>
      <w:pPr>
        <w:ind w:right="880"/>
        <w:spacing w:after="0" w:line="234" w:lineRule="auto"/>
        <w:rPr>
          <w:sz w:val="20"/>
          <w:szCs w:val="20"/>
          <w:color w:val="auto"/>
        </w:rPr>
      </w:pPr>
      <w:r>
        <w:rPr>
          <w:rFonts w:ascii="Calibri" w:cs="Calibri" w:eastAsia="Calibri" w:hAnsi="Calibri"/>
          <w:sz w:val="20"/>
          <w:szCs w:val="20"/>
          <w:color w:val="auto"/>
        </w:rPr>
        <w:t>No Insider, regardless of positon held at Broadcom, may engage in any of the following actvites (collectvely, “</w:t>
      </w:r>
      <w:r>
        <w:rPr>
          <w:rFonts w:ascii="Calibri" w:cs="Calibri" w:eastAsia="Calibri" w:hAnsi="Calibri"/>
          <w:sz w:val="20"/>
          <w:szCs w:val="20"/>
          <w:b w:val="1"/>
          <w:bCs w:val="1"/>
          <w:i w:val="1"/>
          <w:iCs w:val="1"/>
          <w:color w:val="auto"/>
        </w:rPr>
        <w:t>Prohibited</w:t>
      </w:r>
      <w:r>
        <w:rPr>
          <w:rFonts w:ascii="Calibri" w:cs="Calibri" w:eastAsia="Calibri" w:hAnsi="Calibri"/>
          <w:sz w:val="20"/>
          <w:szCs w:val="20"/>
          <w:color w:val="auto"/>
        </w:rPr>
        <w:t xml:space="preserve"> </w:t>
      </w:r>
      <w:r>
        <w:rPr>
          <w:rFonts w:ascii="Calibri" w:cs="Calibri" w:eastAsia="Calibri" w:hAnsi="Calibri"/>
          <w:sz w:val="20"/>
          <w:szCs w:val="20"/>
          <w:b w:val="1"/>
          <w:bCs w:val="1"/>
          <w:i w:val="1"/>
          <w:iCs w:val="1"/>
          <w:color w:val="auto"/>
        </w:rPr>
        <w:t>Actvites</w:t>
      </w:r>
      <w:r>
        <w:rPr>
          <w:rFonts w:ascii="Calibri" w:cs="Calibri" w:eastAsia="Calibri" w:hAnsi="Calibri"/>
          <w:sz w:val="20"/>
          <w:szCs w:val="20"/>
          <w:color w:val="auto"/>
        </w:rPr>
        <w:t>”):</w:t>
      </w:r>
    </w:p>
    <w:p>
      <w:pPr>
        <w:spacing w:after="0" w:line="103" w:lineRule="exact"/>
        <w:rPr>
          <w:sz w:val="20"/>
          <w:szCs w:val="20"/>
          <w:color w:val="auto"/>
        </w:rPr>
      </w:pPr>
    </w:p>
    <w:p>
      <w:pPr>
        <w:ind w:left="640"/>
        <w:spacing w:after="0"/>
        <w:rPr>
          <w:sz w:val="20"/>
          <w:szCs w:val="20"/>
          <w:color w:val="auto"/>
        </w:rPr>
      </w:pPr>
      <w:r>
        <w:rPr>
          <w:rFonts w:ascii="Calibri" w:cs="Calibri" w:eastAsia="Calibri" w:hAnsi="Calibri"/>
          <w:sz w:val="22"/>
          <w:szCs w:val="22"/>
          <w:b w:val="1"/>
          <w:bCs w:val="1"/>
          <w:color w:val="C00000"/>
        </w:rPr>
        <w:t>(i) Trading in Broadcom Derivatve Securites</w:t>
      </w:r>
    </w:p>
    <w:p>
      <w:pPr>
        <w:spacing w:after="0" w:line="111" w:lineRule="exact"/>
        <w:rPr>
          <w:sz w:val="20"/>
          <w:szCs w:val="20"/>
          <w:color w:val="auto"/>
        </w:rPr>
      </w:pPr>
    </w:p>
    <w:p>
      <w:pPr>
        <w:ind w:right="20"/>
        <w:spacing w:after="0" w:line="231" w:lineRule="auto"/>
        <w:rPr>
          <w:sz w:val="20"/>
          <w:szCs w:val="20"/>
          <w:color w:val="auto"/>
        </w:rPr>
      </w:pPr>
      <w:r>
        <w:rPr>
          <w:rFonts w:ascii="Calibri" w:cs="Calibri" w:eastAsia="Calibri" w:hAnsi="Calibri"/>
          <w:sz w:val="20"/>
          <w:szCs w:val="20"/>
          <w:color w:val="auto"/>
        </w:rPr>
        <w:t>Trading in derivatve securites may create an appearance that the Insider is Trading on MNPI. You and your Related Persons may not purchase or sell derivatve securites of Broadcom stock, such as publicly‐traded optons to purchase or sell such securites called “puts” or “calls.”</w:t>
      </w:r>
    </w:p>
    <w:p>
      <w:pPr>
        <w:spacing w:after="0" w:line="104" w:lineRule="exact"/>
        <w:rPr>
          <w:sz w:val="20"/>
          <w:szCs w:val="20"/>
          <w:color w:val="auto"/>
        </w:rPr>
      </w:pPr>
    </w:p>
    <w:p>
      <w:pPr>
        <w:ind w:left="640"/>
        <w:spacing w:after="0"/>
        <w:rPr>
          <w:sz w:val="20"/>
          <w:szCs w:val="20"/>
          <w:color w:val="auto"/>
        </w:rPr>
      </w:pPr>
      <w:r>
        <w:rPr>
          <w:rFonts w:ascii="Calibri" w:cs="Calibri" w:eastAsia="Calibri" w:hAnsi="Calibri"/>
          <w:sz w:val="22"/>
          <w:szCs w:val="22"/>
          <w:b w:val="1"/>
          <w:bCs w:val="1"/>
          <w:color w:val="C00000"/>
        </w:rPr>
        <w:t>(ii) Hedging Broadcom Securites</w:t>
      </w:r>
    </w:p>
    <w:p>
      <w:pPr>
        <w:spacing w:after="0" w:line="111"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Establishing a short positon or hedging may create a misalignment of the interests of the Insider and the interests of Broadcom. You and your Related Persons may not hedge Broadcom stock (including short sales, forward sale contracts, collars, equity swaps and certain exchange funds).</w:t>
      </w:r>
    </w:p>
    <w:p>
      <w:pPr>
        <w:spacing w:after="0" w:line="386" w:lineRule="exact"/>
        <w:rPr>
          <w:sz w:val="20"/>
          <w:szCs w:val="20"/>
          <w:color w:val="auto"/>
        </w:rPr>
      </w:pPr>
    </w:p>
    <w:p>
      <w:pPr>
        <w:ind w:left="2220"/>
        <w:spacing w:after="0"/>
        <w:tabs>
          <w:tab w:leader="none" w:pos="6500" w:val="left"/>
        </w:tabs>
        <w:rPr>
          <w:sz w:val="20"/>
          <w:szCs w:val="20"/>
          <w:color w:val="auto"/>
        </w:rPr>
      </w:pPr>
      <w:r>
        <w:rPr>
          <w:rFonts w:ascii="Calibri" w:cs="Calibri" w:eastAsia="Calibri" w:hAnsi="Calibri"/>
          <w:sz w:val="18"/>
          <w:szCs w:val="18"/>
          <w:color w:val="auto"/>
        </w:rPr>
        <w:t>Broadcom Insider Trading Compliance Policy</w:t>
      </w:r>
      <w:r>
        <w:rPr>
          <w:sz w:val="20"/>
          <w:szCs w:val="20"/>
          <w:color w:val="auto"/>
        </w:rPr>
        <w:tab/>
      </w:r>
      <w:r>
        <w:rPr>
          <w:rFonts w:ascii="Calibri" w:cs="Calibri" w:eastAsia="Calibri" w:hAnsi="Calibri"/>
          <w:sz w:val="17"/>
          <w:szCs w:val="17"/>
          <w:color w:val="auto"/>
        </w:rPr>
        <w:t>Updated: December 2024</w:t>
      </w:r>
    </w:p>
    <w:p>
      <w:pPr>
        <w:jc w:val="center"/>
        <w:ind w:right="260"/>
        <w:spacing w:after="0" w:line="229" w:lineRule="auto"/>
        <w:rPr>
          <w:sz w:val="20"/>
          <w:szCs w:val="20"/>
          <w:color w:val="auto"/>
        </w:rPr>
      </w:pPr>
      <w:r>
        <w:rPr>
          <w:rFonts w:ascii="Calibri" w:cs="Calibri" w:eastAsia="Calibri" w:hAnsi="Calibri"/>
          <w:sz w:val="20"/>
          <w:szCs w:val="20"/>
          <w:color w:val="auto"/>
        </w:rPr>
        <w:t>2</w:t>
      </w:r>
    </w:p>
    <w:p>
      <w:pPr>
        <w:sectPr>
          <w:pgSz w:w="11900" w:h="16838" w:orient="portrait"/>
          <w:cols w:equalWidth="0" w:num="1">
            <w:col w:w="10840"/>
          </w:cols>
          <w:pgMar w:left="660" w:top="1074" w:right="399" w:bottom="1440" w:gutter="0" w:footer="0" w:header="0"/>
        </w:sectPr>
      </w:pPr>
    </w:p>
    <w:bookmarkStart w:id="112" w:name="page113"/>
    <w:bookmarkEnd w:id="112"/>
    <w:p>
      <w:pPr>
        <w:ind w:left="648"/>
        <w:spacing w:after="0"/>
        <w:rPr>
          <w:sz w:val="20"/>
          <w:szCs w:val="20"/>
          <w:color w:val="auto"/>
        </w:rPr>
      </w:pPr>
      <w:r>
        <w:rPr>
          <w:rFonts w:ascii="Calibri" w:cs="Calibri" w:eastAsia="Calibri" w:hAnsi="Calibri"/>
          <w:sz w:val="22"/>
          <w:szCs w:val="22"/>
          <w:b w:val="1"/>
          <w:bCs w:val="1"/>
          <w:color w:val="C00000"/>
        </w:rPr>
        <w:t>(iii)Margining or Pledging Broadcom Securites</w:t>
      </w:r>
    </w:p>
    <w:p>
      <w:pPr>
        <w:spacing w:after="0" w:line="111" w:lineRule="exact"/>
        <w:rPr>
          <w:sz w:val="20"/>
          <w:szCs w:val="20"/>
          <w:color w:val="auto"/>
        </w:rPr>
      </w:pPr>
    </w:p>
    <w:p>
      <w:pPr>
        <w:ind w:left="8" w:right="120"/>
        <w:spacing w:after="0" w:line="231" w:lineRule="auto"/>
        <w:rPr>
          <w:sz w:val="20"/>
          <w:szCs w:val="20"/>
          <w:color w:val="auto"/>
        </w:rPr>
      </w:pPr>
      <w:r>
        <w:rPr>
          <w:rFonts w:ascii="Calibri" w:cs="Calibri" w:eastAsia="Calibri" w:hAnsi="Calibri"/>
          <w:sz w:val="20"/>
          <w:szCs w:val="20"/>
          <w:color w:val="auto"/>
        </w:rPr>
        <w:t>When Broadcom securites are held in a margin account or pledged as collateral for a loan, a default on a loan may cause the lender to sell your Broadcom securites. You and your Related Persons may not hold Broadcom securites in margin accounts or pledge Broadcom securites as collateral.</w:t>
      </w:r>
    </w:p>
    <w:p>
      <w:pPr>
        <w:spacing w:after="0" w:line="119" w:lineRule="exact"/>
        <w:rPr>
          <w:sz w:val="20"/>
          <w:szCs w:val="20"/>
          <w:color w:val="auto"/>
        </w:rPr>
      </w:pPr>
    </w:p>
    <w:p>
      <w:pPr>
        <w:jc w:val="both"/>
        <w:ind w:left="8"/>
        <w:spacing w:after="0" w:line="231" w:lineRule="auto"/>
        <w:rPr>
          <w:sz w:val="20"/>
          <w:szCs w:val="20"/>
          <w:color w:val="auto"/>
        </w:rPr>
      </w:pPr>
      <w:r>
        <w:rPr>
          <w:rFonts w:ascii="Calibri" w:cs="Calibri" w:eastAsia="Calibri" w:hAnsi="Calibri"/>
          <w:sz w:val="20"/>
          <w:szCs w:val="20"/>
          <w:color w:val="auto"/>
        </w:rPr>
        <w:t>Pledging of Broadcom securites as collateral for loans by executve ofcers (</w:t>
      </w: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Executve Ofcers</w:t>
      </w:r>
      <w:r>
        <w:rPr>
          <w:rFonts w:ascii="Calibri" w:cs="Calibri" w:eastAsia="Calibri" w:hAnsi="Calibri"/>
          <w:sz w:val="20"/>
          <w:szCs w:val="20"/>
          <w:i w:val="1"/>
          <w:iCs w:val="1"/>
          <w:color w:val="auto"/>
        </w:rPr>
        <w:t>"</w:t>
      </w:r>
      <w:r>
        <w:rPr>
          <w:rFonts w:ascii="Calibri" w:cs="Calibri" w:eastAsia="Calibri" w:hAnsi="Calibri"/>
          <w:sz w:val="20"/>
          <w:szCs w:val="20"/>
          <w:color w:val="auto"/>
        </w:rPr>
        <w:t>) and members of the board of directors of Broadcom Inc. (“</w:t>
      </w:r>
      <w:r>
        <w:rPr>
          <w:rFonts w:ascii="Calibri" w:cs="Calibri" w:eastAsia="Calibri" w:hAnsi="Calibri"/>
          <w:sz w:val="20"/>
          <w:szCs w:val="20"/>
          <w:b w:val="1"/>
          <w:bCs w:val="1"/>
          <w:i w:val="1"/>
          <w:iCs w:val="1"/>
          <w:color w:val="auto"/>
        </w:rPr>
        <w:t>Board</w:t>
      </w:r>
      <w:r>
        <w:rPr>
          <w:rFonts w:ascii="Calibri" w:cs="Calibri" w:eastAsia="Calibri" w:hAnsi="Calibri"/>
          <w:sz w:val="20"/>
          <w:szCs w:val="20"/>
          <w:color w:val="auto"/>
        </w:rPr>
        <w:t>”) are not permited without prior approval by the Board and the Nominatng, Environmental, Social and Governance (“</w:t>
      </w:r>
      <w:r>
        <w:rPr>
          <w:rFonts w:ascii="Calibri" w:cs="Calibri" w:eastAsia="Calibri" w:hAnsi="Calibri"/>
          <w:sz w:val="20"/>
          <w:szCs w:val="20"/>
          <w:b w:val="1"/>
          <w:bCs w:val="1"/>
          <w:i w:val="1"/>
          <w:iCs w:val="1"/>
          <w:color w:val="auto"/>
        </w:rPr>
        <w:t>NESG</w:t>
      </w:r>
      <w:r>
        <w:rPr>
          <w:rFonts w:ascii="Calibri" w:cs="Calibri" w:eastAsia="Calibri" w:hAnsi="Calibri"/>
          <w:sz w:val="20"/>
          <w:szCs w:val="20"/>
          <w:color w:val="auto"/>
        </w:rPr>
        <w:t>”) Commitee of the Board which may be granted only in very limited circumstances.</w:t>
      </w:r>
    </w:p>
    <w:p>
      <w:pPr>
        <w:spacing w:after="0" w:line="104" w:lineRule="exact"/>
        <w:rPr>
          <w:sz w:val="20"/>
          <w:szCs w:val="20"/>
          <w:color w:val="auto"/>
        </w:rPr>
      </w:pPr>
    </w:p>
    <w:p>
      <w:pPr>
        <w:ind w:left="648"/>
        <w:spacing w:after="0"/>
        <w:rPr>
          <w:sz w:val="20"/>
          <w:szCs w:val="20"/>
          <w:color w:val="auto"/>
        </w:rPr>
      </w:pPr>
      <w:r>
        <w:rPr>
          <w:rFonts w:ascii="Calibri" w:cs="Calibri" w:eastAsia="Calibri" w:hAnsi="Calibri"/>
          <w:sz w:val="22"/>
          <w:szCs w:val="22"/>
          <w:b w:val="1"/>
          <w:bCs w:val="1"/>
          <w:color w:val="C00000"/>
        </w:rPr>
        <w:t>(iv)Tipping</w:t>
      </w:r>
    </w:p>
    <w:p>
      <w:pPr>
        <w:spacing w:after="0" w:line="111" w:lineRule="exact"/>
        <w:rPr>
          <w:sz w:val="20"/>
          <w:szCs w:val="20"/>
          <w:color w:val="auto"/>
        </w:rPr>
      </w:pPr>
    </w:p>
    <w:p>
      <w:pPr>
        <w:jc w:val="both"/>
        <w:ind w:left="8" w:right="520"/>
        <w:spacing w:after="0" w:line="231" w:lineRule="auto"/>
        <w:rPr>
          <w:sz w:val="20"/>
          <w:szCs w:val="20"/>
          <w:color w:val="auto"/>
        </w:rPr>
      </w:pPr>
      <w:r>
        <w:rPr>
          <w:rFonts w:ascii="Calibri" w:cs="Calibri" w:eastAsia="Calibri" w:hAnsi="Calibri"/>
          <w:sz w:val="20"/>
          <w:szCs w:val="20"/>
          <w:color w:val="auto"/>
        </w:rPr>
        <w:t>You may not communicate or “tp” MNPI about Broadcom or any Broadcom Business Associate to another Insider or to anyone outside Broadcom, except those who have a legitmate need to know the informaton in order to perform their dutes at or for Broadcom.</w:t>
      </w:r>
    </w:p>
    <w:p>
      <w:pPr>
        <w:spacing w:after="0" w:line="102" w:lineRule="exact"/>
        <w:rPr>
          <w:sz w:val="20"/>
          <w:szCs w:val="20"/>
          <w:color w:val="auto"/>
        </w:rPr>
      </w:pPr>
    </w:p>
    <w:p>
      <w:pPr>
        <w:ind w:left="328" w:hanging="328"/>
        <w:spacing w:after="0"/>
        <w:tabs>
          <w:tab w:leader="none" w:pos="328" w:val="left"/>
        </w:tabs>
        <w:numPr>
          <w:ilvl w:val="0"/>
          <w:numId w:val="60"/>
        </w:numPr>
        <w:rPr>
          <w:rFonts w:ascii="Calibri" w:cs="Calibri" w:eastAsia="Calibri" w:hAnsi="Calibri"/>
          <w:sz w:val="25"/>
          <w:szCs w:val="25"/>
          <w:b w:val="1"/>
          <w:bCs w:val="1"/>
          <w:color w:val="C00000"/>
        </w:rPr>
      </w:pPr>
      <w:r>
        <w:rPr>
          <w:rFonts w:ascii="Calibri" w:cs="Calibri" w:eastAsia="Calibri" w:hAnsi="Calibri"/>
          <w:sz w:val="25"/>
          <w:szCs w:val="25"/>
          <w:b w:val="1"/>
          <w:bCs w:val="1"/>
          <w:u w:val="single" w:color="auto"/>
          <w:color w:val="C00000"/>
        </w:rPr>
        <w:t>TRADING WINDOW CLOSURE FOR CERTAIN INSIDERS</w:t>
      </w:r>
    </w:p>
    <w:p>
      <w:pPr>
        <w:spacing w:after="0" w:line="107" w:lineRule="exact"/>
        <w:rPr>
          <w:sz w:val="20"/>
          <w:szCs w:val="20"/>
          <w:color w:val="auto"/>
        </w:rPr>
      </w:pPr>
    </w:p>
    <w:p>
      <w:pPr>
        <w:ind w:left="328"/>
        <w:spacing w:after="0"/>
        <w:rPr>
          <w:sz w:val="20"/>
          <w:szCs w:val="20"/>
          <w:color w:val="auto"/>
        </w:rPr>
      </w:pPr>
      <w:r>
        <w:rPr>
          <w:rFonts w:ascii="Calibri" w:cs="Calibri" w:eastAsia="Calibri" w:hAnsi="Calibri"/>
          <w:sz w:val="23"/>
          <w:szCs w:val="23"/>
          <w:b w:val="1"/>
          <w:bCs w:val="1"/>
          <w:color w:val="C00000"/>
        </w:rPr>
        <w:t>A. Covered Persons</w:t>
      </w:r>
    </w:p>
    <w:p>
      <w:pPr>
        <w:spacing w:after="0" w:line="110" w:lineRule="exact"/>
        <w:rPr>
          <w:sz w:val="20"/>
          <w:szCs w:val="20"/>
          <w:color w:val="auto"/>
        </w:rPr>
      </w:pPr>
    </w:p>
    <w:p>
      <w:pPr>
        <w:ind w:left="8"/>
        <w:spacing w:after="0"/>
        <w:rPr>
          <w:sz w:val="20"/>
          <w:szCs w:val="20"/>
          <w:color w:val="auto"/>
        </w:rPr>
      </w:pPr>
      <w:r>
        <w:rPr>
          <w:rFonts w:ascii="Calibri" w:cs="Calibri" w:eastAsia="Calibri" w:hAnsi="Calibri"/>
          <w:sz w:val="20"/>
          <w:szCs w:val="20"/>
          <w:color w:val="auto"/>
        </w:rPr>
        <w:t>The following Insiders are subject to trading window closures (“</w:t>
      </w:r>
      <w:r>
        <w:rPr>
          <w:rFonts w:ascii="Calibri" w:cs="Calibri" w:eastAsia="Calibri" w:hAnsi="Calibri"/>
          <w:sz w:val="20"/>
          <w:szCs w:val="20"/>
          <w:b w:val="1"/>
          <w:bCs w:val="1"/>
          <w:i w:val="1"/>
          <w:iCs w:val="1"/>
          <w:color w:val="auto"/>
        </w:rPr>
        <w:t>Covered Persons</w:t>
      </w:r>
      <w:r>
        <w:rPr>
          <w:rFonts w:ascii="Calibri" w:cs="Calibri" w:eastAsia="Calibri" w:hAnsi="Calibri"/>
          <w:sz w:val="20"/>
          <w:szCs w:val="20"/>
          <w:color w:val="auto"/>
        </w:rPr>
        <w:t>”):</w:t>
      </w:r>
    </w:p>
    <w:p>
      <w:pPr>
        <w:spacing w:after="0" w:line="120" w:lineRule="exact"/>
        <w:rPr>
          <w:sz w:val="20"/>
          <w:szCs w:val="20"/>
          <w:color w:val="auto"/>
        </w:rPr>
      </w:pPr>
    </w:p>
    <w:p>
      <w:pPr>
        <w:ind w:left="628" w:hanging="304"/>
        <w:spacing w:after="0"/>
        <w:tabs>
          <w:tab w:leader="none" w:pos="628" w:val="left"/>
        </w:tabs>
        <w:numPr>
          <w:ilvl w:val="0"/>
          <w:numId w:val="61"/>
        </w:numPr>
        <w:rPr>
          <w:rFonts w:ascii="Times New Roman" w:cs="Times New Roman" w:eastAsia="Times New Roman" w:hAnsi="Times New Roman"/>
          <w:sz w:val="20"/>
          <w:szCs w:val="20"/>
          <w:color w:val="auto"/>
        </w:rPr>
      </w:pPr>
      <w:r>
        <w:rPr>
          <w:rFonts w:ascii="Calibri" w:cs="Calibri" w:eastAsia="Calibri" w:hAnsi="Calibri"/>
          <w:sz w:val="20"/>
          <w:szCs w:val="20"/>
          <w:color w:val="auto"/>
        </w:rPr>
        <w:t>All members of the Board,</w:t>
      </w:r>
    </w:p>
    <w:p>
      <w:pPr>
        <w:spacing w:after="0" w:line="106" w:lineRule="exact"/>
        <w:rPr>
          <w:rFonts w:ascii="Times New Roman" w:cs="Times New Roman" w:eastAsia="Times New Roman" w:hAnsi="Times New Roman"/>
          <w:sz w:val="20"/>
          <w:szCs w:val="20"/>
          <w:color w:val="auto"/>
        </w:rPr>
      </w:pPr>
    </w:p>
    <w:p>
      <w:pPr>
        <w:ind w:left="628" w:hanging="304"/>
        <w:spacing w:after="0"/>
        <w:tabs>
          <w:tab w:leader="none" w:pos="628" w:val="left"/>
        </w:tabs>
        <w:numPr>
          <w:ilvl w:val="0"/>
          <w:numId w:val="61"/>
        </w:numPr>
        <w:rPr>
          <w:rFonts w:ascii="Times New Roman" w:cs="Times New Roman" w:eastAsia="Times New Roman" w:hAnsi="Times New Roman"/>
          <w:sz w:val="20"/>
          <w:szCs w:val="20"/>
          <w:color w:val="auto"/>
        </w:rPr>
      </w:pPr>
      <w:r>
        <w:rPr>
          <w:rFonts w:ascii="Calibri" w:cs="Calibri" w:eastAsia="Calibri" w:hAnsi="Calibri"/>
          <w:sz w:val="20"/>
          <w:szCs w:val="20"/>
          <w:color w:val="auto"/>
        </w:rPr>
        <w:t>All Executve Ofcers,</w:t>
      </w:r>
    </w:p>
    <w:p>
      <w:pPr>
        <w:spacing w:after="0" w:line="130" w:lineRule="exact"/>
        <w:rPr>
          <w:rFonts w:ascii="Times New Roman" w:cs="Times New Roman" w:eastAsia="Times New Roman" w:hAnsi="Times New Roman"/>
          <w:sz w:val="20"/>
          <w:szCs w:val="20"/>
          <w:color w:val="auto"/>
        </w:rPr>
      </w:pPr>
    </w:p>
    <w:p>
      <w:pPr>
        <w:ind w:left="648" w:right="120" w:hanging="324"/>
        <w:spacing w:after="0" w:line="228" w:lineRule="auto"/>
        <w:tabs>
          <w:tab w:leader="none" w:pos="636" w:val="left"/>
        </w:tabs>
        <w:numPr>
          <w:ilvl w:val="0"/>
          <w:numId w:val="61"/>
        </w:numPr>
        <w:rPr>
          <w:rFonts w:ascii="Times New Roman" w:cs="Times New Roman" w:eastAsia="Times New Roman" w:hAnsi="Times New Roman"/>
          <w:sz w:val="20"/>
          <w:szCs w:val="20"/>
          <w:color w:val="auto"/>
        </w:rPr>
      </w:pPr>
      <w:r>
        <w:rPr>
          <w:rFonts w:ascii="Calibri" w:cs="Calibri" w:eastAsia="Calibri" w:hAnsi="Calibri"/>
          <w:sz w:val="20"/>
          <w:szCs w:val="20"/>
          <w:color w:val="auto"/>
        </w:rPr>
        <w:t xml:space="preserve">Certain employees and contractors of Broadcom who have or are likely to have access to MNPI in the normal course of their dutes, </w:t>
      </w:r>
      <w:r>
        <w:rPr>
          <w:rFonts w:ascii="Calibri" w:cs="Calibri" w:eastAsia="Calibri" w:hAnsi="Calibri"/>
          <w:sz w:val="20"/>
          <w:szCs w:val="20"/>
          <w:u w:val="single" w:color="auto"/>
          <w:color w:val="auto"/>
        </w:rPr>
        <w:t>and</w:t>
      </w:r>
    </w:p>
    <w:p>
      <w:pPr>
        <w:spacing w:after="0" w:line="120" w:lineRule="exact"/>
        <w:rPr>
          <w:rFonts w:ascii="Times New Roman" w:cs="Times New Roman" w:eastAsia="Times New Roman" w:hAnsi="Times New Roman"/>
          <w:sz w:val="20"/>
          <w:szCs w:val="20"/>
          <w:color w:val="auto"/>
        </w:rPr>
      </w:pPr>
    </w:p>
    <w:p>
      <w:pPr>
        <w:ind w:left="628" w:hanging="304"/>
        <w:spacing w:after="0"/>
        <w:tabs>
          <w:tab w:leader="none" w:pos="628" w:val="left"/>
        </w:tabs>
        <w:numPr>
          <w:ilvl w:val="0"/>
          <w:numId w:val="61"/>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Related Persons of the individuals listed above.</w:t>
      </w:r>
    </w:p>
    <w:p>
      <w:pPr>
        <w:spacing w:after="0" w:line="117" w:lineRule="exact"/>
        <w:rPr>
          <w:sz w:val="20"/>
          <w:szCs w:val="20"/>
          <w:color w:val="auto"/>
        </w:rPr>
      </w:pPr>
    </w:p>
    <w:p>
      <w:pPr>
        <w:ind w:left="8" w:right="220"/>
        <w:spacing w:after="0" w:line="228" w:lineRule="auto"/>
        <w:rPr>
          <w:sz w:val="20"/>
          <w:szCs w:val="20"/>
          <w:color w:val="auto"/>
        </w:rPr>
      </w:pPr>
      <w:r>
        <w:rPr>
          <w:rFonts w:ascii="Calibri" w:cs="Calibri" w:eastAsia="Calibri" w:hAnsi="Calibri"/>
          <w:sz w:val="20"/>
          <w:szCs w:val="20"/>
          <w:color w:val="auto"/>
        </w:rPr>
        <w:t>Broadcom’s Legal Team will notfy you via email if you are a Covered Person prior to the closure of the Trading Window (as defned below).</w:t>
      </w:r>
    </w:p>
    <w:p>
      <w:pPr>
        <w:spacing w:after="0" w:line="107" w:lineRule="exact"/>
        <w:rPr>
          <w:sz w:val="20"/>
          <w:szCs w:val="20"/>
          <w:color w:val="auto"/>
        </w:rPr>
      </w:pPr>
    </w:p>
    <w:p>
      <w:pPr>
        <w:ind w:left="8"/>
        <w:spacing w:after="0"/>
        <w:rPr>
          <w:sz w:val="20"/>
          <w:szCs w:val="20"/>
          <w:color w:val="auto"/>
        </w:rPr>
      </w:pPr>
      <w:r>
        <w:rPr>
          <w:rFonts w:ascii="Calibri" w:cs="Calibri" w:eastAsia="Calibri" w:hAnsi="Calibri"/>
          <w:sz w:val="20"/>
          <w:szCs w:val="20"/>
          <w:color w:val="auto"/>
        </w:rPr>
        <w:t>Broadcom’s Compliance Ofcer may extend or shorten the Trading Window as he or she deems appropriate.</w:t>
      </w:r>
    </w:p>
    <w:p>
      <w:pPr>
        <w:spacing w:after="0" w:line="103" w:lineRule="exact"/>
        <w:rPr>
          <w:sz w:val="20"/>
          <w:szCs w:val="20"/>
          <w:color w:val="auto"/>
        </w:rPr>
      </w:pPr>
    </w:p>
    <w:p>
      <w:pPr>
        <w:ind w:left="8" w:right="580"/>
        <w:spacing w:after="0" w:line="234" w:lineRule="auto"/>
        <w:rPr>
          <w:sz w:val="20"/>
          <w:szCs w:val="20"/>
          <w:color w:val="auto"/>
        </w:rPr>
      </w:pPr>
      <w:r>
        <w:rPr>
          <w:rFonts w:ascii="Calibri" w:cs="Calibri" w:eastAsia="Calibri" w:hAnsi="Calibri"/>
          <w:sz w:val="20"/>
          <w:szCs w:val="20"/>
          <w:b w:val="1"/>
          <w:bCs w:val="1"/>
          <w:color w:val="auto"/>
        </w:rPr>
        <w:t xml:space="preserve">If you have or are aware of MNPI about Broadcom, you may </w:t>
      </w:r>
      <w:r>
        <w:rPr>
          <w:rFonts w:ascii="Calibri" w:cs="Calibri" w:eastAsia="Calibri" w:hAnsi="Calibri"/>
          <w:sz w:val="20"/>
          <w:szCs w:val="20"/>
          <w:b w:val="1"/>
          <w:bCs w:val="1"/>
          <w:u w:val="single" w:color="auto"/>
          <w:color w:val="auto"/>
        </w:rPr>
        <w:t>not</w:t>
      </w:r>
      <w:r>
        <w:rPr>
          <w:rFonts w:ascii="Calibri" w:cs="Calibri" w:eastAsia="Calibri" w:hAnsi="Calibri"/>
          <w:sz w:val="20"/>
          <w:szCs w:val="20"/>
          <w:b w:val="1"/>
          <w:bCs w:val="1"/>
          <w:color w:val="auto"/>
        </w:rPr>
        <w:t xml:space="preserve"> Trade in Broadcom securites even if you are not deemed a Covered Person</w:t>
      </w:r>
      <w:r>
        <w:rPr>
          <w:rFonts w:ascii="Calibri" w:cs="Calibri" w:eastAsia="Calibri" w:hAnsi="Calibri"/>
          <w:sz w:val="20"/>
          <w:szCs w:val="20"/>
          <w:color w:val="auto"/>
        </w:rPr>
        <w:t>.</w:t>
      </w:r>
    </w:p>
    <w:p>
      <w:pPr>
        <w:spacing w:after="0" w:line="95" w:lineRule="exact"/>
        <w:rPr>
          <w:sz w:val="20"/>
          <w:szCs w:val="20"/>
          <w:color w:val="auto"/>
        </w:rPr>
      </w:pPr>
    </w:p>
    <w:p>
      <w:pPr>
        <w:ind w:left="328"/>
        <w:spacing w:after="0"/>
        <w:rPr>
          <w:sz w:val="20"/>
          <w:szCs w:val="20"/>
          <w:color w:val="auto"/>
        </w:rPr>
      </w:pPr>
      <w:r>
        <w:rPr>
          <w:rFonts w:ascii="Calibri" w:cs="Calibri" w:eastAsia="Calibri" w:hAnsi="Calibri"/>
          <w:sz w:val="23"/>
          <w:szCs w:val="23"/>
          <w:b w:val="1"/>
          <w:bCs w:val="1"/>
          <w:color w:val="C00000"/>
        </w:rPr>
        <w:t>B. Quarterly Trading Window Closure Period</w:t>
      </w:r>
    </w:p>
    <w:p>
      <w:pPr>
        <w:spacing w:after="0" w:line="120" w:lineRule="exact"/>
        <w:rPr>
          <w:sz w:val="20"/>
          <w:szCs w:val="20"/>
          <w:color w:val="auto"/>
        </w:rPr>
      </w:pPr>
    </w:p>
    <w:p>
      <w:pPr>
        <w:ind w:left="8" w:right="540"/>
        <w:spacing w:after="0" w:line="234" w:lineRule="auto"/>
        <w:rPr>
          <w:sz w:val="20"/>
          <w:szCs w:val="20"/>
          <w:color w:val="auto"/>
        </w:rPr>
      </w:pPr>
      <w:r>
        <w:rPr>
          <w:rFonts w:ascii="Calibri" w:cs="Calibri" w:eastAsia="Calibri" w:hAnsi="Calibri"/>
          <w:sz w:val="20"/>
          <w:szCs w:val="20"/>
          <w:color w:val="auto"/>
        </w:rPr>
        <w:t xml:space="preserve">A Covered Person may Trade Broadcom securites </w:t>
      </w:r>
      <w:r>
        <w:rPr>
          <w:rFonts w:ascii="Calibri" w:cs="Calibri" w:eastAsia="Calibri" w:hAnsi="Calibri"/>
          <w:sz w:val="20"/>
          <w:szCs w:val="20"/>
          <w:b w:val="1"/>
          <w:bCs w:val="1"/>
          <w:u w:val="single" w:color="auto"/>
          <w:color w:val="auto"/>
        </w:rPr>
        <w:t>only</w:t>
      </w:r>
      <w:r>
        <w:rPr>
          <w:rFonts w:ascii="Calibri" w:cs="Calibri" w:eastAsia="Calibri" w:hAnsi="Calibri"/>
          <w:sz w:val="20"/>
          <w:szCs w:val="20"/>
          <w:color w:val="auto"/>
        </w:rPr>
        <w:t xml:space="preserve"> during a certain period of days (“</w:t>
      </w:r>
      <w:r>
        <w:rPr>
          <w:rFonts w:ascii="Calibri" w:cs="Calibri" w:eastAsia="Calibri" w:hAnsi="Calibri"/>
          <w:sz w:val="20"/>
          <w:szCs w:val="20"/>
          <w:b w:val="1"/>
          <w:bCs w:val="1"/>
          <w:i w:val="1"/>
          <w:iCs w:val="1"/>
          <w:color w:val="auto"/>
        </w:rPr>
        <w:t>Trading Window</w:t>
      </w:r>
      <w:r>
        <w:rPr>
          <w:rFonts w:ascii="Calibri" w:cs="Calibri" w:eastAsia="Calibri" w:hAnsi="Calibri"/>
          <w:sz w:val="20"/>
          <w:szCs w:val="20"/>
          <w:color w:val="auto"/>
        </w:rPr>
        <w:t>”), provided that such Covered Person does not have MNPI and, if applicable, has received clearance for the Trade in accordance with this Policy.</w:t>
      </w:r>
    </w:p>
    <w:p>
      <w:pPr>
        <w:spacing w:after="0" w:line="104" w:lineRule="exact"/>
        <w:rPr>
          <w:sz w:val="20"/>
          <w:szCs w:val="20"/>
          <w:color w:val="auto"/>
        </w:rPr>
      </w:pPr>
    </w:p>
    <w:p>
      <w:pPr>
        <w:ind w:left="8"/>
        <w:spacing w:after="0" w:line="234" w:lineRule="auto"/>
        <w:rPr>
          <w:sz w:val="20"/>
          <w:szCs w:val="20"/>
          <w:color w:val="auto"/>
        </w:rPr>
      </w:pPr>
      <w:r>
        <w:rPr>
          <w:rFonts w:ascii="Calibri" w:cs="Calibri" w:eastAsia="Calibri" w:hAnsi="Calibri"/>
          <w:sz w:val="20"/>
          <w:szCs w:val="20"/>
          <w:color w:val="auto"/>
        </w:rPr>
        <w:t xml:space="preserve">For Covered Persons, the Trading Window </w:t>
      </w:r>
      <w:r>
        <w:rPr>
          <w:rFonts w:ascii="Calibri" w:cs="Calibri" w:eastAsia="Calibri" w:hAnsi="Calibri"/>
          <w:sz w:val="20"/>
          <w:szCs w:val="20"/>
          <w:b w:val="1"/>
          <w:bCs w:val="1"/>
          <w:u w:val="single" w:color="auto"/>
          <w:color w:val="auto"/>
        </w:rPr>
        <w:t>opens</w:t>
      </w:r>
      <w:r>
        <w:rPr>
          <w:rFonts w:ascii="Calibri" w:cs="Calibri" w:eastAsia="Calibri" w:hAnsi="Calibri"/>
          <w:sz w:val="20"/>
          <w:szCs w:val="20"/>
          <w:color w:val="auto"/>
        </w:rPr>
        <w:t xml:space="preserve"> on the </w:t>
      </w:r>
      <w:r>
        <w:rPr>
          <w:rFonts w:ascii="Calibri" w:cs="Calibri" w:eastAsia="Calibri" w:hAnsi="Calibri"/>
          <w:sz w:val="20"/>
          <w:szCs w:val="20"/>
          <w:b w:val="1"/>
          <w:bCs w:val="1"/>
          <w:u w:val="single" w:color="auto"/>
          <w:color w:val="auto"/>
        </w:rPr>
        <w:t>third</w:t>
      </w:r>
      <w:r>
        <w:rPr>
          <w:rFonts w:ascii="Calibri" w:cs="Calibri" w:eastAsia="Calibri" w:hAnsi="Calibri"/>
          <w:sz w:val="20"/>
          <w:szCs w:val="20"/>
          <w:color w:val="auto"/>
        </w:rPr>
        <w:t xml:space="preserve"> full trading day afer Broadcom releases its fnancial earnings and </w:t>
      </w:r>
      <w:r>
        <w:rPr>
          <w:rFonts w:ascii="Calibri" w:cs="Calibri" w:eastAsia="Calibri" w:hAnsi="Calibri"/>
          <w:sz w:val="20"/>
          <w:szCs w:val="20"/>
          <w:b w:val="1"/>
          <w:bCs w:val="1"/>
          <w:u w:val="single" w:color="auto"/>
          <w:color w:val="auto"/>
        </w:rPr>
        <w:t>closes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at the end of regular trading of Broadcom stock on the Friday prior to the last three weeks of each fscal quarter.</w:t>
      </w:r>
    </w:p>
    <w:p>
      <w:pPr>
        <w:spacing w:after="0" w:line="109" w:lineRule="exact"/>
        <w:rPr>
          <w:sz w:val="20"/>
          <w:szCs w:val="20"/>
          <w:color w:val="auto"/>
        </w:rPr>
      </w:pPr>
    </w:p>
    <w:p>
      <w:pPr>
        <w:ind w:left="328"/>
        <w:spacing w:after="0"/>
        <w:rPr>
          <w:sz w:val="20"/>
          <w:szCs w:val="20"/>
          <w:color w:val="auto"/>
        </w:rPr>
      </w:pPr>
      <w:r>
        <w:rPr>
          <w:rFonts w:ascii="Calibri" w:cs="Calibri" w:eastAsia="Calibri" w:hAnsi="Calibri"/>
          <w:sz w:val="23"/>
          <w:szCs w:val="23"/>
          <w:b w:val="1"/>
          <w:bCs w:val="1"/>
          <w:color w:val="C00000"/>
        </w:rPr>
        <w:t>C. Special Trading Window Closure Period</w:t>
      </w:r>
    </w:p>
    <w:p>
      <w:pPr>
        <w:spacing w:after="0" w:line="107" w:lineRule="exact"/>
        <w:rPr>
          <w:sz w:val="20"/>
          <w:szCs w:val="20"/>
          <w:color w:val="auto"/>
        </w:rPr>
      </w:pPr>
    </w:p>
    <w:p>
      <w:pPr>
        <w:ind w:left="8" w:right="280"/>
        <w:spacing w:after="0" w:line="236" w:lineRule="auto"/>
        <w:rPr>
          <w:sz w:val="20"/>
          <w:szCs w:val="20"/>
          <w:color w:val="auto"/>
        </w:rPr>
      </w:pPr>
      <w:r>
        <w:rPr>
          <w:rFonts w:ascii="Calibri" w:cs="Calibri" w:eastAsia="Calibri" w:hAnsi="Calibri"/>
          <w:sz w:val="20"/>
          <w:szCs w:val="20"/>
          <w:color w:val="auto"/>
        </w:rPr>
        <w:t>The Compliance Ofcer may also suspend Trading in Broadcom securites for some or all Insiders, from tme to tme, as he or she deems appropriate (a “</w:t>
      </w:r>
      <w:r>
        <w:rPr>
          <w:rFonts w:ascii="Calibri" w:cs="Calibri" w:eastAsia="Calibri" w:hAnsi="Calibri"/>
          <w:sz w:val="20"/>
          <w:szCs w:val="20"/>
          <w:b w:val="1"/>
          <w:bCs w:val="1"/>
          <w:i w:val="1"/>
          <w:iCs w:val="1"/>
          <w:color w:val="auto"/>
        </w:rPr>
        <w:t>Special Trading Window Closure Period</w:t>
      </w:r>
      <w:r>
        <w:rPr>
          <w:rFonts w:ascii="Calibri" w:cs="Calibri" w:eastAsia="Calibri" w:hAnsi="Calibri"/>
          <w:sz w:val="20"/>
          <w:szCs w:val="20"/>
          <w:color w:val="auto"/>
        </w:rPr>
        <w:t>” and together with a quarterly closed Trading Window, a “</w:t>
      </w:r>
      <w:r>
        <w:rPr>
          <w:rFonts w:ascii="Calibri" w:cs="Calibri" w:eastAsia="Calibri" w:hAnsi="Calibri"/>
          <w:sz w:val="20"/>
          <w:szCs w:val="20"/>
          <w:b w:val="1"/>
          <w:bCs w:val="1"/>
          <w:i w:val="1"/>
          <w:iCs w:val="1"/>
          <w:color w:val="auto"/>
        </w:rPr>
        <w:t>Trading</w:t>
      </w:r>
      <w:r>
        <w:rPr>
          <w:rFonts w:ascii="Calibri" w:cs="Calibri" w:eastAsia="Calibri" w:hAnsi="Calibri"/>
          <w:sz w:val="20"/>
          <w:szCs w:val="20"/>
          <w:color w:val="auto"/>
        </w:rPr>
        <w:t xml:space="preserve"> </w:t>
      </w:r>
      <w:r>
        <w:rPr>
          <w:rFonts w:ascii="Calibri" w:cs="Calibri" w:eastAsia="Calibri" w:hAnsi="Calibri"/>
          <w:sz w:val="20"/>
          <w:szCs w:val="20"/>
          <w:b w:val="1"/>
          <w:bCs w:val="1"/>
          <w:i w:val="1"/>
          <w:iCs w:val="1"/>
          <w:color w:val="auto"/>
        </w:rPr>
        <w:t>Window Closure Period</w:t>
      </w:r>
      <w:r>
        <w:rPr>
          <w:rFonts w:ascii="Calibri" w:cs="Calibri" w:eastAsia="Calibri" w:hAnsi="Calibri"/>
          <w:sz w:val="20"/>
          <w:szCs w:val="20"/>
          <w:color w:val="auto"/>
        </w:rPr>
        <w:t>”), and need not provide any reason for such suspension.</w:t>
      </w:r>
    </w:p>
    <w:p>
      <w:pPr>
        <w:spacing w:after="0" w:line="94" w:lineRule="exact"/>
        <w:rPr>
          <w:sz w:val="20"/>
          <w:szCs w:val="20"/>
          <w:color w:val="auto"/>
        </w:rPr>
      </w:pPr>
    </w:p>
    <w:p>
      <w:pPr>
        <w:ind w:left="8"/>
        <w:spacing w:after="0"/>
        <w:rPr>
          <w:sz w:val="20"/>
          <w:szCs w:val="20"/>
          <w:color w:val="auto"/>
        </w:rPr>
      </w:pPr>
      <w:r>
        <w:rPr>
          <w:rFonts w:ascii="Calibri" w:cs="Calibri" w:eastAsia="Calibri" w:hAnsi="Calibri"/>
          <w:sz w:val="20"/>
          <w:szCs w:val="20"/>
          <w:color w:val="auto"/>
        </w:rPr>
        <w:t>You will be notfed via email by the Legal Team if you are subject to a Special Trading Window Closure Period.</w:t>
      </w:r>
    </w:p>
    <w:p>
      <w:pPr>
        <w:spacing w:after="0" w:line="117" w:lineRule="exact"/>
        <w:rPr>
          <w:sz w:val="20"/>
          <w:szCs w:val="20"/>
          <w:color w:val="auto"/>
        </w:rPr>
      </w:pPr>
    </w:p>
    <w:p>
      <w:pPr>
        <w:ind w:left="8" w:right="260"/>
        <w:spacing w:after="0" w:line="228" w:lineRule="auto"/>
        <w:rPr>
          <w:sz w:val="20"/>
          <w:szCs w:val="20"/>
          <w:color w:val="auto"/>
        </w:rPr>
      </w:pPr>
      <w:r>
        <w:rPr>
          <w:rFonts w:ascii="Calibri" w:cs="Calibri" w:eastAsia="Calibri" w:hAnsi="Calibri"/>
          <w:sz w:val="20"/>
          <w:szCs w:val="20"/>
          <w:color w:val="auto"/>
        </w:rPr>
        <w:t>The impositon of a Special Trading Window Closure Period is itself confdental informaton, and the fact that it has been imposed may not be disclosed to others.</w:t>
      </w:r>
    </w:p>
    <w:p>
      <w:pPr>
        <w:spacing w:after="0" w:line="384" w:lineRule="exact"/>
        <w:rPr>
          <w:sz w:val="20"/>
          <w:szCs w:val="20"/>
          <w:color w:val="auto"/>
        </w:rPr>
      </w:pPr>
    </w:p>
    <w:p>
      <w:pPr>
        <w:ind w:left="2228"/>
        <w:spacing w:after="0"/>
        <w:tabs>
          <w:tab w:leader="none" w:pos="6508" w:val="left"/>
        </w:tabs>
        <w:rPr>
          <w:sz w:val="20"/>
          <w:szCs w:val="20"/>
          <w:color w:val="auto"/>
        </w:rPr>
      </w:pPr>
      <w:r>
        <w:rPr>
          <w:rFonts w:ascii="Calibri" w:cs="Calibri" w:eastAsia="Calibri" w:hAnsi="Calibri"/>
          <w:sz w:val="18"/>
          <w:szCs w:val="18"/>
          <w:color w:val="auto"/>
        </w:rPr>
        <w:t>Broadcom Insider Trading Compliance Policy</w:t>
      </w:r>
      <w:r>
        <w:rPr>
          <w:sz w:val="20"/>
          <w:szCs w:val="20"/>
          <w:color w:val="auto"/>
        </w:rPr>
        <w:tab/>
      </w:r>
      <w:r>
        <w:rPr>
          <w:rFonts w:ascii="Calibri" w:cs="Calibri" w:eastAsia="Calibri" w:hAnsi="Calibri"/>
          <w:sz w:val="17"/>
          <w:szCs w:val="17"/>
          <w:color w:val="auto"/>
        </w:rPr>
        <w:t>Updated: December 2024</w:t>
      </w:r>
    </w:p>
    <w:p>
      <w:pPr>
        <w:jc w:val="center"/>
        <w:ind w:right="312"/>
        <w:spacing w:after="0" w:line="229" w:lineRule="auto"/>
        <w:rPr>
          <w:sz w:val="20"/>
          <w:szCs w:val="20"/>
          <w:color w:val="auto"/>
        </w:rPr>
      </w:pPr>
      <w:r>
        <w:rPr>
          <w:rFonts w:ascii="Calibri" w:cs="Calibri" w:eastAsia="Calibri" w:hAnsi="Calibri"/>
          <w:sz w:val="20"/>
          <w:szCs w:val="20"/>
          <w:color w:val="auto"/>
        </w:rPr>
        <w:t>3</w:t>
      </w:r>
    </w:p>
    <w:p>
      <w:pPr>
        <w:sectPr>
          <w:pgSz w:w="11900" w:h="16838" w:orient="portrait"/>
          <w:cols w:equalWidth="0" w:num="1">
            <w:col w:w="10908"/>
          </w:cols>
          <w:pgMar w:left="652" w:top="1059" w:right="339" w:bottom="1440" w:gutter="0" w:footer="0" w:header="0"/>
        </w:sectPr>
      </w:pPr>
    </w:p>
    <w:bookmarkStart w:id="113" w:name="page114"/>
    <w:bookmarkEnd w:id="113"/>
    <w:p>
      <w:pPr>
        <w:ind w:left="368"/>
        <w:spacing w:after="0"/>
        <w:rPr>
          <w:sz w:val="20"/>
          <w:szCs w:val="20"/>
          <w:color w:val="auto"/>
        </w:rPr>
      </w:pPr>
      <w:r>
        <w:rPr>
          <w:rFonts w:ascii="Calibri" w:cs="Calibri" w:eastAsia="Calibri" w:hAnsi="Calibri"/>
          <w:sz w:val="23"/>
          <w:szCs w:val="23"/>
          <w:b w:val="1"/>
          <w:bCs w:val="1"/>
          <w:color w:val="C00000"/>
        </w:rPr>
        <w:t>D. Post‐Employment or Service Transactons</w:t>
      </w:r>
    </w:p>
    <w:p>
      <w:pPr>
        <w:spacing w:after="0" w:line="120" w:lineRule="exact"/>
        <w:rPr>
          <w:sz w:val="20"/>
          <w:szCs w:val="20"/>
          <w:color w:val="auto"/>
        </w:rPr>
      </w:pPr>
    </w:p>
    <w:p>
      <w:pPr>
        <w:ind w:left="8"/>
        <w:spacing w:after="0" w:line="228" w:lineRule="auto"/>
        <w:rPr>
          <w:sz w:val="20"/>
          <w:szCs w:val="20"/>
          <w:color w:val="auto"/>
        </w:rPr>
      </w:pPr>
      <w:r>
        <w:rPr>
          <w:rFonts w:ascii="Calibri" w:cs="Calibri" w:eastAsia="Calibri" w:hAnsi="Calibri"/>
          <w:sz w:val="20"/>
          <w:szCs w:val="20"/>
          <w:color w:val="auto"/>
        </w:rPr>
        <w:t>If a Covered Person’s employment or service terminates during a Trading Window Closure Period, the Covered Person will contnue to be subject to the Trading Window Closure Period untl the Trading Window Closure Period ends, unless notfed by the Legal Team.</w:t>
      </w:r>
    </w:p>
    <w:p>
      <w:pPr>
        <w:spacing w:after="0" w:line="100" w:lineRule="exact"/>
        <w:rPr>
          <w:sz w:val="20"/>
          <w:szCs w:val="20"/>
          <w:color w:val="auto"/>
        </w:rPr>
      </w:pPr>
    </w:p>
    <w:p>
      <w:pPr>
        <w:ind w:left="328" w:hanging="328"/>
        <w:spacing w:after="0"/>
        <w:tabs>
          <w:tab w:leader="none" w:pos="328" w:val="left"/>
        </w:tabs>
        <w:numPr>
          <w:ilvl w:val="0"/>
          <w:numId w:val="62"/>
        </w:numPr>
        <w:rPr>
          <w:rFonts w:ascii="Calibri" w:cs="Calibri" w:eastAsia="Calibri" w:hAnsi="Calibri"/>
          <w:sz w:val="25"/>
          <w:szCs w:val="25"/>
          <w:b w:val="1"/>
          <w:bCs w:val="1"/>
          <w:color w:val="C00000"/>
        </w:rPr>
      </w:pPr>
      <w:r>
        <w:rPr>
          <w:rFonts w:ascii="Calibri" w:cs="Calibri" w:eastAsia="Calibri" w:hAnsi="Calibri"/>
          <w:sz w:val="25"/>
          <w:szCs w:val="25"/>
          <w:b w:val="1"/>
          <w:bCs w:val="1"/>
          <w:u w:val="single" w:color="auto"/>
          <w:color w:val="C00000"/>
        </w:rPr>
        <w:t>PRE‐CLEARANCE PROCESS FOR “RESTRICTED PERSONS”</w:t>
      </w:r>
    </w:p>
    <w:p>
      <w:pPr>
        <w:spacing w:after="0" w:line="116" w:lineRule="exact"/>
        <w:rPr>
          <w:sz w:val="20"/>
          <w:szCs w:val="20"/>
          <w:color w:val="auto"/>
        </w:rPr>
      </w:pPr>
    </w:p>
    <w:p>
      <w:pPr>
        <w:ind w:left="8" w:right="80"/>
        <w:spacing w:after="0" w:line="236" w:lineRule="auto"/>
        <w:rPr>
          <w:sz w:val="20"/>
          <w:szCs w:val="20"/>
          <w:color w:val="auto"/>
        </w:rPr>
      </w:pPr>
      <w:r>
        <w:rPr>
          <w:rFonts w:ascii="Calibri" w:cs="Calibri" w:eastAsia="Calibri" w:hAnsi="Calibri"/>
          <w:sz w:val="20"/>
          <w:szCs w:val="20"/>
          <w:color w:val="auto"/>
        </w:rPr>
        <w:t xml:space="preserve">Certain Covered Persons are </w:t>
      </w:r>
      <w:r>
        <w:rPr>
          <w:rFonts w:ascii="Calibri" w:cs="Calibri" w:eastAsia="Calibri" w:hAnsi="Calibri"/>
          <w:sz w:val="20"/>
          <w:szCs w:val="20"/>
          <w:b w:val="1"/>
          <w:bCs w:val="1"/>
          <w:u w:val="single" w:color="auto"/>
          <w:color w:val="auto"/>
        </w:rPr>
        <w:t>required to pre‐clear</w:t>
      </w:r>
      <w:r>
        <w:rPr>
          <w:rFonts w:ascii="Calibri" w:cs="Calibri" w:eastAsia="Calibri" w:hAnsi="Calibri"/>
          <w:sz w:val="20"/>
          <w:szCs w:val="20"/>
          <w:color w:val="auto"/>
        </w:rPr>
        <w:t xml:space="preserve"> with the Compliance Ofcer all Trades in Broadcom securites, including providing any gif or donaton of Broadcom securites (“</w:t>
      </w:r>
      <w:r>
        <w:rPr>
          <w:rFonts w:ascii="Calibri" w:cs="Calibri" w:eastAsia="Calibri" w:hAnsi="Calibri"/>
          <w:sz w:val="20"/>
          <w:szCs w:val="20"/>
          <w:b w:val="1"/>
          <w:bCs w:val="1"/>
          <w:i w:val="1"/>
          <w:iCs w:val="1"/>
          <w:color w:val="auto"/>
        </w:rPr>
        <w:t>Restricted Person</w:t>
      </w:r>
      <w:r>
        <w:rPr>
          <w:rFonts w:ascii="Calibri" w:cs="Calibri" w:eastAsia="Calibri" w:hAnsi="Calibri"/>
          <w:sz w:val="20"/>
          <w:szCs w:val="20"/>
          <w:color w:val="auto"/>
        </w:rPr>
        <w:t>”), unless such Trades are part of an approved Trading Plan (defned below).</w:t>
      </w:r>
    </w:p>
    <w:p>
      <w:pPr>
        <w:spacing w:after="0" w:line="94" w:lineRule="exact"/>
        <w:rPr>
          <w:sz w:val="20"/>
          <w:szCs w:val="20"/>
          <w:color w:val="auto"/>
        </w:rPr>
      </w:pPr>
    </w:p>
    <w:p>
      <w:pPr>
        <w:ind w:left="8"/>
        <w:spacing w:after="0"/>
        <w:rPr>
          <w:sz w:val="20"/>
          <w:szCs w:val="20"/>
          <w:color w:val="auto"/>
        </w:rPr>
      </w:pPr>
      <w:r>
        <w:rPr>
          <w:rFonts w:ascii="Calibri" w:cs="Calibri" w:eastAsia="Calibri" w:hAnsi="Calibri"/>
          <w:sz w:val="20"/>
          <w:szCs w:val="20"/>
          <w:color w:val="auto"/>
        </w:rPr>
        <w:t>The Legal Team will notfy you via email each quarter if you are a Restricted Person.</w:t>
      </w:r>
    </w:p>
    <w:p>
      <w:pPr>
        <w:spacing w:after="0" w:line="107" w:lineRule="exact"/>
        <w:rPr>
          <w:sz w:val="20"/>
          <w:szCs w:val="20"/>
          <w:color w:val="auto"/>
        </w:rPr>
      </w:pPr>
    </w:p>
    <w:p>
      <w:pPr>
        <w:ind w:left="328"/>
        <w:spacing w:after="0"/>
        <w:rPr>
          <w:sz w:val="20"/>
          <w:szCs w:val="20"/>
          <w:color w:val="auto"/>
        </w:rPr>
      </w:pPr>
      <w:r>
        <w:rPr>
          <w:rFonts w:ascii="Calibri" w:cs="Calibri" w:eastAsia="Calibri" w:hAnsi="Calibri"/>
          <w:sz w:val="23"/>
          <w:szCs w:val="23"/>
          <w:b w:val="1"/>
          <w:bCs w:val="1"/>
          <w:color w:val="C00000"/>
        </w:rPr>
        <w:t>A. Pre‐Clearance of Trades by Restricted Persons</w:t>
      </w:r>
    </w:p>
    <w:p>
      <w:pPr>
        <w:spacing w:after="0" w:line="110" w:lineRule="exact"/>
        <w:rPr>
          <w:sz w:val="20"/>
          <w:szCs w:val="20"/>
          <w:color w:val="auto"/>
        </w:rPr>
      </w:pPr>
    </w:p>
    <w:p>
      <w:pPr>
        <w:ind w:left="8"/>
        <w:spacing w:after="0"/>
        <w:rPr>
          <w:sz w:val="20"/>
          <w:szCs w:val="20"/>
          <w:color w:val="auto"/>
        </w:rPr>
      </w:pPr>
      <w:r>
        <w:rPr>
          <w:rFonts w:ascii="Calibri" w:cs="Calibri" w:eastAsia="Calibri" w:hAnsi="Calibri"/>
          <w:sz w:val="20"/>
          <w:szCs w:val="20"/>
          <w:color w:val="auto"/>
        </w:rPr>
        <w:t>All Trades in Broadcom securites by Restricted Persons and their Related Persons must be pre‐cleared by the Compliance Ofcer.</w:t>
      </w:r>
    </w:p>
    <w:p>
      <w:pPr>
        <w:spacing w:after="0" w:line="93" w:lineRule="exact"/>
        <w:rPr>
          <w:sz w:val="20"/>
          <w:szCs w:val="20"/>
          <w:color w:val="auto"/>
        </w:rPr>
      </w:pPr>
    </w:p>
    <w:p>
      <w:pPr>
        <w:ind w:left="8"/>
        <w:spacing w:after="0"/>
        <w:rPr>
          <w:sz w:val="20"/>
          <w:szCs w:val="20"/>
          <w:color w:val="auto"/>
        </w:rPr>
      </w:pPr>
      <w:r>
        <w:rPr>
          <w:rFonts w:ascii="Calibri" w:cs="Calibri" w:eastAsia="Calibri" w:hAnsi="Calibri"/>
          <w:sz w:val="20"/>
          <w:szCs w:val="20"/>
          <w:color w:val="auto"/>
        </w:rPr>
        <w:t>Pre‐clearance requests by the Compliance Ofcer are submited to the Chief Financial Ofcer for approval.</w:t>
      </w:r>
    </w:p>
    <w:p>
      <w:pPr>
        <w:spacing w:after="0" w:line="107" w:lineRule="exact"/>
        <w:rPr>
          <w:sz w:val="20"/>
          <w:szCs w:val="20"/>
          <w:color w:val="auto"/>
        </w:rPr>
      </w:pPr>
    </w:p>
    <w:p>
      <w:pPr>
        <w:ind w:left="328"/>
        <w:spacing w:after="0"/>
        <w:rPr>
          <w:sz w:val="20"/>
          <w:szCs w:val="20"/>
          <w:color w:val="auto"/>
        </w:rPr>
      </w:pPr>
      <w:r>
        <w:rPr>
          <w:rFonts w:ascii="Calibri" w:cs="Calibri" w:eastAsia="Calibri" w:hAnsi="Calibri"/>
          <w:sz w:val="23"/>
          <w:szCs w:val="23"/>
          <w:b w:val="1"/>
          <w:bCs w:val="1"/>
          <w:color w:val="C00000"/>
        </w:rPr>
        <w:t>B. Pre‐Clearance Process</w:t>
      </w:r>
    </w:p>
    <w:p>
      <w:pPr>
        <w:spacing w:after="0" w:line="120" w:lineRule="exact"/>
        <w:rPr>
          <w:sz w:val="20"/>
          <w:szCs w:val="20"/>
          <w:color w:val="auto"/>
        </w:rPr>
      </w:pPr>
    </w:p>
    <w:p>
      <w:pPr>
        <w:ind w:left="8" w:right="40"/>
        <w:spacing w:after="0" w:line="231" w:lineRule="auto"/>
        <w:rPr>
          <w:sz w:val="20"/>
          <w:szCs w:val="20"/>
          <w:color w:val="auto"/>
        </w:rPr>
      </w:pPr>
      <w:r>
        <w:rPr>
          <w:rFonts w:ascii="Calibri" w:cs="Calibri" w:eastAsia="Calibri" w:hAnsi="Calibri"/>
          <w:sz w:val="20"/>
          <w:szCs w:val="20"/>
          <w:color w:val="auto"/>
        </w:rPr>
        <w:t>Approval of the pre‐clearance request is in the sole discreton of the Compliance Ofcer, or in the case of the Compliance Ofcer, the Chief Financial Ofcer. If pre‐clearance approval is provided, it only covers transactons that occur four (4) calendar days afer the date of approval.</w:t>
      </w:r>
    </w:p>
    <w:p>
      <w:pPr>
        <w:spacing w:after="0" w:line="89" w:lineRule="exact"/>
        <w:rPr>
          <w:sz w:val="20"/>
          <w:szCs w:val="20"/>
          <w:color w:val="auto"/>
        </w:rPr>
      </w:pPr>
    </w:p>
    <w:p>
      <w:pPr>
        <w:ind w:left="8"/>
        <w:spacing w:after="0"/>
        <w:rPr>
          <w:sz w:val="20"/>
          <w:szCs w:val="20"/>
          <w:color w:val="auto"/>
        </w:rPr>
      </w:pPr>
      <w:r>
        <w:rPr>
          <w:rFonts w:ascii="Calibri" w:cs="Calibri" w:eastAsia="Calibri" w:hAnsi="Calibri"/>
          <w:sz w:val="25"/>
          <w:szCs w:val="25"/>
          <w:b w:val="1"/>
          <w:bCs w:val="1"/>
          <w:color w:val="C00000"/>
        </w:rPr>
        <w:t xml:space="preserve">IV. </w:t>
      </w:r>
      <w:r>
        <w:rPr>
          <w:rFonts w:ascii="Calibri" w:cs="Calibri" w:eastAsia="Calibri" w:hAnsi="Calibri"/>
          <w:sz w:val="25"/>
          <w:szCs w:val="25"/>
          <w:b w:val="1"/>
          <w:bCs w:val="1"/>
          <w:u w:val="single" w:color="auto"/>
          <w:color w:val="C00000"/>
        </w:rPr>
        <w:t>10B5‐1 TRADING PLAN</w:t>
      </w:r>
    </w:p>
    <w:p>
      <w:pPr>
        <w:spacing w:after="0" w:line="120" w:lineRule="exact"/>
        <w:rPr>
          <w:sz w:val="20"/>
          <w:szCs w:val="20"/>
          <w:color w:val="auto"/>
        </w:rPr>
      </w:pPr>
    </w:p>
    <w:p>
      <w:pPr>
        <w:ind w:left="328"/>
        <w:spacing w:after="0"/>
        <w:rPr>
          <w:sz w:val="20"/>
          <w:szCs w:val="20"/>
          <w:color w:val="auto"/>
        </w:rPr>
      </w:pPr>
      <w:r>
        <w:rPr>
          <w:rFonts w:ascii="Calibri" w:cs="Calibri" w:eastAsia="Calibri" w:hAnsi="Calibri"/>
          <w:sz w:val="23"/>
          <w:szCs w:val="23"/>
          <w:b w:val="1"/>
          <w:bCs w:val="1"/>
          <w:color w:val="C00000"/>
        </w:rPr>
        <w:t>A. Adoptng a 10b5‐1 Trading Plan</w:t>
      </w:r>
    </w:p>
    <w:p>
      <w:pPr>
        <w:spacing w:after="0" w:line="120" w:lineRule="exact"/>
        <w:rPr>
          <w:sz w:val="20"/>
          <w:szCs w:val="20"/>
          <w:color w:val="auto"/>
        </w:rPr>
      </w:pPr>
    </w:p>
    <w:p>
      <w:pPr>
        <w:ind w:left="8" w:right="340"/>
        <w:spacing w:after="0" w:line="228" w:lineRule="auto"/>
        <w:rPr>
          <w:sz w:val="20"/>
          <w:szCs w:val="20"/>
          <w:color w:val="auto"/>
        </w:rPr>
      </w:pPr>
      <w:r>
        <w:rPr>
          <w:rFonts w:ascii="Calibri" w:cs="Calibri" w:eastAsia="Calibri" w:hAnsi="Calibri"/>
          <w:sz w:val="20"/>
          <w:szCs w:val="20"/>
          <w:color w:val="auto"/>
        </w:rPr>
        <w:t>Employees, Executve Ofcers and directors of Broadcom may enter into a SEC Rule 10b5‐1 trading plan (a “</w:t>
      </w:r>
      <w:r>
        <w:rPr>
          <w:rFonts w:ascii="Calibri" w:cs="Calibri" w:eastAsia="Calibri" w:hAnsi="Calibri"/>
          <w:sz w:val="20"/>
          <w:szCs w:val="20"/>
          <w:b w:val="1"/>
          <w:bCs w:val="1"/>
          <w:i w:val="1"/>
          <w:iCs w:val="1"/>
          <w:color w:val="auto"/>
        </w:rPr>
        <w:t>Trading Plan</w:t>
      </w:r>
      <w:r>
        <w:rPr>
          <w:rFonts w:ascii="Calibri" w:cs="Calibri" w:eastAsia="Calibri" w:hAnsi="Calibri"/>
          <w:sz w:val="20"/>
          <w:szCs w:val="20"/>
          <w:color w:val="auto"/>
        </w:rPr>
        <w:t>”) that is pre‐approved by the Compliance Ofcer.</w:t>
      </w:r>
    </w:p>
    <w:p>
      <w:pPr>
        <w:spacing w:after="0" w:line="117" w:lineRule="exact"/>
        <w:rPr>
          <w:sz w:val="20"/>
          <w:szCs w:val="20"/>
          <w:color w:val="auto"/>
        </w:rPr>
      </w:pPr>
    </w:p>
    <w:p>
      <w:pPr>
        <w:ind w:left="8" w:right="120"/>
        <w:spacing w:after="0" w:line="228" w:lineRule="auto"/>
        <w:rPr>
          <w:sz w:val="20"/>
          <w:szCs w:val="20"/>
          <w:color w:val="auto"/>
        </w:rPr>
      </w:pPr>
      <w:r>
        <w:rPr>
          <w:rFonts w:ascii="Calibri" w:cs="Calibri" w:eastAsia="Calibri" w:hAnsi="Calibri"/>
          <w:sz w:val="20"/>
          <w:szCs w:val="20"/>
          <w:color w:val="auto"/>
        </w:rPr>
        <w:t>If a Trading Plan is approved and established in good faith pursuant to SEC Rule 10b5‐1 and this Policy, an Insider can buy, sell or gif Broadcom stock under such Trading Plan while in possession of MNPI about Broadcom or during a Trading Window Closure Period.</w:t>
      </w:r>
    </w:p>
    <w:p>
      <w:pPr>
        <w:spacing w:after="0" w:line="117" w:lineRule="exact"/>
        <w:rPr>
          <w:sz w:val="20"/>
          <w:szCs w:val="20"/>
          <w:color w:val="auto"/>
        </w:rPr>
      </w:pPr>
    </w:p>
    <w:p>
      <w:pPr>
        <w:ind w:left="8" w:right="360"/>
        <w:spacing w:after="0" w:line="234" w:lineRule="auto"/>
        <w:rPr>
          <w:sz w:val="20"/>
          <w:szCs w:val="20"/>
          <w:color w:val="auto"/>
        </w:rPr>
      </w:pPr>
      <w:r>
        <w:rPr>
          <w:rFonts w:ascii="Calibri" w:cs="Calibri" w:eastAsia="Calibri" w:hAnsi="Calibri"/>
          <w:sz w:val="20"/>
          <w:szCs w:val="20"/>
          <w:color w:val="auto"/>
        </w:rPr>
        <w:t>All Trading Plans, including modifcatons, must be entered into when you are not in possession of MNPI and only during an open Trading Window period.</w:t>
      </w:r>
    </w:p>
    <w:p>
      <w:pPr>
        <w:spacing w:after="0" w:line="104" w:lineRule="exact"/>
        <w:rPr>
          <w:sz w:val="20"/>
          <w:szCs w:val="20"/>
          <w:color w:val="auto"/>
        </w:rPr>
      </w:pPr>
    </w:p>
    <w:p>
      <w:pPr>
        <w:ind w:left="8" w:right="140"/>
        <w:spacing w:after="0" w:line="234" w:lineRule="auto"/>
        <w:rPr>
          <w:sz w:val="20"/>
          <w:szCs w:val="20"/>
          <w:color w:val="auto"/>
        </w:rPr>
      </w:pPr>
      <w:r>
        <w:rPr>
          <w:rFonts w:ascii="Calibri" w:cs="Calibri" w:eastAsia="Calibri" w:hAnsi="Calibri"/>
          <w:sz w:val="20"/>
          <w:szCs w:val="20"/>
          <w:color w:val="auto"/>
        </w:rPr>
        <w:t>You may only have one (1) Trading Plan in operaton, subject to limited exceptons. In additon, you may not have more than one (1) Trading Plan that covers a single trade within a 12‐month period.</w:t>
      </w:r>
    </w:p>
    <w:p>
      <w:pPr>
        <w:spacing w:after="0" w:line="95" w:lineRule="exact"/>
        <w:rPr>
          <w:sz w:val="20"/>
          <w:szCs w:val="20"/>
          <w:color w:val="auto"/>
        </w:rPr>
      </w:pPr>
    </w:p>
    <w:p>
      <w:pPr>
        <w:ind w:left="328"/>
        <w:spacing w:after="0"/>
        <w:rPr>
          <w:sz w:val="20"/>
          <w:szCs w:val="20"/>
          <w:color w:val="auto"/>
        </w:rPr>
      </w:pPr>
      <w:r>
        <w:rPr>
          <w:rFonts w:ascii="Calibri" w:cs="Calibri" w:eastAsia="Calibri" w:hAnsi="Calibri"/>
          <w:sz w:val="23"/>
          <w:szCs w:val="23"/>
          <w:b w:val="1"/>
          <w:bCs w:val="1"/>
          <w:color w:val="C00000"/>
        </w:rPr>
        <w:t>B. Additonal 10b5‐1 Trading Plan Requirements</w:t>
      </w:r>
    </w:p>
    <w:p>
      <w:pPr>
        <w:spacing w:after="0" w:line="110" w:lineRule="exact"/>
        <w:rPr>
          <w:sz w:val="20"/>
          <w:szCs w:val="20"/>
          <w:color w:val="auto"/>
        </w:rPr>
      </w:pPr>
    </w:p>
    <w:p>
      <w:pPr>
        <w:ind w:left="8"/>
        <w:spacing w:after="0"/>
        <w:rPr>
          <w:sz w:val="20"/>
          <w:szCs w:val="20"/>
          <w:color w:val="auto"/>
        </w:rPr>
      </w:pPr>
      <w:r>
        <w:rPr>
          <w:rFonts w:ascii="Calibri" w:cs="Calibri" w:eastAsia="Calibri" w:hAnsi="Calibri"/>
          <w:sz w:val="20"/>
          <w:szCs w:val="20"/>
          <w:color w:val="auto"/>
        </w:rPr>
        <w:t xml:space="preserve">Each Trading Plan must meet </w:t>
      </w:r>
      <w:r>
        <w:rPr>
          <w:rFonts w:ascii="Calibri" w:cs="Calibri" w:eastAsia="Calibri" w:hAnsi="Calibri"/>
          <w:sz w:val="20"/>
          <w:szCs w:val="20"/>
          <w:b w:val="1"/>
          <w:bCs w:val="1"/>
          <w:u w:val="single" w:color="auto"/>
          <w:color w:val="auto"/>
        </w:rPr>
        <w:t>all</w:t>
      </w:r>
      <w:r>
        <w:rPr>
          <w:rFonts w:ascii="Calibri" w:cs="Calibri" w:eastAsia="Calibri" w:hAnsi="Calibri"/>
          <w:sz w:val="20"/>
          <w:szCs w:val="20"/>
          <w:color w:val="auto"/>
        </w:rPr>
        <w:t xml:space="preserve"> of the following additonal requirements:</w:t>
      </w:r>
    </w:p>
    <w:p>
      <w:pPr>
        <w:spacing w:after="0" w:line="107" w:lineRule="exact"/>
        <w:rPr>
          <w:sz w:val="20"/>
          <w:szCs w:val="20"/>
          <w:color w:val="auto"/>
        </w:rPr>
      </w:pPr>
    </w:p>
    <w:p>
      <w:pPr>
        <w:ind w:left="648" w:hanging="324"/>
        <w:spacing w:after="0"/>
        <w:tabs>
          <w:tab w:leader="none" w:pos="648" w:val="left"/>
        </w:tabs>
        <w:numPr>
          <w:ilvl w:val="0"/>
          <w:numId w:val="63"/>
        </w:numPr>
        <w:rPr>
          <w:rFonts w:ascii="Calibri" w:cs="Calibri" w:eastAsia="Calibri" w:hAnsi="Calibri"/>
          <w:sz w:val="20"/>
          <w:szCs w:val="20"/>
          <w:color w:val="auto"/>
        </w:rPr>
      </w:pPr>
      <w:r>
        <w:rPr>
          <w:rFonts w:ascii="Calibri" w:cs="Calibri" w:eastAsia="Calibri" w:hAnsi="Calibri"/>
          <w:sz w:val="20"/>
          <w:szCs w:val="20"/>
          <w:color w:val="auto"/>
        </w:rPr>
        <w:t xml:space="preserve">Must be </w:t>
      </w:r>
      <w:r>
        <w:rPr>
          <w:rFonts w:ascii="Calibri" w:cs="Calibri" w:eastAsia="Calibri" w:hAnsi="Calibri"/>
          <w:sz w:val="20"/>
          <w:szCs w:val="20"/>
          <w:b w:val="1"/>
          <w:bCs w:val="1"/>
          <w:u w:val="single" w:color="auto"/>
          <w:color w:val="auto"/>
        </w:rPr>
        <w:t>pre‐approved</w:t>
      </w:r>
      <w:r>
        <w:rPr>
          <w:rFonts w:ascii="Calibri" w:cs="Calibri" w:eastAsia="Calibri" w:hAnsi="Calibri"/>
          <w:sz w:val="20"/>
          <w:szCs w:val="20"/>
          <w:color w:val="auto"/>
        </w:rPr>
        <w:t xml:space="preserve"> by the Compliance Ofcer,</w:t>
      </w:r>
    </w:p>
    <w:p>
      <w:pPr>
        <w:spacing w:after="0" w:line="103" w:lineRule="exact"/>
        <w:rPr>
          <w:rFonts w:ascii="Calibri" w:cs="Calibri" w:eastAsia="Calibri" w:hAnsi="Calibri"/>
          <w:sz w:val="20"/>
          <w:szCs w:val="20"/>
          <w:color w:val="auto"/>
        </w:rPr>
      </w:pPr>
    </w:p>
    <w:p>
      <w:pPr>
        <w:ind w:left="648" w:right="320" w:hanging="324"/>
        <w:spacing w:after="0" w:line="234" w:lineRule="auto"/>
        <w:tabs>
          <w:tab w:leader="none" w:pos="648" w:val="left"/>
        </w:tabs>
        <w:numPr>
          <w:ilvl w:val="0"/>
          <w:numId w:val="63"/>
        </w:numPr>
        <w:rPr>
          <w:rFonts w:ascii="Calibri" w:cs="Calibri" w:eastAsia="Calibri" w:hAnsi="Calibri"/>
          <w:sz w:val="20"/>
          <w:szCs w:val="20"/>
          <w:color w:val="auto"/>
        </w:rPr>
      </w:pPr>
      <w:r>
        <w:rPr>
          <w:rFonts w:ascii="Calibri" w:cs="Calibri" w:eastAsia="Calibri" w:hAnsi="Calibri"/>
          <w:sz w:val="20"/>
          <w:szCs w:val="20"/>
          <w:color w:val="auto"/>
        </w:rPr>
        <w:t>For employees and Executve Ofcers of Broadcom, must be executed with Broadcom’s designated broker for Broadcom’s equity plans,</w:t>
      </w:r>
    </w:p>
    <w:p>
      <w:pPr>
        <w:spacing w:after="0" w:line="104" w:lineRule="exact"/>
        <w:rPr>
          <w:rFonts w:ascii="Calibri" w:cs="Calibri" w:eastAsia="Calibri" w:hAnsi="Calibri"/>
          <w:sz w:val="20"/>
          <w:szCs w:val="20"/>
          <w:color w:val="auto"/>
        </w:rPr>
      </w:pPr>
    </w:p>
    <w:p>
      <w:pPr>
        <w:ind w:left="648" w:right="780" w:hanging="324"/>
        <w:spacing w:after="0" w:line="234" w:lineRule="auto"/>
        <w:tabs>
          <w:tab w:leader="none" w:pos="654" w:val="left"/>
        </w:tabs>
        <w:numPr>
          <w:ilvl w:val="0"/>
          <w:numId w:val="63"/>
        </w:numPr>
        <w:rPr>
          <w:rFonts w:ascii="Calibri" w:cs="Calibri" w:eastAsia="Calibri" w:hAnsi="Calibri"/>
          <w:sz w:val="20"/>
          <w:szCs w:val="20"/>
          <w:color w:val="auto"/>
        </w:rPr>
      </w:pPr>
      <w:r>
        <w:rPr>
          <w:rFonts w:ascii="Calibri" w:cs="Calibri" w:eastAsia="Calibri" w:hAnsi="Calibri"/>
          <w:sz w:val="20"/>
          <w:szCs w:val="20"/>
          <w:color w:val="auto"/>
        </w:rPr>
        <w:t>Must be entered into in good faith at a tme you are not aware of any Broadcom MNPI and contain a representaton certfying as to the same,</w:t>
      </w:r>
    </w:p>
    <w:p>
      <w:pPr>
        <w:spacing w:after="0" w:line="108" w:lineRule="exact"/>
        <w:rPr>
          <w:rFonts w:ascii="Calibri" w:cs="Calibri" w:eastAsia="Calibri" w:hAnsi="Calibri"/>
          <w:sz w:val="20"/>
          <w:szCs w:val="20"/>
          <w:color w:val="auto"/>
        </w:rPr>
      </w:pPr>
    </w:p>
    <w:p>
      <w:pPr>
        <w:ind w:left="648" w:hanging="324"/>
        <w:spacing w:after="0"/>
        <w:tabs>
          <w:tab w:leader="none" w:pos="648" w:val="left"/>
        </w:tabs>
        <w:numPr>
          <w:ilvl w:val="0"/>
          <w:numId w:val="63"/>
        </w:numPr>
        <w:rPr>
          <w:rFonts w:ascii="Calibri" w:cs="Calibri" w:eastAsia="Calibri" w:hAnsi="Calibri"/>
          <w:sz w:val="20"/>
          <w:szCs w:val="20"/>
          <w:color w:val="auto"/>
        </w:rPr>
      </w:pPr>
      <w:r>
        <w:rPr>
          <w:rFonts w:ascii="Calibri" w:cs="Calibri" w:eastAsia="Calibri" w:hAnsi="Calibri"/>
          <w:sz w:val="20"/>
          <w:szCs w:val="20"/>
          <w:color w:val="auto"/>
        </w:rPr>
        <w:t>Must be entered into only during an open Trading Window,</w:t>
      </w:r>
    </w:p>
    <w:p>
      <w:pPr>
        <w:spacing w:after="0" w:line="103" w:lineRule="exact"/>
        <w:rPr>
          <w:rFonts w:ascii="Calibri" w:cs="Calibri" w:eastAsia="Calibri" w:hAnsi="Calibri"/>
          <w:sz w:val="20"/>
          <w:szCs w:val="20"/>
          <w:color w:val="auto"/>
        </w:rPr>
      </w:pPr>
    </w:p>
    <w:p>
      <w:pPr>
        <w:ind w:left="648" w:right="440" w:hanging="324"/>
        <w:spacing w:after="0" w:line="234" w:lineRule="auto"/>
        <w:tabs>
          <w:tab w:leader="none" w:pos="646" w:val="left"/>
        </w:tabs>
        <w:numPr>
          <w:ilvl w:val="0"/>
          <w:numId w:val="63"/>
        </w:numPr>
        <w:rPr>
          <w:rFonts w:ascii="Calibri" w:cs="Calibri" w:eastAsia="Calibri" w:hAnsi="Calibri"/>
          <w:sz w:val="20"/>
          <w:szCs w:val="20"/>
          <w:color w:val="auto"/>
        </w:rPr>
      </w:pPr>
      <w:r>
        <w:rPr>
          <w:rFonts w:ascii="Calibri" w:cs="Calibri" w:eastAsia="Calibri" w:hAnsi="Calibri"/>
          <w:sz w:val="20"/>
          <w:szCs w:val="20"/>
          <w:color w:val="auto"/>
        </w:rPr>
        <w:t>Must permit terminaton or suspension of the transactons by Broadcom at any tme when Broadcom believes that such transactons may not lawfully occur,</w:t>
      </w:r>
    </w:p>
    <w:p>
      <w:pPr>
        <w:spacing w:after="0" w:line="385" w:lineRule="exact"/>
        <w:rPr>
          <w:sz w:val="20"/>
          <w:szCs w:val="20"/>
          <w:color w:val="auto"/>
        </w:rPr>
      </w:pPr>
    </w:p>
    <w:p>
      <w:pPr>
        <w:ind w:left="2228"/>
        <w:spacing w:after="0"/>
        <w:tabs>
          <w:tab w:leader="none" w:pos="6508" w:val="left"/>
        </w:tabs>
        <w:rPr>
          <w:sz w:val="20"/>
          <w:szCs w:val="20"/>
          <w:color w:val="auto"/>
        </w:rPr>
      </w:pPr>
      <w:r>
        <w:rPr>
          <w:rFonts w:ascii="Calibri" w:cs="Calibri" w:eastAsia="Calibri" w:hAnsi="Calibri"/>
          <w:sz w:val="18"/>
          <w:szCs w:val="18"/>
          <w:color w:val="auto"/>
        </w:rPr>
        <w:t>Broadcom Insider Trading Compliance Policy</w:t>
      </w:r>
      <w:r>
        <w:rPr>
          <w:sz w:val="20"/>
          <w:szCs w:val="20"/>
          <w:color w:val="auto"/>
        </w:rPr>
        <w:tab/>
      </w:r>
      <w:r>
        <w:rPr>
          <w:rFonts w:ascii="Calibri" w:cs="Calibri" w:eastAsia="Calibri" w:hAnsi="Calibri"/>
          <w:sz w:val="17"/>
          <w:szCs w:val="17"/>
          <w:color w:val="auto"/>
        </w:rPr>
        <w:t>Updated: December 2024</w:t>
      </w:r>
    </w:p>
    <w:p>
      <w:pPr>
        <w:jc w:val="center"/>
        <w:ind w:right="312"/>
        <w:spacing w:after="0" w:line="229" w:lineRule="auto"/>
        <w:rPr>
          <w:sz w:val="20"/>
          <w:szCs w:val="20"/>
          <w:color w:val="auto"/>
        </w:rPr>
      </w:pPr>
      <w:r>
        <w:rPr>
          <w:rFonts w:ascii="Calibri" w:cs="Calibri" w:eastAsia="Calibri" w:hAnsi="Calibri"/>
          <w:sz w:val="20"/>
          <w:szCs w:val="20"/>
          <w:color w:val="auto"/>
        </w:rPr>
        <w:t>4</w:t>
      </w:r>
    </w:p>
    <w:p>
      <w:pPr>
        <w:sectPr>
          <w:pgSz w:w="11900" w:h="16838" w:orient="portrait"/>
          <w:cols w:equalWidth="0" w:num="1">
            <w:col w:w="10908"/>
          </w:cols>
          <w:pgMar w:left="652" w:top="1064" w:right="339" w:bottom="1440" w:gutter="0" w:footer="0" w:header="0"/>
        </w:sectPr>
      </w:pPr>
    </w:p>
    <w:bookmarkStart w:id="114" w:name="page115"/>
    <w:bookmarkEnd w:id="114"/>
    <w:p>
      <w:pPr>
        <w:ind w:left="640" w:hanging="324"/>
        <w:spacing w:after="0" w:line="231" w:lineRule="auto"/>
        <w:tabs>
          <w:tab w:leader="none" w:pos="644" w:val="left"/>
        </w:tabs>
        <w:numPr>
          <w:ilvl w:val="0"/>
          <w:numId w:val="64"/>
        </w:numPr>
        <w:rPr>
          <w:rFonts w:ascii="Calibri" w:cs="Calibri" w:eastAsia="Calibri" w:hAnsi="Calibri"/>
          <w:sz w:val="20"/>
          <w:szCs w:val="20"/>
          <w:color w:val="auto"/>
        </w:rPr>
      </w:pPr>
      <w:r>
        <w:rPr>
          <w:rFonts w:ascii="Calibri" w:cs="Calibri" w:eastAsia="Calibri" w:hAnsi="Calibri"/>
          <w:sz w:val="20"/>
          <w:szCs w:val="20"/>
          <w:color w:val="auto"/>
        </w:rPr>
        <w:t>Must not commence untl the later of: ninety (90) days afer adoptng the Trading Plan or two (2) business days following the fling of the Form 10‐Q or Form 10‐K covering the fnancial reportng period in which the Trading Plan was adopted, but in any event not to exceed 120 days (“</w:t>
      </w:r>
      <w:r>
        <w:rPr>
          <w:rFonts w:ascii="Calibri" w:cs="Calibri" w:eastAsia="Calibri" w:hAnsi="Calibri"/>
          <w:sz w:val="20"/>
          <w:szCs w:val="20"/>
          <w:b w:val="1"/>
          <w:bCs w:val="1"/>
          <w:i w:val="1"/>
          <w:iCs w:val="1"/>
          <w:color w:val="auto"/>
        </w:rPr>
        <w:t>Cooling‐Of Period</w:t>
      </w:r>
      <w:r>
        <w:rPr>
          <w:rFonts w:ascii="Calibri" w:cs="Calibri" w:eastAsia="Calibri" w:hAnsi="Calibri"/>
          <w:sz w:val="20"/>
          <w:szCs w:val="20"/>
          <w:color w:val="auto"/>
        </w:rPr>
        <w:t>”), and</w:t>
      </w:r>
    </w:p>
    <w:p>
      <w:pPr>
        <w:spacing w:after="0" w:line="109" w:lineRule="exact"/>
        <w:rPr>
          <w:sz w:val="20"/>
          <w:szCs w:val="20"/>
          <w:color w:val="auto"/>
        </w:rPr>
      </w:pPr>
    </w:p>
    <w:p>
      <w:pPr>
        <w:ind w:left="320"/>
        <w:spacing w:after="0"/>
        <w:rPr>
          <w:sz w:val="20"/>
          <w:szCs w:val="20"/>
          <w:color w:val="auto"/>
        </w:rPr>
      </w:pPr>
      <w:r>
        <w:rPr>
          <w:rFonts w:ascii="Calibri" w:cs="Calibri" w:eastAsia="Calibri" w:hAnsi="Calibri"/>
          <w:sz w:val="20"/>
          <w:szCs w:val="20"/>
          <w:color w:val="auto"/>
        </w:rPr>
        <w:t>(vii)Must otherwise comply with SEC Rule 10b5‐1.</w:t>
      </w:r>
    </w:p>
    <w:p>
      <w:pPr>
        <w:spacing w:after="0" w:line="94" w:lineRule="exact"/>
        <w:rPr>
          <w:sz w:val="20"/>
          <w:szCs w:val="20"/>
          <w:color w:val="auto"/>
        </w:rPr>
      </w:pPr>
    </w:p>
    <w:p>
      <w:pPr>
        <w:ind w:left="320"/>
        <w:spacing w:after="0"/>
        <w:rPr>
          <w:sz w:val="20"/>
          <w:szCs w:val="20"/>
          <w:color w:val="auto"/>
        </w:rPr>
      </w:pPr>
      <w:r>
        <w:rPr>
          <w:rFonts w:ascii="Calibri" w:cs="Calibri" w:eastAsia="Calibri" w:hAnsi="Calibri"/>
          <w:sz w:val="23"/>
          <w:szCs w:val="23"/>
          <w:b w:val="1"/>
          <w:bCs w:val="1"/>
          <w:color w:val="C00000"/>
        </w:rPr>
        <w:t>C. 10b5‐1 Trading Plan Pre‐Approval Process</w:t>
      </w:r>
    </w:p>
    <w:p>
      <w:pPr>
        <w:spacing w:after="0" w:line="120" w:lineRule="exact"/>
        <w:rPr>
          <w:sz w:val="20"/>
          <w:szCs w:val="20"/>
          <w:color w:val="auto"/>
        </w:rPr>
      </w:pPr>
    </w:p>
    <w:p>
      <w:pPr>
        <w:ind w:right="360"/>
        <w:spacing w:after="0" w:line="234" w:lineRule="auto"/>
        <w:rPr>
          <w:sz w:val="20"/>
          <w:szCs w:val="20"/>
          <w:color w:val="auto"/>
        </w:rPr>
      </w:pPr>
      <w:r>
        <w:rPr>
          <w:rFonts w:ascii="Calibri" w:cs="Calibri" w:eastAsia="Calibri" w:hAnsi="Calibri"/>
          <w:sz w:val="20"/>
          <w:szCs w:val="20"/>
          <w:color w:val="auto"/>
        </w:rPr>
        <w:t>Employees and Executve Ofcers of Broadcom are required to work with Broadcom’s designed broker for its equity plans on the preparaton of a Trading Plan.</w:t>
      </w:r>
    </w:p>
    <w:p>
      <w:pPr>
        <w:spacing w:after="0" w:line="104" w:lineRule="exact"/>
        <w:rPr>
          <w:sz w:val="20"/>
          <w:szCs w:val="20"/>
          <w:color w:val="auto"/>
        </w:rPr>
      </w:pPr>
    </w:p>
    <w:p>
      <w:pPr>
        <w:ind w:right="640"/>
        <w:spacing w:after="0" w:line="234" w:lineRule="auto"/>
        <w:rPr>
          <w:sz w:val="20"/>
          <w:szCs w:val="20"/>
          <w:color w:val="auto"/>
        </w:rPr>
      </w:pPr>
      <w:r>
        <w:rPr>
          <w:rFonts w:ascii="Calibri" w:cs="Calibri" w:eastAsia="Calibri" w:hAnsi="Calibri"/>
          <w:sz w:val="20"/>
          <w:szCs w:val="20"/>
          <w:color w:val="auto"/>
        </w:rPr>
        <w:t>The Trading Plan must be submited for review by the Legal Team or the Compliance Ofcer at least one (1) week prior to the proposed date of adopton.</w:t>
      </w:r>
    </w:p>
    <w:p>
      <w:pPr>
        <w:spacing w:after="0" w:line="109" w:lineRule="exact"/>
        <w:rPr>
          <w:sz w:val="20"/>
          <w:szCs w:val="20"/>
          <w:color w:val="auto"/>
        </w:rPr>
      </w:pPr>
    </w:p>
    <w:p>
      <w:pPr>
        <w:ind w:left="320"/>
        <w:spacing w:after="0"/>
        <w:rPr>
          <w:sz w:val="20"/>
          <w:szCs w:val="20"/>
          <w:color w:val="auto"/>
        </w:rPr>
      </w:pPr>
      <w:r>
        <w:rPr>
          <w:rFonts w:ascii="Calibri" w:cs="Calibri" w:eastAsia="Calibri" w:hAnsi="Calibri"/>
          <w:sz w:val="23"/>
          <w:szCs w:val="23"/>
          <w:b w:val="1"/>
          <w:bCs w:val="1"/>
          <w:color w:val="C00000"/>
        </w:rPr>
        <w:t>D. 10b5‐1 Trading Plan Modifcaton or Terminaton</w:t>
      </w:r>
    </w:p>
    <w:p>
      <w:pPr>
        <w:spacing w:after="0" w:line="107" w:lineRule="exact"/>
        <w:rPr>
          <w:sz w:val="20"/>
          <w:szCs w:val="20"/>
          <w:color w:val="auto"/>
        </w:rPr>
      </w:pPr>
    </w:p>
    <w:p>
      <w:pPr>
        <w:ind w:right="140"/>
        <w:spacing w:after="0" w:line="233" w:lineRule="auto"/>
        <w:rPr>
          <w:sz w:val="20"/>
          <w:szCs w:val="20"/>
          <w:color w:val="auto"/>
        </w:rPr>
      </w:pPr>
      <w:r>
        <w:rPr>
          <w:rFonts w:ascii="Calibri" w:cs="Calibri" w:eastAsia="Calibri" w:hAnsi="Calibri"/>
          <w:sz w:val="20"/>
          <w:szCs w:val="20"/>
          <w:color w:val="auto"/>
        </w:rPr>
        <w:t>A modifcaton to a Trading Plan is deemed to be a terminaton of the old Trading Plan and an adopton of a new Trading Plan. As a result, the new Trading Plan will be subject to all of the requirements, limitatons and prohibitons relatng to transactons involving Broadcom securites that are contained in this Policy, including the Cooling‐Of Period. However, modifcatons that do not change the price, amount of securites or tming of the transactons will not trigger a new Cooling‐Of Period.</w:t>
      </w:r>
    </w:p>
    <w:p>
      <w:pPr>
        <w:spacing w:after="0" w:line="109" w:lineRule="exact"/>
        <w:rPr>
          <w:sz w:val="20"/>
          <w:szCs w:val="20"/>
          <w:color w:val="auto"/>
        </w:rPr>
      </w:pPr>
    </w:p>
    <w:p>
      <w:pPr>
        <w:spacing w:after="0"/>
        <w:rPr>
          <w:sz w:val="20"/>
          <w:szCs w:val="20"/>
          <w:color w:val="auto"/>
        </w:rPr>
      </w:pPr>
      <w:r>
        <w:rPr>
          <w:rFonts w:ascii="Calibri" w:cs="Calibri" w:eastAsia="Calibri" w:hAnsi="Calibri"/>
          <w:sz w:val="20"/>
          <w:szCs w:val="20"/>
          <w:color w:val="auto"/>
        </w:rPr>
        <w:t>A Trading Plan may be terminated pursuant to terms in the Trading Plan.</w:t>
      </w:r>
    </w:p>
    <w:p>
      <w:pPr>
        <w:spacing w:after="0" w:line="94" w:lineRule="exact"/>
        <w:rPr>
          <w:sz w:val="20"/>
          <w:szCs w:val="20"/>
          <w:color w:val="auto"/>
        </w:rPr>
      </w:pPr>
    </w:p>
    <w:p>
      <w:pPr>
        <w:ind w:left="320"/>
        <w:spacing w:after="0"/>
        <w:rPr>
          <w:sz w:val="20"/>
          <w:szCs w:val="20"/>
          <w:color w:val="auto"/>
        </w:rPr>
      </w:pPr>
      <w:r>
        <w:rPr>
          <w:rFonts w:ascii="Calibri" w:cs="Calibri" w:eastAsia="Calibri" w:hAnsi="Calibri"/>
          <w:sz w:val="23"/>
          <w:szCs w:val="23"/>
          <w:b w:val="1"/>
          <w:bCs w:val="1"/>
          <w:color w:val="C00000"/>
        </w:rPr>
        <w:t>E. Transactons Outside of a 10b5‐1 Trading Plan</w:t>
      </w:r>
    </w:p>
    <w:p>
      <w:pPr>
        <w:spacing w:after="0" w:line="120" w:lineRule="exact"/>
        <w:rPr>
          <w:sz w:val="20"/>
          <w:szCs w:val="20"/>
          <w:color w:val="auto"/>
        </w:rPr>
      </w:pPr>
    </w:p>
    <w:p>
      <w:pPr>
        <w:ind w:right="360"/>
        <w:spacing w:after="0" w:line="234" w:lineRule="auto"/>
        <w:rPr>
          <w:sz w:val="20"/>
          <w:szCs w:val="20"/>
          <w:color w:val="auto"/>
        </w:rPr>
      </w:pPr>
      <w:r>
        <w:rPr>
          <w:rFonts w:ascii="Calibri" w:cs="Calibri" w:eastAsia="Calibri" w:hAnsi="Calibri"/>
          <w:sz w:val="20"/>
          <w:szCs w:val="20"/>
          <w:color w:val="auto"/>
        </w:rPr>
        <w:t>Transactons outside of a Trading Plan are allowed as long as the Trading Plan contnues to be followed, the shares subject to the Trading Plan are not sold outside the Trading Plan, and such transactons are during an open Trading Window period.</w:t>
      </w:r>
    </w:p>
    <w:p>
      <w:pPr>
        <w:spacing w:after="0" w:line="95" w:lineRule="exact"/>
        <w:rPr>
          <w:sz w:val="20"/>
          <w:szCs w:val="20"/>
          <w:color w:val="auto"/>
        </w:rPr>
      </w:pPr>
    </w:p>
    <w:p>
      <w:pPr>
        <w:ind w:left="320"/>
        <w:spacing w:after="0"/>
        <w:rPr>
          <w:sz w:val="20"/>
          <w:szCs w:val="20"/>
          <w:color w:val="auto"/>
        </w:rPr>
      </w:pPr>
      <w:r>
        <w:rPr>
          <w:rFonts w:ascii="Calibri" w:cs="Calibri" w:eastAsia="Calibri" w:hAnsi="Calibri"/>
          <w:sz w:val="23"/>
          <w:szCs w:val="23"/>
          <w:b w:val="1"/>
          <w:bCs w:val="1"/>
          <w:color w:val="C00000"/>
        </w:rPr>
        <w:t>F. Disclosure of a 10b5‐1 Trading Plan per SEC Regulaton</w:t>
      </w:r>
    </w:p>
    <w:p>
      <w:pPr>
        <w:spacing w:after="0" w:line="120" w:lineRule="exact"/>
        <w:rPr>
          <w:sz w:val="20"/>
          <w:szCs w:val="20"/>
          <w:color w:val="auto"/>
        </w:rPr>
      </w:pPr>
    </w:p>
    <w:p>
      <w:pPr>
        <w:ind w:right="140"/>
        <w:spacing w:after="0" w:line="231" w:lineRule="auto"/>
        <w:rPr>
          <w:sz w:val="20"/>
          <w:szCs w:val="20"/>
          <w:color w:val="auto"/>
        </w:rPr>
      </w:pPr>
      <w:r>
        <w:rPr>
          <w:rFonts w:ascii="Calibri" w:cs="Calibri" w:eastAsia="Calibri" w:hAnsi="Calibri"/>
          <w:sz w:val="20"/>
          <w:szCs w:val="20"/>
          <w:color w:val="auto"/>
        </w:rPr>
        <w:t>For Trading Plans entered into by Executve Ofcers or Board members, disclosure of the adopton, modifcaton or terminaton of Trading Plans will be made in the Form 10‐Q or Form 10‐K covering the quarter in which the Trading Plan was adopted, modifed or terminated pursuant to SEC regulatons.</w:t>
      </w:r>
    </w:p>
    <w:p>
      <w:pPr>
        <w:spacing w:after="0" w:line="119" w:lineRule="exact"/>
        <w:rPr>
          <w:sz w:val="20"/>
          <w:szCs w:val="20"/>
          <w:color w:val="auto"/>
        </w:rPr>
      </w:pPr>
    </w:p>
    <w:p>
      <w:pPr>
        <w:ind w:right="120"/>
        <w:spacing w:after="0" w:line="234" w:lineRule="auto"/>
        <w:rPr>
          <w:sz w:val="20"/>
          <w:szCs w:val="20"/>
          <w:color w:val="auto"/>
        </w:rPr>
      </w:pPr>
      <w:r>
        <w:rPr>
          <w:rFonts w:ascii="Calibri" w:cs="Calibri" w:eastAsia="Calibri" w:hAnsi="Calibri"/>
          <w:sz w:val="20"/>
          <w:szCs w:val="20"/>
          <w:color w:val="auto"/>
        </w:rPr>
        <w:t>A Trading Plan does not exempt Executve Ofcers or Board members from complying with insider reportng requirements or short‐ swing proft rules or liability under Secton 16 of the Exchange Act.</w:t>
      </w:r>
    </w:p>
    <w:p>
      <w:pPr>
        <w:spacing w:after="0" w:line="88" w:lineRule="exact"/>
        <w:rPr>
          <w:sz w:val="20"/>
          <w:szCs w:val="20"/>
          <w:color w:val="auto"/>
        </w:rPr>
      </w:pPr>
    </w:p>
    <w:p>
      <w:pPr>
        <w:ind w:left="620" w:hanging="304"/>
        <w:spacing w:after="0"/>
        <w:tabs>
          <w:tab w:leader="none" w:pos="620" w:val="left"/>
        </w:tabs>
        <w:numPr>
          <w:ilvl w:val="0"/>
          <w:numId w:val="65"/>
        </w:numPr>
        <w:rPr>
          <w:rFonts w:ascii="Calibri" w:cs="Calibri" w:eastAsia="Calibri" w:hAnsi="Calibri"/>
          <w:sz w:val="25"/>
          <w:szCs w:val="25"/>
          <w:b w:val="1"/>
          <w:bCs w:val="1"/>
          <w:color w:val="C00000"/>
        </w:rPr>
      </w:pPr>
      <w:r>
        <w:rPr>
          <w:rFonts w:ascii="Calibri" w:cs="Calibri" w:eastAsia="Calibri" w:hAnsi="Calibri"/>
          <w:sz w:val="25"/>
          <w:szCs w:val="25"/>
          <w:b w:val="1"/>
          <w:bCs w:val="1"/>
          <w:u w:val="single" w:color="auto"/>
          <w:color w:val="C00000"/>
        </w:rPr>
        <w:t>QUESTIONS</w:t>
      </w:r>
    </w:p>
    <w:p>
      <w:pPr>
        <w:spacing w:after="0" w:line="116" w:lineRule="exact"/>
        <w:rPr>
          <w:sz w:val="20"/>
          <w:szCs w:val="20"/>
          <w:color w:val="auto"/>
        </w:rPr>
      </w:pPr>
    </w:p>
    <w:p>
      <w:pPr>
        <w:ind w:right="300"/>
        <w:spacing w:after="0" w:line="234" w:lineRule="auto"/>
        <w:rPr>
          <w:sz w:val="20"/>
          <w:szCs w:val="20"/>
          <w:color w:val="auto"/>
        </w:rPr>
      </w:pPr>
      <w:r>
        <w:rPr>
          <w:rFonts w:ascii="Calibri" w:cs="Calibri" w:eastAsia="Calibri" w:hAnsi="Calibri"/>
          <w:sz w:val="20"/>
          <w:szCs w:val="20"/>
          <w:color w:val="auto"/>
        </w:rPr>
        <w:t>The Compliance Ofcer is responsible for the interpretaton and enforcement of this Policy and will periodically review this Policy with the NESG Commitee.</w:t>
      </w:r>
    </w:p>
    <w:p>
      <w:pPr>
        <w:spacing w:after="0" w:line="108"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If you have questons about this Policy, contact Broadcom’s Compliance Ofcer at </w:t>
      </w:r>
      <w:r>
        <w:rPr>
          <w:rFonts w:ascii="Calibri" w:cs="Calibri" w:eastAsia="Calibri" w:hAnsi="Calibri"/>
          <w:sz w:val="20"/>
          <w:szCs w:val="20"/>
          <w:u w:val="single" w:color="auto"/>
          <w:color w:val="0000FF"/>
        </w:rPr>
        <w:t>compliance.ofcer@broadcom.com</w:t>
      </w:r>
      <w:r>
        <w:rPr>
          <w:rFonts w:ascii="Calibri" w:cs="Calibri" w:eastAsia="Calibri" w:hAnsi="Calibri"/>
          <w:sz w:val="20"/>
          <w:szCs w:val="20"/>
          <w:color w:val="auto"/>
        </w:rPr>
        <w:t>.</w:t>
      </w:r>
    </w:p>
    <w:p>
      <w:pPr>
        <w:spacing w:after="0" w:line="87" w:lineRule="exact"/>
        <w:rPr>
          <w:sz w:val="20"/>
          <w:szCs w:val="20"/>
          <w:color w:val="auto"/>
        </w:rPr>
      </w:pPr>
    </w:p>
    <w:p>
      <w:pPr>
        <w:ind w:left="320"/>
        <w:spacing w:after="0"/>
        <w:rPr>
          <w:sz w:val="20"/>
          <w:szCs w:val="20"/>
          <w:color w:val="auto"/>
        </w:rPr>
      </w:pPr>
      <w:r>
        <w:rPr>
          <w:rFonts w:ascii="Calibri" w:cs="Calibri" w:eastAsia="Calibri" w:hAnsi="Calibri"/>
          <w:sz w:val="25"/>
          <w:szCs w:val="25"/>
          <w:b w:val="1"/>
          <w:bCs w:val="1"/>
          <w:color w:val="C00000"/>
        </w:rPr>
        <w:t xml:space="preserve">VI. </w:t>
      </w:r>
      <w:r>
        <w:rPr>
          <w:rFonts w:ascii="Calibri" w:cs="Calibri" w:eastAsia="Calibri" w:hAnsi="Calibri"/>
          <w:sz w:val="25"/>
          <w:szCs w:val="25"/>
          <w:b w:val="1"/>
          <w:bCs w:val="1"/>
          <w:u w:val="single" w:color="auto"/>
          <w:color w:val="C00000"/>
        </w:rPr>
        <w:t>AMENDMENTS</w:t>
      </w:r>
    </w:p>
    <w:p>
      <w:pPr>
        <w:spacing w:after="0" w:line="130" w:lineRule="exact"/>
        <w:rPr>
          <w:sz w:val="20"/>
          <w:szCs w:val="20"/>
          <w:color w:val="auto"/>
        </w:rPr>
      </w:pPr>
    </w:p>
    <w:p>
      <w:pPr>
        <w:ind w:right="360"/>
        <w:spacing w:after="0" w:line="228" w:lineRule="auto"/>
        <w:rPr>
          <w:sz w:val="20"/>
          <w:szCs w:val="20"/>
          <w:color w:val="auto"/>
        </w:rPr>
      </w:pPr>
      <w:r>
        <w:rPr>
          <w:rFonts w:ascii="Calibri" w:cs="Calibri" w:eastAsia="Calibri" w:hAnsi="Calibri"/>
          <w:sz w:val="20"/>
          <w:szCs w:val="20"/>
          <w:color w:val="auto"/>
        </w:rPr>
        <w:t>This Policy may be amended as needed. In the event of any confict or inconsistency between this Policy and any other materials distributed by Broadcom, this Policy shall govern. If a law conficts with this Policy, you must comply with the law.</w:t>
      </w:r>
    </w:p>
    <w:p>
      <w:pPr>
        <w:spacing w:after="0" w:line="384" w:lineRule="exact"/>
        <w:rPr>
          <w:sz w:val="20"/>
          <w:szCs w:val="20"/>
          <w:color w:val="auto"/>
        </w:rPr>
      </w:pPr>
    </w:p>
    <w:p>
      <w:pPr>
        <w:ind w:left="2220"/>
        <w:spacing w:after="0"/>
        <w:tabs>
          <w:tab w:leader="none" w:pos="6500" w:val="left"/>
        </w:tabs>
        <w:rPr>
          <w:sz w:val="20"/>
          <w:szCs w:val="20"/>
          <w:color w:val="auto"/>
        </w:rPr>
      </w:pPr>
      <w:r>
        <w:rPr>
          <w:rFonts w:ascii="Calibri" w:cs="Calibri" w:eastAsia="Calibri" w:hAnsi="Calibri"/>
          <w:sz w:val="18"/>
          <w:szCs w:val="18"/>
          <w:color w:val="auto"/>
        </w:rPr>
        <w:t>Broadcom Insider Trading Compliance Policy</w:t>
      </w:r>
      <w:r>
        <w:rPr>
          <w:sz w:val="20"/>
          <w:szCs w:val="20"/>
          <w:color w:val="auto"/>
        </w:rPr>
        <w:tab/>
      </w:r>
      <w:r>
        <w:rPr>
          <w:rFonts w:ascii="Calibri" w:cs="Calibri" w:eastAsia="Calibri" w:hAnsi="Calibri"/>
          <w:sz w:val="17"/>
          <w:szCs w:val="17"/>
          <w:color w:val="auto"/>
        </w:rPr>
        <w:t>Updated: December 2024</w:t>
      </w:r>
    </w:p>
    <w:p>
      <w:pPr>
        <w:jc w:val="center"/>
        <w:ind w:right="280"/>
        <w:spacing w:after="0" w:line="229" w:lineRule="auto"/>
        <w:rPr>
          <w:sz w:val="20"/>
          <w:szCs w:val="20"/>
          <w:color w:val="auto"/>
        </w:rPr>
      </w:pPr>
      <w:r>
        <w:rPr>
          <w:rFonts w:ascii="Calibri" w:cs="Calibri" w:eastAsia="Calibri" w:hAnsi="Calibri"/>
          <w:sz w:val="20"/>
          <w:szCs w:val="20"/>
          <w:color w:val="auto"/>
        </w:rPr>
        <w:t>5</w:t>
      </w:r>
    </w:p>
    <w:p>
      <w:pPr>
        <w:sectPr>
          <w:pgSz w:w="11900" w:h="16838" w:orient="portrait"/>
          <w:cols w:equalWidth="0" w:num="1">
            <w:col w:w="10860"/>
          </w:cols>
          <w:pgMar w:left="660" w:top="1074" w:right="379" w:bottom="1440" w:gutter="0" w:footer="0" w:header="0"/>
        </w:sectPr>
      </w:pPr>
    </w:p>
    <w:bookmarkStart w:id="115" w:name="page116"/>
    <w:bookmarkEnd w:id="115"/>
    <w:p>
      <w:pPr>
        <w:ind w:left="9980"/>
        <w:spacing w:after="0"/>
        <w:rPr>
          <w:sz w:val="20"/>
          <w:szCs w:val="20"/>
          <w:color w:val="auto"/>
        </w:rPr>
      </w:pPr>
      <w:r>
        <w:rPr>
          <w:rFonts w:ascii="Calibri" w:cs="Calibri" w:eastAsia="Calibri" w:hAnsi="Calibri"/>
          <w:sz w:val="20"/>
          <w:szCs w:val="20"/>
          <w:b w:val="1"/>
          <w:bCs w:val="1"/>
          <w:u w:val="single" w:color="auto"/>
          <w:color w:val="auto"/>
        </w:rPr>
        <w:t>Appendix A</w:t>
      </w:r>
    </w:p>
    <w:p>
      <w:pPr>
        <w:spacing w:after="0" w:line="330" w:lineRule="exact"/>
        <w:rPr>
          <w:sz w:val="20"/>
          <w:szCs w:val="20"/>
          <w:color w:val="auto"/>
        </w:rPr>
      </w:pPr>
    </w:p>
    <w:p>
      <w:pPr>
        <w:ind w:left="320"/>
        <w:spacing w:after="0"/>
        <w:rPr>
          <w:sz w:val="20"/>
          <w:szCs w:val="20"/>
          <w:color w:val="auto"/>
        </w:rPr>
      </w:pPr>
      <w:r>
        <w:rPr>
          <w:rFonts w:ascii="Calibri" w:cs="Calibri" w:eastAsia="Calibri" w:hAnsi="Calibri"/>
          <w:sz w:val="25"/>
          <w:szCs w:val="25"/>
          <w:b w:val="1"/>
          <w:bCs w:val="1"/>
          <w:u w:val="single" w:color="auto"/>
          <w:color w:val="C00000"/>
        </w:rPr>
        <w:t>BROADCOM TRANSACTIONS</w:t>
      </w:r>
    </w:p>
    <w:p>
      <w:pPr>
        <w:spacing w:after="0" w:line="116" w:lineRule="exact"/>
        <w:rPr>
          <w:sz w:val="20"/>
          <w:szCs w:val="20"/>
          <w:color w:val="auto"/>
        </w:rPr>
      </w:pPr>
    </w:p>
    <w:p>
      <w:pPr>
        <w:jc w:val="both"/>
        <w:ind w:left="320"/>
        <w:spacing w:after="0" w:line="233" w:lineRule="auto"/>
        <w:rPr>
          <w:sz w:val="20"/>
          <w:szCs w:val="20"/>
          <w:color w:val="auto"/>
        </w:rPr>
      </w:pPr>
      <w:r>
        <w:rPr>
          <w:rFonts w:ascii="Calibri" w:cs="Calibri" w:eastAsia="Calibri" w:hAnsi="Calibri"/>
          <w:sz w:val="20"/>
          <w:szCs w:val="20"/>
          <w:color w:val="auto"/>
        </w:rPr>
        <w:t>The Board may approve repurchase programs for Broadcom securites at its discreton, including through open market transactons, privately negotated transactons or the use of plans designed to comply with Rule 10b5‐1 and 10b‐18 of the Exchange Act. However, no Broadcom entty shall, directly or indirectly, buy Broadcom securites while being aware of MNPI relatng to Broadcom, other than pursuant to a Trading Plan or as otherwise provided for herein.</w:t>
      </w:r>
    </w:p>
    <w:p>
      <w:pPr>
        <w:spacing w:after="0" w:line="105" w:lineRule="exact"/>
        <w:rPr>
          <w:sz w:val="20"/>
          <w:szCs w:val="20"/>
          <w:color w:val="auto"/>
        </w:rPr>
      </w:pPr>
    </w:p>
    <w:p>
      <w:pPr>
        <w:ind w:left="320" w:right="100"/>
        <w:spacing w:after="0" w:line="236" w:lineRule="auto"/>
        <w:rPr>
          <w:sz w:val="20"/>
          <w:szCs w:val="20"/>
          <w:color w:val="auto"/>
        </w:rPr>
      </w:pPr>
      <w:r>
        <w:rPr>
          <w:rFonts w:ascii="Calibri" w:cs="Calibri" w:eastAsia="Calibri" w:hAnsi="Calibri"/>
          <w:sz w:val="20"/>
          <w:szCs w:val="20"/>
          <w:color w:val="auto"/>
        </w:rPr>
        <w:t>The Compliance Ofcer must pre‐approve any repurchases of Broadcom securites by Broadcom (excluding repurchases pursuant to an approved Trading Plan). Any such pre‐approval shall, absent notce to the contrary, be valid for the following fve (5) business days. The Compliance Ofcer may, at any tme in his or her discreton, prohibit Broadcom from trading in any Broadcom securites.</w:t>
      </w:r>
    </w:p>
    <w:p>
      <w:pPr>
        <w:spacing w:after="0" w:line="103" w:lineRule="exact"/>
        <w:rPr>
          <w:sz w:val="20"/>
          <w:szCs w:val="20"/>
          <w:color w:val="auto"/>
        </w:rPr>
      </w:pPr>
    </w:p>
    <w:p>
      <w:pPr>
        <w:ind w:left="320" w:right="40"/>
        <w:spacing w:after="0" w:line="233" w:lineRule="auto"/>
        <w:rPr>
          <w:sz w:val="20"/>
          <w:szCs w:val="20"/>
          <w:color w:val="auto"/>
        </w:rPr>
      </w:pPr>
      <w:r>
        <w:rPr>
          <w:rFonts w:ascii="Calibri" w:cs="Calibri" w:eastAsia="Calibri" w:hAnsi="Calibri"/>
          <w:sz w:val="20"/>
          <w:szCs w:val="20"/>
          <w:color w:val="auto"/>
        </w:rPr>
        <w:t xml:space="preserve">The prohibitons outlined in this </w:t>
      </w:r>
      <w:r>
        <w:rPr>
          <w:rFonts w:ascii="Calibri" w:cs="Calibri" w:eastAsia="Calibri" w:hAnsi="Calibri"/>
          <w:sz w:val="20"/>
          <w:szCs w:val="20"/>
          <w:u w:val="single" w:color="auto"/>
          <w:color w:val="auto"/>
        </w:rPr>
        <w:t>Appendix A</w:t>
      </w:r>
      <w:r>
        <w:rPr>
          <w:rFonts w:ascii="Calibri" w:cs="Calibri" w:eastAsia="Calibri" w:hAnsi="Calibri"/>
          <w:sz w:val="20"/>
          <w:szCs w:val="20"/>
          <w:color w:val="auto"/>
        </w:rPr>
        <w:t xml:space="preserve"> shall not apply to repurchases otherwise approved by the Board that do not involve a market transacton, including repurchases related to tax withholding or the redempton by Broadcom or the obligaton to purchase Broadcom securites pursuant to a put right or other similar pre‐existng contract right or obligaton of Broadcom (e.g., a redempton right in the underlying instrument).</w:t>
      </w:r>
    </w:p>
    <w:p>
      <w:pPr>
        <w:spacing w:after="0" w:line="109" w:lineRule="exact"/>
        <w:rPr>
          <w:sz w:val="20"/>
          <w:szCs w:val="20"/>
          <w:color w:val="auto"/>
        </w:rPr>
      </w:pPr>
    </w:p>
    <w:p>
      <w:pPr>
        <w:ind w:left="640"/>
        <w:spacing w:after="0"/>
        <w:rPr>
          <w:sz w:val="20"/>
          <w:szCs w:val="20"/>
          <w:color w:val="auto"/>
        </w:rPr>
      </w:pPr>
      <w:r>
        <w:rPr>
          <w:rFonts w:ascii="Calibri" w:cs="Calibri" w:eastAsia="Calibri" w:hAnsi="Calibri"/>
          <w:sz w:val="23"/>
          <w:szCs w:val="23"/>
          <w:b w:val="1"/>
          <w:bCs w:val="1"/>
          <w:color w:val="C00000"/>
        </w:rPr>
        <w:t>A. Trading Window Period for Broadcom</w:t>
      </w:r>
    </w:p>
    <w:p>
      <w:pPr>
        <w:spacing w:after="0" w:line="107" w:lineRule="exact"/>
        <w:rPr>
          <w:sz w:val="20"/>
          <w:szCs w:val="20"/>
          <w:color w:val="auto"/>
        </w:rPr>
      </w:pPr>
    </w:p>
    <w:p>
      <w:pPr>
        <w:ind w:left="320" w:right="220"/>
        <w:spacing w:after="0" w:line="234" w:lineRule="auto"/>
        <w:rPr>
          <w:sz w:val="20"/>
          <w:szCs w:val="20"/>
          <w:color w:val="auto"/>
        </w:rPr>
      </w:pPr>
      <w:r>
        <w:rPr>
          <w:rFonts w:ascii="Calibri" w:cs="Calibri" w:eastAsia="Calibri" w:hAnsi="Calibri"/>
          <w:sz w:val="20"/>
          <w:szCs w:val="20"/>
          <w:color w:val="auto"/>
        </w:rPr>
        <w:t xml:space="preserve">Except as set forth in this </w:t>
      </w:r>
      <w:r>
        <w:rPr>
          <w:rFonts w:ascii="Calibri" w:cs="Calibri" w:eastAsia="Calibri" w:hAnsi="Calibri"/>
          <w:sz w:val="20"/>
          <w:szCs w:val="20"/>
          <w:u w:val="single" w:color="auto"/>
          <w:color w:val="auto"/>
        </w:rPr>
        <w:t>Appendix A</w:t>
      </w:r>
      <w:r>
        <w:rPr>
          <w:rFonts w:ascii="Calibri" w:cs="Calibri" w:eastAsia="Calibri" w:hAnsi="Calibri"/>
          <w:sz w:val="20"/>
          <w:szCs w:val="20"/>
          <w:color w:val="auto"/>
        </w:rPr>
        <w:t>, Broadcom may repurchase Broadcom securites only during an open Trading Window and in compliance with the other requirements of SEC Rule 10b‐18 and this Policy. The Compliance Ofcer may at any tme implement a Special Trading Window Closure Period for Broadcom by notce to the Chief Financial Ofcer. Whether or not a Special Trading Window Closure Period exists for Broadcom is confdental informaton and shall not be disclosed to any third party other than advisors of Broadcom with a reason to know such informaton and who are subject to a duty of confdentality.</w:t>
      </w:r>
    </w:p>
    <w:p>
      <w:pPr>
        <w:spacing w:after="0" w:line="97" w:lineRule="exact"/>
        <w:rPr>
          <w:sz w:val="20"/>
          <w:szCs w:val="20"/>
          <w:color w:val="auto"/>
        </w:rPr>
      </w:pPr>
    </w:p>
    <w:p>
      <w:pPr>
        <w:ind w:left="640"/>
        <w:spacing w:after="0"/>
        <w:rPr>
          <w:sz w:val="20"/>
          <w:szCs w:val="20"/>
          <w:color w:val="auto"/>
        </w:rPr>
      </w:pPr>
      <w:r>
        <w:rPr>
          <w:rFonts w:ascii="Calibri" w:cs="Calibri" w:eastAsia="Calibri" w:hAnsi="Calibri"/>
          <w:sz w:val="23"/>
          <w:szCs w:val="23"/>
          <w:b w:val="1"/>
          <w:bCs w:val="1"/>
          <w:color w:val="C00000"/>
        </w:rPr>
        <w:t>B. Rule 10b5‐1 Trading Plan</w:t>
      </w:r>
    </w:p>
    <w:p>
      <w:pPr>
        <w:spacing w:after="0" w:line="120" w:lineRule="exact"/>
        <w:rPr>
          <w:sz w:val="20"/>
          <w:szCs w:val="20"/>
          <w:color w:val="auto"/>
        </w:rPr>
      </w:pPr>
    </w:p>
    <w:p>
      <w:pPr>
        <w:jc w:val="both"/>
        <w:ind w:left="320" w:right="60"/>
        <w:spacing w:after="0" w:line="231" w:lineRule="auto"/>
        <w:rPr>
          <w:sz w:val="20"/>
          <w:szCs w:val="20"/>
          <w:color w:val="auto"/>
        </w:rPr>
      </w:pPr>
      <w:r>
        <w:rPr>
          <w:rFonts w:ascii="Calibri" w:cs="Calibri" w:eastAsia="Calibri" w:hAnsi="Calibri"/>
          <w:sz w:val="20"/>
          <w:szCs w:val="20"/>
          <w:color w:val="auto"/>
        </w:rPr>
        <w:t>Broadcom may enter into a Trading Plan to buy Broadcom stock. Trading Plans may be implemented only (i) during an open Trading Window, (ii) when Broadcom is not aware of any MNPI about Broadcom, and (iii) afer receiving pre‐ clearance from the Compliance Ofcer. A Trading Plan of a Broadcom entty may not be revoked or modifed without the prior approval of the Compliance Ofcer.</w:t>
      </w:r>
    </w:p>
    <w:p>
      <w:pPr>
        <w:spacing w:after="0" w:line="119" w:lineRule="exact"/>
        <w:rPr>
          <w:sz w:val="20"/>
          <w:szCs w:val="20"/>
          <w:color w:val="auto"/>
        </w:rPr>
      </w:pPr>
    </w:p>
    <w:p>
      <w:pPr>
        <w:ind w:left="320" w:right="380"/>
        <w:spacing w:after="0" w:line="228" w:lineRule="auto"/>
        <w:rPr>
          <w:sz w:val="20"/>
          <w:szCs w:val="20"/>
          <w:color w:val="auto"/>
        </w:rPr>
      </w:pPr>
      <w:r>
        <w:rPr>
          <w:rFonts w:ascii="Calibri" w:cs="Calibri" w:eastAsia="Calibri" w:hAnsi="Calibri"/>
          <w:sz w:val="20"/>
          <w:szCs w:val="20"/>
          <w:color w:val="auto"/>
        </w:rPr>
        <w:t>No Trading Plan may be for a stated duraton of less than 45 days, subject to any earlier revocaton or amendment in accordance with this Policy.</w:t>
      </w:r>
    </w:p>
    <w:p>
      <w:pPr>
        <w:spacing w:after="0" w:line="303" w:lineRule="exact"/>
        <w:rPr>
          <w:sz w:val="20"/>
          <w:szCs w:val="20"/>
          <w:color w:val="auto"/>
        </w:rPr>
      </w:pPr>
    </w:p>
    <w:p>
      <w:pPr>
        <w:spacing w:after="0"/>
        <w:tabs>
          <w:tab w:leader="none" w:pos="4280" w:val="left"/>
        </w:tabs>
        <w:rPr>
          <w:sz w:val="20"/>
          <w:szCs w:val="20"/>
          <w:color w:val="auto"/>
        </w:rPr>
      </w:pPr>
      <w:r>
        <w:rPr>
          <w:rFonts w:ascii="Calibri" w:cs="Calibri" w:eastAsia="Calibri" w:hAnsi="Calibri"/>
          <w:sz w:val="18"/>
          <w:szCs w:val="18"/>
          <w:color w:val="auto"/>
        </w:rPr>
        <w:t>Broadcom Insider Trading Compliance Policy</w:t>
      </w:r>
      <w:r>
        <w:rPr>
          <w:sz w:val="20"/>
          <w:szCs w:val="20"/>
          <w:color w:val="auto"/>
        </w:rPr>
        <w:tab/>
      </w:r>
      <w:r>
        <w:rPr>
          <w:rFonts w:ascii="Calibri" w:cs="Calibri" w:eastAsia="Calibri" w:hAnsi="Calibri"/>
          <w:sz w:val="17"/>
          <w:szCs w:val="17"/>
          <w:color w:val="auto"/>
        </w:rPr>
        <w:t>Updated: December 2024</w:t>
      </w:r>
    </w:p>
    <w:p>
      <w:pPr>
        <w:jc w:val="center"/>
        <w:spacing w:after="0" w:line="229" w:lineRule="auto"/>
        <w:rPr>
          <w:sz w:val="20"/>
          <w:szCs w:val="20"/>
          <w:color w:val="auto"/>
        </w:rPr>
      </w:pPr>
      <w:r>
        <w:rPr>
          <w:rFonts w:ascii="Calibri" w:cs="Calibri" w:eastAsia="Calibri" w:hAnsi="Calibri"/>
          <w:sz w:val="20"/>
          <w:szCs w:val="20"/>
          <w:color w:val="auto"/>
        </w:rPr>
        <w:t>A-1</w:t>
      </w:r>
    </w:p>
    <w:p>
      <w:pPr>
        <w:sectPr>
          <w:pgSz w:w="11900" w:h="16838" w:orient="portrait"/>
          <w:cols w:equalWidth="0" w:num="1">
            <w:col w:w="11200"/>
          </w:cols>
          <w:pgMar w:left="340" w:top="753" w:right="359" w:bottom="1440" w:gutter="0" w:footer="0" w:header="0"/>
        </w:sectPr>
      </w:pPr>
    </w:p>
    <w:bookmarkStart w:id="116" w:name="page117"/>
    <w:bookmarkEnd w:id="116"/>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08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w w:val="97"/>
              </w:rPr>
              <w:t>EXHIBIT 21.1</w:t>
            </w:r>
          </w:p>
        </w:tc>
      </w:tr>
      <w:tr>
        <w:trPr>
          <w:trHeight w:val="378"/>
        </w:trPr>
        <w:tc>
          <w:tcPr>
            <w:tcW w:w="1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080" w:type="dxa"/>
            <w:vAlign w:val="bottom"/>
            <w:gridSpan w:val="3"/>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rPr>
              <w:t>List of Significant Subsidiaries</w:t>
            </w:r>
          </w:p>
        </w:tc>
      </w:tr>
      <w:tr>
        <w:trPr>
          <w:trHeight w:val="324"/>
        </w:trPr>
        <w:tc>
          <w:tcPr>
            <w:tcW w:w="1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080" w:type="dxa"/>
            <w:vAlign w:val="bottom"/>
            <w:gridSpan w:val="3"/>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9"/>
              </w:rPr>
              <w:t>As of November 3, 2024</w:t>
            </w:r>
          </w:p>
        </w:tc>
      </w:tr>
      <w:tr>
        <w:trPr>
          <w:trHeight w:val="473"/>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b w:val="1"/>
                <w:bCs w:val="1"/>
                <w:color w:val="auto"/>
              </w:rPr>
              <w:t>Country of Incorporation</w:t>
            </w:r>
          </w:p>
        </w:tc>
      </w:tr>
      <w:tr>
        <w:trPr>
          <w:trHeight w:val="20"/>
        </w:trPr>
        <w:tc>
          <w:tcPr>
            <w:tcW w:w="152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45"/>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Avago Technologies International Sales Pte. Limited</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Avago Technologies U.S. Inc.</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Delaware (U.S.A.)</w:t>
            </w:r>
          </w:p>
        </w:tc>
      </w:tr>
      <w:tr>
        <w:trPr>
          <w:trHeight w:val="229"/>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Broadcom Corporation</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California (U.S.A.)</w:t>
            </w:r>
          </w:p>
        </w:tc>
      </w:tr>
      <w:tr>
        <w:trPr>
          <w:trHeight w:val="23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Broadcom Singapore Pte Ltd</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Broadcom Technologies, Inc.</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Delaware (U.S.A.)</w:t>
            </w:r>
          </w:p>
        </w:tc>
      </w:tr>
      <w:tr>
        <w:trPr>
          <w:trHeight w:val="23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 Inc.</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Delaware (U.S.A.)</w:t>
            </w:r>
          </w:p>
        </w:tc>
      </w:tr>
      <w:tr>
        <w:trPr>
          <w:trHeight w:val="229"/>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 Europe Sárl</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Switzerland</w:t>
            </w:r>
          </w:p>
        </w:tc>
      </w:tr>
      <w:tr>
        <w:trPr>
          <w:trHeight w:val="229"/>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VMware International Unlimited Company</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VMware LLC</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Delaware (U.S.A.)</w:t>
            </w:r>
          </w:p>
        </w:tc>
      </w:tr>
      <w:tr>
        <w:trPr>
          <w:trHeight w:val="229"/>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VMware Global, Inc.</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Delaware (U.S.A.)</w:t>
            </w: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VMware Management Inc.</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Delaware (U.S.A.)</w:t>
            </w:r>
          </w:p>
        </w:tc>
      </w:tr>
    </w:tbl>
    <w:p>
      <w:pPr>
        <w:sectPr>
          <w:pgSz w:w="11900" w:h="16838" w:orient="portrait"/>
          <w:cols w:equalWidth="0" w:num="1">
            <w:col w:w="11180"/>
          </w:cols>
          <w:pgMar w:left="380" w:top="1440"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333-276053, 333-275702, 333-235753, 333-235663, 333-228175, 333-209331-01, 333-215291-01, and 333-221654-01) and Form S-3 (No. 333-280715) of Broadcom Inc. of our report dated December 20, 2024 relating to the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ectPr>
          <w:pgSz w:w="11900" w:h="16838" w:orient="portrait"/>
          <w:cols w:equalWidth="0" w:num="1">
            <w:col w:w="11240"/>
          </w:cols>
          <w:pgMar w:left="320" w:top="121"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Hock E. Tan, certify that:</w:t>
      </w:r>
    </w:p>
    <w:p>
      <w:pPr>
        <w:spacing w:after="0" w:line="117"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Broadcom Inc.;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20, 2024</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Hock E.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1">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Hock E. Tan</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Kirsten M. Spears, certify that:</w:t>
      </w:r>
    </w:p>
    <w:p>
      <w:pPr>
        <w:spacing w:after="0" w:line="117"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Broadcom Inc.;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20, 2024</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Kirsten M. Spears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2">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Kirsten M. Spears</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Broadcom Inc. (the “Company”) for the fiscal year ended November 3, 2024 as filed with the Securities and Exchange Commission on the date hereof (the “Report”), the undersigned, Hock E. Tan, Chief Executive Officer of the Company, hereby certifies, pursuant to 18 U.S.C. Section 1350, that:</w:t>
      </w:r>
    </w:p>
    <w:p>
      <w:pPr>
        <w:spacing w:after="0" w:line="68" w:lineRule="exact"/>
        <w:rPr>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20, 2024</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Hock E. Tan</w:t>
            </w:r>
          </w:p>
        </w:tc>
      </w:tr>
      <w:tr>
        <w:trPr>
          <w:trHeight w:val="218"/>
        </w:trPr>
        <w:tc>
          <w:tcPr>
            <w:tcW w:w="532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Hock E. Tan</w:t>
            </w:r>
          </w:p>
        </w:tc>
      </w:tr>
      <w:tr>
        <w:trPr>
          <w:trHeight w:val="180"/>
        </w:trPr>
        <w:tc>
          <w:tcPr>
            <w:tcW w:w="5320" w:type="dxa"/>
            <w:vAlign w:val="bottom"/>
          </w:tcPr>
          <w:p>
            <w:pPr>
              <w:spacing w:after="0"/>
              <w:rPr>
                <w:sz w:val="15"/>
                <w:szCs w:val="15"/>
                <w:color w:val="auto"/>
              </w:rPr>
            </w:pPr>
          </w:p>
        </w:tc>
        <w:tc>
          <w:tcPr>
            <w:tcW w:w="49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32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3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240"/>
          </w:cols>
          <w:pgMar w:left="320" w:top="88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Broadcom Inc. (the “Company”) for the fiscal year ended November 3, 2024 as filed with the Securities and Exchange Commission on the date hereof (the “Report”), the undersigned, Kirsten M. Spears, Chief Financial Officer of the Company, hereby certifies, pursuant to 18 U.S.C. Section 1350, that:</w:t>
      </w:r>
    </w:p>
    <w:p>
      <w:pPr>
        <w:spacing w:after="0" w:line="68" w:lineRule="exact"/>
        <w:rPr>
          <w:sz w:val="20"/>
          <w:szCs w:val="20"/>
          <w:color w:val="auto"/>
        </w:rPr>
      </w:pPr>
    </w:p>
    <w:p>
      <w:pPr>
        <w:ind w:left="640" w:hanging="308"/>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20, 2024</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Kirsten M. Spears</w:t>
            </w:r>
          </w:p>
        </w:tc>
      </w:tr>
      <w:tr>
        <w:trPr>
          <w:trHeight w:val="218"/>
        </w:trPr>
        <w:tc>
          <w:tcPr>
            <w:tcW w:w="532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Kirsten M. Spears</w:t>
            </w:r>
          </w:p>
        </w:tc>
      </w:tr>
      <w:tr>
        <w:trPr>
          <w:trHeight w:val="180"/>
        </w:trPr>
        <w:tc>
          <w:tcPr>
            <w:tcW w:w="5320" w:type="dxa"/>
            <w:vAlign w:val="bottom"/>
          </w:tcPr>
          <w:p>
            <w:pPr>
              <w:spacing w:after="0"/>
              <w:rPr>
                <w:sz w:val="15"/>
                <w:szCs w:val="15"/>
                <w:color w:val="auto"/>
              </w:rPr>
            </w:pPr>
          </w:p>
        </w:tc>
        <w:tc>
          <w:tcPr>
            <w:tcW w:w="49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32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3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1)"/>
      <w:numFmt w:val="lowerLetter"/>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1."/>
      <w:numFmt w:val="decimal"/>
      <w:start w:val="10"/>
    </w:lvl>
  </w:abstractNum>
  <w:abstractNum w:abstractNumId="42">
    <w:nsid w:val="275AC794"/>
    <w:multiLevelType w:val="hybridMultilevel"/>
    <w:lvl w:ilvl="0">
      <w:lvlJc w:val="left"/>
      <w:lvlText w:val="(%1)"/>
      <w:numFmt w:val="lowerLetter"/>
      <w:start w:val="1"/>
    </w:lvl>
    <w:lvl w:ilvl="1">
      <w:lvlJc w:val="left"/>
      <w:lvlText w:val="•"/>
      <w:numFmt w:val="bullet"/>
      <w:start w:val="1"/>
    </w:lvl>
  </w:abstractNum>
  <w:abstractNum w:abstractNumId="43">
    <w:nsid w:val="39386575"/>
    <w:multiLevelType w:val="hybridMultilevel"/>
    <w:lvl w:ilvl="0">
      <w:lvlJc w:val="left"/>
      <w:lvlText w:val="(%1)"/>
      <w:numFmt w:val="lowerRoman"/>
      <w:start w:val="3"/>
    </w:lvl>
  </w:abstractNum>
  <w:abstractNum w:abstractNumId="44">
    <w:nsid w:val="1CF10FD8"/>
    <w:multiLevelType w:val="hybridMultilevel"/>
    <w:lvl w:ilvl="0">
      <w:lvlJc w:val="left"/>
      <w:lvlText w:val="%1."/>
      <w:numFmt w:val="decimal"/>
      <w:start w:val="10"/>
    </w:lvl>
  </w:abstractNum>
  <w:abstractNum w:abstractNumId="45">
    <w:nsid w:val="180115BE"/>
    <w:multiLevelType w:val="hybridMultilevel"/>
    <w:lvl w:ilvl="0">
      <w:lvlJc w:val="left"/>
      <w:lvlText w:val="(%1)"/>
      <w:numFmt w:val="lowerLetter"/>
      <w:start w:val="1"/>
    </w:lvl>
  </w:abstractNum>
  <w:abstractNum w:abstractNumId="46">
    <w:nsid w:val="235BA861"/>
    <w:multiLevelType w:val="hybridMultilevel"/>
    <w:lvl w:ilvl="0">
      <w:lvlJc w:val="left"/>
      <w:lvlText w:val="(%1)"/>
      <w:numFmt w:val="lowerLetter"/>
      <w:start w:val="1"/>
    </w:lvl>
  </w:abstractNum>
  <w:abstractNum w:abstractNumId="47">
    <w:nsid w:val="47398C89"/>
    <w:multiLevelType w:val="hybridMultilevel"/>
    <w:lvl w:ilvl="0">
      <w:lvlJc w:val="left"/>
      <w:lvlText w:val="(%1)"/>
      <w:numFmt w:val="lowerLetter"/>
      <w:start w:val="1"/>
    </w:lvl>
  </w:abstractNum>
  <w:abstractNum w:abstractNumId="48">
    <w:nsid w:val="354FE9F9"/>
    <w:multiLevelType w:val="hybridMultilevel"/>
    <w:lvl w:ilvl="0">
      <w:lvlJc w:val="left"/>
      <w:lvlText w:val="(%1)"/>
      <w:numFmt w:val="lowerLetter"/>
      <w:start w:val="1"/>
    </w:lvl>
  </w:abstractNum>
  <w:abstractNum w:abstractNumId="49">
    <w:nsid w:val="15B5AF5C"/>
    <w:multiLevelType w:val="hybridMultilevel"/>
    <w:lvl w:ilvl="0">
      <w:lvlJc w:val="left"/>
      <w:lvlText w:val="(%1)"/>
      <w:numFmt w:val="lowerLetter"/>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1"/>
      <w:numFmt w:val="decimal"/>
      <w:start w:val="104"/>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1."/>
      <w:numFmt w:val="upperLetter"/>
      <w:start w:val="9"/>
    </w:lvl>
  </w:abstractNum>
  <w:abstractNum w:abstractNumId="56">
    <w:nsid w:val="77AE35EB"/>
    <w:multiLevelType w:val="hybridMultilevel"/>
    <w:lvl w:ilvl="0">
      <w:lvlJc w:val="left"/>
      <w:lvlText w:val="(%1)"/>
      <w:numFmt w:val="lowerRoman"/>
      <w:start w:val="1"/>
    </w:lvl>
  </w:abstractNum>
  <w:abstractNum w:abstractNumId="57">
    <w:nsid w:val="579BE4F1"/>
    <w:multiLevelType w:val="hybridMultilevel"/>
    <w:lvl w:ilvl="0">
      <w:lvlJc w:val="left"/>
      <w:lvlText w:val="(%1)"/>
      <w:numFmt w:val="lowerRoman"/>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1."/>
      <w:numFmt w:val="upperLetter"/>
      <w:start w:val="35"/>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1."/>
      <w:numFmt w:val="upperLetter"/>
      <w:start w:val="61"/>
    </w:lvl>
  </w:abstractNum>
  <w:abstractNum w:abstractNumId="62">
    <w:nsid w:val="1DBABF00"/>
    <w:multiLevelType w:val="hybridMultilevel"/>
    <w:lvl w:ilvl="0">
      <w:lvlJc w:val="left"/>
      <w:lvlText w:val="(%1)"/>
      <w:numFmt w:val="lowerRoman"/>
      <w:start w:val="1"/>
    </w:lvl>
  </w:abstractNum>
  <w:abstractNum w:abstractNumId="63">
    <w:nsid w:val="4AD084E9"/>
    <w:multiLevelType w:val="hybridMultilevel"/>
    <w:lvl w:ilvl="0">
      <w:lvlJc w:val="left"/>
      <w:lvlText w:val="(%1)"/>
      <w:numFmt w:val="lowerRoman"/>
      <w:start w:val="6"/>
    </w:lvl>
  </w:abstractNum>
  <w:abstractNum w:abstractNumId="64">
    <w:nsid w:val="1F48EAA1"/>
    <w:multiLevelType w:val="hybridMultilevel"/>
    <w:lvl w:ilvl="0">
      <w:lvlJc w:val="left"/>
      <w:lvlText w:val="%1."/>
      <w:numFmt w:val="upperLetter"/>
      <w:start w:val="22"/>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86" Type="http://schemas.openxmlformats.org/officeDocument/2006/relationships/image" Target="media/image130.png"/><Relationship Id="rId187" Type="http://schemas.openxmlformats.org/officeDocument/2006/relationships/image" Target="media/image131.png"/><Relationship Id="rId202" Type="http://schemas.openxmlformats.org/officeDocument/2006/relationships/image" Target="media/image132.png"/><Relationship Id="rId203" Type="http://schemas.openxmlformats.org/officeDocument/2006/relationships/image" Target="media/image133.png"/><Relationship Id="rId205" Type="http://schemas.openxmlformats.org/officeDocument/2006/relationships/image" Target="media/image134.png"/><Relationship Id="rId206" Type="http://schemas.openxmlformats.org/officeDocument/2006/relationships/image" Target="media/image135.png"/><Relationship Id="rId207" Type="http://schemas.openxmlformats.org/officeDocument/2006/relationships/image" Target="media/image136.png"/><Relationship Id="rId208" Type="http://schemas.openxmlformats.org/officeDocument/2006/relationships/image" Target="media/image137.png"/><Relationship Id="rId209" Type="http://schemas.openxmlformats.org/officeDocument/2006/relationships/image" Target="media/image138.png"/><Relationship Id="rId210" Type="http://schemas.openxmlformats.org/officeDocument/2006/relationships/image" Target="media/image139.jpeg"/><Relationship Id="rId211" Type="http://schemas.openxmlformats.org/officeDocument/2006/relationships/image" Target="media/image140.png"/><Relationship Id="rId212" Type="http://schemas.openxmlformats.org/officeDocument/2006/relationships/image" Target="media/image141.png"/><Relationship Id="rId129" Type="http://schemas.openxmlformats.org/officeDocument/2006/relationships/hyperlink" Target="https://www.sec.gov/Archives/edgar/data/1730168/000119312522161016/d525235dex21.htm" TargetMode="External"/><Relationship Id="rId130" Type="http://schemas.openxmlformats.org/officeDocument/2006/relationships/hyperlink" Target="https://www.sec.gov/Archives/edgar/data/1730168/000173016824000099/ex31arcertificateofincorpo.htm" TargetMode="External"/><Relationship Id="rId131" Type="http://schemas.openxmlformats.org/officeDocument/2006/relationships/hyperlink" Target="https://www.sec.gov/Archives/edgar/data/1730168/000119312518107559/d562806dex32.htm" TargetMode="External"/><Relationship Id="rId132" Type="http://schemas.openxmlformats.org/officeDocument/2006/relationships/hyperlink" Target="https://www.sec.gov/Archives/edgar/data/1730168/000173016818000019/ex41formofstockcertificate.htm" TargetMode="External"/><Relationship Id="rId133" Type="http://schemas.openxmlformats.org/officeDocument/2006/relationships/hyperlink" Target="https://www.sec.gov/Archives/edgar/data/1649338/000119312517013399/d332675dex41.htm" TargetMode="External"/><Relationship Id="rId134" Type="http://schemas.openxmlformats.org/officeDocument/2006/relationships/hyperlink" Target="https://www.sec.gov/Archives/edgar/data/1730168/000119312518111706/d562929dex41.htm" TargetMode="External"/><Relationship Id="rId135" Type="http://schemas.openxmlformats.org/officeDocument/2006/relationships/hyperlink" Target="https://www.sec.gov/Archives/edgar/data/1730168/000119312519017097/d684347dex41.htm" TargetMode="External"/><Relationship Id="rId138" Type="http://schemas.openxmlformats.org/officeDocument/2006/relationships/hyperlink" Target="https://www.sec.gov/Archives/edgar/data/1649338/000119312517311851/d472495dex41.htm" TargetMode="External"/><Relationship Id="rId139" Type="http://schemas.openxmlformats.org/officeDocument/2006/relationships/hyperlink" Target="https://www.sec.gov/Archives/edgar/data/1730168/000119312518111706/d562929dex42.htm" TargetMode="External"/><Relationship Id="rId140" Type="http://schemas.openxmlformats.org/officeDocument/2006/relationships/hyperlink" Target="https://www.sec.gov/Archives/edgar/data/1730168/000119312519017097/d684347dex42.htm" TargetMode="External"/><Relationship Id="rId141" Type="http://schemas.openxmlformats.org/officeDocument/2006/relationships/hyperlink" Target="https://www.sec.gov/Archives/edgar/data/1730168/000119312519099260/d719856dex41.htm" TargetMode="External"/><Relationship Id="rId142" Type="http://schemas.openxmlformats.org/officeDocument/2006/relationships/hyperlink" Target="https://www.sec.gov/Archives/edgar/data/1730168/000119312520102580/d823740dex41.htm" TargetMode="External"/><Relationship Id="rId143" Type="http://schemas.openxmlformats.org/officeDocument/2006/relationships/hyperlink" Target="https://www.sec.gov/Archives/edgar/data/1730168/000119312520137528/d921783dex41.htm" TargetMode="External"/><Relationship Id="rId144" Type="http://schemas.openxmlformats.org/officeDocument/2006/relationships/hyperlink" Target="https://www.sec.gov/Archives/edgar/data/1730168/000119312520148648/d933113dex41.htm" TargetMode="External"/><Relationship Id="rId147" Type="http://schemas.openxmlformats.org/officeDocument/2006/relationships/hyperlink" Target="https://www.sec.gov/Archives/edgar/data/1730168/000119312521011422/d161188dex41.htm" TargetMode="External"/><Relationship Id="rId148" Type="http://schemas.openxmlformats.org/officeDocument/2006/relationships/hyperlink" Target="https://www.sec.gov/Archives/edgar/data/1730168/000119312521011422/d161188dex47.htm" TargetMode="External"/><Relationship Id="rId149" Type="http://schemas.openxmlformats.org/officeDocument/2006/relationships/hyperlink" Target="https://www.sec.gov/Archives/edgar/data/1730168/000119312521102518/d146519dex41.htm" TargetMode="External"/><Relationship Id="rId150" Type="http://schemas.openxmlformats.org/officeDocument/2006/relationships/hyperlink" Target="https://www.sec.gov/Archives/edgar/data/1730168/000119312521102518/d146519dex44.htm" TargetMode="External"/><Relationship Id="rId151" Type="http://schemas.openxmlformats.org/officeDocument/2006/relationships/hyperlink" Target="https://www.sec.gov/Archives/edgar/data/1730168/000119312521287948/d238245dex41.htm" TargetMode="External"/><Relationship Id="rId152" Type="http://schemas.openxmlformats.org/officeDocument/2006/relationships/hyperlink" Target="https://www.sec.gov/Archives/edgar/data/1730168/000119312521287948/d238245dex44.htm" TargetMode="External"/><Relationship Id="rId153" Type="http://schemas.openxmlformats.org/officeDocument/2006/relationships/hyperlink" Target="https://www.sec.gov/Archives/edgar/data/1730168/000119312522105918/d341029dex41.htm" TargetMode="External"/><Relationship Id="rId156" Type="http://schemas.openxmlformats.org/officeDocument/2006/relationships/hyperlink" Target="https://www.sec.gov/Archives/edgar/data/1730168/000119312522105918/d341029dex44.htm" TargetMode="External"/><Relationship Id="rId157" Type="http://schemas.openxmlformats.org/officeDocument/2006/relationships/hyperlink" Target="https://www.sec.gov/Archives/edgar/data/1730168/000119312522108067/d299108dex41.htm" TargetMode="External"/><Relationship Id="rId158" Type="http://schemas.openxmlformats.org/officeDocument/2006/relationships/hyperlink" Target="https://www.sec.gov/Archives/edgar/data/1730168/000119312522108067/d299108dex43.htm" TargetMode="External"/><Relationship Id="rId159" Type="http://schemas.openxmlformats.org/officeDocument/2006/relationships/hyperlink" Target="https://www.sec.gov/Archives/edgar/data/1730168/000114036124033072/ny20032136x6_ex4-1.htm" TargetMode="External"/><Relationship Id="rId160" Type="http://schemas.openxmlformats.org/officeDocument/2006/relationships/hyperlink" Target="https://www.sec.gov/Archives/edgar/data/1730168/000114036124033072/ny20032136x6_ex4-2.htm" TargetMode="External"/><Relationship Id="rId161" Type="http://schemas.openxmlformats.org/officeDocument/2006/relationships/hyperlink" Target="https://www.sec.gov/Archives/edgar/data/0001730168/000119312524231159/d860121dex42.htm" TargetMode="External"/><Relationship Id="rId162" Type="http://schemas.openxmlformats.org/officeDocument/2006/relationships/hyperlink" Target="https://www.sec.gov/Archives/edgar/data/1730168/000119312524231159/d860121dex42.htm" TargetMode="External"/><Relationship Id="rId163" Type="http://schemas.openxmlformats.org/officeDocument/2006/relationships/hyperlink" Target="https://www.sec.gov/Archives/edgar/data/1730168/000119312518107559/d562806dex101.htm" TargetMode="External"/><Relationship Id="rId164" Type="http://schemas.openxmlformats.org/officeDocument/2006/relationships/hyperlink" Target="https://www.sec.gov/Archives/edgar/data/1730168/000119312521011422/d161188dex101.htm" TargetMode="External"/><Relationship Id="rId165" Type="http://schemas.openxmlformats.org/officeDocument/2006/relationships/hyperlink" Target="https://www.sec.gov/Archives/edgar/data/1730168/000173016823000064/exhibit101amendmentno1amen.htm" TargetMode="External"/><Relationship Id="rId168" Type="http://schemas.openxmlformats.org/officeDocument/2006/relationships/hyperlink" Target="https://www.sec.gov/Archives/edgar/data/1730168/000114036123040084/brhc20057578_ex10-1.htm" TargetMode="External"/><Relationship Id="rId169" Type="http://schemas.openxmlformats.org/officeDocument/2006/relationships/hyperlink" Target="https://www.sec.gov/Archives/edgar/data/1730168/000173016824000023/firstamendmenttocreditagre.htm" TargetMode="External"/><Relationship Id="rId170" Type="http://schemas.openxmlformats.org/officeDocument/2006/relationships/hyperlink" Target="https://www.sec.gov/Archives/edgar/data/1649338/000164933817000158/ex1029leaseagreementdateda.htm" TargetMode="External"/><Relationship Id="rId171" Type="http://schemas.openxmlformats.org/officeDocument/2006/relationships/hyperlink" Target="https://www.sec.gov/Archives/edgar/data/1730168/000173016820000226/ex1018firstamendmentforfiv.htm" TargetMode="External"/><Relationship Id="rId172" Type="http://schemas.openxmlformats.org/officeDocument/2006/relationships/hyperlink" Target="https://www.sec.gov/Archives/edgar/data/1054374/000095012309024821/a53225exv10w1.htm" TargetMode="External"/><Relationship Id="rId173" Type="http://schemas.openxmlformats.org/officeDocument/2006/relationships/hyperlink" Target="https://www.sec.gov/Archives/edgar/data/1441634/000119312509155434/dex1018.htm" TargetMode="External"/><Relationship Id="rId174" Type="http://schemas.openxmlformats.org/officeDocument/2006/relationships/hyperlink" Target="https://www.sec.gov/Archives/edgar/data/1730168/000119312519043540/d676557ddef14a.htm#toc676557_83" TargetMode="External"/><Relationship Id="rId175" Type="http://schemas.openxmlformats.org/officeDocument/2006/relationships/hyperlink" Target="https://www.sec.gov/Archives/edgar/data/1441634/000119312514185066/d722921dex41.htm" TargetMode="External"/><Relationship Id="rId176" Type="http://schemas.openxmlformats.org/officeDocument/2006/relationships/hyperlink" Target="https://www.sec.gov/Archives/edgar/data/1649338/000164933816000151/ex1045amendenttolsiplan.htm" TargetMode="External"/><Relationship Id="rId177" Type="http://schemas.openxmlformats.org/officeDocument/2006/relationships/hyperlink" Target="https://www.sec.gov/Archives/edgar/data/1730168/000119312518107559/d562806dex1010.htm" TargetMode="External"/><Relationship Id="rId178" Type="http://schemas.openxmlformats.org/officeDocument/2006/relationships/hyperlink" Target="https://www.sec.gov/Archives/edgar/data/1730168/000173016821000116/ex101broadcominc2012stocki.htm" TargetMode="External"/><Relationship Id="rId179" Type="http://schemas.openxmlformats.org/officeDocument/2006/relationships/hyperlink" Target="https://www.sec.gov/Archives/edgar/data/1730168/000114036123054369/ef20013594_ex99-1.htm" TargetMode="External"/><Relationship Id="rId180" Type="http://schemas.openxmlformats.org/officeDocument/2006/relationships/hyperlink" Target="https://www.sec.gov/Archives/edgar/data/1649338/000164933816000151/ex1053formofapbplandocumen.htm" TargetMode="External"/><Relationship Id="rId181" Type="http://schemas.openxmlformats.org/officeDocument/2006/relationships/hyperlink" Target="https://www.sec.gov/Archives/edgar/data/1730168/000119312518343743/d665420dex101.htm" TargetMode="External"/><Relationship Id="rId182" Type="http://schemas.openxmlformats.org/officeDocument/2006/relationships/hyperlink" Target="https://www.sec.gov/Archives/edgar/data/1730168/000119312518343743/d665420dex102.htm" TargetMode="External"/><Relationship Id="rId183" Type="http://schemas.openxmlformats.org/officeDocument/2006/relationships/hyperlink" Target="https://www.sec.gov/Archives/edgar/data/1730168/000173016820000226/ex1051lsiplanrsu.htm" TargetMode="External"/><Relationship Id="rId184" Type="http://schemas.openxmlformats.org/officeDocument/2006/relationships/hyperlink" Target="https://www.sec.gov/Archives/edgar/data/1730168/000173016820000226/ex1052lsiplanpsu.htm" TargetMode="External"/><Relationship Id="rId185" Type="http://schemas.openxmlformats.org/officeDocument/2006/relationships/hyperlink" Target="https://www.sec.gov/Archives/edgar/data/1649338/000164933817000158/ex1061broadcom2012planrsua.htm" TargetMode="External"/><Relationship Id="rId188" Type="http://schemas.openxmlformats.org/officeDocument/2006/relationships/hyperlink" Target="https://www.sec.gov/Archives/edgar/data/1730168/000173016821000116/ex103formofrestrictedstock.htm" TargetMode="External"/><Relationship Id="rId189" Type="http://schemas.openxmlformats.org/officeDocument/2006/relationships/hyperlink" Target="https://www.sec.gov/Archives/edgar/data/1649338/000164933818000027/ex105formofperformanceshar.htm" TargetMode="External"/><Relationship Id="rId190" Type="http://schemas.openxmlformats.org/officeDocument/2006/relationships/hyperlink" Target="https://www.sec.gov/Archives/edgar/data/1730168/000173016821000116/ex104formofperformancestoc.htm" TargetMode="External"/><Relationship Id="rId191" Type="http://schemas.openxmlformats.org/officeDocument/2006/relationships/hyperlink" Target="https://www.sec.gov/Archives/edgar/data/1730168/000173016822000101/formofperformancestockunit.htm" TargetMode="External"/><Relationship Id="rId192" Type="http://schemas.openxmlformats.org/officeDocument/2006/relationships/hyperlink" Target="https://www.sec.gov/Archives/edgar/data/1730168/000173016821000116/ex102performancestockunita.htm" TargetMode="External"/><Relationship Id="rId193" Type="http://schemas.openxmlformats.org/officeDocument/2006/relationships/hyperlink" Target="https://www.sec.gov/Archives/edgar/data/1730168/000114036123057675/ef20016629_ex99-1.htm" TargetMode="External"/><Relationship Id="rId194" Type="http://schemas.openxmlformats.org/officeDocument/2006/relationships/hyperlink" Target="https://www.sec.gov/Archives/edgar/data/1730168/000114036123057675/ef20016629_ex99-2.htm" TargetMode="External"/><Relationship Id="rId195" Type="http://schemas.openxmlformats.org/officeDocument/2006/relationships/hyperlink" Target="https://www.sec.gov/Archives/edgar/data/1730168/000114036123057675/ef20016629_ex99-3.htm" TargetMode="External"/><Relationship Id="rId196" Type="http://schemas.openxmlformats.org/officeDocument/2006/relationships/hyperlink" Target="https://www.sec.gov/Archives/edgar/data/1730168/000173016821000110/ex101accelerationofexecuti.htm" TargetMode="External"/><Relationship Id="rId197" Type="http://schemas.openxmlformats.org/officeDocument/2006/relationships/hyperlink" Target="https://www.sec.gov/Archives/edgar/data/1730168/000173016823000077/ex102policyaccelerationofe.htm" TargetMode="External"/><Relationship Id="rId198" Type="http://schemas.openxmlformats.org/officeDocument/2006/relationships/hyperlink" Target="https://www.sec.gov/Archives/edgar/data/1730168/000119312520315010/d71178dex101.htm" TargetMode="External"/><Relationship Id="rId199" Type="http://schemas.openxmlformats.org/officeDocument/2006/relationships/hyperlink" Target="https://www.sec.gov/Archives/edgar/data/1730168/000119312520315010/d71178dex102.htm" TargetMode="External"/><Relationship Id="rId200" Type="http://schemas.openxmlformats.org/officeDocument/2006/relationships/hyperlink" Target="https://www.sec.gov/Archives/edgar/data/1730168/000173016818000019/ex1018severancebenefitagre.htm" TargetMode="External"/><Relationship Id="rId201" Type="http://schemas.openxmlformats.org/officeDocument/2006/relationships/hyperlink" Target="https://www.sec.gov/Archives/edgar/data/1730168/000119312520315010/d71178dex105.htm" TargetMode="External"/><Relationship Id="rId204" Type="http://schemas.openxmlformats.org/officeDocument/2006/relationships/hyperlink" Target="https://www.sec.gov/Archives/edgar/data/1730168/000173016823000096/ex971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2024-12-20T16:46:21Z</dcterms:created>
  <dcterms:modified xsi:type="dcterms:W3CDTF">2024-12-20T16:46:21Z</dcterms:modified>
</cp:coreProperties>
</file>