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Avago Technologies Ltd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Ordinary Shares</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B3WS2X9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The Growth Fund of America</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NONE</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20,789,538</w:t>
      </w:r>
      <w:r>
        <w:rPr>
          <w:rFonts w:ascii="Courier New" w:cs="Courier New" w:eastAsia="Courier New" w:hAnsi="Courier New"/>
          <w:sz w:val="16"/>
          <w:szCs w:val="16"/>
          <w:color w:val="auto"/>
        </w:rPr>
        <w:t>See Additional information in Item 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IV</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B3WS2X9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Avago Technologies Ltd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 Yishun Avenue 7</w:t>
      </w:r>
    </w:p>
    <w:p>
      <w:pPr>
        <w:ind w:left="740"/>
        <w:spacing w:after="0"/>
        <w:rPr>
          <w:sz w:val="20"/>
          <w:szCs w:val="20"/>
          <w:color w:val="auto"/>
        </w:rPr>
      </w:pPr>
      <w:r>
        <w:rPr>
          <w:rFonts w:ascii="Courier New" w:cs="Courier New" w:eastAsia="Courier New" w:hAnsi="Courier New"/>
          <w:sz w:val="18"/>
          <w:szCs w:val="18"/>
          <w:color w:val="auto"/>
        </w:rPr>
        <w:t>Singapore 768923</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The Growth Fund of America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Ordinary Shares</w:t>
      </w:r>
    </w:p>
    <w:p>
      <w:pPr>
        <w:sectPr>
          <w:pgSz w:w="11900" w:h="16838" w:orient="portrait"/>
          <w:cols w:equalWidth="0" w:num="1">
            <w:col w:w="10219"/>
          </w:cols>
          <w:pgMar w:left="240" w:top="142" w:right="1440" w:bottom="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B3WS2X9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402" w:lineRule="exact"/>
        <w:rPr>
          <w:sz w:val="20"/>
          <w:szCs w:val="20"/>
          <w:color w:val="auto"/>
        </w:rPr>
      </w:pPr>
    </w:p>
    <w:p>
      <w:pPr>
        <w:sectPr>
          <w:pgSz w:w="11900" w:h="16838" w:orient="portrait"/>
          <w:cols w:equalWidth="0" w:num="2">
            <w:col w:w="1480" w:space="0"/>
            <w:col w:w="873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(d) [X] Investment company registered under section 8</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of the Investment Company Act of 1940 (15 U.S.C. 80a-8).</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3039"/>
        <w:spacing w:after="0" w:line="268" w:lineRule="auto"/>
        <w:rPr>
          <w:sz w:val="20"/>
          <w:szCs w:val="20"/>
          <w:color w:val="auto"/>
        </w:rPr>
      </w:pPr>
      <w:r>
        <w:rPr>
          <w:rFonts w:ascii="Courier New" w:cs="Courier New" w:eastAsia="Courier New" w:hAnsi="Courier New"/>
          <w:sz w:val="16"/>
          <w:szCs w:val="16"/>
          <w:color w:val="auto"/>
        </w:rPr>
        <w:t>The Growth Fund of America, an investment company registered under the Investment Company Act of 1940, which is advised by Capital Research and Management Company ("CRMC"), is the beneficial owner of 20,789,538 shares or 7.5% of the 276,489,575 shares believed to be outstanding. CRMC manages equity assets for various investment companies through three divisions, Capital Research Global Investors, Capital World</w:t>
      </w: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386"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Investors, and Capital International Investors. These divisions generally function separately from each other with respect to investment research activities and they make investment decisions and proxy voting decisions for the investment companies on a separate basis.</w:t>
      </w:r>
    </w:p>
    <w:p>
      <w:pPr>
        <w:spacing w:after="0" w:line="209"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4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11, 2016</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Michael</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W. Stockton***</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Michael</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 Stockton - Secretary</w:t>
            </w:r>
          </w:p>
        </w:tc>
      </w:tr>
    </w:tbl>
    <w:p>
      <w:pPr>
        <w:ind w:left="2440"/>
        <w:spacing w:after="0" w:line="238" w:lineRule="auto"/>
        <w:rPr>
          <w:sz w:val="20"/>
          <w:szCs w:val="20"/>
          <w:color w:val="auto"/>
        </w:rPr>
      </w:pPr>
      <w:r>
        <w:rPr>
          <w:rFonts w:ascii="Courier New" w:cs="Courier New" w:eastAsia="Courier New" w:hAnsi="Courier New"/>
          <w:sz w:val="18"/>
          <w:szCs w:val="18"/>
          <w:color w:val="auto"/>
        </w:rPr>
        <w:t>The Growth Fund of America, Inc.</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6"/>
          <w:szCs w:val="16"/>
          <w:color w:val="auto"/>
        </w:rPr>
        <w:t>***By</w:t>
        <w:tab/>
        <w:t>/s/ Michael J. Triessl</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1580"/>
        <w:spacing w:after="0"/>
        <w:rPr>
          <w:sz w:val="20"/>
          <w:szCs w:val="20"/>
          <w:color w:val="auto"/>
        </w:rPr>
      </w:pPr>
      <w:r>
        <w:rPr>
          <w:rFonts w:ascii="Courier New" w:cs="Courier New" w:eastAsia="Courier New" w:hAnsi="Courier New"/>
          <w:sz w:val="18"/>
          <w:szCs w:val="18"/>
          <w:color w:val="auto"/>
        </w:rPr>
        <w:t>Michael J. Triessl</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 Securities and Exchange Commission by Capital World Investors on February 6, 2015 with respect to Hudbay Minerals Inc.</w:t>
      </w:r>
    </w:p>
    <w:p>
      <w:pPr>
        <w:spacing w:after="0" w:line="37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5 of 5</w:t>
      </w:r>
    </w:p>
    <w:p>
      <w:pPr>
        <w:sectPr>
          <w:pgSz w:w="11900" w:h="16838" w:orient="portrait"/>
          <w:cols w:equalWidth="0" w:num="1">
            <w:col w:w="10219"/>
          </w:cols>
          <w:pgMar w:left="240" w:top="136"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1"/>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2019-12-08T17:20:51Z</dcterms:created>
  <dcterms:modified xsi:type="dcterms:W3CDTF">2019-12-08T17:20:51Z</dcterms:modified>
</cp:coreProperties>
</file>